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Avaliação do desenho da Lei de Incentivo à Cultura Capixaba e proposta de avaliação de impacto</w:t>
      </w:r>
    </w:p>
    <w:p>
      <w:pPr>
        <w:pStyle w:val="Author"/>
      </w:pPr>
      <w:r>
        <w:t xml:space="preserve">Felipe Carvalho Souza Santos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 Neste artigo, avalia-se o desenho da LICC: da teoria da mudança derivam-se cinco premissas, confrontadas com normas, anexos oficiais e atas da comissão de 2022 a 2026, que orientam uma proposta de avaliação de impacto. A decisão de financiamento não mostra orientação evidente pelo valor público: duas empresas respondem por metade da renúncia de 2025, e o bem cultural oferecido à população confunde-se com o marketing das empresas. A decisão se concentra em poucos atores: a habilitação qualifica sem priorizar, e o que excede o teto é racionado pela ordem de recebimento e validação dos termos de patrocínio. Até 13% do valor captado em 2025 poderia remunerar captação e elaboração, projetos pequenos captam cada vez menos, e só pessoas jurídicas contribuintes patrocinam. Para cada premissa, propõe-se um teste com regra de decisão, dados e poder estatístico, entre eles um experimento conjunto com decisores de empresas e residentes e uma avaliação cega dos projetos.</w:t>
      </w:r>
    </w:p>
    <w:p>
      <w:pPr>
        <w:pStyle w:val="BodyText"/>
      </w:pPr>
      <w:r>
        <w:rPr>
          <w:b/>
          <w:bCs/>
        </w:rPr>
        <w:t xml:space="preserve">Palavras-chave:</w:t>
      </w:r>
      <w:r>
        <w:t xml:space="preserve"> </w:t>
      </w:r>
      <w:r>
        <w:t xml:space="preserve">incentivo fiscal à cultura; gasto tributário; patrocínio; bens públicos; teoria da mudança;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correspondente ao valor que o contribuinte destina a projetos culturais credenciados pela Secretaria da Cultura (SECULT), com efeitos a partir de 2022 (ESPÍRITO SANTO, 2021a). A Lei de Incentivo à Cultura Capixaba (LICC) cresceu: o teto anual de captação, o montante fixado pela SEFAZ, passou de R$ 15 milhões em 2023 para R$ 31 milhões em 2026.</w:t>
      </w:r>
      <w:r>
        <w:rPr>
          <w:rStyle w:val="FootnoteReference"/>
        </w:rPr>
        <w:footnoteReference w:id="9"/>
      </w:r>
      <w:r>
        <w:t xml:space="preserve"> </w:t>
      </w:r>
      <w:r>
        <w:t xml:space="preserve">De 2023 a 2025, a captação esgotou o teto: os termos de patrocínio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números de 2025 contam os 63). A demanda supera o teto: nos cinco ciclos de habilitação (2022-2026), 463 projetos foram autorizados a captar, somados, R$ 184 milhões (459 com valor válido), acima da soma dos tetos do período, de R$ 111 milhões.</w:t>
      </w:r>
      <w:r>
        <w:rPr>
          <w:rStyle w:val="FootnoteReference"/>
        </w:rPr>
        <w:footnoteReference w:id="10"/>
      </w:r>
    </w:p>
    <w:p>
      <w:pPr>
        <w:pStyle w:val="BodyText"/>
      </w:pPr>
      <w:r>
        <w:t xml:space="preserve">O setor cultural capixaba é pequeno para o tamanho da economia do estado: em 2024, ocupava 4,2% dos trabalhadores do ES, contra 5,8% no país, a 18ª participação entre as 27 unidades da federação (IBGE, 2025). Na economia criativa, que soma às artes atividades de mercado como design e publicidade, o estado ficava perto da média: 8,2% dos ocupados no 2º trimestre de 2020, contra 8,5% no país, a 8ª posição (SECULT, 2020). O contraste sugere que o atraso está no núcleo cultural, que a LICC financia, e não na atividade criativa como um todo. A desigualdade relevante, porém, é interna: em 2021, 95% da população da Região Metropolitana da Grande Vitória (RMGV) vivia em município com cinema, contra 34% da do interior, e metade dos municípios do interior não tinha fundo municipal de cultura (IBGE, 2022). 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BodyText"/>
      </w:pPr>
      <w:r>
        <w:t xml:space="preserve">A avaliação da LICC se justifica por duas razões. Primeiro, trata-se de gasto público que não passa pelo lado da despesa do orçamento: a renúncia efetiva equivale a 14% a 21% do gasto estadual direto na função cultura em 2022-2025 (SECULT, 2026c; BRASIL, 2026). Segundo, quem decide o destino do recurso é a empresa patrocinadora, e não o Estado, o que expõe a política às críticas de concentração e de lógica de marketing feitas à Lei Rouanet (SILVA, 2017; DEKKER; RODRIGUES, 2019).</w:t>
      </w:r>
    </w:p>
    <w:p>
      <w:pPr>
        <w:pStyle w:val="BodyText"/>
      </w:pPr>
      <w:r>
        <w:t xml:space="preserve">O artigo tem dois objetivos: avaliar o desenho da LICC, sem propor redesenho do mecanismo, e estruturar uma avaliação de impacto, com desenho amostral, fontes de dados e cálculo de poder. A seção 2 caracteriza a política, a 3 revisa a literatura, a 4 reconstrói e audita a teoria da mudança, a 5 propõe a avaliação de impacto e a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alocado por empresas</w:t>
      </w:r>
      <w:r>
        <w:t xml:space="preserve">. O proponente inscreve o projeto na SECULT. Se o projeto for habilitado, o proponente procura uma empresa contribuinte do ICMS que aceite patrocinar. A empresa deposita o valor numa conta do projeto e compensa até 100% dele com o ICMS devido, sem contrapartida financeira (ESPÍRITO SANTO, 2021b, art. 10). O Quadro 1 resume as regras.</w:t>
      </w:r>
    </w:p>
    <w:p>
      <w:pPr>
        <w:pStyle w:val="BodyText"/>
        <w:keepNext/>
      </w:pPr>
      <w:r>
        <w:rPr>
          <w:b/>
        </w:rPr>
        <w:t>Quadro 1</w:t>
      </w:r>
      <w:r>
        <w:rPr>
          <w:b w:val="0"/>
        </w:rPr>
        <w:t xml:space="preserve"> – Elementos do desenho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680"/>
        <w:gridCol w:w="4080"/>
        <w:gridCol w:w="2160"/>
      </w:tblGrid>
      <w:tr>
        <w:trPr>
          <w:tblHeader w:val="on"/>
          <w:tblHeader w:val="true"/>
        </w:trPr>
        <w:tc>
          <w:tcPr>
            <w:tcBorders>
              <w:bottom w:val="single" w:sz="4" w:space="0" w:color="000000"/>
            </w:tcBorders>
          </w:tcPr>
          <w:p>
            <w:pPr>
              <w:pStyle w:val="Compact"/>
              <w:spacing w:after="0" w:before="0"/>
              <w:jc w:val="left"/>
            </w:pPr>
            <w:r>
              <w:rPr>
                <w:sz w:val="20"/>
              </w:rPr>
              <w:t xml:space="preserve">Elemento</w:t>
            </w:r>
          </w:p>
        </w:tc>
        <w:tc>
          <w:tcPr>
            <w:tcBorders>
              <w:bottom w:val="single" w:sz="4" w:space="0" w:color="000000"/>
            </w:tcBorders>
          </w:tcPr>
          <w:p>
            <w:pPr>
              <w:pStyle w:val="Compact"/>
              <w:spacing w:after="0" w:before="0"/>
              <w:jc w:val="left"/>
            </w:pPr>
            <w:r>
              <w:rPr>
                <w:sz w:val="20"/>
              </w:rPr>
              <w:t xml:space="preserve">Regra vigente</w:t>
            </w:r>
          </w:p>
        </w:tc>
        <w:tc>
          <w:tcPr>
            <w:tcBorders>
              <w:bottom w:val="single" w:sz="4" w:space="0" w:color="000000"/>
            </w:tcBorders>
          </w:tcPr>
          <w:p>
            <w:pPr>
              <w:pStyle w:val="Compact"/>
              <w:spacing w:after="0" w:before="0"/>
              <w:jc w:val="left"/>
            </w:pPr>
            <w:r>
              <w:rPr>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R$ 15 mi em 2022 (10 mi ampliados em setembro) e 2023, 25 mi em 2024 e 2025, 31 mi em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Patrocinador</w:t>
            </w:r>
          </w:p>
        </w:tc>
        <w:tc>
          <w:tcPr/>
          <w:p>
            <w:pPr>
              <w:pStyle w:val="Compact"/>
              <w:spacing w:after="0" w:before="0"/>
              <w:jc w:val="left"/>
            </w:pPr>
            <w:r>
              <w:rPr>
                <w:sz w:val="20"/>
              </w:rPr>
              <w:t xml:space="preserve">Pessoa jurídica contribuinte do ICMS fora do Simples Nacional, até 20%, 15%, 10% ou 5% do ICMS recolhido no ano anterior, conforme a faixa de imposto</w:t>
            </w:r>
          </w:p>
        </w:tc>
        <w:tc>
          <w:tcPr/>
          <w:p>
            <w:pPr>
              <w:pStyle w:val="Compact"/>
              <w:spacing w:after="0" w:before="0"/>
              <w:jc w:val="left"/>
            </w:pPr>
            <w:r>
              <w:rPr>
                <w:sz w:val="20"/>
              </w:rPr>
              <w:t xml:space="preserve">Dec. 5.035-R/2021, arts. 2º e 10, § 1º; LC 123/2006, art. 24; IN 001/2026, art. 40</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Linhas e limite por projeto</w:t>
            </w:r>
          </w:p>
        </w:tc>
        <w:tc>
          <w:tcPr/>
          <w:p>
            <w:pPr>
              <w:pStyle w:val="Compact"/>
              <w:spacing w:after="0" w:before="0"/>
              <w:jc w:val="left"/>
            </w:pPr>
            <w:r>
              <w:rPr>
                <w:sz w:val="20"/>
              </w:rPr>
              <w:t xml:space="preserve">Seis linhas, das linguagens artísticas ao audiovisual, sem reserva do teto por linha; até 2023, 5% do montante anual; desde 2024, R$ 500 mil (R$ 1 milhão para obra em patrimônio e longa-metragem; R$ 300 mil em primeira edição, desde 2025)</w:t>
            </w:r>
          </w:p>
        </w:tc>
        <w:tc>
          <w:tcPr/>
          <w:p>
            <w:pPr>
              <w:pStyle w:val="Compact"/>
              <w:spacing w:after="0" w:before="0"/>
              <w:jc w:val="left"/>
            </w:pPr>
            <w:r>
              <w:rPr>
                <w:sz w:val="20"/>
              </w:rPr>
              <w:t xml:space="preserve">IN 002/2022 e 001/2023, art. 8º; IN 001/2025, arts. 9º e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sobre nove critérios qualitativos (</w:t>
            </w:r>
            <w:r>
              <w:rPr>
                <w:sz w:val="20"/>
              </w:rPr>
              <w:t xml:space="preserve">“atende ou não”</w:t>
            </w:r>
            <w:r>
              <w:rPr>
                <w:sz w:val="20"/>
              </w:rPr>
              <w:t xml:space="preserve">), sem nota; o parecer favorável emite o certificado, e a comissão paritária (CAP) habilita ou não, podendo exigir ajustes</w:t>
            </w:r>
          </w:p>
        </w:tc>
        <w:tc>
          <w:tcPr/>
          <w:p>
            <w:pPr>
              <w:pStyle w:val="Compact"/>
              <w:spacing w:after="0" w:before="0"/>
              <w:jc w:val="left"/>
            </w:pPr>
            <w:r>
              <w:rPr>
                <w:sz w:val="20"/>
              </w:rPr>
              <w:t xml:space="preserve">Dec. 5.035-R/2021, art. 14; IN 001/2025, arts. 37-45</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Custos com o recurso incentivado</w:t>
            </w:r>
          </w:p>
        </w:tc>
        <w:tc>
          <w:tcPr/>
          <w:p>
            <w:pPr>
              <w:pStyle w:val="Compact"/>
              <w:spacing w:after="0" w:before="0"/>
              <w:jc w:val="left"/>
            </w:pPr>
            <w:r>
              <w:rPr>
                <w:sz w:val="20"/>
              </w:rPr>
              <w:t xml:space="preserve">Captação até 10% (R$ 50 mil) e elaboração até 5% (R$ 15 mil); em 2026, despesa única de até 10%, paga até ao proponente; divulgação até 25%; marca do patrocinador em proporção com a do Governo</w:t>
            </w:r>
          </w:p>
        </w:tc>
        <w:tc>
          <w:tcPr/>
          <w:p>
            <w:pPr>
              <w:pStyle w:val="Compact"/>
              <w:spacing w:after="0" w:before="0"/>
              <w:jc w:val="left"/>
            </w:pPr>
            <w:r>
              <w:rPr>
                <w:sz w:val="20"/>
              </w:rPr>
              <w:t xml:space="preserve">IN 001/2025, arts. 23, 27-28, 55 e 64; IN 001/2026, art. 28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do objeto; fiscalização por amostragem</w:t>
            </w:r>
          </w:p>
        </w:tc>
        <w:tc>
          <w:tcPr/>
          <w:p>
            <w:pPr>
              <w:pStyle w:val="Compact"/>
              <w:spacing w:after="0" w:before="0"/>
              <w:jc w:val="left"/>
            </w:pPr>
            <w:r>
              <w:rPr>
                <w:sz w:val="20"/>
              </w:rPr>
              <w:t xml:space="preserve">Dec. 5.035-R/2021, arts. 17-19</w:t>
            </w:r>
          </w:p>
        </w:tc>
      </w:tr>
    </w:tbl>
    <w:p>
      <w:pPr>
        <w:pStyle w:val="BodyText"/>
      </w:pPr>
      <w:r>
        <w:rPr>
          <w:i/>
          <w:sz w:val="20"/>
        </w:rPr>
        <w:t>Fonte</w:t>
      </w:r>
      <w:r>
        <w:rPr>
          <w:sz w:val="20"/>
        </w:rPr>
        <w:t>: elaboração própria a partir das normas citadas (ESPÍRITO SANTO, 2021a; 2021b; SECULT, 2022; 2023a; 2025a; 2026a).</w:t>
      </w:r>
    </w:p>
    <w:p>
      <w:pPr>
        <w:pStyle w:val="BodyText"/>
      </w:pPr>
      <w:r>
        <w:t xml:space="preserve">Três características do arranjo pesam na avaliação. A primeira é a delegação da escolha: o Estado define quem pode receber; a empresa define quem recebe. 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 A terceira é a pouca informação publicada: os anexos não trazem dados cadastrais do proponente, o local de atuação nem indicadores de resultado, e os inabilitados só aparecem nos extratos das atas da comissão (SECULT, 2026f).</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 A justificativa econômica é o caráter de bem público da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dos autores.</w:t>
      </w:r>
    </w:p>
    <w:p>
      <w:pPr>
        <w:pStyle w:val="BodyText"/>
      </w:pP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está claro qual falha de mercado ela corrige, dúvida que vale para a LICC (seção 4.2). Em 2010-2019, o maior doador destinou 853 vezes o valor do doador médio, e o número de doadores de um projeto não se relaciona com a parcela do aprovado que ele capta (OGAVA; GALVÃO; ADAMCZYK, 2022).</w:t>
      </w:r>
    </w:p>
    <w:p>
      <w:pPr>
        <w:pStyle w:val="BodyText"/>
      </w:pPr>
      <w:r>
        <w:rPr>
          <w:b/>
          <w:bCs/>
        </w:rPr>
        <w:t xml:space="preserve">Evidência causal.</w:t>
      </w:r>
      <w:r>
        <w:t xml:space="preserve"> </w:t>
      </w:r>
      <w:r>
        <w:t xml:space="preserve">Existem poucos trabalhos de avaliação do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bookmarkEnd w:id="14"/>
    <w:bookmarkStart w:id="24"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A teoria da mudança da LICC (Figura 1) segue cinco passos: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 Por isso a Figura 1 separa três cadeias: a entrada, o financiamento e a entrega, e indica quem decide em cada elo.</w:t>
      </w:r>
    </w:p>
    <w:p>
      <w:pPr>
        <w:pStyle w:val="BodyText"/>
      </w:pP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Cinco delas são tratadas como hipóteses a testar, marcadas nos elos da Figura 1 e auditadas no Quadro 2. H1 (marketing): a empresa escolhe pela marca, único retorno privado do crédito integral, sem deixar de fora bem público que a população valorizaria. H2 (decisão concentrada): a decisão sobre recurso público segue critério público e não fica com poucos decisores. H3 (taxa de serviço): o recurso chega ao bem cultural, e não à intermediação. H4 (exclusão): quem não tem acesso a grandes contribuintes consegue entrar. H5 (entrega): o bem financiado não existiria sem a LICC. H1 a H4 perguntam quem decide e a que custo; H5, se o que se financia é adicional. Há dois riscos (efeitos não esperados): o teto fixo desloca outros projetos, e o crédito integral pode substituir o patrocínio próprio da empresa.</w:t>
      </w:r>
    </w:p>
    <w:p>
      <w:pPr>
        <w:pStyle w:val="BodyText"/>
        <w:keepNext/>
      </w:pPr>
      <w:r>
        <w:rPr>
          <w:b/>
        </w:rPr>
        <w:t>Figura 1</w:t>
      </w:r>
      <w:r>
        <w:rPr>
          <w:b w:val="0"/>
        </w:rPr>
        <w:t xml:space="preserve"> – Teoria da mudança da LICC</w:t>
      </w:r>
    </w:p>
    <w:p>
      <w:pPr>
        <w:pStyle w:val="BodyText"/>
      </w:pPr>
      <w:r>
        <w:drawing>
          <wp:inline>
            <wp:extent cx="5039999" cy="6823999"/>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039999" cy="6823999"/>
                    </a:xfrm>
                    <a:prstGeom prst="rect">
                      <a:avLst/>
                    </a:prstGeom>
                    <a:noFill/>
                    <a:ln w="9525">
                      <a:noFill/>
                      <a:headEnd/>
                      <a:tailEnd/>
                    </a:ln>
                  </pic:spPr>
                </pic:pic>
              </a:graphicData>
            </a:graphic>
          </wp:inline>
        </w:drawing>
      </w:r>
    </w:p>
    <w:p>
      <w:pPr>
        <w:pStyle w:val="BodyText"/>
      </w:pPr>
      <w:r>
        <w:rPr>
          <w:i/>
          <w:sz w:val="20"/>
        </w:rPr>
        <w:t>Fonte</w:t>
      </w:r>
      <w:r>
        <w:rPr>
          <w:sz w:val="20"/>
        </w:rPr>
        <w:t>: elaboração própria, no formato do J-PAL (GERTLER</w:t>
      </w:r>
      <w:r>
        <w:rPr>
          <w:sz w:val="20"/>
        </w:rPr>
        <w:t xml:space="preserve"> </w:t>
      </w:r>
      <w:r>
        <w:rPr>
          <w:i/>
          <w:iCs/>
          <w:sz w:val="20"/>
        </w:rPr>
        <w:t xml:space="preserve">et al.</w:t>
      </w:r>
      <w:r>
        <w:rPr>
          <w:sz w:val="20"/>
        </w:rPr>
        <w:t xml:space="preserve">, 2018), com base nas normas do Quadro 1. Setas tracejadas: elos sem dado público.</w:t>
      </w:r>
    </w:p>
    <w:bookmarkEnd w:id="18"/>
    <w:bookmarkStart w:id="23" w:name="avaliação-do-desenho"/>
    <w:p>
      <w:pPr>
        <w:pStyle w:val="Heading2"/>
      </w:pPr>
      <w:r>
        <w:t xml:space="preserve">4.2 Avaliação do desenho</w:t>
      </w:r>
    </w:p>
    <w:p>
      <w:pPr>
        <w:pStyle w:val="FirstParagraph"/>
      </w:pPr>
      <w:r>
        <w:t xml:space="preserve">Aplicam-se as perguntas usuais de avaliação de desenho: o problema está formulado? Os objetivos são mensuráveis? Cada elo tem premissa crível e indicador? Quanto se perde ao longo da cadeia? Pelo mecanismo de mapeamento de Williams (2020), a premissa de cada elo é confrontada com o contexto real e classificada como sustentada, não assegurada pelo desenho, não sustentada (evidência mista) ou indeterminada (Quadro 2).</w:t>
      </w:r>
    </w:p>
    <w:p>
      <w:pPr>
        <w:pStyle w:val="BodyText"/>
      </w:pP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 Não há meta, magnitude esperada nem indicador. A LICC não atende ao critério de que um programa declare resultados e magnitude esperados (BARROS; LIMA, 2017).</w:t>
      </w:r>
    </w:p>
    <w:p>
      <w:pPr>
        <w:pStyle w:val="BodyText"/>
      </w:pP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 A Tabela 1 mostra que ele se estreita onde não há dado: entre os 25.441 agentes cadastrados no Mapa Cultural e os 53 a 95 proponentes habilitados por ciclo, não se sabe quantos se inscreveram. Nas etapas observadas, a maioria passa: 68% dos habilitados de 2022-2024 com situação resolvida captaram.</w:t>
      </w:r>
    </w:p>
    <w:p>
      <w:pPr>
        <w:pStyle w:val="BodyText"/>
        <w:keepNext/>
      </w:pPr>
      <w:r>
        <w:rPr>
          <w:b/>
        </w:rPr>
        <w:t>Quadro 2</w:t>
      </w:r>
      <w:r>
        <w:rPr>
          <w:b w:val="0"/>
        </w:rPr>
        <w:t xml:space="preserve"> – Premissas da teoria da mudança</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31"/>
        <w:gridCol w:w="2329"/>
        <w:gridCol w:w="3354"/>
        <w:gridCol w:w="1304"/>
      </w:tblGrid>
      <w:tr>
        <w:trPr>
          <w:tblHeader w:val="on"/>
          <w:tblHeader w:val="true"/>
        </w:trPr>
        <w:tc>
          <w:tcPr>
            <w:tcBorders>
              <w:bottom w:val="single" w:sz="4" w:space="0" w:color="000000"/>
            </w:tcBorders>
          </w:tcPr>
          <w:p>
            <w:pPr>
              <w:pStyle w:val="Compact"/>
              <w:spacing w:after="0" w:before="0"/>
              <w:jc w:val="left"/>
            </w:pPr>
            <w:r>
              <w:rPr>
                <w:sz w:val="20"/>
              </w:rPr>
              <w:t xml:space="preserve">Elo</w:t>
            </w:r>
          </w:p>
        </w:tc>
        <w:tc>
          <w:tcPr>
            <w:tcBorders>
              <w:bottom w:val="single" w:sz="4" w:space="0" w:color="000000"/>
            </w:tcBorders>
          </w:tcPr>
          <w:p>
            <w:pPr>
              <w:pStyle w:val="Compact"/>
              <w:spacing w:after="0" w:before="0"/>
              <w:jc w:val="left"/>
            </w:pPr>
            <w:r>
              <w:rPr>
                <w:sz w:val="20"/>
              </w:rPr>
              <w:t xml:space="preserve">Premissa</w:t>
            </w:r>
          </w:p>
        </w:tc>
        <w:tc>
          <w:tcPr>
            <w:tcBorders>
              <w:bottom w:val="single" w:sz="4" w:space="0" w:color="000000"/>
            </w:tcBorders>
          </w:tcPr>
          <w:p>
            <w:pPr>
              <w:pStyle w:val="Compact"/>
              <w:spacing w:after="0" w:before="0"/>
              <w:jc w:val="left"/>
            </w:pPr>
            <w:r>
              <w:rPr>
                <w:sz w:val="20"/>
              </w:rPr>
              <w:t xml:space="preserve">Contexto real</w:t>
            </w:r>
          </w:p>
        </w:tc>
        <w:tc>
          <w:tcPr>
            <w:tcBorders>
              <w:bottom w:val="single" w:sz="4" w:space="0" w:color="000000"/>
            </w:tcBorders>
          </w:tcPr>
          <w:p>
            <w:pPr>
              <w:pStyle w:val="Compact"/>
              <w:spacing w:after="0" w:before="0"/>
              <w:jc w:val="left"/>
            </w:pPr>
            <w:r>
              <w:rPr>
                <w:sz w:val="20"/>
              </w:rPr>
              <w:t xml:space="preserve">Situação</w:t>
            </w:r>
          </w:p>
        </w:tc>
      </w:tr>
      <w:tr>
        <w:tc>
          <w:tcPr/>
          <w:p>
            <w:pPr>
              <w:pStyle w:val="Compact"/>
              <w:spacing w:after="0" w:before="0"/>
              <w:jc w:val="left"/>
            </w:pPr>
            <w:r>
              <w:rPr>
                <w:sz w:val="20"/>
              </w:rPr>
              <w:t xml:space="preserve">Escolha (H1)</w:t>
            </w:r>
          </w:p>
        </w:tc>
        <w:tc>
          <w:tcPr/>
          <w:p>
            <w:pPr>
              <w:pStyle w:val="Compact"/>
              <w:spacing w:after="0" w:before="0"/>
              <w:jc w:val="left"/>
            </w:pPr>
            <w:r>
              <w:rPr>
                <w:sz w:val="20"/>
              </w:rPr>
              <w:t xml:space="preserve">A escolha pela marca, único retorno privado da empresa, não deixa de fora bem público que a população valorizaria</w:t>
            </w:r>
          </w:p>
        </w:tc>
        <w:tc>
          <w:tcPr/>
          <w:p>
            <w:pPr>
              <w:pStyle w:val="Compact"/>
              <w:spacing w:after="0" w:before="0"/>
              <w:jc w:val="left"/>
            </w:pPr>
            <w:r>
              <w:rPr>
                <w:sz w:val="20"/>
              </w:rPr>
              <w:t xml:space="preserve">Duas empresas somam metade da renúncia de 2025; energia e gás, 52%. As peças de divulgação (até 25%) trazem a marca. Recorrentes captam mais (71% contra 57%); 48 pares patrocinador–proponente se repetem (44%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Habilitação e validação (H2)</w:t>
            </w:r>
          </w:p>
        </w:tc>
        <w:tc>
          <w:tcPr/>
          <w:p>
            <w:pPr>
              <w:pStyle w:val="Compact"/>
              <w:spacing w:after="0" w:before="0"/>
              <w:jc w:val="left"/>
            </w:pPr>
            <w:r>
              <w:rPr>
                <w:sz w:val="20"/>
              </w:rPr>
              <w:t xml:space="preserve">A decisão sobre recurso público segue critério público</w:t>
            </w:r>
          </w:p>
        </w:tc>
        <w:tc>
          <w:tcPr/>
          <w:p>
            <w:pPr>
              <w:pStyle w:val="Compact"/>
              <w:spacing w:after="0" w:before="0"/>
              <w:jc w:val="left"/>
            </w:pPr>
            <w:r>
              <w:rPr>
                <w:sz w:val="20"/>
              </w:rPr>
              <w:t xml:space="preserve">Parecer sem nota nem ordem. Termos com patrocinador de 28% e 35% do montante recusados em 2023 e 2024; em 2025, a cota de 50% se completou com termos recebidos até 28/01. O público não escolhe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Custos (H3)</w:t>
            </w:r>
          </w:p>
        </w:tc>
        <w:tc>
          <w:tcPr/>
          <w:p>
            <w:pPr>
              <w:pStyle w:val="Compact"/>
              <w:spacing w:after="0" w:before="0"/>
              <w:jc w:val="left"/>
            </w:pPr>
            <w:r>
              <w:rPr>
                <w:sz w:val="20"/>
              </w:rPr>
              <w:t xml:space="preserve">O recurso incentivado chega ao bem cultural, e não à intermediação</w:t>
            </w:r>
          </w:p>
        </w:tc>
        <w:tc>
          <w:tcPr/>
          <w:p>
            <w:pPr>
              <w:pStyle w:val="Compact"/>
              <w:spacing w:after="0" w:before="0"/>
              <w:jc w:val="left"/>
            </w:pPr>
            <w:r>
              <w:rPr>
                <w:sz w:val="20"/>
              </w:rPr>
              <w:t xml:space="preserve">Captação e elaboração poderiam levar até 13% do valor captado em 2025; em 2026, a taxa pode ir ao proponente. Não há planilha de custos publicada</w:t>
            </w:r>
          </w:p>
        </w:tc>
        <w:tc>
          <w:tcPr/>
          <w:p>
            <w:pPr>
              <w:pStyle w:val="Compact"/>
              <w:spacing w:after="0" w:before="0"/>
              <w:jc w:val="left"/>
            </w:pPr>
            <w:r>
              <w:rPr>
                <w:sz w:val="20"/>
              </w:rPr>
              <w:t xml:space="preserve">Indeterminada: sem planilhas</w:t>
            </w:r>
          </w:p>
        </w:tc>
      </w:tr>
      <w:tr>
        <w:tc>
          <w:tcPr/>
          <w:p>
            <w:pPr>
              <w:pStyle w:val="Compact"/>
              <w:spacing w:after="0" w:before="0"/>
              <w:jc w:val="left"/>
            </w:pPr>
            <w:r>
              <w:rPr>
                <w:sz w:val="20"/>
              </w:rPr>
              <w:t xml:space="preserve">Entrada (H4)</w:t>
            </w:r>
          </w:p>
        </w:tc>
        <w:tc>
          <w:tcPr/>
          <w:p>
            <w:pPr>
              <w:pStyle w:val="Compact"/>
              <w:spacing w:after="0" w:before="0"/>
              <w:jc w:val="left"/>
            </w:pPr>
            <w:r>
              <w:rPr>
                <w:sz w:val="20"/>
              </w:rPr>
              <w:t xml:space="preserve">Quem não chega a grandes contribuintes consegue se inscrever e captar</w:t>
            </w:r>
          </w:p>
        </w:tc>
        <w:tc>
          <w:tcPr/>
          <w:p>
            <w:pPr>
              <w:pStyle w:val="Compact"/>
              <w:spacing w:after="0" w:before="0"/>
              <w:jc w:val="left"/>
            </w:pPr>
            <w:r>
              <w:rPr>
                <w:sz w:val="20"/>
              </w:rPr>
              <w:t xml:space="preserve">A inscrição exige CNPJ com finalidade cultural, sede e certidão; só pessoa jurídica contribuinte patrocina. 14 municípios do interior nunca tiveram projeto habilitado; pedidos até R$ 400 mil captaram 79% em 2022 e 27% em 2024; 44 de 107 proponentes voltaram a captar (68%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Entrega (H5)</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o público alcançado não é publicado</w:t>
            </w:r>
          </w:p>
        </w:tc>
        <w:tc>
          <w:tcPr/>
          <w:p>
            <w:pPr>
              <w:pStyle w:val="Compact"/>
              <w:spacing w:after="0" w:before="0"/>
              <w:jc w:val="left"/>
            </w:pPr>
            <w:r>
              <w:rPr>
                <w:sz w:val="20"/>
              </w:rPr>
              <w:t xml:space="preserve">Indeterminada: sem dado</w:t>
            </w:r>
          </w:p>
        </w:tc>
      </w:tr>
    </w:tbl>
    <w:p>
      <w:pPr>
        <w:pStyle w:val="BodyText"/>
      </w:pPr>
      <w:r>
        <w:rPr>
          <w:i/>
          <w:sz w:val="20"/>
        </w:rPr>
        <w:t>Fonte</w:t>
      </w:r>
      <w:r>
        <w:rPr>
          <w:sz w:val="20"/>
        </w:rPr>
        <w:t>: elaboração própria, no formato do mecanismo de mapeamento de Williams (2020), com base nas normas do Quadro 1, em SECULT (2026b; 2026c; 2026d), no Portal da Transparência (ESPÍRITO SANTO, 2026) e nas tabelas</w:t>
      </w:r>
      <w:r>
        <w:rPr>
          <w:sz w:val="20"/>
        </w:rPr>
        <w:t xml:space="preserve"> </w:t>
      </w:r>
      <w:hyperlink r:id="rId19">
        <w:r>
          <w:rPr>
            <w:rStyle w:val="VerbatimChar"/>
          </w:rPr>
          <w:t xml:space="preserve">03_*.csv</w:t>
        </w:r>
      </w:hyperlink>
      <w:r>
        <w:rPr>
          <w:sz w:val="20"/>
        </w:rPr>
        <w:t xml:space="preserve">,</w:t>
      </w:r>
      <w:r>
        <w:rPr>
          <w:sz w:val="20"/>
        </w:rPr>
        <w:t xml:space="preserve"> </w:t>
      </w:r>
      <w:hyperlink r:id="rId19">
        <w:r>
          <w:rPr>
            <w:rStyle w:val="VerbatimChar"/>
          </w:rPr>
          <w:t xml:space="preserve">07_*.csv</w:t>
        </w:r>
      </w:hyperlink>
      <w:r>
        <w:rPr>
          <w:sz w:val="20"/>
        </w:rPr>
        <w:t xml:space="preserve">,</w:t>
      </w:r>
      <w:r>
        <w:rPr>
          <w:sz w:val="20"/>
        </w:rPr>
        <w:t xml:space="preserve"> </w:t>
      </w:r>
      <w:hyperlink r:id="rId19">
        <w:r>
          <w:rPr>
            <w:rStyle w:val="VerbatimChar"/>
          </w:rPr>
          <w:t xml:space="preserve">09_*.csv</w:t>
        </w:r>
      </w:hyperlink>
      <w:r>
        <w:rPr>
          <w:sz w:val="20"/>
        </w:rPr>
        <w:t xml:space="preserve">,</w:t>
      </w:r>
      <w:r>
        <w:rPr>
          <w:sz w:val="20"/>
        </w:rPr>
        <w:t xml:space="preserve"> </w:t>
      </w:r>
      <w:hyperlink r:id="rId19">
        <w:r>
          <w:rPr>
            <w:rStyle w:val="VerbatimChar"/>
          </w:rPr>
          <w:t xml:space="preserve">10_*.csv</w:t>
        </w:r>
      </w:hyperlink>
      <w:r>
        <w:rPr>
          <w:sz w:val="20"/>
        </w:rPr>
        <w:t xml:space="preserve">,</w:t>
      </w:r>
      <w:r>
        <w:rPr>
          <w:sz w:val="20"/>
        </w:rPr>
        <w:t xml:space="preserve"> </w:t>
      </w:r>
      <w:hyperlink r:id="rId19">
        <w:r>
          <w:rPr>
            <w:rStyle w:val="VerbatimChar"/>
          </w:rPr>
          <w:t xml:space="preserve">14_*.csv</w:t>
        </w:r>
      </w:hyperlink>
      <w:r>
        <w:rPr>
          <w:sz w:val="20"/>
        </w:rPr>
        <w:t xml:space="preserve"> </w:t>
      </w:r>
      <w:r>
        <w:rPr>
          <w:sz w:val="20"/>
        </w:rPr>
        <w:t xml:space="preserve">e</w:t>
      </w:r>
      <w:r>
        <w:rPr>
          <w:sz w:val="20"/>
        </w:rPr>
        <w:t xml:space="preserve"> </w:t>
      </w:r>
      <w:hyperlink r:id="rId19">
        <w:r>
          <w:rPr>
            <w:rStyle w:val="VerbatimChar"/>
          </w:rPr>
          <w:t xml:space="preserve">16_*.csv</w:t>
        </w:r>
      </w:hyperlink>
      <w:r>
        <w:rPr>
          <w:sz w:val="20"/>
        </w:rPr>
        <w:t xml:space="preserve"> </w:t>
      </w:r>
      <w:r>
        <w:rPr>
          <w:sz w:val="20"/>
        </w:rPr>
        <w:t xml:space="preserve">de</w:t>
      </w:r>
      <w:r>
        <w:rPr>
          <w:sz w:val="20"/>
        </w:rPr>
        <w:t xml:space="preserve"> </w:t>
      </w:r>
      <w:hyperlink r:id="rId19">
        <w:r>
          <w:rPr>
            <w:rStyle w:val="VerbatimChar"/>
          </w:rPr>
          <w:t xml:space="preserve">analise/tabelas/</w:t>
        </w:r>
      </w:hyperlink>
      <w:r>
        <w:rPr>
          <w:sz w:val="20"/>
        </w:rPr>
        <w:t xml:space="preserve">.</w:t>
      </w:r>
    </w:p>
    <w:p>
      <w:pPr>
        <w:pStyle w:val="BodyText"/>
        <w:keepNext/>
      </w:pPr>
      <w:r>
        <w:rPr>
          <w:b/>
        </w:rPr>
        <w:t>Tabela 1</w:t>
      </w:r>
      <w:r>
        <w:rPr>
          <w:b w:val="0"/>
        </w:rPr>
        <w:t xml:space="preserve"> – Funil de atrito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4054"/>
        <w:gridCol w:w="2545"/>
        <w:gridCol w:w="1320"/>
      </w:tblGrid>
      <w:tr>
        <w:trPr>
          <w:tblHeader w:val="on"/>
          <w:tblHeader w:val="true"/>
        </w:trPr>
        <w:tc>
          <w:tcPr>
            <w:tcBorders>
              <w:bottom w:val="single" w:sz="4" w:space="0" w:color="000000"/>
            </w:tcBorders>
          </w:tcPr>
          <w:p>
            <w:pPr>
              <w:pStyle w:val="Compact"/>
              <w:keepNext/>
              <w:spacing w:after="0" w:before="0"/>
              <w:jc w:val="left"/>
            </w:pPr>
            <w:r>
              <w:rPr>
                <w:sz w:val="20"/>
              </w:rPr>
              <w:t xml:space="preserve">Etapa</w:t>
            </w:r>
          </w:p>
        </w:tc>
        <w:tc>
          <w:tcPr>
            <w:tcBorders>
              <w:bottom w:val="single" w:sz="4" w:space="0" w:color="000000"/>
            </w:tcBorders>
          </w:tcPr>
          <w:p>
            <w:pPr>
              <w:pStyle w:val="Compact"/>
              <w:keepNext/>
              <w:spacing w:after="0" w:before="0"/>
              <w:jc w:val="left"/>
            </w:pPr>
            <w:r>
              <w:rPr>
                <w:sz w:val="20"/>
              </w:rPr>
              <w:t xml:space="preserve">Valor</w:t>
            </w:r>
          </w:p>
        </w:tc>
        <w:tc>
          <w:tcPr>
            <w:tcBorders>
              <w:bottom w:val="single" w:sz="4" w:space="0" w:color="000000"/>
            </w:tcBorders>
          </w:tcPr>
          <w:p>
            <w:pPr>
              <w:pStyle w:val="Compact"/>
              <w:keepNext/>
              <w:spacing w:after="0" w:before="0"/>
              <w:jc w:val="left"/>
            </w:pPr>
            <w:r>
              <w:rPr>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i/>
          <w:sz w:val="20"/>
        </w:rPr>
        <w:t>Fonte</w:t>
      </w:r>
      <w:r>
        <w:rPr>
          <w:sz w:val="20"/>
        </w:rPr>
        <w:t>: elaboração própria com base em SECULT (2026b; 2026c) e na API pública do Mapa Cultural do Espírito Santo (SECULT, 2026d). Tabelas de origem:</w:t>
      </w:r>
      <w:r>
        <w:rPr>
          <w:sz w:val="20"/>
        </w:rPr>
        <w:t xml:space="preserve"> </w:t>
      </w:r>
      <w:hyperlink r:id="rId20">
        <w:r>
          <w:rPr>
            <w:rStyle w:val="VerbatimChar"/>
          </w:rPr>
          <w:t xml:space="preserve">analise/tabelas/07_funil_por_ciclo.csv</w:t>
        </w:r>
      </w:hyperlink>
      <w:r>
        <w:rPr>
          <w:sz w:val="20"/>
        </w:rPr>
        <w:t xml:space="preserve">,</w:t>
      </w:r>
      <w:r>
        <w:rPr>
          <w:sz w:val="20"/>
        </w:rPr>
        <w:t xml:space="preserve"> </w:t>
      </w:r>
      <w:hyperlink r:id="rId21">
        <w:r>
          <w:rPr>
            <w:rStyle w:val="VerbatimChar"/>
          </w:rPr>
          <w:t xml:space="preserve">07_funil_captacao_anual.csv</w:t>
        </w:r>
      </w:hyperlink>
      <w:r>
        <w:rPr>
          <w:sz w:val="20"/>
        </w:rPr>
        <w:t xml:space="preserve"> </w:t>
      </w:r>
      <w:r>
        <w:rPr>
          <w:sz w:val="20"/>
        </w:rPr>
        <w:t xml:space="preserve">e</w:t>
      </w:r>
      <w:r>
        <w:rPr>
          <w:sz w:val="20"/>
        </w:rPr>
        <w:t xml:space="preserve"> </w:t>
      </w:r>
      <w:hyperlink r:id="rId22">
        <w:r>
          <w:rPr>
            <w:rStyle w:val="VerbatimChar"/>
          </w:rPr>
          <w:t xml:space="preserve">07_mapa_cultural_universo.csv</w:t>
        </w:r>
      </w:hyperlink>
      <w:r>
        <w:rPr>
          <w:sz w:val="20"/>
        </w:rPr>
        <w:t xml:space="preserve">.</w:t>
      </w:r>
    </w:p>
    <w:p>
      <w:pPr>
        <w:pStyle w:val="BodyText"/>
      </w:pPr>
      <w:r>
        <w:rPr>
          <w:b/>
          <w:bCs/>
        </w:rPr>
        <w:t xml:space="preserve">Exclusão na entrada (H4).</w:t>
      </w:r>
      <w:r>
        <w:t xml:space="preserve"> </w:t>
      </w:r>
      <w:r>
        <w:t xml:space="preserve">Pessoa física não se inscreve, e o microempreendedor individual tem limite de valor (SECULT, 2025a, arts. 17 e 19). 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 A difusão territorial desacelerou: 39 municípios tiveram o primeiro projeto habilitado em 2022, 16 em 2023 e 3 por ciclo desde então, e restam 14 municípios do interior sem projeto. Entre os que pediram até R$ 400 mil, a captação caiu de 79% no ciclo 2022 para 27% em 2024, enquanto no teto ficou entre 78% e 89%. O teto por projeto fixa um piso de projetos, ao menos 50 com os R$ 25 milhões de 2025 (captaram 63), e os pedidos se acumulam nele: 36% dos habilitados do ciclo 2025 pediram exatamente R$ 500 mil. O acúmulo, porém, também ocorre se quem já tem patrocinador pede o teto.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 Nenhuma das normas examinadas prevê nota, peso ou ordem de prioridade; a única pontuação é a do credenciamento dos pareceristas, que recebem os projetos por ordem de inscrição e área (SECULT, 2025c). Desde 2025, o parecer favorável já emite o certificado, e a comissão só delibera sobre inabilitações e, com 35% de patrocínio, sobre a habilitação (SECULT, 2025a, arts. 40, 41 e 45). Os extratos das atas de 158 reuniões com deliberação, de 2022 a 2026, listam 86 projetos inabilitados, 15% dos deliberados, sem motivo nem critério publicados (SECULT, 2026f). A habilitação qualifica, mas não prioriza, e o que excedeu o teto em 2023-2025 ficou de fora pelo momento em que o termo chegou e foi validado (SECULT, 2026c). A ordenação seria possível: no Funcultura, a mesma SECULT atribui nota e ordena os projetos por linha e porte do município (SECULT, 2026g).</w:t>
      </w:r>
    </w:p>
    <w:p>
      <w:pPr>
        <w:pStyle w:val="BodyText"/>
      </w:pP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 Como o limite por patrocinador é uma fração do ICMS recolhido, o peso de cada empresa na escolha cresce com o imposto que ela paga, e a concentração da renúncia (Quadro 2) reflete também a do próprio imposto.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 Com o dado público, marca e valor público não se separam, porque os eventos grandes e antigos são os mais visíveis e os de maior público: a premissa fica não sustentada, com evidência mista. Sob crédito integral, escolher pela marca é o esperado. 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BodyText"/>
      </w:pPr>
      <w:r>
        <w:rPr>
          <w:b/>
          <w:bCs/>
        </w:rPr>
        <w:t xml:space="preserve">Taxa de serviço (H3).</w:t>
      </w:r>
      <w:r>
        <w:t xml:space="preserve"> </w:t>
      </w:r>
      <w:r>
        <w:t xml:space="preserve">Parte do recurso incentivado pode remunerar quem intermedia. A captação pode custar até 10% (R$ 50 mil) e a elaboração do projeto até 5% (R$ 15 mil), pagas a uma empresa contratada, e o proponente pode receber até 1/3 como remuneração (SECULT, 2025a, arts. 26-28). Aplicados ao valor captado de cada projeto de 2025, os dois primeiros limites somam R$ 3,36 milhões, 13% dos R$ 25 milhões. Em 2026, captação e elaboração tornaram-se uma despesa única de até 10%, que pode ser paga ao próprio proponente (SECULT, 2026a, art. 28). Os limites fixam o preço máximo do</w:t>
      </w:r>
      <w:r>
        <w:t xml:space="preserve"> </w:t>
      </w:r>
      <w:r>
        <w:t xml:space="preserve">“mercado de patrocínios”</w:t>
      </w:r>
      <w:r>
        <w:t xml:space="preserve">, mas quanto se gasta de fato é indeterminado, porque as planilhas de custos não são publicadas.</w:t>
      </w:r>
    </w:p>
    <w:p>
      <w:pPr>
        <w:pStyle w:val="BodyText"/>
      </w:pP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 A RMGV tem 49% da população e fica com 67% do valor atribuível a um município em 2022-2026. O Gini do valor entre os 78 municípios é 0,88, mas quase toda essa desigualdade está dentro de cada região: a diferença entre RMGV e interior explica só 7% do índice de Theil, e é sobre essa parte que age a reserva de 10% para fora da RMGV.</w:t>
      </w:r>
    </w:p>
    <w:p>
      <w:pPr>
        <w:pStyle w:val="BodyText"/>
      </w:pPr>
      <w:r>
        <w:t xml:space="preserve">Em síntese, o desenho entrega a escolha a quem recolhe mais imposto e raciona pela ordem de chegada: nenhum elo agrega a preferência de quem usa o bem cultural. O critério público na decisão (H2) não é assegurado pelo desenho, o que não implica que as escolhas sejam ruins; marketing (H1) e exclusão (H4) não se sustentam, com evidência mista; taxa de serviço (H3) e entrega (H5) ficam indeterminadas por falta de dado. A seção 5 propõe um teste para cada premissa.</w:t>
      </w:r>
    </w:p>
    <w:bookmarkEnd w:id="23"/>
    <w:bookmarkEnd w:id="24"/>
    <w:bookmarkStart w:id="37" w:name="proposta-de-avaliação-de-impacto"/>
    <w:p>
      <w:pPr>
        <w:pStyle w:val="Heading1"/>
      </w:pPr>
      <w:r>
        <w:t xml:space="preserve">5 Proposta de avaliação de impacto</w:t>
      </w:r>
    </w:p>
    <w:bookmarkStart w:id="25" w:name="perguntas-e-parâmetros"/>
    <w:p>
      <w:pPr>
        <w:pStyle w:val="Heading2"/>
      </w:pPr>
      <w:r>
        <w:t xml:space="preserve">5.1 Perguntas e parâmetros</w:t>
      </w:r>
    </w:p>
    <w:p>
      <w:pPr>
        <w:pStyle w:val="FirstParagraph"/>
      </w:pPr>
      <w:r>
        <w:t xml:space="preserve">Cada premissa do Quadro 2 vira uma pergunta de avaliação com uma regra de decisão, o resultado que a derruba (Quadro 3). O fio comum é saber se a escolha concentrada deixa de fora bens que muitos valorizariam e projetos pequenos que sinalizariam necessidades reais de financiamento: H1 compara os pesos das empresas com os da população, H2 compara a decisão com uma nota pública, e H4 mostra quem aparece quando o custo de entrada cai.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Em todas as perguntas há autosseleção (o proponente se inscreve, a empresa escolhe), e 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 As perguntas testam elos da cadeia, como uma avaliação de mecanismo (GERTLER</w:t>
      </w:r>
      <w:r>
        <w:t xml:space="preserve"> </w:t>
      </w:r>
      <w:r>
        <w:rPr>
          <w:i/>
          <w:iCs/>
        </w:rPr>
        <w:t xml:space="preserve">et al.</w:t>
      </w:r>
      <w:r>
        <w:t xml:space="preserve">, 2018), e não o efeito da LICC sobre o resultado final, que não tem grupo de comparação: a política vale para todo o estado desde 2022.</w:t>
      </w:r>
    </w:p>
    <w:p>
      <w:pPr>
        <w:pStyle w:val="BodyText"/>
        <w:keepNext/>
      </w:pPr>
      <w:r>
        <w:rPr>
          <w:b/>
        </w:rPr>
        <w:t>Quadro 3</w:t>
      </w:r>
      <w:r>
        <w:rPr>
          <w:b w:val="0"/>
        </w:rPr>
        <w:t xml:space="preserve"> – Perguntas de avaliação e regras de decisão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90"/>
        <w:gridCol w:w="1760"/>
        <w:gridCol w:w="1760"/>
        <w:gridCol w:w="1430"/>
        <w:gridCol w:w="1980"/>
      </w:tblGrid>
      <w:tr>
        <w:trPr>
          <w:tblHeader w:val="on"/>
          <w:tblHeader w:val="true"/>
        </w:trPr>
        <w:tc>
          <w:tcPr>
            <w:tcBorders>
              <w:bottom w:val="single" w:sz="4" w:space="0" w:color="000000"/>
            </w:tcBorders>
          </w:tcPr>
          <w:p>
            <w:pPr>
              <w:pStyle w:val="Compact"/>
              <w:spacing w:after="0" w:before="0"/>
              <w:jc w:val="left"/>
            </w:pPr>
            <w:r>
              <w:rPr>
                <w:sz w:val="20"/>
              </w:rPr>
              <w:t xml:space="preserve">Hipótese</w:t>
            </w:r>
          </w:p>
        </w:tc>
        <w:tc>
          <w:tcPr>
            <w:tcBorders>
              <w:bottom w:val="single" w:sz="4" w:space="0" w:color="000000"/>
            </w:tcBorders>
          </w:tcPr>
          <w:p>
            <w:pPr>
              <w:pStyle w:val="Compact"/>
              <w:spacing w:after="0" w:before="0"/>
              <w:jc w:val="left"/>
            </w:pPr>
            <w:r>
              <w:rPr>
                <w:sz w:val="20"/>
              </w:rPr>
              <w:t xml:space="preserve">Pergunta</w:t>
            </w:r>
          </w:p>
        </w:tc>
        <w:tc>
          <w:tcPr>
            <w:tcBorders>
              <w:bottom w:val="single" w:sz="4" w:space="0" w:color="000000"/>
            </w:tcBorders>
          </w:tcPr>
          <w:p>
            <w:pPr>
              <w:pStyle w:val="Compact"/>
              <w:spacing w:after="0" w:before="0"/>
              <w:jc w:val="left"/>
            </w:pPr>
            <w:r>
              <w:rPr>
                <w:sz w:val="20"/>
              </w:rPr>
              <w:t xml:space="preserve">Unidade, tratamento e resultado</w:t>
            </w:r>
          </w:p>
        </w:tc>
        <w:tc>
          <w:tcPr>
            <w:tcBorders>
              <w:bottom w:val="single" w:sz="4" w:space="0" w:color="000000"/>
            </w:tcBorders>
          </w:tcPr>
          <w:p>
            <w:pPr>
              <w:pStyle w:val="Compact"/>
              <w:spacing w:after="0" w:before="0"/>
              <w:jc w:val="left"/>
            </w:pPr>
            <w:r>
              <w:rPr>
                <w:sz w:val="20"/>
              </w:rPr>
              <w:t xml:space="preserve">Parâmetro</w:t>
            </w:r>
          </w:p>
        </w:tc>
        <w:tc>
          <w:tcPr>
            <w:tcBorders>
              <w:bottom w:val="single" w:sz="4" w:space="0" w:color="000000"/>
            </w:tcBorders>
          </w:tcPr>
          <w:p>
            <w:pPr>
              <w:pStyle w:val="Compact"/>
              <w:spacing w:after="0" w:before="0"/>
              <w:jc w:val="left"/>
            </w:pPr>
            <w:r>
              <w:rPr>
                <w:sz w:val="20"/>
              </w:rPr>
              <w:t xml:space="preserve">A premissa cai se</w:t>
            </w:r>
          </w:p>
        </w:tc>
      </w:tr>
      <w:tr>
        <w:tc>
          <w:tcPr/>
          <w:p>
            <w:pPr>
              <w:pStyle w:val="Compact"/>
              <w:spacing w:after="0" w:before="0"/>
              <w:jc w:val="left"/>
            </w:pPr>
            <w:r>
              <w:rPr>
                <w:sz w:val="20"/>
              </w:rPr>
              <w:t xml:space="preserve">H1</w:t>
            </w:r>
          </w:p>
        </w:tc>
        <w:tc>
          <w:tcPr/>
          <w:p>
            <w:pPr>
              <w:pStyle w:val="Compact"/>
              <w:spacing w:after="0" w:before="0"/>
              <w:jc w:val="left"/>
            </w:pPr>
            <w:r>
              <w:rPr>
                <w:sz w:val="20"/>
              </w:rPr>
              <w:t xml:space="preserve">O que pesa na escolha da empresa, e pesaria o mesmo para a população?</w:t>
            </w:r>
          </w:p>
        </w:tc>
        <w:tc>
          <w:tcPr/>
          <w:p>
            <w:pPr>
              <w:pStyle w:val="Compact"/>
              <w:spacing w:after="0" w:before="0"/>
              <w:jc w:val="left"/>
            </w:pPr>
            <w:r>
              <w:rPr>
                <w:sz w:val="20"/>
              </w:rPr>
              <w:t xml:space="preserve">Decisor de empresa e residente;</w:t>
            </w:r>
            <w:r>
              <w:rPr>
                <w:sz w:val="20"/>
              </w:rPr>
              <w:t xml:space="preserve"> </w:t>
            </w:r>
            <w:r>
              <w:rPr>
                <w:i/>
                <w:iCs/>
                <w:sz w:val="20"/>
              </w:rPr>
              <w:t xml:space="preserve">T</w:t>
            </w:r>
            <w:r>
              <w:rPr>
                <w:sz w:val="20"/>
              </w:rPr>
              <w:t xml:space="preserve"> </w:t>
            </w:r>
            <w:r>
              <w:rPr>
                <w:sz w:val="20"/>
              </w:rPr>
              <w:t xml:space="preserve">= atributos sorteados de perfis de projeto;</w:t>
            </w:r>
            <w:r>
              <w:rPr>
                <w:sz w:val="20"/>
              </w:rPr>
              <w:t xml:space="preserve"> </w:t>
            </w:r>
            <w:r>
              <w:rPr>
                <w:i/>
                <w:iCs/>
                <w:sz w:val="20"/>
              </w:rPr>
              <w:t xml:space="preserve">Y</w:t>
            </w:r>
            <w:r>
              <w:rPr>
                <w:sz w:val="20"/>
              </w:rPr>
              <w:t xml:space="preserve"> </w:t>
            </w:r>
            <w:r>
              <w:rPr>
                <w:sz w:val="20"/>
              </w:rPr>
              <w:t xml:space="preserve">= escolhe o perfil</w:t>
            </w:r>
          </w:p>
        </w:tc>
        <w:tc>
          <w:tcPr/>
          <w:p>
            <w:pPr>
              <w:pStyle w:val="Compact"/>
              <w:spacing w:after="0" w:before="0"/>
              <w:jc w:val="left"/>
            </w:pPr>
            <w:r>
              <w:rPr>
                <w:sz w:val="20"/>
              </w:rPr>
              <w:t xml:space="preserve">Efeito marginal médio de cada atributo, por grupo, e a diferença</w:t>
            </w:r>
          </w:p>
        </w:tc>
        <w:tc>
          <w:tcPr/>
          <w:p>
            <w:pPr>
              <w:pStyle w:val="Compact"/>
              <w:spacing w:after="0" w:before="0"/>
              <w:jc w:val="left"/>
            </w:pPr>
            <w:r>
              <w:rPr>
                <w:sz w:val="20"/>
              </w:rPr>
              <w:t xml:space="preserve">O peso da gratuidade, do interior ou da escala difere entre empresas e população</w:t>
            </w:r>
          </w:p>
        </w:tc>
      </w:tr>
      <w:tr>
        <w:tc>
          <w:tcPr/>
          <w:p>
            <w:pPr>
              <w:pStyle w:val="Compact"/>
              <w:spacing w:after="0" w:before="0"/>
              <w:jc w:val="left"/>
            </w:pPr>
            <w:r>
              <w:rPr>
                <w:sz w:val="20"/>
              </w:rPr>
              <w:t xml:space="preserve">H2</w:t>
            </w:r>
          </w:p>
        </w:tc>
        <w:tc>
          <w:tcPr/>
          <w:p>
            <w:pPr>
              <w:pStyle w:val="Compact"/>
              <w:spacing w:after="0" w:before="0"/>
              <w:jc w:val="left"/>
            </w:pPr>
            <w:r>
              <w:rPr>
                <w:sz w:val="20"/>
              </w:rPr>
              <w:t xml:space="preserve">A habilitação e a captação seguem critério público?</w:t>
            </w:r>
          </w:p>
        </w:tc>
        <w:tc>
          <w:tcPr/>
          <w:p>
            <w:pPr>
              <w:pStyle w:val="Compact"/>
              <w:spacing w:after="0" w:before="0"/>
              <w:jc w:val="left"/>
            </w:pPr>
            <w:r>
              <w:rPr>
                <w:sz w:val="20"/>
              </w:rPr>
              <w:t xml:space="preserve">Projeto inscrito; nota cega nos critérios do decreto;</w:t>
            </w:r>
            <w:r>
              <w:rPr>
                <w:sz w:val="20"/>
              </w:rPr>
              <w:t xml:space="preserve"> </w:t>
            </w:r>
            <w:r>
              <w:rPr>
                <w:i/>
                <w:iCs/>
                <w:sz w:val="20"/>
              </w:rPr>
              <w:t xml:space="preserve">Y</w:t>
            </w:r>
            <w:r>
              <w:rPr>
                <w:sz w:val="20"/>
              </w:rPr>
              <w:t xml:space="preserve"> </w:t>
            </w:r>
            <w:r>
              <w:rPr>
                <w:sz w:val="20"/>
              </w:rPr>
              <w:t xml:space="preserve">= habilitado, captou</w:t>
            </w:r>
          </w:p>
        </w:tc>
        <w:tc>
          <w:tcPr/>
          <w:p>
            <w:pPr>
              <w:pStyle w:val="Compact"/>
              <w:spacing w:after="0" w:before="0"/>
              <w:jc w:val="left"/>
            </w:pPr>
            <w:r>
              <w:rPr>
                <w:sz w:val="20"/>
              </w:rPr>
              <w:t xml:space="preserve">Diferença de nota entre habilitados e inabilitados e entre quem capta e quem não capta</w:t>
            </w:r>
          </w:p>
        </w:tc>
        <w:tc>
          <w:tcPr/>
          <w:p>
            <w:pPr>
              <w:pStyle w:val="Compact"/>
              <w:spacing w:after="0" w:before="0"/>
              <w:jc w:val="left"/>
            </w:pPr>
            <w:r>
              <w:rPr>
                <w:sz w:val="20"/>
              </w:rPr>
              <w:t xml:space="preserve">A nota não separa os grupos, ou o par patrocinador–proponente recorrente explica mais que ela</w:t>
            </w:r>
          </w:p>
        </w:tc>
      </w:tr>
      <w:tr>
        <w:tc>
          <w:tcPr/>
          <w:p>
            <w:pPr>
              <w:pStyle w:val="Compact"/>
              <w:spacing w:after="0" w:before="0"/>
              <w:jc w:val="left"/>
            </w:pPr>
            <w:r>
              <w:rPr>
                <w:sz w:val="20"/>
              </w:rPr>
              <w:t xml:space="preserve">H3</w:t>
            </w:r>
          </w:p>
        </w:tc>
        <w:tc>
          <w:tcPr/>
          <w:p>
            <w:pPr>
              <w:pStyle w:val="Compact"/>
              <w:spacing w:after="0" w:before="0"/>
              <w:jc w:val="left"/>
            </w:pPr>
            <w:r>
              <w:rPr>
                <w:sz w:val="20"/>
              </w:rPr>
              <w:t xml:space="preserve">O recurso chega ao bem cultural, e não à intermediação?</w:t>
            </w:r>
          </w:p>
        </w:tc>
        <w:tc>
          <w:tcPr/>
          <w:p>
            <w:pPr>
              <w:pStyle w:val="Compact"/>
              <w:spacing w:after="0" w:before="0"/>
              <w:jc w:val="left"/>
            </w:pPr>
            <w:r>
              <w:rPr>
                <w:sz w:val="20"/>
              </w:rPr>
              <w:t xml:space="preserve">Projeto com planilha de custos;</w:t>
            </w:r>
            <w:r>
              <w:rPr>
                <w:sz w:val="20"/>
              </w:rPr>
              <w:t xml:space="preserve"> </w:t>
            </w:r>
            <w:r>
              <w:rPr>
                <w:i/>
                <w:iCs/>
                <w:sz w:val="20"/>
              </w:rPr>
              <w:t xml:space="preserve">Y</w:t>
            </w:r>
            <w:r>
              <w:rPr>
                <w:sz w:val="20"/>
              </w:rPr>
              <w:t xml:space="preserve"> </w:t>
            </w:r>
            <w:r>
              <w:rPr>
                <w:sz w:val="20"/>
              </w:rPr>
              <w:t xml:space="preserve">= parcela de captação e elaboração</w:t>
            </w:r>
          </w:p>
        </w:tc>
        <w:tc>
          <w:tcPr/>
          <w:p>
            <w:pPr>
              <w:pStyle w:val="Compact"/>
              <w:spacing w:after="0" w:before="0"/>
              <w:jc w:val="left"/>
            </w:pPr>
            <w:r>
              <w:rPr>
                <w:sz w:val="20"/>
              </w:rPr>
              <w:t xml:space="preserve">Acúmulo no teto de 10%, antes e depois da regra de 2026</w:t>
            </w:r>
          </w:p>
        </w:tc>
        <w:tc>
          <w:tcPr/>
          <w:p>
            <w:pPr>
              <w:pStyle w:val="Compact"/>
              <w:spacing w:after="0" w:before="0"/>
              <w:jc w:val="left"/>
            </w:pPr>
            <w:r>
              <w:rPr>
                <w:sz w:val="20"/>
              </w:rPr>
              <w:t xml:space="preserve">As taxas se acumulam no teto e sobem quando podem ir ao proponente</w:t>
            </w:r>
          </w:p>
        </w:tc>
      </w:tr>
      <w:tr>
        <w:tc>
          <w:tcPr/>
          <w:p>
            <w:pPr>
              <w:pStyle w:val="Compact"/>
              <w:spacing w:after="0" w:before="0"/>
              <w:jc w:val="left"/>
            </w:pPr>
            <w:r>
              <w:rPr>
                <w:sz w:val="20"/>
              </w:rPr>
              <w:t xml:space="preserve">H4</w:t>
            </w:r>
          </w:p>
        </w:tc>
        <w:tc>
          <w:tcPr/>
          <w:p>
            <w:pPr>
              <w:pStyle w:val="Compact"/>
              <w:spacing w:after="0" w:before="0"/>
              <w:jc w:val="left"/>
            </w:pPr>
            <w:r>
              <w:rPr>
                <w:sz w:val="20"/>
              </w:rPr>
              <w:t xml:space="preserve">Reduzir o custo de entrada muda quem entra?</w:t>
            </w:r>
          </w:p>
        </w:tc>
        <w:tc>
          <w:tcPr/>
          <w:p>
            <w:pPr>
              <w:pStyle w:val="Compact"/>
              <w:spacing w:after="0" w:before="0"/>
              <w:jc w:val="left"/>
            </w:pPr>
            <w:r>
              <w:rPr>
                <w:sz w:val="20"/>
              </w:rPr>
              <w:t xml:space="preserve">Agente sem inscrição prévia;</w:t>
            </w:r>
            <w:r>
              <w:rPr>
                <w:sz w:val="20"/>
              </w:rPr>
              <w:t xml:space="preserve"> </w:t>
            </w:r>
            <w:r>
              <w:rPr>
                <w:i/>
                <w:iCs/>
                <w:sz w:val="20"/>
              </w:rPr>
              <w:t xml:space="preserve">T</w:t>
            </w:r>
            <w:r>
              <w:rPr>
                <w:sz w:val="20"/>
              </w:rPr>
              <w:t xml:space="preserve"> </w:t>
            </w:r>
            <w:r>
              <w:rPr>
                <w:sz w:val="20"/>
              </w:rPr>
              <w:t xml:space="preserve">= oferta de apoio à inscrição e à busca de patrocínio;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w:t>
            </w:r>
          </w:p>
        </w:tc>
        <w:tc>
          <w:tcPr/>
          <w:p>
            <w:pPr>
              <w:pStyle w:val="Compact"/>
              <w:spacing w:after="0" w:before="0"/>
              <w:jc w:val="left"/>
            </w:pPr>
            <w:r>
              <w:rPr>
                <w:sz w:val="20"/>
              </w:rPr>
              <w:t xml:space="preserve">A oferta aumenta a entrada no interior</w:t>
            </w:r>
          </w:p>
        </w:tc>
      </w:tr>
      <w:tr>
        <w:tc>
          <w:tcPr/>
          <w:p>
            <w:pPr>
              <w:pStyle w:val="Compact"/>
              <w:spacing w:after="0" w:before="0"/>
              <w:jc w:val="left"/>
            </w:pPr>
            <w:r>
              <w:rPr>
                <w:sz w:val="20"/>
              </w:rPr>
              <w:t xml:space="preserve">H5</w:t>
            </w:r>
          </w:p>
        </w:tc>
        <w:tc>
          <w:tcPr/>
          <w:p>
            <w:pPr>
              <w:pStyle w:val="Compact"/>
              <w:spacing w:after="0" w:before="0"/>
              <w:jc w:val="left"/>
            </w:pPr>
            <w:r>
              <w:rPr>
                <w:sz w:val="20"/>
              </w:rPr>
              <w:t xml:space="preserve">Receber pela LICC muda a realização e o alcance do projeto?</w:t>
            </w:r>
          </w:p>
        </w:tc>
        <w:tc>
          <w:tcPr/>
          <w:p>
            <w:pPr>
              <w:pStyle w:val="Compact"/>
              <w:spacing w:after="0" w:before="0"/>
              <w:jc w:val="left"/>
            </w:pPr>
            <w:r>
              <w:rPr>
                <w:sz w:val="20"/>
              </w:rPr>
              <w:t xml:space="preserve">Termo na margem do esgotamento da cota;</w:t>
            </w:r>
            <w:r>
              <w:rPr>
                <w:sz w:val="20"/>
              </w:rPr>
              <w:t xml:space="preserve"> </w:t>
            </w:r>
            <w:r>
              <w:rPr>
                <w:i/>
                <w:iCs/>
                <w:sz w:val="20"/>
              </w:rPr>
              <w:t xml:space="preserve">T</w:t>
            </w:r>
            <w:r>
              <w:rPr>
                <w:sz w:val="20"/>
              </w:rPr>
              <w:t xml:space="preserve"> </w:t>
            </w:r>
            <w:r>
              <w:rPr>
                <w:sz w:val="20"/>
              </w:rPr>
              <w:t xml:space="preserve">= termo validado;</w:t>
            </w:r>
            <w:r>
              <w:rPr>
                <w:sz w:val="20"/>
              </w:rPr>
              <w:t xml:space="preserve"> </w:t>
            </w:r>
            <w:r>
              <w:rPr>
                <w:i/>
                <w:iCs/>
                <w:sz w:val="20"/>
              </w:rPr>
              <w:t xml:space="preserve">Y</w:t>
            </w:r>
            <w:r>
              <w:rPr>
                <w:sz w:val="20"/>
              </w:rPr>
              <w:t xml:space="preserve"> </w:t>
            </w:r>
            <w:r>
              <w:rPr>
                <w:sz w:val="20"/>
              </w:rPr>
              <w:t xml:space="preserve">= realizado em janela fixa após o protocolo; público</w:t>
            </w:r>
          </w:p>
        </w:tc>
        <w:tc>
          <w:tcPr/>
          <w:p>
            <w:pPr>
              <w:pStyle w:val="Compact"/>
              <w:spacing w:after="0" w:before="0"/>
              <w:jc w:val="left"/>
            </w:pPr>
            <w:r>
              <w:rPr>
                <w:sz w:val="20"/>
              </w:rPr>
              <w:t xml:space="preserve">Efeito de receber agora, na margem; fora dela, EMPT</w:t>
            </w:r>
          </w:p>
        </w:tc>
        <w:tc>
          <w:tcPr/>
          <w:p>
            <w:pPr>
              <w:pStyle w:val="Compact"/>
              <w:spacing w:after="0" w:before="0"/>
              <w:jc w:val="left"/>
            </w:pPr>
            <w:r>
              <w:rPr>
                <w:sz w:val="20"/>
              </w:rPr>
              <w:t xml:space="preserve">Os recusados realizam o projeto na mesma proporção que os validados</w:t>
            </w:r>
          </w:p>
        </w:tc>
      </w:tr>
    </w:tbl>
    <w:p>
      <w:pPr>
        <w:pStyle w:val="BodyText"/>
      </w:pPr>
      <w:r>
        <w:rPr>
          <w:i/>
          <w:sz w:val="20"/>
        </w:rPr>
        <w:t>Fonte</w:t>
      </w:r>
      <w:r>
        <w:rPr>
          <w:sz w:val="20"/>
        </w:rPr>
        <w:t>: elaboração própria, com base em Gertler</w:t>
      </w:r>
      <w:r>
        <w:rPr>
          <w:sz w:val="20"/>
        </w:rPr>
        <w:t xml:space="preserve"> </w:t>
      </w:r>
      <w:r>
        <w:rPr>
          <w:i/>
          <w:iCs/>
          <w:sz w:val="20"/>
        </w:rPr>
        <w:t xml:space="preserve">et al.</w:t>
      </w:r>
      <w:r>
        <w:rPr>
          <w:sz w:val="20"/>
        </w:rPr>
        <w:t xml:space="preserve"> </w:t>
      </w:r>
      <w:r>
        <w:rPr>
          <w:sz w:val="20"/>
        </w:rPr>
        <w:t xml:space="preserve">(2018).</w:t>
      </w:r>
    </w:p>
    <w:bookmarkEnd w:id="25"/>
    <w:bookmarkStart w:id="26" w:name="estratégias-de-identificação"/>
    <w:p>
      <w:pPr>
        <w:pStyle w:val="Heading2"/>
      </w:pPr>
      <w:r>
        <w:t xml:space="preserve">5.2 Estratégias de identificação</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experimentos de escolha, avaliação cega, promoção aleatória, regressão descontínua no tempo e variáveis instrumentais. O sorteio mudaria a regra de alocação e fica fora do escopo.</w:t>
      </w:r>
    </w:p>
    <w:p>
      <w:pPr>
        <w:pStyle w:val="Compact"/>
        <w:numPr>
          <w:ilvl w:val="0"/>
          <w:numId w:val="1001"/>
        </w:numPr>
      </w:pP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 Os mesmos perfis vão a uma amostra de residentes do estado, e os grupos se comparam pelas médias marginais de escolha de cada atributo; aplicados aos projetos habilitados, os dois conjuntos de pesos indicam o que cada um financiaria, e a diferença, o bem público que a escolha privada deixa de fora.</w:t>
      </w:r>
    </w:p>
    <w:p>
      <w:pPr>
        <w:pStyle w:val="Compact"/>
        <w:numPr>
          <w:ilvl w:val="0"/>
          <w:numId w:val="1001"/>
        </w:numPr>
      </w:pPr>
      <w:r>
        <w:rPr>
          <w:b/>
          <w:bCs/>
        </w:rPr>
        <w:t xml:space="preserve">H2.</w:t>
      </w:r>
      <w:r>
        <w:t xml:space="preserve"> </w:t>
      </w:r>
      <w:r>
        <w:t xml:space="preserve">Sem nota, não há corte para regressão descontínua. O teste, descritivo, é uma avaliação cega da regra de decisão: avaliadores independentes dão nota, nos critérios de interesse público do decreto, a uma amostra de inscritos, habilitados e inabilitados, sem saber o destino de cada projeto. Se a decisão segue critério público, a nota separa habilitados de inabilitados e, entre os habilitados, quem capta. A severidade do parecerista, designado por ordem de inscrição e área (SECULT, 2025c), seria instrumento para o efeito do parecer, como em Maestas, Mullen e Strand (2013), mas é fraca com 41 pareceristas e fica como extensão.</w:t>
      </w:r>
    </w:p>
    <w:p>
      <w:pPr>
        <w:pStyle w:val="Compact"/>
        <w:numPr>
          <w:ilvl w:val="0"/>
          <w:numId w:val="1001"/>
        </w:numPr>
      </w:pPr>
      <w:r>
        <w:rPr>
          <w:b/>
          <w:bCs/>
        </w:rPr>
        <w:t xml:space="preserve">H3.</w:t>
      </w:r>
      <w:r>
        <w:t xml:space="preserve"> </w:t>
      </w:r>
      <w:r>
        <w:t xml:space="preserve">As planilhas de custos, pedidas pela Lei de Acesso à Informação (LAI), dão a parcela de captação e elaboração de cada projeto. Se as taxas se acumulam no teto de 10%, o preço é fixado pela regra, e não pelo custo do serviço; a regra de 2026, que permite pagá-las ao proponente, compara-se à de 2025 por diferenças em diferenças, entre projetos que contratavam captador e os demais.</w:t>
      </w:r>
    </w:p>
    <w:p>
      <w:pPr>
        <w:pStyle w:val="Compact"/>
        <w:numPr>
          <w:ilvl w:val="0"/>
          <w:numId w:val="1001"/>
        </w:numPr>
      </w:pPr>
      <w:r>
        <w:rPr>
          <w:b/>
          <w:bCs/>
        </w:rPr>
        <w:t xml:space="preserve">H4.</w:t>
      </w:r>
      <w:r>
        <w:t xml:space="preserve"> </w:t>
      </w:r>
      <w:r>
        <w:t xml:space="preserve">Uma promoção aleatória de apoio à inscrição e à busca de patrocínio, sorteada entre os 71 municípios do interior, não altera nenhuma regra de alocação; nos municípios sorteados, dois braços, sorteados entre os agentes, separam o atrito documental do de patrocínio. A promoção estima o efeito da oferta e, para quem responde a ela, o efeito local (ANGRIST; IMBENS; RUBIN, 1996). Como o teto é fixo, sortear também a intensidade da oferta mede o deslocamento de outros proponentes (BAIRD</w:t>
      </w:r>
      <w:r>
        <w:t xml:space="preserve"> </w:t>
      </w:r>
      <w:r>
        <w:rPr>
          <w:i/>
          <w:iCs/>
        </w:rPr>
        <w:t xml:space="preserve">et al.</w:t>
      </w:r>
      <w:r>
        <w:t xml:space="preserve">, 2018), mas, com 71 municípios, só em caráter exploratório.</w:t>
      </w:r>
    </w:p>
    <w:p>
      <w:pPr>
        <w:pStyle w:val="Compact"/>
        <w:numPr>
          <w:ilvl w:val="0"/>
          <w:numId w:val="1001"/>
        </w:numPr>
      </w:pPr>
      <w:r>
        <w:rPr>
          <w:b/>
          <w:bCs/>
        </w:rPr>
        <w:t xml:space="preserve">H5.</w:t>
      </w:r>
      <w:r>
        <w:t xml:space="preserve"> </w:t>
      </w:r>
      <w:r>
        <w:t xml:space="preserve">Os termos validados pouco antes do esgotamento do teto e os de 32 projetos recusados em 2023 e 2024 tinham, todos, patrocinador disposto. Mas 6 dos 11 recusados em 2023 e 12 dos 21 recusados em 2024 captaram no ano seguinte: com resultado datado, a comparação estima o efeito de receber agora; para o de receber em algum momento, o indeferimento serve de instrumento, com primeiro estágio de 41% (13 dos 32 recusados não captaram depois). Em 2024, das 47 recusas registradas nas versões sucessivas do anexo, 27 viraram validação em versão posterior, no ano em que o teto passou de R$ 15 para R$ 25 milhões: a comparação com as 20 que não viraram mede o efeito de receber mais tarde. Para decidir, o desenho precisa ser prospectivo: a SEFAZ registra a hora de protocolo e a recusa de cada termo, a SECULT padroniza no relatório de execução a realização e o público, e a comparação vira regressão descontínua no tempo em torno do esgotamento de cada cota, acumulada ano a ano. Como o momento do esgotamento não é conhecido de antemão, é difícil manipular a posição na fila, e a ordem de validação não deve se ligar ao projeto, o que as datas de protocolo permitem testar.</w:t>
      </w:r>
    </w:p>
    <w:bookmarkEnd w:id="26"/>
    <w:bookmarkStart w:id="27" w:name="desenho-da-amostra-e-fontes-de-dados"/>
    <w:p>
      <w:pPr>
        <w:pStyle w:val="Heading2"/>
      </w:pPr>
      <w:r>
        <w:t xml:space="preserve">5.3 Desenho da amostra e fontes de dados</w:t>
      </w:r>
    </w:p>
    <w:p>
      <w:pPr>
        <w:pStyle w:val="FirstParagraph"/>
      </w:pPr>
      <w:r>
        <w:t xml:space="preserve">Para H5, a listagem são os termos de 2023 e 2024 na margem do racionamento e, no desenho prospectivo, todos os protocolados a partir de 2027. Para H2, o universo são os 293 projetos habilitados em 2022-2024 com situação resolvida, de 172 proponentes, e os 86 inabilitados das atas da CAP, de onde se sorteia a amostra da avaliação cega; para H3, as planilhas de 2025 e 2026. Para H1, a população principal é quem decide o patrocínio (marketing, diretoria ou relações institucionais): a listagem parte das 26 patrocinadoras de 2025, e os maiores contribuintes fora do Simples Nacional, listados com a SEFAZ, formam uma extensão; o braço da população é uma amostra de residentes por cotas de região. Para H4, a listagem é o cadastro de agentes do Mapa Cultural, em que 79% dos coletivos e 78% dos individuais não informam município; com município no interior, há 257 coletivos em 52 municípios e 2.389 agentes, somados os individuais, nos 71. A oferta é sorteada entre municípios do interior e chega a todos os agentes cadastrados sem inscrição anterior; quem não está no Mapa fica de fora, um viés de cobertura. O Mapa serve, assim, de retrato da demanda: agentes e eventos que nunca aparecem nos anexos da LICC são os projetos pequenos que a escolha concentrada não alcança. A chave de ligação é o CNPJ do proponente: o Portal da Transparência o traz para quem captou (ESPÍRITO SANTO, 2026), e os avisos de habilitação no Diário Oficial, para a maior parte dos demais (DIO-ES, 2026); juntas, cobrem 385 dos 463 habilitados (83%), e o restante e os inabilitados ficam para a LAI (Quadro 4).</w:t>
      </w:r>
    </w:p>
    <w:p>
      <w:pPr>
        <w:pStyle w:val="BodyText"/>
        <w:keepNext/>
      </w:pPr>
      <w:r>
        <w:rPr>
          <w:b/>
        </w:rPr>
        <w:t>Quadro 4</w:t>
      </w:r>
      <w:r>
        <w:rPr>
          <w:b w:val="0"/>
        </w:rPr>
        <w:t xml:space="preserve"> – Fontes de dados da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836"/>
        <w:gridCol w:w="2754"/>
        <w:gridCol w:w="1951"/>
        <w:gridCol w:w="1377"/>
      </w:tblGrid>
      <w:tr>
        <w:trPr>
          <w:tblHeader w:val="on"/>
          <w:tblHeader w:val="true"/>
        </w:trPr>
        <w:tc>
          <w:tcPr>
            <w:tcBorders>
              <w:bottom w:val="single" w:sz="4" w:space="0" w:color="000000"/>
            </w:tcBorders>
          </w:tcPr>
          <w:p>
            <w:pPr>
              <w:pStyle w:val="Compact"/>
              <w:spacing w:after="0" w:before="0"/>
              <w:jc w:val="left"/>
            </w:pPr>
            <w:r>
              <w:rPr>
                <w:sz w:val="20"/>
              </w:rPr>
              <w:t xml:space="preserve">Fonte</w:t>
            </w:r>
          </w:p>
        </w:tc>
        <w:tc>
          <w:tcPr>
            <w:tcBorders>
              <w:bottom w:val="single" w:sz="4" w:space="0" w:color="000000"/>
            </w:tcBorders>
          </w:tcPr>
          <w:p>
            <w:pPr>
              <w:pStyle w:val="Compact"/>
              <w:spacing w:after="0" w:before="0"/>
              <w:jc w:val="left"/>
            </w:pPr>
            <w:r>
              <w:rPr>
                <w:sz w:val="20"/>
              </w:rPr>
              <w:t xml:space="preserve">Conteúdo</w:t>
            </w:r>
          </w:p>
        </w:tc>
        <w:tc>
          <w:tcPr>
            <w:tcBorders>
              <w:bottom w:val="single" w:sz="4" w:space="0" w:color="000000"/>
            </w:tcBorders>
          </w:tcPr>
          <w:p>
            <w:pPr>
              <w:pStyle w:val="Compact"/>
              <w:spacing w:after="0" w:before="0"/>
              <w:jc w:val="left"/>
            </w:pPr>
            <w:r>
              <w:rPr>
                <w:sz w:val="20"/>
              </w:rPr>
              <w:t xml:space="preserve">Uso</w:t>
            </w:r>
          </w:p>
        </w:tc>
        <w:tc>
          <w:tcPr>
            <w:tcBorders>
              <w:bottom w:val="single" w:sz="4" w:space="0" w:color="000000"/>
            </w:tcBorders>
          </w:tcPr>
          <w:p>
            <w:pPr>
              <w:pStyle w:val="Compact"/>
              <w:spacing w:after="0" w:before="0"/>
              <w:jc w:val="left"/>
            </w:pPr>
            <w:r>
              <w:rPr>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linha, área, parecerista, parecer, CNPJ, sede e datas</w:t>
            </w:r>
          </w:p>
        </w:tc>
        <w:tc>
          <w:tcPr/>
          <w:p>
            <w:pPr>
              <w:pStyle w:val="Compact"/>
              <w:spacing w:after="0" w:before="0"/>
              <w:jc w:val="left"/>
            </w:pPr>
            <w:r>
              <w:rPr>
                <w:sz w:val="20"/>
              </w:rPr>
              <w:t xml:space="preserve">H2, H4;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Planilhas de custos</w:t>
            </w:r>
          </w:p>
        </w:tc>
        <w:tc>
          <w:tcPr/>
          <w:p>
            <w:pPr>
              <w:pStyle w:val="Compact"/>
              <w:spacing w:after="0" w:before="0"/>
              <w:jc w:val="left"/>
            </w:pPr>
            <w:r>
              <w:rPr>
                <w:sz w:val="20"/>
              </w:rPr>
              <w:t xml:space="preserve">Rubricas de captação, elaboração, divulgação e remuneração, por projeto</w:t>
            </w:r>
          </w:p>
        </w:tc>
        <w:tc>
          <w:tcPr/>
          <w:p>
            <w:pPr>
              <w:pStyle w:val="Compact"/>
              <w:spacing w:after="0" w:before="0"/>
              <w:jc w:val="left"/>
            </w:pPr>
            <w:r>
              <w:rPr>
                <w:sz w:val="20"/>
              </w:rPr>
              <w:t xml:space="preserve">H3</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avisos do Diário Oficial; extratos das atas da CAP</w:t>
            </w:r>
          </w:p>
        </w:tc>
        <w:tc>
          <w:tcPr/>
          <w:p>
            <w:pPr>
              <w:pStyle w:val="Compact"/>
              <w:spacing w:after="0" w:before="0"/>
              <w:jc w:val="left"/>
            </w:pPr>
            <w:r>
              <w:rPr>
                <w:sz w:val="20"/>
              </w:rPr>
              <w:t xml:space="preserve">Status, valores e patrocinador; CNPJ e data da habilitação; data de cada depósito (82% dos termos de 2022-2025); inabilitados</w:t>
            </w:r>
          </w:p>
        </w:tc>
        <w:tc>
          <w:tcPr/>
          <w:p>
            <w:pPr>
              <w:pStyle w:val="Compact"/>
              <w:spacing w:after="0" w:before="0"/>
              <w:jc w:val="left"/>
            </w:pPr>
            <w:r>
              <w:rPr>
                <w:sz w:val="20"/>
              </w:rPr>
              <w:t xml:space="preserve">H5 (tratamento e intensidade); H2</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Portal da Transparência (SEFAZ); Receita Federal</w:t>
            </w:r>
          </w:p>
        </w:tc>
        <w:tc>
          <w:tcPr/>
          <w:p>
            <w:pPr>
              <w:pStyle w:val="Compact"/>
              <w:spacing w:after="0" w:before="0"/>
              <w:jc w:val="left"/>
            </w:pPr>
            <w:r>
              <w:rPr>
                <w:sz w:val="20"/>
              </w:rPr>
              <w:t xml:space="preserve">Termos de 2022-2025: data, patrocinador e proponente (CNPJ); pelo CNPJ, porte, idade e sede</w:t>
            </w:r>
          </w:p>
        </w:tc>
        <w:tc>
          <w:tcPr/>
          <w:p>
            <w:pPr>
              <w:pStyle w:val="Compact"/>
              <w:spacing w:after="0" w:before="0"/>
              <w:jc w:val="left"/>
            </w:pPr>
            <w:r>
              <w:rPr>
                <w:sz w:val="20"/>
              </w:rPr>
              <w:t xml:space="preserve">Fila (H5); pares e porte (H1, H4)</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Hora de protocolo (pública só nos validados de 2025) e de validação dos termos, cota e indeferidos</w:t>
            </w:r>
          </w:p>
        </w:tc>
        <w:tc>
          <w:tcPr/>
          <w:p>
            <w:pPr>
              <w:pStyle w:val="Compact"/>
              <w:spacing w:after="0" w:before="0"/>
              <w:jc w:val="left"/>
            </w:pPr>
            <w:r>
              <w:rPr>
                <w:sz w:val="20"/>
              </w:rPr>
              <w:t xml:space="preserve">H5 (margem; desenho prospectivo)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Pesquisa própria</w:t>
            </w:r>
          </w:p>
        </w:tc>
        <w:tc>
          <w:tcPr/>
          <w:p>
            <w:pPr>
              <w:pStyle w:val="Compact"/>
              <w:spacing w:after="0" w:before="0"/>
              <w:jc w:val="left"/>
            </w:pPr>
            <w:r>
              <w:rPr>
                <w:sz w:val="20"/>
              </w:rPr>
              <w:t xml:space="preserve">Escolhas de decisores e residentes entre perfis de projeto; nota cega dos projetos inscritos</w:t>
            </w:r>
          </w:p>
        </w:tc>
        <w:tc>
          <w:tcPr/>
          <w:p>
            <w:pPr>
              <w:pStyle w:val="Compact"/>
              <w:spacing w:after="0" w:before="0"/>
              <w:jc w:val="left"/>
            </w:pPr>
            <w:r>
              <w:rPr>
                <w:sz w:val="20"/>
              </w:rPr>
              <w:t xml:space="preserve">H1, H2</w:t>
            </w:r>
          </w:p>
        </w:tc>
        <w:tc>
          <w:tcPr/>
          <w:p>
            <w:pPr>
              <w:pStyle w:val="Compact"/>
              <w:spacing w:after="0" w:before="0"/>
              <w:jc w:val="left"/>
            </w:pPr>
            <w:r>
              <w:rPr>
                <w:sz w:val="20"/>
              </w:rPr>
              <w:t xml:space="preserve">Coleta</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Lista de presença e estimativa de público (IN 001/2025, art. 66),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H5 (a padronizar)</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H4; eventos datados de 18 projetos (</w:t>
            </w: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Público</w:t>
            </w:r>
          </w:p>
        </w:tc>
      </w:tr>
    </w:tbl>
    <w:p>
      <w:pPr>
        <w:pStyle w:val="BodyText"/>
      </w:pPr>
      <w:r>
        <w:rPr>
          <w:i/>
          <w:sz w:val="20"/>
        </w:rPr>
        <w:t>Fonte</w:t>
      </w:r>
      <w:r>
        <w:rPr>
          <w:sz w:val="20"/>
        </w:rPr>
        <w:t>: elaboração própria.</w:t>
      </w:r>
    </w:p>
    <w:bookmarkEnd w:id="27"/>
    <w:bookmarkStart w:id="35"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Djimeu e Houndolo (2016), com α = 5% bicaudal e poder de 80%. 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BodyText"/>
        <w:keepNext/>
      </w:pPr>
      <w:r>
        <w:rPr>
          <w:b/>
        </w:rPr>
        <w:t>Tabela 2</w:t>
      </w:r>
      <w:r>
        <w:rPr>
          <w:b w:val="0"/>
        </w:rPr>
        <w:t xml:space="preserve"> – Efeito mínimo detectável por pergunta (pontos percentuais, salvo indicação)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2926"/>
        <w:gridCol w:w="2496"/>
        <w:gridCol w:w="1721"/>
        <w:gridCol w:w="774"/>
      </w:tblGrid>
      <w:tr>
        <w:trPr>
          <w:tblHeader w:val="on"/>
          <w:tblHeader w:val="true"/>
        </w:trPr>
        <w:tc>
          <w:tcPr>
            <w:tcBorders>
              <w:bottom w:val="single" w:sz="4" w:space="0" w:color="000000"/>
            </w:tcBorders>
          </w:tcPr>
          <w:p>
            <w:pPr>
              <w:pStyle w:val="Compact"/>
              <w:keepNext/>
              <w:spacing w:after="0" w:before="0"/>
              <w:jc w:val="left"/>
            </w:pPr>
            <w:r>
              <w:rPr>
                <w:sz w:val="20"/>
              </w:rPr>
              <w:t xml:space="preserve">Pergunta e comparação</w:t>
            </w:r>
          </w:p>
        </w:tc>
        <w:tc>
          <w:tcPr>
            <w:tcBorders>
              <w:bottom w:val="single" w:sz="4" w:space="0" w:color="000000"/>
            </w:tcBorders>
          </w:tcPr>
          <w:p>
            <w:pPr>
              <w:pStyle w:val="Compact"/>
              <w:keepNext/>
              <w:spacing w:after="0" w:before="0"/>
              <w:jc w:val="left"/>
            </w:pPr>
            <w:r>
              <w:rPr>
                <w:sz w:val="20"/>
              </w:rPr>
              <w:t xml:space="preserve">Unidades</w:t>
            </w:r>
          </w:p>
        </w:tc>
        <w:tc>
          <w:tcPr>
            <w:tcBorders>
              <w:bottom w:val="single" w:sz="4" w:space="0" w:color="000000"/>
            </w:tcBorders>
          </w:tcPr>
          <w:p>
            <w:pPr>
              <w:pStyle w:val="Compact"/>
              <w:keepNext/>
              <w:spacing w:after="0" w:before="0"/>
              <w:jc w:val="left"/>
            </w:pPr>
            <w:r>
              <w:rPr>
                <w:sz w:val="20"/>
              </w:rPr>
              <w:t xml:space="preserve">Cenários</w:t>
            </w:r>
          </w:p>
        </w:tc>
        <w:tc>
          <w:tcPr>
            <w:tcBorders>
              <w:bottom w:val="single" w:sz="4" w:space="0" w:color="000000"/>
            </w:tcBorders>
          </w:tcPr>
          <w:p>
            <w:pPr>
              <w:pStyle w:val="Compact"/>
              <w:keepNext/>
              <w:spacing w:after="0" w:before="0"/>
              <w:jc w:val="left"/>
            </w:pPr>
            <w:r>
              <w:rPr>
                <w:sz w:val="20"/>
              </w:rPr>
              <w:t xml:space="preserve">EMD</w:t>
            </w:r>
          </w:p>
        </w:tc>
      </w:tr>
      <w:tr>
        <w:tc>
          <w:tcPr/>
          <w:p>
            <w:pPr>
              <w:pStyle w:val="Compact"/>
              <w:keepNext/>
              <w:spacing w:after="0" w:before="0"/>
              <w:jc w:val="left"/>
            </w:pPr>
            <w:r>
              <w:rPr>
                <w:sz w:val="20"/>
              </w:rPr>
              <w:t xml:space="preserve">H1: experimento conjunto</w:t>
            </w:r>
          </w:p>
        </w:tc>
        <w:tc>
          <w:tcPr/>
          <w:p>
            <w:pPr>
              <w:pStyle w:val="Compact"/>
              <w:keepNext/>
              <w:spacing w:after="0" w:before="0"/>
              <w:jc w:val="left"/>
            </w:pPr>
            <w:r>
              <w:rPr>
                <w:sz w:val="20"/>
              </w:rPr>
              <w:t xml:space="preserve">30 a 60 decisores × 12 tarefas</w:t>
            </w:r>
          </w:p>
        </w:tc>
        <w:tc>
          <w:tcPr/>
          <w:p>
            <w:pPr>
              <w:pStyle w:val="Compact"/>
              <w:keepNext/>
              <w:spacing w:after="0" w:before="0"/>
              <w:jc w:val="left"/>
            </w:pPr>
            <m:oMath>
              <m:sSub>
                <m:e>
                  <m:r>
                    <m:t>p</m:t>
                  </m:r>
                </m:e>
                <m:sub>
                  <m:r>
                    <m:t>0</m:t>
                  </m:r>
                </m:sub>
              </m:sSub>
            </m:oMath>
            <w:r>
              <w:rPr>
                <w:sz w:val="20"/>
              </w:rPr>
              <w:t xml:space="preserve"> </w:t>
            </w:r>
            <w:r>
              <w:rPr>
                <w:sz w:val="20"/>
              </w:rPr>
              <w:t xml:space="preserve">= 0,5; ρ = 0 ou 0,1 no decisor</w:t>
            </w:r>
          </w:p>
        </w:tc>
        <w:tc>
          <w:tcPr/>
          <w:p>
            <w:pPr>
              <w:pStyle w:val="Compact"/>
              <w:keepNext/>
              <w:spacing w:after="0" w:before="0"/>
              <w:jc w:val="left"/>
            </w:pPr>
            <w:r>
              <w:rPr>
                <w:sz w:val="20"/>
              </w:rPr>
              <w:t xml:space="preserve">7,4 a 19,0</w:t>
            </w:r>
          </w:p>
        </w:tc>
      </w:tr>
      <w:tr>
        <w:tc>
          <w:tcPr/>
          <w:p>
            <w:pPr>
              <w:pStyle w:val="Compact"/>
              <w:keepNext/>
              <w:spacing w:after="0" w:before="0"/>
              <w:jc w:val="left"/>
            </w:pPr>
            <w:r>
              <w:rPr>
                <w:sz w:val="20"/>
              </w:rPr>
              <w:t xml:space="preserve">H1: diferença empresas − população</w:t>
            </w:r>
          </w:p>
        </w:tc>
        <w:tc>
          <w:tcPr/>
          <w:p>
            <w:pPr>
              <w:pStyle w:val="Compact"/>
              <w:keepNext/>
              <w:spacing w:after="0" w:before="0"/>
              <w:jc w:val="left"/>
            </w:pPr>
            <w:r>
              <w:rPr>
                <w:sz w:val="20"/>
              </w:rPr>
              <w:t xml:space="preserve">e 500 residentes × 6 tarefas</w:t>
            </w:r>
          </w:p>
        </w:tc>
        <w:tc>
          <w:tcPr/>
          <w:p>
            <w:pPr>
              <w:pStyle w:val="Compact"/>
              <w:keepNext/>
              <w:spacing w:after="0" w:before="0"/>
              <w:jc w:val="left"/>
            </w:pPr>
            <w:r>
              <w:rPr>
                <w:sz w:val="20"/>
              </w:rPr>
              <w:t xml:space="preserve">idem</w:t>
            </w:r>
          </w:p>
        </w:tc>
        <w:tc>
          <w:tcPr/>
          <w:p>
            <w:pPr>
              <w:pStyle w:val="Compact"/>
              <w:keepNext/>
              <w:spacing w:after="0" w:before="0"/>
              <w:jc w:val="left"/>
            </w:pPr>
            <w:r>
              <w:rPr>
                <w:sz w:val="20"/>
              </w:rPr>
              <w:t xml:space="preserve">8,2 a 19,7</w:t>
            </w:r>
          </w:p>
        </w:tc>
      </w:tr>
      <w:tr>
        <w:tc>
          <w:tcPr/>
          <w:p>
            <w:pPr>
              <w:pStyle w:val="Compact"/>
              <w:keepNext/>
              <w:spacing w:after="0" w:before="0"/>
              <w:jc w:val="left"/>
            </w:pPr>
            <w:r>
              <w:rPr>
                <w:sz w:val="20"/>
              </w:rPr>
              <w:t xml:space="preserve">H2: nota cega, habilitados × inabilitados</w:t>
            </w:r>
          </w:p>
        </w:tc>
        <w:tc>
          <w:tcPr/>
          <w:p>
            <w:pPr>
              <w:pStyle w:val="Compact"/>
              <w:keepNext/>
              <w:spacing w:after="0" w:before="0"/>
              <w:jc w:val="left"/>
            </w:pPr>
            <w:r>
              <w:rPr>
                <w:sz w:val="20"/>
              </w:rPr>
              <w:t xml:space="preserve">86 × 86 projetos</w:t>
            </w:r>
          </w:p>
        </w:tc>
        <w:tc>
          <w:tcPr/>
          <w:p>
            <w:pPr>
              <w:pStyle w:val="Compact"/>
              <w:keepNext/>
              <w:spacing w:after="0" w:before="0"/>
              <w:jc w:val="left"/>
            </w:pPr>
            <w:r>
              <w:rPr>
                <w:sz w:val="20"/>
              </w:rPr>
              <w:t xml:space="preserve">nota padronizada</w:t>
            </w:r>
          </w:p>
        </w:tc>
        <w:tc>
          <w:tcPr/>
          <w:p>
            <w:pPr>
              <w:pStyle w:val="Compact"/>
              <w:keepNext/>
              <w:spacing w:after="0" w:before="0"/>
              <w:jc w:val="left"/>
            </w:pPr>
            <w:r>
              <w:rPr>
                <w:sz w:val="20"/>
              </w:rPr>
              <w:t xml:space="preserve">0,43 DP</w:t>
            </w:r>
          </w:p>
        </w:tc>
      </w:tr>
      <w:tr>
        <w:tc>
          <w:tcPr/>
          <w:p>
            <w:pPr>
              <w:pStyle w:val="Compact"/>
              <w:keepNext/>
              <w:spacing w:after="0" w:before="0"/>
              <w:jc w:val="left"/>
            </w:pPr>
            <w:r>
              <w:rPr>
                <w:sz w:val="20"/>
              </w:rPr>
              <w:t xml:space="preserve">H2: nota cega, captou × não captou</w:t>
            </w:r>
          </w:p>
        </w:tc>
        <w:tc>
          <w:tcPr/>
          <w:p>
            <w:pPr>
              <w:pStyle w:val="Compact"/>
              <w:keepNext/>
              <w:spacing w:after="0" w:before="0"/>
              <w:jc w:val="left"/>
            </w:pPr>
            <w:r>
              <w:rPr>
                <w:sz w:val="20"/>
              </w:rPr>
              <w:t xml:space="preserve">198 × 95 habilitados</w:t>
            </w:r>
          </w:p>
        </w:tc>
        <w:tc>
          <w:tcPr/>
          <w:p>
            <w:pPr>
              <w:pStyle w:val="Compact"/>
              <w:keepNext/>
              <w:spacing w:after="0" w:before="0"/>
              <w:jc w:val="left"/>
            </w:pPr>
            <w:r>
              <w:rPr>
                <w:sz w:val="20"/>
              </w:rPr>
              <w:t xml:space="preserve">nota padronizada</w:t>
            </w:r>
          </w:p>
        </w:tc>
        <w:tc>
          <w:tcPr/>
          <w:p>
            <w:pPr>
              <w:pStyle w:val="Compact"/>
              <w:keepNext/>
              <w:spacing w:after="0" w:before="0"/>
              <w:jc w:val="left"/>
            </w:pPr>
            <w:r>
              <w:rPr>
                <w:sz w:val="20"/>
              </w:rPr>
              <w:t xml:space="preserve">0,35 DP</w:t>
            </w:r>
          </w:p>
        </w:tc>
      </w:tr>
      <w:tr>
        <w:tc>
          <w:tcPr/>
          <w:p>
            <w:pPr>
              <w:pStyle w:val="Compact"/>
              <w:keepNext/>
              <w:spacing w:after="0" w:before="0"/>
              <w:jc w:val="left"/>
            </w:pPr>
            <w:r>
              <w:rPr>
                <w:sz w:val="20"/>
              </w:rPr>
              <w:t xml:space="preserve">H5: margem do racionamento, 2023-2024</w:t>
            </w:r>
          </w:p>
        </w:tc>
        <w:tc>
          <w:tcPr/>
          <w:p>
            <w:pPr>
              <w:pStyle w:val="Compact"/>
              <w:keepNext/>
              <w:spacing w:after="0" w:before="0"/>
              <w:jc w:val="left"/>
            </w:pPr>
            <w:r>
              <w:rPr>
                <w:sz w:val="20"/>
              </w:rPr>
              <w:t xml:space="preserve">32 recusados × 32 validados</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28 a 34</w:t>
            </w:r>
          </w:p>
        </w:tc>
      </w:tr>
      <w:tr>
        <w:tc>
          <w:tcPr/>
          <w:p>
            <w:pPr>
              <w:pStyle w:val="Compact"/>
              <w:keepNext/>
              <w:spacing w:after="0" w:before="0"/>
              <w:jc w:val="left"/>
            </w:pPr>
            <w:r>
              <w:rPr>
                <w:sz w:val="20"/>
              </w:rPr>
              <w:t xml:space="preserve">H4: oferta por município, só coletivos</w:t>
            </w:r>
          </w:p>
        </w:tc>
        <w:tc>
          <w:tcPr/>
          <w:p>
            <w:pPr>
              <w:pStyle w:val="Compact"/>
              <w:keepNext/>
              <w:spacing w:after="0" w:before="0"/>
              <w:jc w:val="left"/>
            </w:pPr>
            <w:r>
              <w:rPr>
                <w:sz w:val="20"/>
              </w:rPr>
              <w:t xml:space="preserve">52 municípios, 257 coletivos (</w:t>
            </w:r>
            <m:oMath>
              <m:acc>
                <m:accPr>
                  <m:chr m:val="‾"/>
                </m:accPr>
                <m:e>
                  <m:r>
                    <m:t>m</m:t>
                  </m:r>
                </m:e>
              </m:acc>
            </m:oMath>
            <w:r>
              <w:rPr>
                <w:sz w:val="20"/>
              </w:rPr>
              <w:t xml:space="preserve"> </w:t>
            </w:r>
            <w:r>
              <w:rPr>
                <w:sz w:val="20"/>
              </w:rPr>
              <w:t xml:space="preserve">= 4,9;</w:t>
            </w:r>
            <w:r>
              <w:rPr>
                <w:sz w:val="20"/>
              </w:rPr>
              <w:t xml:space="preserve"> </w:t>
            </w:r>
            <w:r>
              <w:rPr>
                <w:i/>
                <w:iCs/>
                <w:sz w:val="20"/>
              </w:rPr>
              <w:t xml:space="preserve">cv</w:t>
            </w:r>
            <w:r>
              <w:rPr>
                <w:sz w:val="20"/>
              </w:rPr>
              <w:t xml:space="preserve"> </w:t>
            </w:r>
            <w:r>
              <w:rPr>
                <w:sz w:val="20"/>
              </w:rPr>
              <w:t xml:space="preserve">= 1,32)</w:t>
            </w:r>
          </w:p>
        </w:tc>
        <w:tc>
          <w:tcPr/>
          <w:p>
            <w:pPr>
              <w:pStyle w:val="Compact"/>
              <w:keepNex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keepNext/>
              <w:spacing w:after="0" w:before="0"/>
              <w:jc w:val="left"/>
            </w:pPr>
            <w:r>
              <w:rPr>
                <w:sz w:val="20"/>
              </w:rPr>
              <w:t xml:space="preserve">5,5 a 13,4</w:t>
            </w:r>
          </w:p>
        </w:tc>
      </w:tr>
      <w:tr>
        <w:tc>
          <w:tcPr/>
          <w:p>
            <w:pPr>
              <w:pStyle w:val="Compact"/>
              <w:spacing w:after="0" w:before="0"/>
              <w:jc w:val="left"/>
            </w:pPr>
            <w:r>
              <w:rPr>
                <w:sz w:val="20"/>
              </w:rPr>
              <w:t xml:space="preserve">H4: oferta por município, todos os agentes</w:t>
            </w:r>
          </w:p>
        </w:tc>
        <w:tc>
          <w:tcPr/>
          <w:p>
            <w:pPr>
              <w:pStyle w:val="Compact"/>
              <w:spacing w:after="0" w:before="0"/>
              <w:jc w:val="left"/>
            </w:pPr>
            <w:r>
              <w:rPr>
                <w:sz w:val="20"/>
              </w:rPr>
              <w:t xml:space="preserve">71 municípios, 2.389 agentes (</w:t>
            </w:r>
            <m:oMath>
              <m:acc>
                <m:accPr>
                  <m:chr m:val="‾"/>
                </m:accPr>
                <m:e>
                  <m:r>
                    <m:t>m</m:t>
                  </m:r>
                </m:e>
              </m:acc>
            </m:oMath>
            <w:r>
              <w:rPr>
                <w:sz w:val="20"/>
              </w:rPr>
              <w:t xml:space="preserve"> </w:t>
            </w:r>
            <w:r>
              <w:rPr>
                <w:sz w:val="20"/>
              </w:rPr>
              <w:t xml:space="preserve">= 33,6;</w:t>
            </w:r>
            <w:r>
              <w:rPr>
                <w:sz w:val="20"/>
              </w:rPr>
              <w:t xml:space="preserve"> </w:t>
            </w:r>
            <w:r>
              <w:rPr>
                <w:i/>
                <w:iCs/>
                <w:sz w:val="20"/>
              </w:rPr>
              <w:t xml:space="preserve">cv</w:t>
            </w:r>
            <w:r>
              <w:rPr>
                <w:sz w:val="20"/>
              </w:rPr>
              <w:t xml:space="preserve"> </w:t>
            </w:r>
            <w:r>
              <w:rPr>
                <w:sz w:val="20"/>
              </w:rPr>
              <w:t xml:space="preserve">= 1,43)</w:t>
            </w:r>
          </w:p>
        </w:tc>
        <w:tc>
          <w:tcPr/>
          <w:p>
            <w:pPr>
              <w:pStyle w:val="Compac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spacing w:after="0" w:before="0"/>
              <w:jc w:val="left"/>
            </w:pPr>
            <w:r>
              <w:rPr>
                <w:sz w:val="20"/>
              </w:rPr>
              <w:t xml:space="preserve">2,8 a 8,5</w:t>
            </w:r>
          </w:p>
        </w:tc>
      </w:tr>
    </w:tbl>
    <w:p>
      <w:pPr>
        <w:pStyle w:val="BodyText"/>
      </w:pPr>
      <w:r>
        <w:rPr>
          <w:i/>
          <w:sz w:val="20"/>
        </w:rPr>
        <w:t>Fonte</w:t>
      </w:r>
      <w:r>
        <w:rPr>
          <w:sz w:val="20"/>
        </w:rPr>
        <w:t>: elaboração própria;</w:t>
      </w:r>
      <w:r>
        <w:rPr>
          <w:sz w:val="20"/>
        </w:rPr>
        <w:t xml:space="preserve"> </w:t>
      </w:r>
      <w:hyperlink r:id="rId28">
        <w:r>
          <w:rPr>
            <w:rStyle w:val="VerbatimChar"/>
          </w:rPr>
          <w:t xml:space="preserve">analise/tabelas/07_poder_hipoteses.csv</w:t>
        </w:r>
      </w:hyperlink>
      <w:r>
        <w:rPr>
          <w:sz w:val="20"/>
        </w:rPr>
        <w:t xml:space="preserve">,</w:t>
      </w:r>
      <w:r>
        <w:rPr>
          <w:sz w:val="20"/>
        </w:rPr>
        <w:t xml:space="preserve"> </w:t>
      </w:r>
      <w:hyperlink r:id="rId29">
        <w:r>
          <w:rPr>
            <w:rStyle w:val="VerbatimChar"/>
          </w:rPr>
          <w:t xml:space="preserve">07_mapa_quadro_h3.csv</w:t>
        </w:r>
      </w:hyperlink>
      <w:r>
        <w:rPr>
          <w:sz w:val="20"/>
        </w:rPr>
        <w:t xml:space="preserve">,</w:t>
      </w:r>
      <w:r>
        <w:rPr>
          <w:sz w:val="20"/>
        </w:rPr>
        <w:t xml:space="preserve"> </w:t>
      </w:r>
      <w:hyperlink r:id="rId30">
        <w:r>
          <w:rPr>
            <w:rStyle w:val="VerbatimChar"/>
          </w:rPr>
          <w:t xml:space="preserve">10_poder_conjoint.csv</w:t>
        </w:r>
      </w:hyperlink>
      <w:r>
        <w:rPr>
          <w:sz w:val="20"/>
        </w:rPr>
        <w:t xml:space="preserve"> </w:t>
      </w:r>
      <w:r>
        <w:rPr>
          <w:sz w:val="20"/>
        </w:rPr>
        <w:t xml:space="preserve">e</w:t>
      </w:r>
      <w:r>
        <w:rPr>
          <w:sz w:val="20"/>
        </w:rPr>
        <w:t xml:space="preserve"> </w:t>
      </w:r>
      <w:hyperlink r:id="rId31">
        <w:r>
          <w:rPr>
            <w:rStyle w:val="VerbatimChar"/>
          </w:rPr>
          <w:t xml:space="preserve">19_poder_revisao.csv</w:t>
        </w:r>
      </w:hyperlink>
      <w:r>
        <w:rPr>
          <w:sz w:val="20"/>
        </w:rPr>
        <w:t xml:space="preserve"> </w:t>
      </w:r>
      <w:r>
        <w:rPr>
          <w:sz w:val="20"/>
        </w:rPr>
        <w:t xml:space="preserve">(scripts</w:t>
      </w:r>
      <w:r>
        <w:rPr>
          <w:sz w:val="20"/>
        </w:rPr>
        <w:t xml:space="preserve"> </w:t>
      </w:r>
      <w:hyperlink r:id="rId32">
        <w:r>
          <w:rPr>
            <w:rStyle w:val="VerbatimChar"/>
          </w:rPr>
          <w:t xml:space="preserve">analise/07_hipoteses_h1_h3.py</w:t>
        </w:r>
      </w:hyperlink>
      <w:r>
        <w:rPr>
          <w:sz w:val="20"/>
        </w:rPr>
        <w:t xml:space="preserve">,</w:t>
      </w:r>
      <w:r>
        <w:rPr>
          <w:sz w:val="20"/>
        </w:rPr>
        <w:t xml:space="preserve"> </w:t>
      </w:r>
      <w:hyperlink r:id="rId33">
        <w:r>
          <w:rPr>
            <w:rStyle w:val="VerbatimChar"/>
          </w:rPr>
          <w:t xml:space="preserve">10_poder_mercado_rubricas.py</w:t>
        </w:r>
      </w:hyperlink>
      <w:r>
        <w:rPr>
          <w:sz w:val="20"/>
        </w:rPr>
        <w:t xml:space="preserve"> </w:t>
      </w:r>
      <w:r>
        <w:rPr>
          <w:sz w:val="20"/>
        </w:rPr>
        <w:t xml:space="preserve">e</w:t>
      </w:r>
      <w:r>
        <w:rPr>
          <w:sz w:val="20"/>
        </w:rPr>
        <w:t xml:space="preserve"> </w:t>
      </w:r>
      <w:hyperlink r:id="rId34">
        <w:r>
          <w:rPr>
            <w:rStyle w:val="VerbatimChar"/>
          </w:rPr>
          <w:t xml:space="preserve">19_poder_revisao.py</w:t>
        </w:r>
      </w:hyperlink>
      <w:r>
        <w:rPr>
          <w:sz w:val="20"/>
        </w:rPr>
        <w:t xml:space="preserve">).</w:t>
      </w:r>
    </w:p>
    <w:p>
      <w:pPr>
        <w:pStyle w:val="BodyText"/>
      </w:pPr>
      <w:r>
        <w:t xml:space="preserve">A comparação na margem do racionamento só detecta efeitos muito grandes; para o efeito de receber em algum momento, o EMD divide-se pelo primeiro estágio (0,41) e vai a 69 a 84 pontos. Para detectar 15 pontos, o desenho prospectivo precisa de 112 a 168 recusados por braço: no ritmo de 2023 e 2024, de 11 a 21 projetos recusados por ano, são de 6 a 16 ciclos, e H5 só decide no longo prazo ou com esgotamentos mais frequentes. O experimento conjunto detecta diferenças de 7 a 13 pontos na probabilidade de escolha com 60 decisores, e de 10 a 19 com 30; o braço da população pouco acrescenta ao erro, e a diferença entre empresas e população fica entre 8 e 20 pontos. A avaliação cega detecta diferença de nota de 0,43 desvio-padrão (DP) entre habilitados e inabilitados. O desenho de H4 detecta efeitos de poucos pontos se incluir os agentes individuais, que precisariam de CNPJ (MEI) para se inscrever, e só assim atende à regra de 30 a 50 conglomerados por grupo (GERTLER</w:t>
      </w:r>
      <w:r>
        <w:t xml:space="preserve"> </w:t>
      </w:r>
      <w:r>
        <w:rPr>
          <w:i/>
          <w:iCs/>
        </w:rPr>
        <w:t xml:space="preserve">et al.</w:t>
      </w:r>
      <w:r>
        <w:t xml:space="preserve">, 2018): são 35 ou 36 municípios em cada, e a diferença entre os braços tem EMD de 2,3 a 4,9 pontos. Só com os coletivos, são 26 por grupo, e o efeito mínimo passa de 5 pontos. Para quem adere à oferta, o EMD é o da Tabela 2 dividido pela adesão. 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bookmarkEnd w:id="35"/>
    <w:bookmarkStart w:id="36"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de fonte (a captação pela Lei Rouanet entra como resultado), os eventos externos do período (Lei Paulo Gustavo e Política Nacional Aldir Blanc) e o atrito dos dados. No experimento conjunto, a escolha declarada pode pender para o socialmente desejável; a escolha forçada entre perfis reduz o viés, e os patrocínios observados servem de validação. Na avaliação cega, dois avaliadores por projeto medem a confiabilidade da nota. A validade externa é limitada: as comparações retrospectivas de H5 valem para o regime de 2022-2024, em que a habilitação precedia a busca por patrocinador, e desde 2025 os expirados quase desapareceram (3 em 56 resolvidos no ciclo 2025). No plano ético, nenhum desenho nega acesso a elegíveis: o apoio chega aos controles ao fim, e o deslocamento pelo teto é medido pela saturação. Dados identificados exigem anonimização (LGPD), e pesquisas com pessoas, aprovação de comitê de ética.</w:t>
      </w:r>
    </w:p>
    <w:bookmarkEnd w:id="36"/>
    <w:bookmarkEnd w:id="37"/>
    <w:bookmarkStart w:id="38" w:name="conclusão"/>
    <w:p>
      <w:pPr>
        <w:pStyle w:val="Heading1"/>
      </w:pPr>
      <w:r>
        <w:t xml:space="preserve">6 Conclusão</w:t>
      </w:r>
    </w:p>
    <w:p>
      <w:pPr>
        <w:pStyle w:val="FirstParagraph"/>
      </w:pPr>
      <w:r>
        <w:t xml:space="preserve">A LICC é um gasto tributário que mais que dobrou de 2023 a 2026, sem problema declarado, objetivos mensuráveis ou previsão de avaliação: o Estado paga, as empresas escolhem, e o público que usaria o bem cultural não passa pelo mecanismo. 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 A entrega, extremo da cadeia, é indeterminada, porque a SECULT não publica o público alcançado.</w:t>
      </w:r>
    </w:p>
    <w:p>
      <w:pPr>
        <w:pStyle w:val="BodyText"/>
      </w:pP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BodyText"/>
      </w:pPr>
      <w:r>
        <w:t xml:space="preserve">Das cinco perguntas, a da entrega (H5) é a mais importante e a mais difícil: mais da metade dos recusados por falta de teto captou no ano seguinte, e comparar quem recebe com quem não recebe exige resultado datado e a fila de termos com as datas. Se a adicionalidade na margem for baixa, ampliar o teto financia sobretudo o que ocorreria de todo modo, e as decisões que importam passam a ser quem entra e o que se entrega. Limitações dos dados: a situação publicada aproxima a captação, a estreia é medida por nome de proponente, e o retrato territorial cobre 74% do valor.</w:t>
      </w:r>
    </w:p>
    <w:bookmarkEnd w:id="38"/>
    <w:bookmarkStart w:id="57"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w:t>
      </w:r>
      <w:r>
        <w:t xml:space="preserve"> </w:t>
      </w:r>
      <w:hyperlink r:id="rId39">
        <w:r>
          <w:rPr>
            <w:rStyle w:val="Hyperlink"/>
          </w:rPr>
          <w:t xml:space="preserve">10.1080/01621459.1996.10476902</w:t>
        </w:r>
      </w:hyperlink>
      <w:r>
        <w:t xml:space="preserve">.</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w:t>
      </w:r>
      <w:r>
        <w:t xml:space="preserve"> </w:t>
      </w:r>
      <w:hyperlink r:id="rId40">
        <w:r>
          <w:rPr>
            <w:rStyle w:val="Hyperlink"/>
          </w:rPr>
          <w:t xml:space="preserve">10.1162/rest_a_00716</w:t>
        </w:r>
      </w:hyperlink>
      <w:r>
        <w:t xml:space="preserve">.</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w:t>
      </w:r>
      <w:r>
        <w:t xml:space="preserve"> </w:t>
      </w:r>
      <w:hyperlink r:id="rId41">
        <w:r>
          <w:rPr>
            <w:rStyle w:val="Hyperlink"/>
          </w:rPr>
          <w:t xml:space="preserve">10.1257/aer.20180615</w:t>
        </w:r>
      </w:hyperlink>
      <w:r>
        <w:t xml:space="preserve">.</w:t>
      </w:r>
    </w:p>
    <w:p>
      <w:pPr>
        <w:pStyle w:val="BodyText"/>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BodyText"/>
      </w:pPr>
      <w:r>
        <w:t xml:space="preserve">BUTERIN, Vitalik; HITZIG, Zoë; WEYL, E. Glen. A flexible design for funding public goods.</w:t>
      </w:r>
      <w:r>
        <w:t xml:space="preserve"> </w:t>
      </w:r>
      <w:r>
        <w:rPr>
          <w:b/>
          <w:bCs/>
        </w:rPr>
        <w:t xml:space="preserve">Management Science</w:t>
      </w:r>
      <w:r>
        <w:t xml:space="preserve">, v. 65, n. 11, p. 5171-5187, 2019. DOI:</w:t>
      </w:r>
      <w:r>
        <w:t xml:space="preserve"> </w:t>
      </w:r>
      <w:hyperlink r:id="rId42">
        <w:r>
          <w:rPr>
            <w:rStyle w:val="Hyperlink"/>
          </w:rPr>
          <w:t xml:space="preserve">10.1287/mnsc.2019.3337</w:t>
        </w:r>
      </w:hyperlink>
      <w:r>
        <w:t xml:space="preserve">.</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w:t>
      </w:r>
      <w:r>
        <w:t xml:space="preserve"> </w:t>
      </w:r>
      <w:hyperlink r:id="rId43">
        <w:r>
          <w:rPr>
            <w:rStyle w:val="Hyperlink"/>
          </w:rPr>
          <w:t xml:space="preserve">10.1590/0034-7612162254</w:t>
        </w:r>
      </w:hyperlink>
      <w:r>
        <w:t xml:space="preserve">.</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w:t>
      </w:r>
      <w:r>
        <w:t xml:space="preserve"> </w:t>
      </w:r>
      <w:hyperlink r:id="rId44">
        <w:r>
          <w:rPr>
            <w:rStyle w:val="Hyperlink"/>
          </w:rPr>
          <w:t xml:space="preserve">10.1332/251569119X15675896589688</w:t>
        </w:r>
      </w:hyperlink>
      <w:r>
        <w:t xml:space="preserve">.</w:t>
      </w:r>
    </w:p>
    <w:p>
      <w:pPr>
        <w:pStyle w:val="BodyText"/>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w:t>
      </w:r>
      <w:r>
        <w:t xml:space="preserve"> </w:t>
      </w:r>
      <w:hyperlink r:id="rId45">
        <w:r>
          <w:rPr>
            <w:rStyle w:val="Hyperlink"/>
          </w:rPr>
          <w:t xml:space="preserve">10.1080/19439342.2016.1244555</w:t>
        </w:r>
      </w:hyperlink>
      <w:r>
        <w:t xml:space="preserve">.</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w:t>
      </w:r>
      <w:r>
        <w:t xml:space="preserve"> </w:t>
      </w:r>
      <w:hyperlink r:id="rId46">
        <w:r>
          <w:rPr>
            <w:rStyle w:val="Hyperlink"/>
          </w:rPr>
          <w:t xml:space="preserve">10.1093/ije/dyl129</w:t>
        </w:r>
      </w:hyperlink>
      <w:r>
        <w:t xml:space="preserve">.</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w:t>
      </w:r>
      <w:r>
        <w:t xml:space="preserve"> </w:t>
      </w:r>
      <w:hyperlink r:id="rId47">
        <w:r>
          <w:rPr>
            <w:rStyle w:val="Hyperlink"/>
          </w:rPr>
          <w:t xml:space="preserve">10.1093/qje/qjz013</w:t>
        </w:r>
      </w:hyperlink>
      <w:r>
        <w:t xml:space="preserve">.</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w:t>
      </w:r>
      <w:r>
        <w:t xml:space="preserve"> </w:t>
      </w:r>
      <w:hyperlink r:id="rId48">
        <w:r>
          <w:rPr>
            <w:rStyle w:val="Hyperlink"/>
          </w:rPr>
          <w:t xml:space="preserve">10.1177/1745691614551642</w:t>
        </w:r>
      </w:hyperlink>
      <w:r>
        <w:t xml:space="preserve">.</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w:t>
      </w:r>
      <w:r>
        <w:t xml:space="preserve"> </w:t>
      </w:r>
      <w:hyperlink r:id="rId49">
        <w:r>
          <w:rPr>
            <w:rStyle w:val="Hyperlink"/>
          </w:rPr>
          <w:t xml:space="preserve">10.1093/pan/mpt024</w:t>
        </w:r>
      </w:hyperlink>
      <w:r>
        <w:t xml:space="preserve">.</w:t>
      </w:r>
    </w:p>
    <w:p>
      <w:pPr>
        <w:pStyle w:val="BodyText"/>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w:t>
      </w:r>
      <w:r>
        <w:t xml:space="preserve"> </w:t>
      </w:r>
      <w:hyperlink r:id="rId50">
        <w:r>
          <w:rPr>
            <w:rStyle w:val="Hyperlink"/>
          </w:rPr>
          <w:t xml:space="preserve">10.1257/aer.103.5.1797</w:t>
        </w:r>
      </w:hyperlink>
      <w:r>
        <w:t xml:space="preserve">.</w:t>
      </w:r>
    </w:p>
    <w:p>
      <w:pPr>
        <w:pStyle w:val="BodyText"/>
      </w:pPr>
      <w:r>
        <w:t xml:space="preserve">MAYNE, John. Useful theory of change models.</w:t>
      </w:r>
      <w:r>
        <w:t xml:space="preserve"> </w:t>
      </w:r>
      <w:r>
        <w:rPr>
          <w:b/>
          <w:bCs/>
        </w:rPr>
        <w:t xml:space="preserve">Canadian Journal of Program Evaluation</w:t>
      </w:r>
      <w:r>
        <w:t xml:space="preserve">, v. 30, n. 2, p. 119-142, 2015. DOI:</w:t>
      </w:r>
      <w:r>
        <w:t xml:space="preserve"> </w:t>
      </w:r>
      <w:hyperlink r:id="rId51">
        <w:r>
          <w:rPr>
            <w:rStyle w:val="Hyperlink"/>
          </w:rPr>
          <w:t xml:space="preserve">10.3138/cjpe.230</w:t>
        </w:r>
      </w:hyperlink>
      <w:r>
        <w:t xml:space="preserve">.</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w:t>
      </w:r>
      <w:r>
        <w:t xml:space="preserve"> </w:t>
      </w:r>
      <w:hyperlink r:id="rId52">
        <w:r>
          <w:rPr>
            <w:rStyle w:val="Hyperlink"/>
          </w:rPr>
          <w:t xml:space="preserve">10.1093/jopart/muu009</w:t>
        </w:r>
      </w:hyperlink>
      <w:r>
        <w:t xml:space="preserve">.</w:t>
      </w:r>
    </w:p>
    <w:p>
      <w:pPr>
        <w:pStyle w:val="BodyText"/>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w:t>
      </w:r>
      <w:r>
        <w:t xml:space="preserve"> </w:t>
      </w:r>
      <w:hyperlink r:id="rId53">
        <w:r>
          <w:rPr>
            <w:rStyle w:val="Hyperlink"/>
          </w:rPr>
          <w:t xml:space="preserve">10.1023/A:1007653328733</w:t>
        </w:r>
      </w:hyperlink>
      <w:r>
        <w:t xml:space="preserve">.</w:t>
      </w:r>
    </w:p>
    <w:p>
      <w:pPr>
        <w:pStyle w:val="BodyText"/>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BodyText"/>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BodyText"/>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w:t>
      </w:r>
      <w:r>
        <w:t xml:space="preserve"> </w:t>
      </w:r>
      <w:hyperlink r:id="rId54">
        <w:r>
          <w:rPr>
            <w:rStyle w:val="Hyperlink"/>
          </w:rPr>
          <w:t xml:space="preserve">10.20435/inter.v22i2.2965</w:t>
        </w:r>
      </w:hyperlink>
      <w:r>
        <w:t xml:space="preserve">.</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w:t>
      </w:r>
      <w:r>
        <w:t xml:space="preserve"> </w:t>
      </w:r>
      <w:hyperlink r:id="rId55">
        <w:r>
          <w:rPr>
            <w:rStyle w:val="Hyperlink"/>
          </w:rPr>
          <w:t xml:space="preserve">10.22617/TCS179188-2</w:t>
        </w:r>
      </w:hyperlink>
      <w:r>
        <w:t xml:space="preserve">.</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w:t>
      </w:r>
      <w:r>
        <w:t xml:space="preserve"> </w:t>
      </w:r>
      <w:hyperlink r:id="rId56">
        <w:r>
          <w:rPr>
            <w:rStyle w:val="Hyperlink"/>
          </w:rPr>
          <w:t xml:space="preserve">10.1093/wbro/lky010</w:t>
        </w:r>
      </w:hyperlink>
      <w:r>
        <w:t xml:space="preserve">.</w:t>
      </w:r>
    </w:p>
    <w:bookmarkEnd w:id="57"/>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 dos quais R$ 11,5 milhões foram validados.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53" Type="http://schemas.openxmlformats.org/officeDocument/2006/relationships/hyperlink" Target="https://doi.org/10.1023/A:1007653328733" TargetMode="External"/><Relationship Id="rId39" Type="http://schemas.openxmlformats.org/officeDocument/2006/relationships/hyperlink" Target="https://doi.org/10.1080/01621459.1996.10476902" TargetMode="External"/><Relationship Id="rId45" Type="http://schemas.openxmlformats.org/officeDocument/2006/relationships/hyperlink" Target="https://doi.org/10.1080/19439342.2016.1244555" TargetMode="External"/><Relationship Id="rId46" Type="http://schemas.openxmlformats.org/officeDocument/2006/relationships/hyperlink" Target="https://doi.org/10.1093/ije/dyl129" TargetMode="External"/><Relationship Id="rId52" Type="http://schemas.openxmlformats.org/officeDocument/2006/relationships/hyperlink" Target="https://doi.org/10.1093/jopart/muu009" TargetMode="External"/><Relationship Id="rId49" Type="http://schemas.openxmlformats.org/officeDocument/2006/relationships/hyperlink" Target="https://doi.org/10.1093/pan/mpt024" TargetMode="External"/><Relationship Id="rId47" Type="http://schemas.openxmlformats.org/officeDocument/2006/relationships/hyperlink" Target="https://doi.org/10.1093/qje/qjz013" TargetMode="External"/><Relationship Id="rId56" Type="http://schemas.openxmlformats.org/officeDocument/2006/relationships/hyperlink" Target="https://doi.org/10.1093/wbro/lky010" TargetMode="External"/><Relationship Id="rId40" Type="http://schemas.openxmlformats.org/officeDocument/2006/relationships/hyperlink" Target="https://doi.org/10.1162/rest_a_00716" TargetMode="External"/><Relationship Id="rId48" Type="http://schemas.openxmlformats.org/officeDocument/2006/relationships/hyperlink" Target="https://doi.org/10.1177/1745691614551642" TargetMode="External"/><Relationship Id="rId50" Type="http://schemas.openxmlformats.org/officeDocument/2006/relationships/hyperlink" Target="https://doi.org/10.1257/aer.103.5.1797" TargetMode="External"/><Relationship Id="rId41" Type="http://schemas.openxmlformats.org/officeDocument/2006/relationships/hyperlink" Target="https://doi.org/10.1257/aer.20180615" TargetMode="External"/><Relationship Id="rId42" Type="http://schemas.openxmlformats.org/officeDocument/2006/relationships/hyperlink" Target="https://doi.org/10.1287/mnsc.2019.3337" TargetMode="External"/><Relationship Id="rId44" Type="http://schemas.openxmlformats.org/officeDocument/2006/relationships/hyperlink" Target="https://doi.org/10.1332/251569119X15675896589688" TargetMode="External"/><Relationship Id="rId43" Type="http://schemas.openxmlformats.org/officeDocument/2006/relationships/hyperlink" Target="https://doi.org/10.1590/0034-7612162254" TargetMode="External"/><Relationship Id="rId54" Type="http://schemas.openxmlformats.org/officeDocument/2006/relationships/hyperlink" Target="https://doi.org/10.20435/inter.v22i2.2965" TargetMode="External"/><Relationship Id="rId55" Type="http://schemas.openxmlformats.org/officeDocument/2006/relationships/hyperlink" Target="https://doi.org/10.22617/TCS179188-2" TargetMode="External"/><Relationship Id="rId51"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2" Type="http://schemas.openxmlformats.org/officeDocument/2006/relationships/hyperlink" Target="https://github.com/fcarva/aval-pol/blob/main/analise/07_hipoteses_h1_h3.py" TargetMode="External"/><Relationship Id="rId33" Type="http://schemas.openxmlformats.org/officeDocument/2006/relationships/hyperlink" Target="https://github.com/fcarva/aval-pol/blob/main/analise/10_poder_mercado_rubricas.py" TargetMode="External"/><Relationship Id="rId34" Type="http://schemas.openxmlformats.org/officeDocument/2006/relationships/hyperlink" Target="https://github.com/fcarva/aval-pol/blob/main/analise/19_poder_revisao.py"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31" Type="http://schemas.openxmlformats.org/officeDocument/2006/relationships/hyperlink" Target="https://github.com/fcarva/aval-pol/blob/main/analise/tabelas/19_poder_revisao.csv" TargetMode="External"/><Relationship Id="rId19" Type="http://schemas.openxmlformats.org/officeDocument/2006/relationships/hyperlink" Target="https://github.com/fcarva/aval-pol/tree/main/analise/tabelas"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doi.org/10.1023/A:1007653328733" TargetMode="External"/><Relationship Id="rId39" Type="http://schemas.openxmlformats.org/officeDocument/2006/relationships/hyperlink" Target="https://doi.org/10.1080/01621459.1996.10476902" TargetMode="External"/><Relationship Id="rId45" Type="http://schemas.openxmlformats.org/officeDocument/2006/relationships/hyperlink" Target="https://doi.org/10.1080/19439342.2016.1244555" TargetMode="External"/><Relationship Id="rId46" Type="http://schemas.openxmlformats.org/officeDocument/2006/relationships/hyperlink" Target="https://doi.org/10.1093/ije/dyl129" TargetMode="External"/><Relationship Id="rId52" Type="http://schemas.openxmlformats.org/officeDocument/2006/relationships/hyperlink" Target="https://doi.org/10.1093/jopart/muu009" TargetMode="External"/><Relationship Id="rId49" Type="http://schemas.openxmlformats.org/officeDocument/2006/relationships/hyperlink" Target="https://doi.org/10.1093/pan/mpt024" TargetMode="External"/><Relationship Id="rId47" Type="http://schemas.openxmlformats.org/officeDocument/2006/relationships/hyperlink" Target="https://doi.org/10.1093/qje/qjz013" TargetMode="External"/><Relationship Id="rId56" Type="http://schemas.openxmlformats.org/officeDocument/2006/relationships/hyperlink" Target="https://doi.org/10.1093/wbro/lky010" TargetMode="External"/><Relationship Id="rId40" Type="http://schemas.openxmlformats.org/officeDocument/2006/relationships/hyperlink" Target="https://doi.org/10.1162/rest_a_00716" TargetMode="External"/><Relationship Id="rId48" Type="http://schemas.openxmlformats.org/officeDocument/2006/relationships/hyperlink" Target="https://doi.org/10.1177/1745691614551642" TargetMode="External"/><Relationship Id="rId50" Type="http://schemas.openxmlformats.org/officeDocument/2006/relationships/hyperlink" Target="https://doi.org/10.1257/aer.103.5.1797" TargetMode="External"/><Relationship Id="rId41" Type="http://schemas.openxmlformats.org/officeDocument/2006/relationships/hyperlink" Target="https://doi.org/10.1257/aer.20180615" TargetMode="External"/><Relationship Id="rId42" Type="http://schemas.openxmlformats.org/officeDocument/2006/relationships/hyperlink" Target="https://doi.org/10.1287/mnsc.2019.3337" TargetMode="External"/><Relationship Id="rId44" Type="http://schemas.openxmlformats.org/officeDocument/2006/relationships/hyperlink" Target="https://doi.org/10.1332/251569119X15675896589688" TargetMode="External"/><Relationship Id="rId43" Type="http://schemas.openxmlformats.org/officeDocument/2006/relationships/hyperlink" Target="https://doi.org/10.1590/0034-7612162254" TargetMode="External"/><Relationship Id="rId54" Type="http://schemas.openxmlformats.org/officeDocument/2006/relationships/hyperlink" Target="https://doi.org/10.20435/inter.v22i2.2965" TargetMode="External"/><Relationship Id="rId55" Type="http://schemas.openxmlformats.org/officeDocument/2006/relationships/hyperlink" Target="https://doi.org/10.22617/TCS179188-2" TargetMode="External"/><Relationship Id="rId51"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2" Type="http://schemas.openxmlformats.org/officeDocument/2006/relationships/hyperlink" Target="https://github.com/fcarva/aval-pol/blob/main/analise/07_hipoteses_h1_h3.py" TargetMode="External"/><Relationship Id="rId33" Type="http://schemas.openxmlformats.org/officeDocument/2006/relationships/hyperlink" Target="https://github.com/fcarva/aval-pol/blob/main/analise/10_poder_mercado_rubricas.py" TargetMode="External"/><Relationship Id="rId34" Type="http://schemas.openxmlformats.org/officeDocument/2006/relationships/hyperlink" Target="https://github.com/fcarva/aval-pol/blob/main/analise/19_poder_revisao.py"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31" Type="http://schemas.openxmlformats.org/officeDocument/2006/relationships/hyperlink" Target="https://github.com/fcarva/aval-pol/blob/main/analise/tabelas/19_poder_revisao.csv" TargetMode="External"/><Relationship Id="rId19" Type="http://schemas.openxmlformats.org/officeDocument/2006/relationships/hyperlink" Target="https://github.com/fcarva/aval-pol/tree/main/analise/tabe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Avaliação do desenho da Lei de Incentivo à Cultura Capixaba e proposta de avaliação de impacto</dc:title>
  <dc:creator>Felipe Carvalho Souza Santos</dc:creator>
  <dc:language>pt-BR</dc:language>
  <cp:keywords/>
  <dcterms:created xsi:type="dcterms:W3CDTF">2026-09-28T00:34:26Z</dcterms:created>
  <dcterms:modified xsi:type="dcterms:W3CDTF">2026-09-28T00:34:26Z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