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c0a23e5da3e030d9…</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w:t>
      </w:r>
    </w:p>
    <w:p>
      <w:pPr>
        <w:pStyle w:val="Compact"/>
        <w:numPr>
          <w:ilvl w:val="1"/>
          <w:numId w:val="1006"/>
        </w:numPr>
      </w:pPr>
      <w:r>
        <w:rPr>
          <w:b/>
          <w:bCs/>
        </w:rPr>
        <w:t xml:space="preserve">[0.1.2]</w:t>
      </w:r>
      <w:r>
        <w:t xml:space="preserve"> </w:t>
      </w:r>
      <w:r>
        <w:t xml:space="preserve">Neste artigo, avalia-se o desenho da LICC: da teoria da mudança derivam-se cinco premissas, confrontadas com normas, anexos oficiais e atas da comissão de 2022 a 2026, que orientam uma proposta de avaliação de impacto.</w:t>
      </w:r>
    </w:p>
    <w:p>
      <w:pPr>
        <w:pStyle w:val="Compact"/>
        <w:numPr>
          <w:ilvl w:val="1"/>
          <w:numId w:val="1007"/>
        </w:numPr>
      </w:pPr>
      <w:r>
        <w:rPr>
          <w:b/>
          <w:bCs/>
        </w:rPr>
        <w:t xml:space="preserve">[0.1.3]</w:t>
      </w:r>
      <w:r>
        <w:t xml:space="preserve"> </w:t>
      </w:r>
      <w:r>
        <w:t xml:space="preserve">A decisão de financiamento não mostra orientação evidente pelo valor público: duas empresas respondem por metade da renúncia de 2025, e o bem cultural oferecido à população confunde-se com o marketing das empresas.</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racionado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Para cada premissa, propõe-se um teste com regra de decisão, dados e poder estatístico, entre eles um experimento conjunto com decisores de empresas e residentes e uma avaliação cega dos projetos.</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3"/>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4"/>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5"/>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6"/>
        </w:numPr>
      </w:pPr>
      <w:r>
        <w:t xml:space="preserve">citações: ESPÍRITO SANTO, 2021a</w:t>
      </w:r>
    </w:p>
    <w:p>
      <w:pPr>
        <w:pStyle w:val="Compact"/>
        <w:numPr>
          <w:ilvl w:val="1"/>
          <w:numId w:val="1017"/>
        </w:numPr>
      </w:pPr>
      <w:r>
        <w:rPr>
          <w:b/>
          <w:bCs/>
        </w:rPr>
        <w:t xml:space="preserve">[1.1.2]</w:t>
      </w:r>
      <w:r>
        <w:t xml:space="preserve"> </w:t>
      </w:r>
      <w:r>
        <w:t xml:space="preserve">A Lei de Incentivo à Cultura Capixaba (LICC) cresceu: o teto anual de captação, o montante fixado pela SEFAZ, passou de R$ 15 milhões em 2023 para R$ 31 milhões em 2026. [nota de rodapé: teto2022]</w:t>
      </w:r>
    </w:p>
    <w:p>
      <w:pPr>
        <w:pStyle w:val="Compact"/>
        <w:numPr>
          <w:ilvl w:val="2"/>
          <w:numId w:val="1018"/>
        </w:numPr>
      </w:pPr>
      <w:r>
        <w:t xml:space="preserve">checagem de dados: D05 ✔ (</w:t>
      </w:r>
      <w:r>
        <w:rPr>
          <w:rStyle w:val="VerbatimChar"/>
        </w:rPr>
        <w:t xml:space="preserve">dados/externos/licc_teto_vs_icms.csv</w:t>
      </w:r>
      <w:r>
        <w:t xml:space="preserve">)</w:t>
      </w:r>
    </w:p>
    <w:p>
      <w:pPr>
        <w:pStyle w:val="Compact"/>
        <w:numPr>
          <w:ilvl w:val="2"/>
          <w:numId w:val="1018"/>
        </w:numPr>
      </w:pPr>
      <w:r>
        <w:t xml:space="preserve">☐</w:t>
      </w:r>
      <w:r>
        <w:t xml:space="preserve"> </w:t>
      </w:r>
      <w:r>
        <w:rPr>
          <w:i/>
          <w:iCs/>
        </w:rPr>
        <w:t xml:space="preserve">Nota de rodapé (teto2022):</w:t>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 dos quais R$ 11,5 milhões foram validados.</w:t>
      </w:r>
    </w:p>
    <w:p>
      <w:pPr>
        <w:pStyle w:val="Compact"/>
        <w:numPr>
          <w:ilvl w:val="3"/>
          <w:numId w:val="1019"/>
        </w:numPr>
      </w:pPr>
      <w:r>
        <w:t xml:space="preserve">citações: DIO-ES, 2026; ESPÍRITO SANTO, 2026</w:t>
      </w:r>
    </w:p>
    <w:p>
      <w:pPr>
        <w:pStyle w:val="Compact"/>
        <w:numPr>
          <w:ilvl w:val="3"/>
          <w:numId w:val="1019"/>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dados/externos/dio_teto_trechos.csv (DIO-ES, 27/09/2022, p. 18-19: Portaria SEFAZ nº 83-R)</w:t>
      </w:r>
      <w:r>
        <w:t xml:space="preserve">); D65c ✔ (</w:t>
      </w:r>
      <w:r>
        <w:rPr>
          <w:rStyle w:val="VerbatimChar"/>
        </w:rPr>
        <w:t xml:space="preserve">analise/tabelas/03f_captacao_anual_secult.csv</w:t>
      </w:r>
      <w:r>
        <w:t xml:space="preserve">)</w:t>
      </w:r>
    </w:p>
    <w:p>
      <w:pPr>
        <w:pStyle w:val="Compact"/>
        <w:numPr>
          <w:ilvl w:val="1"/>
          <w:numId w:val="1020"/>
        </w:numPr>
      </w:pPr>
      <w:r>
        <w:rPr>
          <w:b/>
          <w:bCs/>
        </w:rPr>
        <w:t xml:space="preserve">[1.1.3]</w:t>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w:t>
      </w:r>
    </w:p>
    <w:p>
      <w:pPr>
        <w:pStyle w:val="Compact"/>
        <w:numPr>
          <w:ilvl w:val="2"/>
          <w:numId w:val="1021"/>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w:t>
      </w:r>
    </w:p>
    <w:p>
      <w:pPr>
        <w:pStyle w:val="Compact"/>
        <w:numPr>
          <w:ilvl w:val="2"/>
          <w:numId w:val="1021"/>
        </w:numPr>
      </w:pPr>
      <w:r>
        <w:t xml:space="preserve">⚠ números sem checagem automática (conferir na fonte citada): 25, 63</w:t>
      </w:r>
    </w:p>
    <w:p>
      <w:pPr>
        <w:pStyle w:val="Compact"/>
        <w:numPr>
          <w:ilvl w:val="1"/>
          <w:numId w:val="1022"/>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R$ 111 milhões. [nota de rodapé: repo]</w:t>
      </w:r>
    </w:p>
    <w:p>
      <w:pPr>
        <w:pStyle w:val="Compact"/>
        <w:numPr>
          <w:ilvl w:val="2"/>
          <w:numId w:val="1023"/>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3"/>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4"/>
        </w:numPr>
      </w:pPr>
      <w:r>
        <w:t xml:space="preserve">⚠ números sem checagem automática (conferir na fonte citada): 3, 10</w:t>
      </w:r>
    </w:p>
    <w:p>
      <w:pPr>
        <w:pStyle w:val="Compact"/>
        <w:numPr>
          <w:ilvl w:val="0"/>
          <w:numId w:val="1014"/>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5"/>
        </w:numPr>
      </w:pPr>
      <w:r>
        <w:rPr>
          <w:b/>
          <w:bCs/>
        </w:rPr>
        <w:t xml:space="preserve">[1.2.1]</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6"/>
        </w:numPr>
      </w:pPr>
      <w:r>
        <w:t xml:space="preserve">citações: IBGE, 2025</w:t>
      </w:r>
    </w:p>
    <w:p>
      <w:pPr>
        <w:pStyle w:val="Compact"/>
        <w:numPr>
          <w:ilvl w:val="2"/>
          <w:numId w:val="1026"/>
        </w:numPr>
      </w:pPr>
      <w:r>
        <w:t xml:space="preserve">checagem de dados: D08 ✔ (</w:t>
      </w:r>
      <w:r>
        <w:rPr>
          <w:rStyle w:val="VerbatimChar"/>
        </w:rPr>
        <w:t xml:space="preserve">dados/externos/siic_uf.csv</w:t>
      </w:r>
      <w:r>
        <w:t xml:space="preserve">)</w:t>
      </w:r>
    </w:p>
    <w:p>
      <w:pPr>
        <w:pStyle w:val="Compact"/>
        <w:numPr>
          <w:ilvl w:val="2"/>
          <w:numId w:val="1026"/>
        </w:numPr>
      </w:pPr>
      <w:r>
        <w:t xml:space="preserve">⚠ números sem checagem automática (conferir na fonte citada): 27</w:t>
      </w:r>
    </w:p>
    <w:p>
      <w:pPr>
        <w:pStyle w:val="Compact"/>
        <w:numPr>
          <w:ilvl w:val="1"/>
          <w:numId w:val="1027"/>
        </w:numPr>
      </w:pPr>
      <w:r>
        <w:rPr>
          <w:b/>
          <w:bCs/>
        </w:rPr>
        <w:t xml:space="preserve">[1.2.2]</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28"/>
        </w:numPr>
      </w:pPr>
      <w:r>
        <w:t xml:space="preserve">citações: SECULT, 2020</w:t>
      </w:r>
    </w:p>
    <w:p>
      <w:pPr>
        <w:pStyle w:val="Compact"/>
        <w:numPr>
          <w:ilvl w:val="2"/>
          <w:numId w:val="1028"/>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29"/>
        </w:numPr>
      </w:pPr>
      <w:r>
        <w:rPr>
          <w:b/>
          <w:bCs/>
        </w:rPr>
        <w:t xml:space="preserve">[1.2.3]</w:t>
      </w:r>
      <w:r>
        <w:t xml:space="preserve"> </w:t>
      </w:r>
      <w:r>
        <w:t xml:space="preserve">O contraste sugere que o atraso está no núcleo cultural, que a LICC financia, e não na atividade criativa como um todo.</w:t>
      </w:r>
    </w:p>
    <w:p>
      <w:pPr>
        <w:pStyle w:val="Compact"/>
        <w:numPr>
          <w:ilvl w:val="1"/>
          <w:numId w:val="1030"/>
        </w:numPr>
      </w:pPr>
      <w:r>
        <w:rPr>
          <w:b/>
          <w:bCs/>
        </w:rPr>
        <w:t xml:space="preserve">[1.2.4]</w:t>
      </w:r>
      <w:r>
        <w:t xml:space="preserve"> </w:t>
      </w:r>
      <w:r>
        <w:t xml:space="preserve">A desigualdade relevante, porém,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1"/>
        </w:numPr>
      </w:pPr>
      <w:r>
        <w:t xml:space="preserve">citações: IBGE, 2022</w:t>
      </w:r>
    </w:p>
    <w:p>
      <w:pPr>
        <w:pStyle w:val="Compact"/>
        <w:numPr>
          <w:ilvl w:val="2"/>
          <w:numId w:val="1031"/>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2"/>
        </w:numPr>
      </w:pPr>
      <w:r>
        <w:rPr>
          <w:b/>
          <w:bCs/>
        </w:rPr>
        <w:t xml:space="preserve">[1.2.5]</w:t>
      </w:r>
      <w:r>
        <w:t xml:space="preserve"> </w:t>
      </w:r>
      <w:r>
        <w:t xml:space="preserve">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Compact"/>
        <w:numPr>
          <w:ilvl w:val="0"/>
          <w:numId w:val="1014"/>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e decisão privada</w:t>
      </w:r>
    </w:p>
    <w:p>
      <w:pPr>
        <w:pStyle w:val="Compact"/>
        <w:numPr>
          <w:ilvl w:val="1"/>
          <w:numId w:val="1033"/>
        </w:numPr>
      </w:pPr>
      <w:r>
        <w:rPr>
          <w:b/>
          <w:bCs/>
        </w:rPr>
        <w:t xml:space="preserve">[1.3.1]</w:t>
      </w:r>
      <w:r>
        <w:t xml:space="preserve"> </w:t>
      </w:r>
      <w:r>
        <w:t xml:space="preserve">A avaliação da LICC se justifica por duas razões.</w:t>
      </w:r>
    </w:p>
    <w:p>
      <w:pPr>
        <w:pStyle w:val="Compact"/>
        <w:numPr>
          <w:ilvl w:val="1"/>
          <w:numId w:val="1034"/>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5"/>
        </w:numPr>
      </w:pPr>
      <w:r>
        <w:t xml:space="preserve">citações: SECULT, 2026c; BRASIL, 2026</w:t>
      </w:r>
    </w:p>
    <w:p>
      <w:pPr>
        <w:pStyle w:val="Compact"/>
        <w:numPr>
          <w:ilvl w:val="2"/>
          <w:numId w:val="1035"/>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6"/>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7"/>
        </w:numPr>
      </w:pPr>
      <w:r>
        <w:t xml:space="preserve">citações: SILVA, 2017; DEKKER; RODRIGUES, 2019</w:t>
      </w:r>
    </w:p>
    <w:p>
      <w:pPr>
        <w:pStyle w:val="Compact"/>
        <w:numPr>
          <w:ilvl w:val="0"/>
          <w:numId w:val="1014"/>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38"/>
        </w:numPr>
      </w:pPr>
      <w:r>
        <w:rPr>
          <w:b/>
          <w:bCs/>
        </w:rPr>
        <w:t xml:space="preserve">[1.4.1]</w:t>
      </w:r>
      <w:r>
        <w:t xml:space="preserve"> </w:t>
      </w:r>
      <w:r>
        <w:t xml:space="preserve">O artigo tem dois objetivos: avaliar o desenho da LICC, sem propor redesenho do mecanismo, e estruturar uma avaliação de impacto, com desenho amostral, fontes de dados e cálculo de poder.</w:t>
      </w:r>
    </w:p>
    <w:p>
      <w:pPr>
        <w:pStyle w:val="Compact"/>
        <w:numPr>
          <w:ilvl w:val="1"/>
          <w:numId w:val="1039"/>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0"/>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1"/>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2"/>
        </w:numPr>
      </w:pPr>
      <w:r>
        <w:rPr>
          <w:b/>
          <w:bCs/>
        </w:rPr>
        <w:t xml:space="preserve">[2.1.2]</w:t>
      </w:r>
      <w:r>
        <w:t xml:space="preserve"> </w:t>
      </w:r>
      <w:r>
        <w:t xml:space="preserve">O proponente inscreve o projeto na SECULT.</w:t>
      </w:r>
    </w:p>
    <w:p>
      <w:pPr>
        <w:pStyle w:val="Compact"/>
        <w:numPr>
          <w:ilvl w:val="1"/>
          <w:numId w:val="1043"/>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4"/>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5"/>
        </w:numPr>
      </w:pPr>
      <w:r>
        <w:t xml:space="preserve">citações: ESPÍRITO SANTO, 2021b, art. 10</w:t>
      </w:r>
    </w:p>
    <w:p>
      <w:pPr>
        <w:pStyle w:val="Compact"/>
        <w:numPr>
          <w:ilvl w:val="2"/>
          <w:numId w:val="1045"/>
        </w:numPr>
      </w:pPr>
      <w:r>
        <w:t xml:space="preserve">⚠ números sem checagem automática (conferir na fonte citada): 100%</w:t>
      </w:r>
    </w:p>
    <w:p>
      <w:pPr>
        <w:pStyle w:val="Compact"/>
        <w:numPr>
          <w:ilvl w:val="1"/>
          <w:numId w:val="1046"/>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47"/>
        </w:numPr>
      </w:pPr>
      <w:r>
        <w:rPr>
          <w:b/>
          <w:bCs/>
        </w:rPr>
        <w:t xml:space="preserve">Colunas:</w:t>
      </w:r>
      <w:r>
        <w:t xml:space="preserve"> </w:t>
      </w:r>
      <w:r>
        <w:t xml:space="preserve">Elemento · Regra vigente · Norma</w:t>
      </w:r>
    </w:p>
    <w:p>
      <w:pPr>
        <w:pStyle w:val="Compact"/>
        <w:numPr>
          <w:ilvl w:val="1"/>
          <w:numId w:val="1048"/>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49"/>
        </w:numPr>
      </w:pPr>
      <w:r>
        <w:t xml:space="preserve">⚠ números sem checagem automática (conferir na fonte citada): 100%</w:t>
      </w:r>
    </w:p>
    <w:p>
      <w:pPr>
        <w:pStyle w:val="Compact"/>
        <w:numPr>
          <w:ilvl w:val="1"/>
          <w:numId w:val="1050"/>
        </w:numPr>
      </w:pPr>
      <w:r>
        <w:rPr>
          <w:b/>
          <w:bCs/>
        </w:rPr>
        <w:t xml:space="preserve">Teto anual</w:t>
      </w:r>
      <w:r>
        <w:t xml:space="preserve"> </w:t>
      </w:r>
      <w:r>
        <w:t xml:space="preserve">— Fixado pela SEFAZ até 31/01, ampliável no exercício, limitado a 2% do ICMS estadual do ano anterior: R$ 15 mi em 2022 (10 mi ampliados em setembro) e 2023, 25 mi em 2024 e 2025, 31 mi em 2026 — Dec. 5.035-R/2021, art. 4º; Dec. 5.210-R/2022; portarias SEFAZ</w:t>
      </w:r>
    </w:p>
    <w:p>
      <w:pPr>
        <w:pStyle w:val="Compact"/>
        <w:numPr>
          <w:ilvl w:val="2"/>
          <w:numId w:val="1051"/>
        </w:numPr>
      </w:pPr>
      <w:r>
        <w:t xml:space="preserve">⚠ números sem checagem automática (conferir na fonte citada): 31, 01, 2%, 15, 10, 25</w:t>
      </w:r>
    </w:p>
    <w:p>
      <w:pPr>
        <w:pStyle w:val="Compact"/>
        <w:numPr>
          <w:ilvl w:val="1"/>
          <w:numId w:val="1052"/>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3"/>
        </w:numPr>
      </w:pPr>
      <w:r>
        <w:t xml:space="preserve">⚠ números sem checagem automática (conferir na fonte citada): 20%, 15%, 10%, 5%</w:t>
      </w:r>
    </w:p>
    <w:p>
      <w:pPr>
        <w:pStyle w:val="Compact"/>
        <w:numPr>
          <w:ilvl w:val="1"/>
          <w:numId w:val="1054"/>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5"/>
        </w:numPr>
      </w:pPr>
      <w:r>
        <w:t xml:space="preserve">⚠ números sem checagem automática (conferir na fonte citada): 2, 3</w:t>
      </w:r>
    </w:p>
    <w:p>
      <w:pPr>
        <w:pStyle w:val="Compact"/>
        <w:numPr>
          <w:ilvl w:val="1"/>
          <w:numId w:val="1056"/>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57"/>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57"/>
        </w:numPr>
      </w:pPr>
      <w:r>
        <w:t xml:space="preserve">⚠ números sem checagem automática (conferir na fonte citada): 1, 300, 001</w:t>
      </w:r>
    </w:p>
    <w:p>
      <w:pPr>
        <w:pStyle w:val="Compact"/>
        <w:numPr>
          <w:ilvl w:val="1"/>
          <w:numId w:val="1058"/>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59"/>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0"/>
        </w:numPr>
      </w:pPr>
      <w:r>
        <w:t xml:space="preserve">⚠ números sem checagem automática (conferir na fonte citada): 30%, 10, 10%, 50%</w:t>
      </w:r>
    </w:p>
    <w:p>
      <w:pPr>
        <w:pStyle w:val="Compact"/>
        <w:numPr>
          <w:ilvl w:val="1"/>
          <w:numId w:val="1061"/>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2"/>
        </w:numPr>
      </w:pPr>
      <w:r>
        <w:t xml:space="preserve">⚠ números sem checagem automática (conferir na fonte citada): 10%, 15, 25%</w:t>
      </w:r>
    </w:p>
    <w:p>
      <w:pPr>
        <w:pStyle w:val="Compact"/>
        <w:numPr>
          <w:ilvl w:val="1"/>
          <w:numId w:val="1063"/>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4"/>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47"/>
        </w:numPr>
      </w:pPr>
      <w:r>
        <w:rPr>
          <w:b/>
          <w:bCs/>
        </w:rPr>
        <w:t xml:space="preserve">2.2</w:t>
      </w:r>
      <w:r>
        <w:t xml:space="preserve"> </w:t>
      </w:r>
      <w:r>
        <w:t xml:space="preserve">(fonte do quadro, tabela ou figura)</w:t>
      </w:r>
    </w:p>
    <w:p>
      <w:pPr>
        <w:pStyle w:val="Compact"/>
        <w:numPr>
          <w:ilvl w:val="1"/>
          <w:numId w:val="1065"/>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6"/>
        </w:numPr>
      </w:pPr>
      <w:r>
        <w:t xml:space="preserve">citações: ESPÍRITO SANTO, 2021a; 2021b; SECULT, 2022; 2023a; 2025a; 2026a</w:t>
      </w:r>
    </w:p>
    <w:p>
      <w:pPr>
        <w:pStyle w:val="Compact"/>
        <w:numPr>
          <w:ilvl w:val="0"/>
          <w:numId w:val="1047"/>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67"/>
        </w:numPr>
      </w:pPr>
      <w:r>
        <w:rPr>
          <w:b/>
          <w:bCs/>
        </w:rPr>
        <w:t xml:space="preserve">[2.3.1]</w:t>
      </w:r>
      <w:r>
        <w:t xml:space="preserve"> </w:t>
      </w:r>
      <w:r>
        <w:t xml:space="preserve">Três características do arranjo pesam na avaliação.</w:t>
      </w:r>
    </w:p>
    <w:p>
      <w:pPr>
        <w:pStyle w:val="Compact"/>
        <w:numPr>
          <w:ilvl w:val="1"/>
          <w:numId w:val="1068"/>
        </w:numPr>
      </w:pPr>
      <w:r>
        <w:rPr>
          <w:b/>
          <w:bCs/>
        </w:rPr>
        <w:t xml:space="preserve">[2.3.2]</w:t>
      </w:r>
      <w:r>
        <w:t xml:space="preserve"> </w:t>
      </w:r>
      <w:r>
        <w:t xml:space="preserve">A primeira é a delegação da escolha: o Estado define quem pode receber; a empresa define quem recebe.</w:t>
      </w:r>
    </w:p>
    <w:p>
      <w:pPr>
        <w:pStyle w:val="Compact"/>
        <w:numPr>
          <w:ilvl w:val="1"/>
          <w:numId w:val="1069"/>
        </w:numPr>
      </w:pPr>
      <w:r>
        <w:rPr>
          <w:b/>
          <w:bCs/>
        </w:rPr>
        <w:t xml:space="preserve">[2.3.3]</w:t>
      </w:r>
      <w:r>
        <w:t xml:space="preserve"> </w:t>
      </w:r>
      <w:r>
        <w:t xml:space="preserve">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0"/>
        </w:numPr>
      </w:pPr>
      <w:r>
        <w:t xml:space="preserve">citações: SECULT, 2024b; 2025b; SECULT, 2025a, arts. 41-45</w:t>
      </w:r>
    </w:p>
    <w:p>
      <w:pPr>
        <w:pStyle w:val="Compact"/>
        <w:numPr>
          <w:ilvl w:val="1"/>
          <w:numId w:val="1071"/>
        </w:numPr>
      </w:pPr>
      <w:r>
        <w:rPr>
          <w:b/>
          <w:bCs/>
        </w:rPr>
        <w:t xml:space="preserve">[2.3.4]</w:t>
      </w:r>
      <w:r>
        <w:t xml:space="preserve"> </w:t>
      </w:r>
      <w:r>
        <w:t xml:space="preserve">A terceira é a pouca informação publicada: os anexos não trazem dados cadastrais do proponente, o local de atuação nem indicadores de resultado, e os inabilitados só aparecem nos extratos das atas da comissão (SECULT, 2026f).</w:t>
      </w:r>
    </w:p>
    <w:p>
      <w:pPr>
        <w:pStyle w:val="Compact"/>
        <w:numPr>
          <w:ilvl w:val="2"/>
          <w:numId w:val="1072"/>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3"/>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e a cultura como bem público</w:t>
      </w:r>
    </w:p>
    <w:p>
      <w:pPr>
        <w:pStyle w:val="Compact"/>
        <w:numPr>
          <w:ilvl w:val="1"/>
          <w:numId w:val="1074"/>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w:t>
      </w:r>
    </w:p>
    <w:p>
      <w:pPr>
        <w:pStyle w:val="Compact"/>
        <w:numPr>
          <w:ilvl w:val="2"/>
          <w:numId w:val="1075"/>
        </w:numPr>
      </w:pPr>
      <w:r>
        <w:t xml:space="preserve">citações: O’Hare e Schuster (1983)</w:t>
      </w:r>
    </w:p>
    <w:p>
      <w:pPr>
        <w:pStyle w:val="Compact"/>
        <w:numPr>
          <w:ilvl w:val="1"/>
          <w:numId w:val="1076"/>
        </w:numPr>
      </w:pPr>
      <w:r>
        <w:rPr>
          <w:b/>
          <w:bCs/>
        </w:rPr>
        <w:t xml:space="preserve">[3.1.2]</w:t>
      </w:r>
      <w:r>
        <w:t xml:space="preserve"> </w:t>
      </w:r>
      <w:r>
        <w:t xml:space="preserve">A justificativa econômica é o caráter de bem público da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dos autores.</w:t>
      </w:r>
    </w:p>
    <w:p>
      <w:pPr>
        <w:pStyle w:val="Compact"/>
        <w:numPr>
          <w:ilvl w:val="2"/>
          <w:numId w:val="1077"/>
        </w:numPr>
      </w:pPr>
      <w:r>
        <w:t xml:space="preserve">citações: HITZIG, 2021, tradução nossa; Hitzig e Weyl (2019)</w:t>
      </w:r>
    </w:p>
    <w:p>
      <w:pPr>
        <w:pStyle w:val="Compact"/>
        <w:numPr>
          <w:ilvl w:val="0"/>
          <w:numId w:val="1073"/>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e adicionalidade</w:t>
      </w:r>
    </w:p>
    <w:p>
      <w:pPr>
        <w:pStyle w:val="Compact"/>
        <w:numPr>
          <w:ilvl w:val="1"/>
          <w:numId w:val="1078"/>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79"/>
        </w:numPr>
      </w:pPr>
      <w:r>
        <w:t xml:space="preserve">citações: SILVA, 2017; COSTA; MEDEIROS; BUCCO, 2017; BELEM; DONADONE, 2013</w:t>
      </w:r>
    </w:p>
    <w:p>
      <w:pPr>
        <w:pStyle w:val="Compact"/>
        <w:numPr>
          <w:ilvl w:val="1"/>
          <w:numId w:val="1080"/>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1"/>
        </w:numPr>
      </w:pPr>
      <w:r>
        <w:t xml:space="preserve">citações: Dekker e Rodrigues (2019)</w:t>
      </w:r>
    </w:p>
    <w:p>
      <w:pPr>
        <w:pStyle w:val="Compact"/>
        <w:numPr>
          <w:ilvl w:val="1"/>
          <w:numId w:val="1082"/>
        </w:numPr>
      </w:pPr>
      <w:r>
        <w:rPr>
          <w:b/>
          <w:bCs/>
        </w:rPr>
        <w:t xml:space="preserve">[3.2.3]</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83"/>
        </w:numPr>
      </w:pPr>
      <w:r>
        <w:t xml:space="preserve">citações: OGAVA; GALVÃO; ADAMCZYK, 2022</w:t>
      </w:r>
    </w:p>
    <w:p>
      <w:pPr>
        <w:pStyle w:val="Compact"/>
        <w:numPr>
          <w:ilvl w:val="2"/>
          <w:numId w:val="1083"/>
        </w:numPr>
      </w:pPr>
      <w:r>
        <w:t xml:space="preserve">⚠ números sem checagem automática (conferir na fonte citada): 853</w:t>
      </w:r>
    </w:p>
    <w:p>
      <w:pPr>
        <w:pStyle w:val="Compact"/>
        <w:numPr>
          <w:ilvl w:val="0"/>
          <w:numId w:val="1073"/>
        </w:numPr>
      </w:pPr>
      <w:r>
        <w:rPr>
          <w:b/>
          <w:bCs/>
        </w:rPr>
        <w:t xml:space="preserve">3.3</w:t>
      </w:r>
      <w:r>
        <w:t xml:space="preserve"> </w:t>
      </w:r>
      <w:r>
        <w:t xml:space="preserve">—</w:t>
      </w:r>
      <w:r>
        <w:t xml:space="preserve"> </w:t>
      </w:r>
      <w:r>
        <w:rPr>
          <w:i/>
          <w:iCs/>
        </w:rPr>
        <w:t xml:space="preserve">Passo:</w:t>
      </w:r>
      <w:r>
        <w:t xml:space="preserve"> </w:t>
      </w:r>
      <w:r>
        <w:t xml:space="preserve">Mostra que a evidência sobre incentivos estaduais no Brasil é descritiva</w:t>
      </w:r>
    </w:p>
    <w:p>
      <w:pPr>
        <w:pStyle w:val="Compact"/>
        <w:numPr>
          <w:ilvl w:val="1"/>
          <w:numId w:val="1084"/>
        </w:numPr>
      </w:pPr>
      <w:r>
        <w:rPr>
          <w:b/>
          <w:bCs/>
        </w:rPr>
        <w:t xml:space="preserve">[3.3.1]</w:t>
      </w:r>
      <w:r>
        <w:t xml:space="preserve"> </w:t>
      </w:r>
      <w:r>
        <w:rPr>
          <w:b/>
          <w:bCs/>
        </w:rPr>
        <w:t xml:space="preserve">Evidência causal.</w:t>
      </w:r>
      <w:r>
        <w:t xml:space="preserve"> </w:t>
      </w:r>
      <w:r>
        <w:t xml:space="preserve">Existem poucos trabalhos de avaliação do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85"/>
        </w:numPr>
      </w:pPr>
      <w:r>
        <w:t xml:space="preserve">citações: TEIXEIRA</w:t>
      </w:r>
      <w:r>
        <w:t xml:space="preserve"> </w:t>
      </w:r>
      <w:r>
        <w:rPr>
          <w:i/>
          <w:iCs/>
        </w:rPr>
        <w:t xml:space="preserve">et al.</w:t>
      </w:r>
      <w:r>
        <w:t xml:space="preserve">, 2021</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86"/>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087"/>
        </w:numPr>
      </w:pPr>
      <w:r>
        <w:rPr>
          <w:b/>
          <w:bCs/>
        </w:rPr>
        <w:t xml:space="preserve">[4.1.1.1]</w:t>
      </w:r>
      <w:r>
        <w:t xml:space="preserve"> </w:t>
      </w:r>
      <w:r>
        <w:t xml:space="preserve">A teoria da mudança da LICC (Figura 1) segue cinco passos: propósito, cadeia causal, premissas e riscos, hipótese causal e indicadores.</w:t>
      </w:r>
    </w:p>
    <w:p>
      <w:pPr>
        <w:pStyle w:val="Compact"/>
        <w:numPr>
          <w:ilvl w:val="1"/>
          <w:numId w:val="1088"/>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w:t>
      </w:r>
    </w:p>
    <w:p>
      <w:pPr>
        <w:pStyle w:val="Compact"/>
        <w:numPr>
          <w:ilvl w:val="2"/>
          <w:numId w:val="1089"/>
        </w:numPr>
      </w:pPr>
      <w:r>
        <w:t xml:space="preserve">citações: Gertler</w:t>
      </w:r>
      <w:r>
        <w:t xml:space="preserve"> </w:t>
      </w:r>
      <w:r>
        <w:rPr>
          <w:i/>
          <w:iCs/>
        </w:rPr>
        <w:t xml:space="preserve">et al.</w:t>
      </w:r>
      <w:r>
        <w:t xml:space="preserve"> </w:t>
      </w:r>
      <w:r>
        <w:t xml:space="preserve">(2018)</w:t>
      </w:r>
    </w:p>
    <w:p>
      <w:pPr>
        <w:pStyle w:val="Compact"/>
        <w:numPr>
          <w:ilvl w:val="1"/>
          <w:numId w:val="1090"/>
        </w:numPr>
      </w:pPr>
      <w:r>
        <w:rPr>
          <w:b/>
          <w:bCs/>
        </w:rPr>
        <w:t xml:space="preserve">[4.1.1.3]</w:t>
      </w:r>
      <w:r>
        <w:t xml:space="preserve"> </w:t>
      </w:r>
      <w:r>
        <w:t xml:space="preserve">Por isso a Figura 1 separa três cadeias: a entrada, o financiamento e a entrega, e indica quem decide em cada elo.</w:t>
      </w:r>
    </w:p>
    <w:p>
      <w:pPr>
        <w:pStyle w:val="Compact"/>
        <w:numPr>
          <w:ilvl w:val="0"/>
          <w:numId w:val="1086"/>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091"/>
        </w:numPr>
      </w:pPr>
      <w:r>
        <w:rPr>
          <w:b/>
          <w:bCs/>
        </w:rPr>
        <w:t xml:space="preserve">[4.1.2.1]</w:t>
      </w:r>
      <w:r>
        <w:t xml:space="preserve"> </w:t>
      </w: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86"/>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092"/>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093"/>
        </w:numPr>
      </w:pPr>
      <w:r>
        <w:t xml:space="preserve">citações: MAYNE, 2015</w:t>
      </w:r>
    </w:p>
    <w:p>
      <w:pPr>
        <w:pStyle w:val="Compact"/>
        <w:numPr>
          <w:ilvl w:val="1"/>
          <w:numId w:val="1094"/>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095"/>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096"/>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097"/>
        </w:numPr>
      </w:pPr>
      <w:r>
        <w:rPr>
          <w:b/>
          <w:bCs/>
        </w:rPr>
        <w:t xml:space="preserve">[4.1.3.5]</w:t>
      </w:r>
      <w:r>
        <w:t xml:space="preserve"> </w:t>
      </w:r>
      <w:r>
        <w:t xml:space="preserve">H3 (taxa de serviço): o recurso chega ao bem cultural, e não à intermediação.</w:t>
      </w:r>
    </w:p>
    <w:p>
      <w:pPr>
        <w:pStyle w:val="Compact"/>
        <w:numPr>
          <w:ilvl w:val="1"/>
          <w:numId w:val="1098"/>
        </w:numPr>
      </w:pPr>
      <w:r>
        <w:rPr>
          <w:b/>
          <w:bCs/>
        </w:rPr>
        <w:t xml:space="preserve">[4.1.3.6]</w:t>
      </w:r>
      <w:r>
        <w:t xml:space="preserve"> </w:t>
      </w:r>
      <w:r>
        <w:t xml:space="preserve">H4 (exclusão): quem não tem acesso a grandes contribuintes consegue entrar.</w:t>
      </w:r>
    </w:p>
    <w:p>
      <w:pPr>
        <w:pStyle w:val="Compact"/>
        <w:numPr>
          <w:ilvl w:val="1"/>
          <w:numId w:val="1099"/>
        </w:numPr>
      </w:pPr>
      <w:r>
        <w:rPr>
          <w:b/>
          <w:bCs/>
        </w:rPr>
        <w:t xml:space="preserve">[4.1.3.7]</w:t>
      </w:r>
      <w:r>
        <w:t xml:space="preserve"> </w:t>
      </w:r>
      <w:r>
        <w:t xml:space="preserve">H5 (entrega): o bem financiado não existiria sem a LICC.</w:t>
      </w:r>
    </w:p>
    <w:p>
      <w:pPr>
        <w:pStyle w:val="Compact"/>
        <w:numPr>
          <w:ilvl w:val="1"/>
          <w:numId w:val="1100"/>
        </w:numPr>
      </w:pPr>
      <w:r>
        <w:rPr>
          <w:b/>
          <w:bCs/>
        </w:rPr>
        <w:t xml:space="preserve">[4.1.3.8]</w:t>
      </w:r>
      <w:r>
        <w:t xml:space="preserve"> </w:t>
      </w:r>
      <w:r>
        <w:t xml:space="preserve">H1 a H4 perguntam quem decide e a que custo; H5, se o que se financia é adicional.</w:t>
      </w:r>
    </w:p>
    <w:p>
      <w:pPr>
        <w:pStyle w:val="Compact"/>
        <w:numPr>
          <w:ilvl w:val="1"/>
          <w:numId w:val="1101"/>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figura-1-teoria-da-mudança-da-licc"/>
    <w:p>
      <w:pPr>
        <w:pStyle w:val="Heading3"/>
      </w:pPr>
      <w:r>
        <w:t xml:space="preserve">Figura 1 – Teoria da mudança da LICC</w:t>
      </w:r>
    </w:p>
    <w:p>
      <w:pPr>
        <w:pStyle w:val="Compact"/>
        <w:numPr>
          <w:ilvl w:val="0"/>
          <w:numId w:val="1102"/>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03"/>
        </w:numPr>
      </w:pPr>
      <w:r>
        <w:t xml:space="preserve">Baixa e desigual capacidade de financiar a produção e a oferta cultural fora do circuito já consolidado</w:t>
      </w:r>
    </w:p>
    <w:p>
      <w:pPr>
        <w:pStyle w:val="Compact"/>
        <w:numPr>
          <w:ilvl w:val="1"/>
          <w:numId w:val="1104"/>
        </w:numPr>
      </w:pPr>
      <w:r>
        <w:t xml:space="preserve">Teto anual de renúncia de ICMS (imposto que a população deixa de arrecadar) · SECULT, pareceristas, CAP e SEFAZ · Mapa Cultural</w:t>
      </w:r>
    </w:p>
    <w:p>
      <w:pPr>
        <w:pStyle w:val="Compact"/>
        <w:numPr>
          <w:ilvl w:val="1"/>
          <w:numId w:val="1105"/>
        </w:numPr>
      </w:pPr>
      <w:r>
        <w:t xml:space="preserve">A1 · Inscrição no edital: on-line, com CNPJ e documentos (quem decide: agente cultural)</w:t>
      </w:r>
    </w:p>
    <w:p>
      <w:pPr>
        <w:pStyle w:val="Compact"/>
        <w:numPr>
          <w:ilvl w:val="1"/>
          <w:numId w:val="1106"/>
        </w:numPr>
      </w:pPr>
      <w:r>
        <w:t xml:space="preserve">A2 · Parecer e CAP: parecer sem nota; a CAP habilita ou não (quem decide: SECULT e CAP)</w:t>
      </w:r>
    </w:p>
    <w:p>
      <w:pPr>
        <w:pStyle w:val="Compact"/>
        <w:numPr>
          <w:ilvl w:val="1"/>
          <w:numId w:val="1107"/>
        </w:numPr>
      </w:pPr>
      <w:r>
        <w:t xml:space="preserve">P1 · Cardápio de projetos habilitados: autorização para captar por um ano</w:t>
      </w:r>
    </w:p>
    <w:p>
      <w:pPr>
        <w:pStyle w:val="Compact"/>
        <w:numPr>
          <w:ilvl w:val="1"/>
          <w:numId w:val="1108"/>
        </w:numPr>
      </w:pPr>
      <w:r>
        <w:t xml:space="preserve">A3 · Escolha e termo: a empresa escolhe e compromete o ICMS (quem decide: empresa)</w:t>
      </w:r>
    </w:p>
    <w:p>
      <w:pPr>
        <w:pStyle w:val="Compact"/>
        <w:numPr>
          <w:ilvl w:val="1"/>
          <w:numId w:val="1109"/>
        </w:numPr>
      </w:pPr>
      <w:r>
        <w:t xml:space="preserve">A4 · Validação no teto: termos validados até esgotar a cota (quem decide: SEFAZ)</w:t>
      </w:r>
    </w:p>
    <w:p>
      <w:pPr>
        <w:pStyle w:val="Compact"/>
        <w:numPr>
          <w:ilvl w:val="1"/>
          <w:numId w:val="1110"/>
        </w:numPr>
      </w:pPr>
      <w:r>
        <w:t xml:space="preserve">P2 · Projetos patrocinados: captação por projeto e empresa</w:t>
      </w:r>
    </w:p>
    <w:p>
      <w:pPr>
        <w:pStyle w:val="Compact"/>
        <w:numPr>
          <w:ilvl w:val="1"/>
          <w:numId w:val="1111"/>
        </w:numPr>
      </w:pPr>
      <w:r>
        <w:t xml:space="preserve">P3 · Projetos executados: com contrapartidas de acesso (quem decide: proponente)</w:t>
      </w:r>
    </w:p>
    <w:p>
      <w:pPr>
        <w:pStyle w:val="Compact"/>
        <w:numPr>
          <w:ilvl w:val="1"/>
          <w:numId w:val="1112"/>
        </w:numPr>
      </w:pPr>
      <w:r>
        <w:t xml:space="preserve">RI1 · Bens culturais de acesso público: gratuidade, acessibilidade, interior</w:t>
      </w:r>
    </w:p>
    <w:p>
      <w:pPr>
        <w:pStyle w:val="Compact"/>
        <w:numPr>
          <w:ilvl w:val="1"/>
          <w:numId w:val="1113"/>
        </w:numPr>
      </w:pPr>
      <w:r>
        <w:t xml:space="preserve">RI2 · Quem executa se diversifica: novos proponentes, interior, emprego</w:t>
      </w:r>
    </w:p>
    <w:p>
      <w:pPr>
        <w:pStyle w:val="Compact"/>
        <w:numPr>
          <w:ilvl w:val="1"/>
          <w:numId w:val="1114"/>
        </w:numPr>
      </w:pPr>
      <w:r>
        <w:t xml:space="preserve">Acesso maior e menos desigual da população à cultura, e um setor cultural mais capaz de se financiar</w:t>
      </w:r>
    </w:p>
    <w:p>
      <w:pPr>
        <w:pStyle w:val="Compact"/>
        <w:numPr>
          <w:ilvl w:val="1"/>
          <w:numId w:val="1115"/>
        </w:numPr>
      </w:pPr>
      <w:r>
        <w:t xml:space="preserve">H4 · Exclusão na entrada: Quem não chega a grandes contribuintes (projeto pequeno, interior, estreante) consegue entrar e captar?</w:t>
      </w:r>
    </w:p>
    <w:p>
      <w:pPr>
        <w:pStyle w:val="Compact"/>
        <w:numPr>
          <w:ilvl w:val="1"/>
          <w:numId w:val="1116"/>
        </w:numPr>
      </w:pPr>
      <w:r>
        <w:t xml:space="preserve">H2 · Decisão concentrada: O parecer só qualifica; entre os habilitados, decidem a empresa e a fila dos termos. O público não escolhe.</w:t>
      </w:r>
    </w:p>
    <w:p>
      <w:pPr>
        <w:pStyle w:val="Compact"/>
        <w:numPr>
          <w:ilvl w:val="1"/>
          <w:numId w:val="1117"/>
        </w:numPr>
      </w:pPr>
      <w:r>
        <w:t xml:space="preserve">H1 · Marketing: A escolha pela marca, retorno privado da empresa, deixa de fora bem público que a população valorizaria?</w:t>
      </w:r>
    </w:p>
    <w:p>
      <w:pPr>
        <w:pStyle w:val="Compact"/>
        <w:numPr>
          <w:ilvl w:val="1"/>
          <w:numId w:val="1118"/>
        </w:numPr>
      </w:pPr>
      <w:r>
        <w:t xml:space="preserve">H3 · Taxa de serviço: Quanto do recurso fica com captação, elaboração e divulgação (até 10%, 5% e 25%)?</w:t>
      </w:r>
    </w:p>
    <w:p>
      <w:pPr>
        <w:pStyle w:val="Compact"/>
        <w:numPr>
          <w:ilvl w:val="1"/>
          <w:numId w:val="1119"/>
        </w:numPr>
      </w:pPr>
      <w:r>
        <w:t xml:space="preserve">H5 · Entrega verificável: O bem cultural aconteceria sem a LICC? Chega ao público, e o declarado é entregue?</w:t>
      </w:r>
    </w:p>
    <w:p>
      <w:pPr>
        <w:pStyle w:val="Compact"/>
        <w:numPr>
          <w:ilvl w:val="0"/>
          <w:numId w:val="1102"/>
        </w:numPr>
      </w:pPr>
      <w:r>
        <w:rPr>
          <w:b/>
          <w:bCs/>
        </w:rPr>
        <w:t xml:space="preserve">4.1.4</w:t>
      </w:r>
      <w:r>
        <w:t xml:space="preserve"> </w:t>
      </w:r>
      <w:r>
        <w:t xml:space="preserve">(fonte do quadro, tabela ou figura)</w:t>
      </w:r>
    </w:p>
    <w:p>
      <w:pPr>
        <w:pStyle w:val="Compact"/>
        <w:numPr>
          <w:ilvl w:val="1"/>
          <w:numId w:val="1120"/>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21"/>
        </w:numPr>
      </w:pPr>
      <w:r>
        <w:t xml:space="preserve">citações: GERTLER</w:t>
      </w:r>
      <w:r>
        <w:t xml:space="preserve"> </w:t>
      </w:r>
      <w:r>
        <w:rPr>
          <w:i/>
          <w:iCs/>
        </w:rPr>
        <w:t xml:space="preserve">et al.</w:t>
      </w:r>
      <w:r>
        <w:t xml:space="preserve">, 2018</w:t>
      </w:r>
    </w:p>
    <w:p>
      <w:pPr>
        <w:pStyle w:val="Compact"/>
        <w:numPr>
          <w:ilvl w:val="1"/>
          <w:numId w:val="1122"/>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23"/>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24"/>
        </w:numPr>
      </w:pPr>
      <w:r>
        <w:rPr>
          <w:b/>
          <w:bCs/>
        </w:rPr>
        <w:t xml:space="preserve">[4.2.1.1]</w:t>
      </w:r>
      <w:r>
        <w:t xml:space="preserve"> </w:t>
      </w:r>
      <w:r>
        <w:t xml:space="preserve">Aplicam-se as perguntas usuais de avaliação de desenho: o problema está formulado?</w:t>
      </w:r>
    </w:p>
    <w:p>
      <w:pPr>
        <w:pStyle w:val="Compact"/>
        <w:numPr>
          <w:ilvl w:val="1"/>
          <w:numId w:val="1125"/>
        </w:numPr>
      </w:pPr>
      <w:r>
        <w:rPr>
          <w:b/>
          <w:bCs/>
        </w:rPr>
        <w:t xml:space="preserve">[4.2.1.2]</w:t>
      </w:r>
      <w:r>
        <w:t xml:space="preserve"> </w:t>
      </w:r>
      <w:r>
        <w:t xml:space="preserve">Os objetivos são mensuráveis?</w:t>
      </w:r>
    </w:p>
    <w:p>
      <w:pPr>
        <w:pStyle w:val="Compact"/>
        <w:numPr>
          <w:ilvl w:val="1"/>
          <w:numId w:val="1126"/>
        </w:numPr>
      </w:pPr>
      <w:r>
        <w:rPr>
          <w:b/>
          <w:bCs/>
        </w:rPr>
        <w:t xml:space="preserve">[4.2.1.3]</w:t>
      </w:r>
      <w:r>
        <w:t xml:space="preserve"> </w:t>
      </w:r>
      <w:r>
        <w:t xml:space="preserve">Cada elo tem premissa crível e indicador?</w:t>
      </w:r>
    </w:p>
    <w:p>
      <w:pPr>
        <w:pStyle w:val="Compact"/>
        <w:numPr>
          <w:ilvl w:val="1"/>
          <w:numId w:val="1127"/>
        </w:numPr>
      </w:pPr>
      <w:r>
        <w:rPr>
          <w:b/>
          <w:bCs/>
        </w:rPr>
        <w:t xml:space="preserve">[4.2.1.4]</w:t>
      </w:r>
      <w:r>
        <w:t xml:space="preserve"> </w:t>
      </w:r>
      <w:r>
        <w:t xml:space="preserve">Quanto se perde ao longo da cadeia?</w:t>
      </w:r>
    </w:p>
    <w:p>
      <w:pPr>
        <w:pStyle w:val="Compact"/>
        <w:numPr>
          <w:ilvl w:val="1"/>
          <w:numId w:val="1128"/>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29"/>
        </w:numPr>
      </w:pPr>
      <w:r>
        <w:t xml:space="preserve">citações: Williams (2020)</w:t>
      </w:r>
    </w:p>
    <w:p>
      <w:pPr>
        <w:pStyle w:val="Compact"/>
        <w:numPr>
          <w:ilvl w:val="0"/>
          <w:numId w:val="1123"/>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30"/>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31"/>
        </w:numPr>
      </w:pPr>
      <w:r>
        <w:t xml:space="preserve">citações: ESPÍRITO SANTO, 2021b, art. 3º</w:t>
      </w:r>
    </w:p>
    <w:p>
      <w:pPr>
        <w:pStyle w:val="Compact"/>
        <w:numPr>
          <w:ilvl w:val="1"/>
          <w:numId w:val="1132"/>
        </w:numPr>
      </w:pPr>
      <w:r>
        <w:rPr>
          <w:b/>
          <w:bCs/>
        </w:rPr>
        <w:t xml:space="preserve">[4.2.2.2]</w:t>
      </w:r>
      <w:r>
        <w:t xml:space="preserve"> </w:t>
      </w:r>
      <w:r>
        <w:t xml:space="preserve">Não há meta, magnitude esperada nem indicador.</w:t>
      </w:r>
    </w:p>
    <w:p>
      <w:pPr>
        <w:pStyle w:val="Compact"/>
        <w:numPr>
          <w:ilvl w:val="1"/>
          <w:numId w:val="1133"/>
        </w:numPr>
      </w:pPr>
      <w:r>
        <w:rPr>
          <w:b/>
          <w:bCs/>
        </w:rPr>
        <w:t xml:space="preserve">[4.2.2.3]</w:t>
      </w:r>
      <w:r>
        <w:t xml:space="preserve"> </w:t>
      </w:r>
      <w:r>
        <w:t xml:space="preserve">A LICC não atende ao critério de que um programa declare resultados e magnitude esperados (BARROS; LIMA, 2017).</w:t>
      </w:r>
    </w:p>
    <w:p>
      <w:pPr>
        <w:pStyle w:val="Compact"/>
        <w:numPr>
          <w:ilvl w:val="2"/>
          <w:numId w:val="1134"/>
        </w:numPr>
      </w:pPr>
      <w:r>
        <w:t xml:space="preserve">citações: BARROS; LIMA, 2017</w:t>
      </w:r>
    </w:p>
    <w:p>
      <w:pPr>
        <w:pStyle w:val="Compact"/>
        <w:numPr>
          <w:ilvl w:val="0"/>
          <w:numId w:val="1123"/>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35"/>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36"/>
        </w:numPr>
      </w:pPr>
      <w:r>
        <w:t xml:space="preserve">citações: WHITE; RAITZER, 2017</w:t>
      </w:r>
    </w:p>
    <w:p>
      <w:pPr>
        <w:pStyle w:val="Compact"/>
        <w:numPr>
          <w:ilvl w:val="1"/>
          <w:numId w:val="1137"/>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38"/>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39"/>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40"/>
        </w:numPr>
      </w:pPr>
      <w:r>
        <w:t xml:space="preserve">checagem de dados: N04 ✔ (</w:t>
      </w:r>
      <w:r>
        <w:rPr>
          <w:rStyle w:val="VerbatimChar"/>
        </w:rPr>
        <w:t xml:space="preserve">analise/tabelas/07_funil_por_ciclo.csv</w:t>
      </w:r>
      <w:r>
        <w:t xml:space="preserve">)</w:t>
      </w:r>
    </w:p>
    <w:bookmarkEnd w:id="18"/>
    <w:bookmarkStart w:id="19" w:name="quadro-2-premissas-da-teoria-da-mudança"/>
    <w:p>
      <w:pPr>
        <w:pStyle w:val="Heading3"/>
      </w:pPr>
      <w:r>
        <w:t xml:space="preserve">Quadro 2 – Premissas da teoria da mudança</w:t>
      </w:r>
    </w:p>
    <w:p>
      <w:pPr>
        <w:pStyle w:val="Compact"/>
        <w:numPr>
          <w:ilvl w:val="0"/>
          <w:numId w:val="1141"/>
        </w:numPr>
      </w:pPr>
      <w:r>
        <w:rPr>
          <w:b/>
          <w:bCs/>
        </w:rPr>
        <w:t xml:space="preserve">Colunas:</w:t>
      </w:r>
      <w:r>
        <w:t xml:space="preserve"> </w:t>
      </w:r>
      <w:r>
        <w:t xml:space="preserve">Elo · Premissa · Contexto real · Situação</w:t>
      </w:r>
    </w:p>
    <w:p>
      <w:pPr>
        <w:pStyle w:val="Compact"/>
        <w:numPr>
          <w:ilvl w:val="1"/>
          <w:numId w:val="1142"/>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Não sustentada: evidência mista</w:t>
      </w:r>
    </w:p>
    <w:p>
      <w:pPr>
        <w:pStyle w:val="Compact"/>
        <w:numPr>
          <w:ilvl w:val="2"/>
          <w:numId w:val="1143"/>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43"/>
        </w:numPr>
      </w:pPr>
      <w:r>
        <w:t xml:space="preserve">⚠ números sem checagem automática (conferir na fonte citada): 25%</w:t>
      </w:r>
    </w:p>
    <w:p>
      <w:pPr>
        <w:pStyle w:val="Compact"/>
        <w:numPr>
          <w:ilvl w:val="1"/>
          <w:numId w:val="1144"/>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45"/>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46"/>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47"/>
        </w:numPr>
      </w:pPr>
      <w:r>
        <w:t xml:space="preserve">checagem de dados: N52 ✔ (</w:t>
      </w:r>
      <w:r>
        <w:rPr>
          <w:rStyle w:val="VerbatimChar"/>
        </w:rPr>
        <w:t xml:space="preserve">analise/tabelas/10_taxa_servico_permitida_2025.csv</w:t>
      </w:r>
      <w:r>
        <w:t xml:space="preserve">)</w:t>
      </w:r>
    </w:p>
    <w:p>
      <w:pPr>
        <w:pStyle w:val="Compact"/>
        <w:numPr>
          <w:ilvl w:val="1"/>
          <w:numId w:val="1148"/>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49"/>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50"/>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51"/>
        </w:numPr>
      </w:pPr>
      <w:r>
        <w:t xml:space="preserve">⚠ números sem checagem automática (conferir na fonte citada): 30%</w:t>
      </w:r>
    </w:p>
    <w:p>
      <w:pPr>
        <w:pStyle w:val="Compact"/>
        <w:numPr>
          <w:ilvl w:val="0"/>
          <w:numId w:val="1141"/>
        </w:numPr>
      </w:pPr>
      <w:r>
        <w:rPr>
          <w:b/>
          <w:bCs/>
        </w:rPr>
        <w:t xml:space="preserve">4.2.4</w:t>
      </w:r>
      <w:r>
        <w:t xml:space="preserve"> </w:t>
      </w:r>
      <w:r>
        <w:t xml:space="preserve">(fonte do quadro, tabela ou figura)</w:t>
      </w:r>
    </w:p>
    <w:p>
      <w:pPr>
        <w:pStyle w:val="Compact"/>
        <w:numPr>
          <w:ilvl w:val="1"/>
          <w:numId w:val="1152"/>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53"/>
        </w:numPr>
      </w:pPr>
      <w:r>
        <w:t xml:space="preserve">citações: ESPÍRITO SANTO, 2026; Williams (2020)</w:t>
      </w:r>
    </w:p>
    <w:p>
      <w:pPr>
        <w:pStyle w:val="Compact"/>
        <w:numPr>
          <w:ilvl w:val="2"/>
          <w:numId w:val="1153"/>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54"/>
        </w:numPr>
      </w:pPr>
      <w:r>
        <w:rPr>
          <w:b/>
          <w:bCs/>
        </w:rPr>
        <w:t xml:space="preserve">Colunas:</w:t>
      </w:r>
      <w:r>
        <w:t xml:space="preserve"> </w:t>
      </w:r>
      <w:r>
        <w:t xml:space="preserve">Etapa · Valor · Período</w:t>
      </w:r>
    </w:p>
    <w:p>
      <w:pPr>
        <w:pStyle w:val="Compact"/>
        <w:numPr>
          <w:ilvl w:val="1"/>
          <w:numId w:val="1155"/>
        </w:numPr>
      </w:pPr>
      <w:r>
        <w:rPr>
          <w:b/>
          <w:bCs/>
        </w:rPr>
        <w:t xml:space="preserve">Agentes culturais cadastrados no Mapa Cultural (coletivos)</w:t>
      </w:r>
      <w:r>
        <w:t xml:space="preserve"> </w:t>
      </w:r>
      <w:r>
        <w:t xml:space="preserve">— 25.441 (2.592) — set. 2026</w:t>
      </w:r>
    </w:p>
    <w:p>
      <w:pPr>
        <w:pStyle w:val="Compact"/>
        <w:numPr>
          <w:ilvl w:val="2"/>
          <w:numId w:val="1156"/>
        </w:numPr>
      </w:pPr>
      <w:r>
        <w:t xml:space="preserve">checagem de dados: N03 ✔ (</w:t>
      </w:r>
      <w:r>
        <w:rPr>
          <w:rStyle w:val="VerbatimChar"/>
        </w:rPr>
        <w:t xml:space="preserve">analise/tabelas/07_mapa_cultural_universo.csv</w:t>
      </w:r>
      <w:r>
        <w:t xml:space="preserve">)</w:t>
      </w:r>
    </w:p>
    <w:p>
      <w:pPr>
        <w:pStyle w:val="Compact"/>
        <w:numPr>
          <w:ilvl w:val="1"/>
          <w:numId w:val="1157"/>
        </w:numPr>
      </w:pPr>
      <w:r>
        <w:rPr>
          <w:b/>
          <w:bCs/>
        </w:rPr>
        <w:t xml:space="preserve">Projetos inscritos</w:t>
      </w:r>
      <w:r>
        <w:t xml:space="preserve"> </w:t>
      </w:r>
      <w:r>
        <w:t xml:space="preserve">— não publicado — —</w:t>
      </w:r>
    </w:p>
    <w:p>
      <w:pPr>
        <w:pStyle w:val="Compact"/>
        <w:numPr>
          <w:ilvl w:val="1"/>
          <w:numId w:val="1158"/>
        </w:numPr>
      </w:pPr>
      <w:r>
        <w:rPr>
          <w:b/>
          <w:bCs/>
        </w:rPr>
        <w:t xml:space="preserve">Projetos habilitados; proponentes por ciclo</w:t>
      </w:r>
      <w:r>
        <w:t xml:space="preserve"> </w:t>
      </w:r>
      <w:r>
        <w:t xml:space="preserve">— 305; 53, 92 e 95 — ciclos 2022-2024</w:t>
      </w:r>
    </w:p>
    <w:p>
      <w:pPr>
        <w:pStyle w:val="Compact"/>
        <w:numPr>
          <w:ilvl w:val="2"/>
          <w:numId w:val="1159"/>
        </w:numPr>
      </w:pPr>
      <w:r>
        <w:t xml:space="preserve">checagem de dados: N05 ✔ (</w:t>
      </w:r>
      <w:r>
        <w:rPr>
          <w:rStyle w:val="VerbatimChar"/>
        </w:rPr>
        <w:t xml:space="preserve">analise/tabelas/07_funil_por_ciclo.csv</w:t>
      </w:r>
      <w:r>
        <w:t xml:space="preserve">)</w:t>
      </w:r>
    </w:p>
    <w:p>
      <w:pPr>
        <w:pStyle w:val="Compact"/>
        <w:numPr>
          <w:ilvl w:val="1"/>
          <w:numId w:val="1160"/>
        </w:numPr>
      </w:pPr>
      <w:r>
        <w:rPr>
          <w:b/>
          <w:bCs/>
        </w:rPr>
        <w:t xml:space="preserve">Habilitados com situação resolvida; captaram</w:t>
      </w:r>
      <w:r>
        <w:t xml:space="preserve"> </w:t>
      </w:r>
      <w:r>
        <w:t xml:space="preserve">— 293; 198 — ciclos 2022-2024</w:t>
      </w:r>
    </w:p>
    <w:p>
      <w:pPr>
        <w:pStyle w:val="Compact"/>
        <w:numPr>
          <w:ilvl w:val="2"/>
          <w:numId w:val="1161"/>
        </w:numPr>
      </w:pPr>
      <w:r>
        <w:t xml:space="preserve">checagem de dados: N06 ✔ (</w:t>
      </w:r>
      <w:r>
        <w:rPr>
          <w:rStyle w:val="VerbatimChar"/>
        </w:rPr>
        <w:t xml:space="preserve">analise/tabelas/07_funil_por_ciclo.csv</w:t>
      </w:r>
      <w:r>
        <w:t xml:space="preserve">)</w:t>
      </w:r>
    </w:p>
    <w:p>
      <w:pPr>
        <w:pStyle w:val="Compact"/>
        <w:numPr>
          <w:ilvl w:val="1"/>
          <w:numId w:val="1162"/>
        </w:numPr>
      </w:pPr>
      <w:r>
        <w:rPr>
          <w:b/>
          <w:bCs/>
        </w:rPr>
        <w:t xml:space="preserve">Valor com patrocinador que coube no teto</w:t>
      </w:r>
      <w:r>
        <w:t xml:space="preserve"> </w:t>
      </w:r>
      <w:r>
        <w:t xml:space="preserve">— 78%; 74% — captação 2023; 2024</w:t>
      </w:r>
    </w:p>
    <w:p>
      <w:pPr>
        <w:pStyle w:val="Compact"/>
        <w:numPr>
          <w:ilvl w:val="2"/>
          <w:numId w:val="1163"/>
        </w:numPr>
      </w:pPr>
      <w:r>
        <w:t xml:space="preserve">checagem de dados: N08 ✔ (</w:t>
      </w:r>
      <w:r>
        <w:rPr>
          <w:rStyle w:val="VerbatimChar"/>
        </w:rPr>
        <w:t xml:space="preserve">analise/tabelas/07_funil_captacao_anual.csv</w:t>
      </w:r>
      <w:r>
        <w:t xml:space="preserve">)</w:t>
      </w:r>
    </w:p>
    <w:p>
      <w:pPr>
        <w:pStyle w:val="Compact"/>
        <w:numPr>
          <w:ilvl w:val="1"/>
          <w:numId w:val="1164"/>
        </w:numPr>
      </w:pPr>
      <w:r>
        <w:rPr>
          <w:b/>
          <w:bCs/>
        </w:rPr>
        <w:t xml:space="preserve">Público alcançado e gratuidade</w:t>
      </w:r>
      <w:r>
        <w:t xml:space="preserve"> </w:t>
      </w:r>
      <w:r>
        <w:t xml:space="preserve">— não publicado — —</w:t>
      </w:r>
    </w:p>
    <w:p>
      <w:pPr>
        <w:pStyle w:val="Compact"/>
        <w:numPr>
          <w:ilvl w:val="0"/>
          <w:numId w:val="1154"/>
        </w:numPr>
      </w:pPr>
      <w:r>
        <w:rPr>
          <w:b/>
          <w:bCs/>
        </w:rPr>
        <w:t xml:space="preserve">4.2.5</w:t>
      </w:r>
      <w:r>
        <w:t xml:space="preserve"> </w:t>
      </w:r>
      <w:r>
        <w:t xml:space="preserve">(fonte do quadro, tabela ou figura)</w:t>
      </w:r>
    </w:p>
    <w:p>
      <w:pPr>
        <w:pStyle w:val="Compact"/>
        <w:numPr>
          <w:ilvl w:val="1"/>
          <w:numId w:val="1165"/>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66"/>
        </w:numPr>
      </w:pPr>
      <w:r>
        <w:t xml:space="preserve">citações: SECULT, 2026d</w:t>
      </w:r>
    </w:p>
    <w:p>
      <w:pPr>
        <w:pStyle w:val="Compact"/>
        <w:numPr>
          <w:ilvl w:val="2"/>
          <w:numId w:val="1166"/>
        </w:numPr>
      </w:pPr>
      <w:r>
        <w:t xml:space="preserve">⚠ números sem checagem automática (conferir na fonte citada): 2026</w:t>
      </w:r>
    </w:p>
    <w:p>
      <w:pPr>
        <w:pStyle w:val="Compact"/>
        <w:numPr>
          <w:ilvl w:val="1"/>
          <w:numId w:val="1167"/>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54"/>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68"/>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69"/>
        </w:numPr>
      </w:pPr>
      <w:r>
        <w:t xml:space="preserve">citações: SECULT, 2025a, arts. 17 e 19</w:t>
      </w:r>
    </w:p>
    <w:p>
      <w:pPr>
        <w:pStyle w:val="Compact"/>
        <w:numPr>
          <w:ilvl w:val="1"/>
          <w:numId w:val="1170"/>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71"/>
        </w:numPr>
      </w:pPr>
      <w:r>
        <w:t xml:space="preserve">citações: ESPÍRITO SANTO, 2021b, art. 2º; BRASIL, 2006, art. 24; SECULT, 2026a, art. 40</w:t>
      </w:r>
    </w:p>
    <w:p>
      <w:pPr>
        <w:pStyle w:val="Compact"/>
        <w:numPr>
          <w:ilvl w:val="1"/>
          <w:numId w:val="1172"/>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73"/>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74"/>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75"/>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75"/>
        </w:numPr>
      </w:pPr>
      <w:r>
        <w:t xml:space="preserve">⚠ números sem checagem automática (conferir na fonte citada): 400</w:t>
      </w:r>
    </w:p>
    <w:p>
      <w:pPr>
        <w:pStyle w:val="Compact"/>
        <w:numPr>
          <w:ilvl w:val="1"/>
          <w:numId w:val="1176"/>
        </w:numPr>
      </w:pPr>
      <w:r>
        <w:rPr>
          <w:b/>
          <w:bCs/>
        </w:rPr>
        <w:t xml:space="preserve">[4.2.6.5]</w:t>
      </w:r>
      <w:r>
        <w:t xml:space="preserve"> </w:t>
      </w:r>
      <w:r>
        <w:t xml:space="preserve">O teto por projeto fixa um piso de projetos, ao menos 50 com os R$ 25 milhões de 2025 (captaram 63), e os pedidos se acumulam nele: 36% dos habilitados do ciclo 2025 pediram exatamente R$ 500 mil.</w:t>
      </w:r>
    </w:p>
    <w:p>
      <w:pPr>
        <w:pStyle w:val="Compact"/>
        <w:numPr>
          <w:ilvl w:val="2"/>
          <w:numId w:val="1177"/>
        </w:numPr>
      </w:pPr>
      <w:r>
        <w:t xml:space="preserve">checagem de dados: N57 ✔ (</w:t>
      </w:r>
      <w:r>
        <w:rPr>
          <w:rStyle w:val="VerbatimChar"/>
        </w:rPr>
        <w:t xml:space="preserve">analise/tabelas/11_teto_projeto_por_ano.csv</w:t>
      </w:r>
      <w:r>
        <w:t xml:space="preserve">); N58 ✔ (</w:t>
      </w:r>
      <w:r>
        <w:rPr>
          <w:rStyle w:val="VerbatimChar"/>
        </w:rPr>
        <w:t xml:space="preserve">analise/tabelas/03_bunching_teto.csv</w:t>
      </w:r>
      <w:r>
        <w:t xml:space="preserve">)</w:t>
      </w:r>
    </w:p>
    <w:p>
      <w:pPr>
        <w:pStyle w:val="Compact"/>
        <w:numPr>
          <w:ilvl w:val="1"/>
          <w:numId w:val="1178"/>
        </w:numPr>
      </w:pPr>
      <w:r>
        <w:rPr>
          <w:b/>
          <w:bCs/>
        </w:rPr>
        <w:t xml:space="preserve">[4.2.6.6]</w:t>
      </w:r>
      <w:r>
        <w:t xml:space="preserve"> </w:t>
      </w:r>
      <w:r>
        <w:t xml:space="preserve">O acúmulo, porém, também ocorre se quem já tem patrocinador pede o teto.</w:t>
      </w:r>
    </w:p>
    <w:p>
      <w:pPr>
        <w:pStyle w:val="Compact"/>
        <w:numPr>
          <w:ilvl w:val="1"/>
          <w:numId w:val="1179"/>
        </w:numPr>
      </w:pPr>
      <w:r>
        <w:rPr>
          <w:b/>
          <w:bCs/>
        </w:rPr>
        <w:t xml:space="preserve">[4.2.6.7]</w:t>
      </w:r>
      <w:r>
        <w:t xml:space="preserve"> </w:t>
      </w:r>
      <w:r>
        <w:t xml:space="preserve">O custo de entrada é o que a literatura chama de custo administrativo (MOYNIHAN; HERD; HARVEY, 2015); ele pode excluir sem selecionar ou funcionar como triagem (FINKELSTEIN; NOTOWIDIGDO, 2019), e só uma variação exógena desse custo distingue os dois casos.</w:t>
      </w:r>
    </w:p>
    <w:p>
      <w:pPr>
        <w:pStyle w:val="Compact"/>
        <w:numPr>
          <w:ilvl w:val="2"/>
          <w:numId w:val="1180"/>
        </w:numPr>
      </w:pPr>
      <w:r>
        <w:t xml:space="preserve">citações: MOYNIHAN; HERD; HARVEY, 2015; FINKELSTEIN; NOTOWIDIGDO, 2019</w:t>
      </w:r>
    </w:p>
    <w:p>
      <w:pPr>
        <w:pStyle w:val="Compact"/>
        <w:numPr>
          <w:ilvl w:val="0"/>
          <w:numId w:val="1154"/>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81"/>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82"/>
        </w:numPr>
      </w:pPr>
      <w:r>
        <w:t xml:space="preserve">citações: ESPÍRITO SANTO, 2021b, art. 14; SECULT, 2026e; SECULT, 2026d</w:t>
      </w:r>
    </w:p>
    <w:p>
      <w:pPr>
        <w:pStyle w:val="Compact"/>
        <w:numPr>
          <w:ilvl w:val="1"/>
          <w:numId w:val="1183"/>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84"/>
        </w:numPr>
      </w:pPr>
      <w:r>
        <w:t xml:space="preserve">citações: SECULT, 2025c</w:t>
      </w:r>
    </w:p>
    <w:p>
      <w:pPr>
        <w:pStyle w:val="Compact"/>
        <w:numPr>
          <w:ilvl w:val="1"/>
          <w:numId w:val="1185"/>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186"/>
        </w:numPr>
      </w:pPr>
      <w:r>
        <w:t xml:space="preserve">citações: SECULT, 2025a, arts. 40, 41 e 45</w:t>
      </w:r>
    </w:p>
    <w:p>
      <w:pPr>
        <w:pStyle w:val="Compact"/>
        <w:numPr>
          <w:ilvl w:val="2"/>
          <w:numId w:val="1186"/>
        </w:numPr>
      </w:pPr>
      <w:r>
        <w:t xml:space="preserve">⚠ números sem checagem automática (conferir na fonte citada): 35%</w:t>
      </w:r>
    </w:p>
    <w:p>
      <w:pPr>
        <w:pStyle w:val="Compact"/>
        <w:numPr>
          <w:ilvl w:val="1"/>
          <w:numId w:val="1187"/>
        </w:numPr>
      </w:pPr>
      <w:r>
        <w:rPr>
          <w:b/>
          <w:bCs/>
        </w:rPr>
        <w:t xml:space="preserve">[4.2.7.4]</w:t>
      </w:r>
      <w:r>
        <w:t xml:space="preserve"> </w:t>
      </w:r>
      <w:r>
        <w:t xml:space="preserve">Os extratos das atas de 158 reuniões com deliberação, de 2022 a 2026, listam 86 projetos inabilitados, 15% dos deliberados, sem motivo nem critério publicados (SECULT, 2026f).</w:t>
      </w:r>
    </w:p>
    <w:p>
      <w:pPr>
        <w:pStyle w:val="Compact"/>
        <w:numPr>
          <w:ilvl w:val="2"/>
          <w:numId w:val="1188"/>
        </w:numPr>
      </w:pPr>
      <w:r>
        <w:t xml:space="preserve">citações: SECULT, 2026f</w:t>
      </w:r>
    </w:p>
    <w:p>
      <w:pPr>
        <w:pStyle w:val="Compact"/>
        <w:numPr>
          <w:ilvl w:val="2"/>
          <w:numId w:val="1188"/>
        </w:numPr>
      </w:pPr>
      <w:r>
        <w:t xml:space="preserve">checagem de dados: N60 ✔ (</w:t>
      </w:r>
      <w:r>
        <w:rPr>
          <w:rStyle w:val="VerbatimChar"/>
        </w:rPr>
        <w:t xml:space="preserve">analise/tabelas/12_cap_deliberacoes.csv</w:t>
      </w:r>
      <w:r>
        <w:t xml:space="preserve">)</w:t>
      </w:r>
    </w:p>
    <w:p>
      <w:pPr>
        <w:pStyle w:val="Compact"/>
        <w:numPr>
          <w:ilvl w:val="1"/>
          <w:numId w:val="1189"/>
        </w:numPr>
      </w:pPr>
      <w:r>
        <w:rPr>
          <w:b/>
          <w:bCs/>
        </w:rPr>
        <w:t xml:space="preserve">[4.2.7.5]</w:t>
      </w:r>
      <w:r>
        <w:t xml:space="preserve"> </w:t>
      </w:r>
      <w:r>
        <w:t xml:space="preserve">A habilitação qualifica, mas não prioriza, e o que excedeu o teto em 2023-2025 ficou de fora pelo momento em que o termo chegou e foi validado (SECULT, 2026c).</w:t>
      </w:r>
    </w:p>
    <w:p>
      <w:pPr>
        <w:pStyle w:val="Compact"/>
        <w:numPr>
          <w:ilvl w:val="2"/>
          <w:numId w:val="1190"/>
        </w:numPr>
      </w:pPr>
      <w:r>
        <w:t xml:space="preserve">citações: SECULT, 2026c</w:t>
      </w:r>
    </w:p>
    <w:p>
      <w:pPr>
        <w:pStyle w:val="Compact"/>
        <w:numPr>
          <w:ilvl w:val="1"/>
          <w:numId w:val="1191"/>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192"/>
        </w:numPr>
      </w:pPr>
      <w:r>
        <w:t xml:space="preserve">citações: SECULT, 2026g</w:t>
      </w:r>
    </w:p>
    <w:p>
      <w:pPr>
        <w:pStyle w:val="Compact"/>
        <w:numPr>
          <w:ilvl w:val="0"/>
          <w:numId w:val="1154"/>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193"/>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w:t>
      </w:r>
    </w:p>
    <w:p>
      <w:pPr>
        <w:pStyle w:val="Compact"/>
        <w:numPr>
          <w:ilvl w:val="2"/>
          <w:numId w:val="1194"/>
        </w:numPr>
      </w:pPr>
      <w:r>
        <w:t xml:space="preserve">citações: SECULT, 2025a, arts. 23, 55 e 64</w:t>
      </w:r>
    </w:p>
    <w:p>
      <w:pPr>
        <w:pStyle w:val="Compact"/>
        <w:numPr>
          <w:ilvl w:val="2"/>
          <w:numId w:val="1194"/>
        </w:numPr>
      </w:pPr>
      <w:r>
        <w:t xml:space="preserve">checagem de dados: N54 ✔ (</w:t>
      </w:r>
      <w:r>
        <w:rPr>
          <w:rStyle w:val="VerbatimChar"/>
        </w:rPr>
        <w:t xml:space="preserve">analise/tabelas/10_rubricas_teto_in.csv (2025)</w:t>
      </w:r>
      <w:r>
        <w:t xml:space="preserve">)</w:t>
      </w:r>
    </w:p>
    <w:p>
      <w:pPr>
        <w:pStyle w:val="Compact"/>
        <w:numPr>
          <w:ilvl w:val="1"/>
          <w:numId w:val="1195"/>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196"/>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197"/>
        </w:numPr>
      </w:pPr>
      <w:r>
        <w:t xml:space="preserve">citações: O’HAGAN; HARVEY, 2000; BERTRAND</w:t>
      </w:r>
      <w:r>
        <w:t xml:space="preserve"> </w:t>
      </w:r>
      <w:r>
        <w:rPr>
          <w:i/>
          <w:iCs/>
        </w:rPr>
        <w:t xml:space="preserve">et al.</w:t>
      </w:r>
      <w:r>
        <w:t xml:space="preserve">, 2020</w:t>
      </w:r>
    </w:p>
    <w:p>
      <w:pPr>
        <w:pStyle w:val="Compact"/>
        <w:numPr>
          <w:ilvl w:val="1"/>
          <w:numId w:val="1198"/>
        </w:numPr>
      </w:pPr>
      <w:r>
        <w:rPr>
          <w:b/>
          <w:bCs/>
        </w:rPr>
        <w:t xml:space="preserve">[4.2.8.4]</w:t>
      </w:r>
      <w:r>
        <w:t xml:space="preserve"> </w:t>
      </w:r>
      <w:r>
        <w:t xml:space="preserve">Com o dado público, marca e valor público não se separam, porque os eventos grandes e antigos são os mais visíveis e os de maior público: a premissa fica não sustentada, com evidência mista.</w:t>
      </w:r>
    </w:p>
    <w:p>
      <w:pPr>
        <w:pStyle w:val="Compact"/>
        <w:numPr>
          <w:ilvl w:val="1"/>
          <w:numId w:val="1199"/>
        </w:numPr>
      </w:pPr>
      <w:r>
        <w:rPr>
          <w:b/>
          <w:bCs/>
        </w:rPr>
        <w:t xml:space="preserve">[4.2.8.5]</w:t>
      </w:r>
      <w:r>
        <w:t xml:space="preserve"> </w:t>
      </w:r>
      <w:r>
        <w:t xml:space="preserve">Sob crédito integral, escolher pela marca é o esperado.</w:t>
      </w:r>
    </w:p>
    <w:p>
      <w:pPr>
        <w:pStyle w:val="Compact"/>
        <w:numPr>
          <w:ilvl w:val="1"/>
          <w:numId w:val="1200"/>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01"/>
        </w:numPr>
      </w:pPr>
      <w:r>
        <w:t xml:space="preserve">citações: BUTERIN; HITZIG; WEYL, 2019</w:t>
      </w:r>
    </w:p>
    <w:p>
      <w:pPr>
        <w:pStyle w:val="Compact"/>
        <w:numPr>
          <w:ilvl w:val="0"/>
          <w:numId w:val="1154"/>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02"/>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03"/>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04"/>
        </w:numPr>
      </w:pPr>
      <w:r>
        <w:t xml:space="preserve">citações: SECULT, 2025a, arts. 26-28</w:t>
      </w:r>
    </w:p>
    <w:p>
      <w:pPr>
        <w:pStyle w:val="Compact"/>
        <w:numPr>
          <w:ilvl w:val="2"/>
          <w:numId w:val="1204"/>
        </w:numPr>
      </w:pPr>
      <w:r>
        <w:t xml:space="preserve">checagem de dados: N53 ✔ (</w:t>
      </w:r>
      <w:r>
        <w:rPr>
          <w:rStyle w:val="VerbatimChar"/>
        </w:rPr>
        <w:t xml:space="preserve">analise/tabelas/10_rubricas_teto_in.csv (2025)</w:t>
      </w:r>
      <w:r>
        <w:t xml:space="preserve">)</w:t>
      </w:r>
    </w:p>
    <w:p>
      <w:pPr>
        <w:pStyle w:val="Compact"/>
        <w:numPr>
          <w:ilvl w:val="2"/>
          <w:numId w:val="1204"/>
        </w:numPr>
      </w:pPr>
      <w:r>
        <w:t xml:space="preserve">⚠ números sem checagem automática (conferir na fonte citada): 1, 3</w:t>
      </w:r>
    </w:p>
    <w:p>
      <w:pPr>
        <w:pStyle w:val="Compact"/>
        <w:numPr>
          <w:ilvl w:val="1"/>
          <w:numId w:val="1205"/>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06"/>
        </w:numPr>
      </w:pPr>
      <w:r>
        <w:t xml:space="preserve">checagem de dados: N50 ✔ (</w:t>
      </w:r>
      <w:r>
        <w:rPr>
          <w:rStyle w:val="VerbatimChar"/>
        </w:rPr>
        <w:t xml:space="preserve">analise/tabelas/10_taxa_servico_permitida_2025.csv</w:t>
      </w:r>
      <w:r>
        <w:t xml:space="preserve">)</w:t>
      </w:r>
    </w:p>
    <w:p>
      <w:pPr>
        <w:pStyle w:val="Compact"/>
        <w:numPr>
          <w:ilvl w:val="1"/>
          <w:numId w:val="1207"/>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08"/>
        </w:numPr>
      </w:pPr>
      <w:r>
        <w:t xml:space="preserve">citações: SECULT, 2026a, art. 28</w:t>
      </w:r>
    </w:p>
    <w:p>
      <w:pPr>
        <w:pStyle w:val="Compact"/>
        <w:numPr>
          <w:ilvl w:val="2"/>
          <w:numId w:val="1208"/>
        </w:numPr>
      </w:pPr>
      <w:r>
        <w:t xml:space="preserve">⚠ números sem checagem automática (conferir na fonte citada): 10%</w:t>
      </w:r>
    </w:p>
    <w:p>
      <w:pPr>
        <w:pStyle w:val="Compact"/>
        <w:numPr>
          <w:ilvl w:val="1"/>
          <w:numId w:val="1209"/>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54"/>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10"/>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11"/>
        </w:numPr>
      </w:pPr>
      <w:r>
        <w:t xml:space="preserve">citações: BRASIL, 2016</w:t>
      </w:r>
    </w:p>
    <w:p>
      <w:pPr>
        <w:pStyle w:val="Compact"/>
        <w:numPr>
          <w:ilvl w:val="2"/>
          <w:numId w:val="1211"/>
        </w:numPr>
      </w:pPr>
      <w:r>
        <w:t xml:space="preserve">⚠ números sem checagem automática (conferir na fonte citada): 30%</w:t>
      </w:r>
    </w:p>
    <w:p>
      <w:pPr>
        <w:pStyle w:val="Compact"/>
        <w:numPr>
          <w:ilvl w:val="1"/>
          <w:numId w:val="1212"/>
        </w:numPr>
      </w:pPr>
      <w:r>
        <w:rPr>
          <w:b/>
          <w:bCs/>
        </w:rPr>
        <w:t xml:space="preserve">[4.2.10.2]</w:t>
      </w:r>
      <w:r>
        <w:t xml:space="preserve"> </w:t>
      </w:r>
      <w:r>
        <w:t xml:space="preserve">A RMGV tem 49% da população e fica com 67% do valor atribuível a um município em 2022-2026.</w:t>
      </w:r>
    </w:p>
    <w:p>
      <w:pPr>
        <w:pStyle w:val="Compact"/>
        <w:numPr>
          <w:ilvl w:val="2"/>
          <w:numId w:val="1213"/>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1"/>
          <w:numId w:val="1214"/>
        </w:numPr>
      </w:pPr>
      <w:r>
        <w:rPr>
          <w:b/>
          <w:bCs/>
        </w:rPr>
        <w:t xml:space="preserve">[4.2.10.3]</w:t>
      </w:r>
      <w:r>
        <w:t xml:space="preserve"> </w:t>
      </w:r>
      <w:r>
        <w:t xml:space="preserve">O Gini do valor entre os 78 municípios é 0,88, mas quase toda essa desigualdade está dentro de cada região: a diferença entre RMGV e interior explica só 7% do índice de Theil, e é sobre essa parte que age a reserva de 10% para fora da RMGV.</w:t>
      </w:r>
    </w:p>
    <w:p>
      <w:pPr>
        <w:pStyle w:val="Compact"/>
        <w:numPr>
          <w:ilvl w:val="2"/>
          <w:numId w:val="1215"/>
        </w:numPr>
      </w:pPr>
      <w:r>
        <w:t xml:space="preserve">checagem de dados: N20 ✔ (</w:t>
      </w:r>
      <w:r>
        <w:rPr>
          <w:rStyle w:val="VerbatimChar"/>
        </w:rPr>
        <w:t xml:space="preserve">analise/tabelas/03_territorio_indicadores.csv</w:t>
      </w:r>
      <w:r>
        <w:t xml:space="preserve">); N21 ✔ (</w:t>
      </w:r>
      <w:r>
        <w:rPr>
          <w:rStyle w:val="VerbatimChar"/>
        </w:rPr>
        <w:t xml:space="preserve">analise/tabelas/03_territorio_indicadores.csv</w:t>
      </w:r>
      <w:r>
        <w:t xml:space="preserve">)</w:t>
      </w:r>
    </w:p>
    <w:p>
      <w:pPr>
        <w:pStyle w:val="Compact"/>
        <w:numPr>
          <w:ilvl w:val="2"/>
          <w:numId w:val="1215"/>
        </w:numPr>
      </w:pPr>
      <w:r>
        <w:t xml:space="preserve">⚠ números sem checagem automática (conferir na fonte citada): 10%</w:t>
      </w:r>
    </w:p>
    <w:p>
      <w:pPr>
        <w:pStyle w:val="Compact"/>
        <w:numPr>
          <w:ilvl w:val="0"/>
          <w:numId w:val="1154"/>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16"/>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17"/>
        </w:numPr>
      </w:pPr>
      <w:r>
        <w:rPr>
          <w:b/>
          <w:bCs/>
        </w:rPr>
        <w:t xml:space="preserve">[4.2.11.2]</w:t>
      </w:r>
      <w:r>
        <w:t xml:space="preserve"> </w:t>
      </w:r>
      <w:r>
        <w:t xml:space="preserve">O critério público na decisão (H2) não é assegurado pelo desenho, o que não implica que as escolhas sejam ruins; marketing (H1) e exclusão (H4) não se sustentam, com evidência mista; taxa de serviço (H3) e entrega (H5) ficam indeterminadas por falta de dado.</w:t>
      </w:r>
    </w:p>
    <w:p>
      <w:pPr>
        <w:pStyle w:val="Compact"/>
        <w:numPr>
          <w:ilvl w:val="1"/>
          <w:numId w:val="1218"/>
        </w:numPr>
      </w:pPr>
      <w:r>
        <w:rPr>
          <w:b/>
          <w:bCs/>
        </w:rPr>
        <w:t xml:space="preserve">[4.2.11.3]</w:t>
      </w:r>
      <w:r>
        <w:t xml:space="preserve"> </w:t>
      </w:r>
      <w:r>
        <w:t xml:space="preserve">A seção 5 propõe um teste para cada premissa.</w:t>
      </w:r>
    </w:p>
    <w:bookmarkEnd w:id="20"/>
    <w:bookmarkEnd w:id="21"/>
    <w:bookmarkStart w:id="30" w:name="proposta-de-avaliação-de-impacto"/>
    <w:p>
      <w:pPr>
        <w:pStyle w:val="Heading2"/>
      </w:pPr>
      <w:r>
        <w:t xml:space="preserve">5 Proposta de avaliação de impacto</w:t>
      </w:r>
    </w:p>
    <w:bookmarkStart w:id="22" w:name="perguntas-e-parâmetros"/>
    <w:p>
      <w:pPr>
        <w:pStyle w:val="Heading3"/>
      </w:pPr>
      <w:r>
        <w:t xml:space="preserve">5.1 Perguntas e parâmetros</w:t>
      </w:r>
    </w:p>
    <w:p>
      <w:pPr>
        <w:pStyle w:val="Compact"/>
        <w:numPr>
          <w:ilvl w:val="0"/>
          <w:numId w:val="1219"/>
        </w:numPr>
      </w:pPr>
      <w:r>
        <w:rPr>
          <w:b/>
          <w:bCs/>
        </w:rPr>
        <w:t xml:space="preserve">5.1.1</w:t>
      </w:r>
      <w:r>
        <w:t xml:space="preserve"> </w:t>
      </w:r>
      <w:r>
        <w:t xml:space="preserve">—</w:t>
      </w:r>
      <w:r>
        <w:t xml:space="preserve"> </w:t>
      </w:r>
      <w:r>
        <w:rPr>
          <w:i/>
          <w:iCs/>
        </w:rPr>
        <w:t xml:space="preserve">Passo:</w:t>
      </w:r>
      <w:r>
        <w:t xml:space="preserve"> </w:t>
      </w:r>
      <w:r>
        <w:t xml:space="preserve">Converte cada premissa em pergunta com regra de decisão; fio comum; notação, viés e alcance (avaliação de elos)</w:t>
      </w:r>
    </w:p>
    <w:p>
      <w:pPr>
        <w:pStyle w:val="Compact"/>
        <w:numPr>
          <w:ilvl w:val="1"/>
          <w:numId w:val="1220"/>
        </w:numPr>
      </w:pPr>
      <w:r>
        <w:rPr>
          <w:b/>
          <w:bCs/>
        </w:rPr>
        <w:t xml:space="preserve">[5.1.1.1]</w:t>
      </w:r>
      <w:r>
        <w:t xml:space="preserve"> </w:t>
      </w:r>
      <w:r>
        <w:t xml:space="preserve">Cada premissa do Quadro 2 vira uma pergunta de avaliação com uma regra de decisão, o resultado que a derruba (Quadro 3).</w:t>
      </w:r>
    </w:p>
    <w:p>
      <w:pPr>
        <w:pStyle w:val="Compact"/>
        <w:numPr>
          <w:ilvl w:val="1"/>
          <w:numId w:val="1221"/>
        </w:numPr>
      </w:pPr>
      <w:r>
        <w:rPr>
          <w:b/>
          <w:bCs/>
        </w:rPr>
        <w:t xml:space="preserve">[5.1.1.2]</w:t>
      </w:r>
      <w:r>
        <w:t xml:space="preserve"> </w:t>
      </w:r>
      <w:r>
        <w:t xml:space="preserve">O fio comum é saber se a escolha concentrada deixa de fora bens que muitos valorizariam e projetos pequenos que sinalizariam necessidades reais de financiamento: H1 compara os pesos das empresas com os da população, H2 compara a decisão com uma nota pública, e H4 mostra quem aparece quando o custo de entrada cai.</w:t>
      </w:r>
    </w:p>
    <w:p>
      <w:pPr>
        <w:pStyle w:val="Compact"/>
        <w:numPr>
          <w:ilvl w:val="1"/>
          <w:numId w:val="1222"/>
        </w:numPr>
      </w:pPr>
      <w:r>
        <w:rPr>
          <w:b/>
          <w:bCs/>
        </w:rPr>
        <w:t xml:space="preserve">[5.1.1.3]</w:t>
      </w:r>
      <w:r>
        <w:t xml:space="preserve"> </w:t>
      </w:r>
      <w:r>
        <w:t xml:space="preserve">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w:t>
      </w:r>
    </w:p>
    <w:p>
      <w:pPr>
        <w:pStyle w:val="Compact"/>
        <w:numPr>
          <w:ilvl w:val="1"/>
          <w:numId w:val="1223"/>
        </w:numPr>
      </w:pPr>
      <w:r>
        <w:rPr>
          <w:b/>
          <w:bCs/>
        </w:rPr>
        <w:t xml:space="preserve">[5.1.1.4]</w:t>
      </w:r>
      <w:r>
        <w:t xml:space="preserve"> </w:t>
      </w:r>
      <w:r>
        <w:t xml:space="preserve">Em todas as perguntas há autosseleção (o proponente se inscreve, a empresa escolhe), e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p>
      <w:pPr>
        <w:pStyle w:val="Compact"/>
        <w:numPr>
          <w:ilvl w:val="1"/>
          <w:numId w:val="1224"/>
        </w:numPr>
      </w:pPr>
      <w:r>
        <w:rPr>
          <w:b/>
          <w:bCs/>
        </w:rPr>
        <w:t xml:space="preserve">[5.1.1.5]</w:t>
      </w:r>
      <w:r>
        <w:t xml:space="preserve"> </w:t>
      </w:r>
      <w:r>
        <w:t xml:space="preserve">As perguntas testam elos da cadeia, como uma avaliação de mecanismo (GERTLER</w:t>
      </w:r>
      <w:r>
        <w:t xml:space="preserve"> </w:t>
      </w:r>
      <w:r>
        <w:rPr>
          <w:i/>
          <w:iCs/>
        </w:rPr>
        <w:t xml:space="preserve">et al.</w:t>
      </w:r>
      <w:r>
        <w:t xml:space="preserve">, 2018), e não o efeito da LICC sobre o resultado final, que não tem grupo de comparação: a política vale para todo o estado desde 2022.</w:t>
      </w:r>
    </w:p>
    <w:p>
      <w:pPr>
        <w:pStyle w:val="Compact"/>
        <w:numPr>
          <w:ilvl w:val="2"/>
          <w:numId w:val="1225"/>
        </w:numPr>
      </w:pPr>
      <w:r>
        <w:t xml:space="preserve">citações: GERTLER</w:t>
      </w:r>
      <w:r>
        <w:t xml:space="preserve"> </w:t>
      </w:r>
      <w:r>
        <w:rPr>
          <w:i/>
          <w:iCs/>
        </w:rPr>
        <w:t xml:space="preserve">et al.</w:t>
      </w:r>
      <w:r>
        <w:t xml:space="preserve">, 2018</w:t>
      </w:r>
    </w:p>
    <w:bookmarkEnd w:id="22"/>
    <w:bookmarkStart w:id="23" w:name="Xac5ba66b3df5ec6cb591cd88a3276ab4e249095"/>
    <w:p>
      <w:pPr>
        <w:pStyle w:val="Heading3"/>
      </w:pPr>
      <w:r>
        <w:t xml:space="preserve">Quadro 3 – Perguntas de avaliação e regras de decisão</w:t>
      </w:r>
    </w:p>
    <w:p>
      <w:pPr>
        <w:pStyle w:val="Compact"/>
        <w:numPr>
          <w:ilvl w:val="0"/>
          <w:numId w:val="1226"/>
        </w:numPr>
      </w:pPr>
      <w:r>
        <w:rPr>
          <w:b/>
          <w:bCs/>
        </w:rPr>
        <w:t xml:space="preserve">Colunas:</w:t>
      </w:r>
      <w:r>
        <w:t xml:space="preserve"> </w:t>
      </w:r>
      <w:r>
        <w:t xml:space="preserve">Hipótese · Pergunta · Unidade, tratamento e resultado · Parâmetro · A premissa cai se</w:t>
      </w:r>
    </w:p>
    <w:p>
      <w:pPr>
        <w:pStyle w:val="Compact"/>
        <w:numPr>
          <w:ilvl w:val="1"/>
          <w:numId w:val="1227"/>
        </w:numPr>
      </w:pPr>
      <w:r>
        <w:rPr>
          <w:b/>
          <w:bCs/>
        </w:rPr>
        <w:t xml:space="preserve">H1</w:t>
      </w:r>
      <w:r>
        <w:t xml:space="preserve"> </w:t>
      </w:r>
      <w:r>
        <w:t xml:space="preserve">— O que pesa na escolha da empresa, e pesaria o mesmo para a população? — Decisor de empresa e residente;</w:t>
      </w:r>
      <w:r>
        <w:t xml:space="preserve"> </w:t>
      </w:r>
      <w:r>
        <w:rPr>
          <w:i/>
          <w:iCs/>
        </w:rPr>
        <w:t xml:space="preserve">T</w:t>
      </w:r>
      <w:r>
        <w:t xml:space="preserve"> </w:t>
      </w:r>
      <w:r>
        <w:t xml:space="preserve">= atributos sorteados de perfis de projeto;</w:t>
      </w:r>
      <w:r>
        <w:t xml:space="preserve"> </w:t>
      </w:r>
      <w:r>
        <w:rPr>
          <w:i/>
          <w:iCs/>
        </w:rPr>
        <w:t xml:space="preserve">Y</w:t>
      </w:r>
      <w:r>
        <w:t xml:space="preserve"> </w:t>
      </w:r>
      <w:r>
        <w:t xml:space="preserve">= escolhe o perfil — Efeito marginal médio de cada atributo, por grupo, e a diferença — O peso da gratuidade, do interior ou da escala difere entre empresas e população</w:t>
      </w:r>
    </w:p>
    <w:p>
      <w:pPr>
        <w:pStyle w:val="Compact"/>
        <w:numPr>
          <w:ilvl w:val="1"/>
          <w:numId w:val="1228"/>
        </w:numPr>
      </w:pPr>
      <w:r>
        <w:rPr>
          <w:b/>
          <w:bCs/>
        </w:rPr>
        <w:t xml:space="preserve">H2</w:t>
      </w:r>
      <w:r>
        <w:t xml:space="preserve"> </w:t>
      </w:r>
      <w:r>
        <w:t xml:space="preserve">— A habilitação e a captação seguem critério público? — Projeto inscrito; nota cega nos critérios do decreto;</w:t>
      </w:r>
      <w:r>
        <w:t xml:space="preserve"> </w:t>
      </w:r>
      <w:r>
        <w:rPr>
          <w:i/>
          <w:iCs/>
        </w:rPr>
        <w:t xml:space="preserve">Y</w:t>
      </w:r>
      <w:r>
        <w:t xml:space="preserve"> </w:t>
      </w:r>
      <w:r>
        <w:t xml:space="preserve">= habilitado, captou — Diferença de nota entre habilitados e inabilitados e entre quem capta e quem não capta — A nota não separa os grupos, ou o par patrocinador–proponente recorrente explica mais que ela</w:t>
      </w:r>
    </w:p>
    <w:p>
      <w:pPr>
        <w:pStyle w:val="Compact"/>
        <w:numPr>
          <w:ilvl w:val="1"/>
          <w:numId w:val="1229"/>
        </w:numPr>
      </w:pPr>
      <w:r>
        <w:rPr>
          <w:b/>
          <w:bCs/>
        </w:rPr>
        <w:t xml:space="preserve">H3</w:t>
      </w:r>
      <w:r>
        <w:t xml:space="preserve"> </w:t>
      </w:r>
      <w:r>
        <w:t xml:space="preserve">— O recurso chega ao bem cultural, e não à intermediação? — Projeto com planilha de custos;</w:t>
      </w:r>
      <w:r>
        <w:t xml:space="preserve"> </w:t>
      </w:r>
      <w:r>
        <w:rPr>
          <w:i/>
          <w:iCs/>
        </w:rPr>
        <w:t xml:space="preserve">Y</w:t>
      </w:r>
      <w:r>
        <w:t xml:space="preserve"> </w:t>
      </w:r>
      <w:r>
        <w:t xml:space="preserve">= parcela de captação e elaboração — Acúmulo no teto de 10%, antes e depois da regra de 2026 — As taxas se acumulam no teto e sobem quando podem ir ao proponente</w:t>
      </w:r>
    </w:p>
    <w:p>
      <w:pPr>
        <w:pStyle w:val="Compact"/>
        <w:numPr>
          <w:ilvl w:val="2"/>
          <w:numId w:val="1230"/>
        </w:numPr>
      </w:pPr>
      <w:r>
        <w:t xml:space="preserve">⚠ números sem checagem automática (conferir na fonte citada): 10%</w:t>
      </w:r>
    </w:p>
    <w:p>
      <w:pPr>
        <w:pStyle w:val="Compact"/>
        <w:numPr>
          <w:ilvl w:val="1"/>
          <w:numId w:val="1231"/>
        </w:numPr>
      </w:pPr>
      <w:r>
        <w:rPr>
          <w:b/>
          <w:bCs/>
        </w:rPr>
        <w:t xml:space="preserve">H4</w:t>
      </w:r>
      <w:r>
        <w:t xml:space="preserve"> </w:t>
      </w:r>
      <w:r>
        <w:t xml:space="preserve">— Reduzir o custo de entrada muda quem entra? — Agente sem inscrição prévia;</w:t>
      </w:r>
      <w:r>
        <w:t xml:space="preserve"> </w:t>
      </w:r>
      <w:r>
        <w:rPr>
          <w:i/>
          <w:iCs/>
        </w:rPr>
        <w:t xml:space="preserve">T</w:t>
      </w:r>
      <w:r>
        <w:t xml:space="preserve"> </w:t>
      </w:r>
      <w:r>
        <w:t xml:space="preserve">= oferta de apoio à inscrição e à busca de patrocínio;</w:t>
      </w:r>
      <w:r>
        <w:t xml:space="preserve"> </w:t>
      </w:r>
      <w:r>
        <w:rPr>
          <w:i/>
          <w:iCs/>
        </w:rPr>
        <w:t xml:space="preserve">Y</w:t>
      </w:r>
      <w:r>
        <w:t xml:space="preserve"> </w:t>
      </w:r>
      <w:r>
        <w:t xml:space="preserve">= inscreveu-se, foi habilitado, captou — Efeito da oferta (intenção de tratar) e efeito local — A oferta aumenta a entrada no interior</w:t>
      </w:r>
    </w:p>
    <w:p>
      <w:pPr>
        <w:pStyle w:val="Compact"/>
        <w:numPr>
          <w:ilvl w:val="1"/>
          <w:numId w:val="1232"/>
        </w:numPr>
      </w:pPr>
      <w:r>
        <w:rPr>
          <w:b/>
          <w:bCs/>
        </w:rPr>
        <w:t xml:space="preserve">H5</w:t>
      </w:r>
      <w:r>
        <w:t xml:space="preserve"> </w:t>
      </w:r>
      <w:r>
        <w:t xml:space="preserve">— Receber pela LICC muda a realização e o alcance do projeto? — Termo na margem do esgotamento da cota;</w:t>
      </w:r>
      <w:r>
        <w:t xml:space="preserve"> </w:t>
      </w:r>
      <w:r>
        <w:rPr>
          <w:i/>
          <w:iCs/>
        </w:rPr>
        <w:t xml:space="preserve">T</w:t>
      </w:r>
      <w:r>
        <w:t xml:space="preserve"> </w:t>
      </w:r>
      <w:r>
        <w:t xml:space="preserve">= termo validado;</w:t>
      </w:r>
      <w:r>
        <w:t xml:space="preserve"> </w:t>
      </w:r>
      <w:r>
        <w:rPr>
          <w:i/>
          <w:iCs/>
        </w:rPr>
        <w:t xml:space="preserve">Y</w:t>
      </w:r>
      <w:r>
        <w:t xml:space="preserve"> </w:t>
      </w:r>
      <w:r>
        <w:t xml:space="preserve">= realizado em janela fixa após o protocolo; público — Efeito de receber agora, na margem; fora dela, EMPT — Os recusados realizam o projeto na mesma proporção que os validados</w:t>
      </w:r>
    </w:p>
    <w:p>
      <w:pPr>
        <w:pStyle w:val="Compact"/>
        <w:numPr>
          <w:ilvl w:val="0"/>
          <w:numId w:val="1226"/>
        </w:numPr>
      </w:pPr>
      <w:r>
        <w:rPr>
          <w:b/>
          <w:bCs/>
        </w:rPr>
        <w:t xml:space="preserve">5.1.2</w:t>
      </w:r>
      <w:r>
        <w:t xml:space="preserve"> </w:t>
      </w:r>
      <w:r>
        <w:t xml:space="preserve">(fonte do quadro, tabela ou figura)</w:t>
      </w:r>
    </w:p>
    <w:p>
      <w:pPr>
        <w:pStyle w:val="Compact"/>
        <w:numPr>
          <w:ilvl w:val="1"/>
          <w:numId w:val="1233"/>
        </w:numPr>
      </w:pPr>
      <w:r>
        <w:rPr>
          <w:b/>
          <w:bCs/>
        </w:rPr>
        <w:t xml:space="preserve">[5.1.2.1]</w:t>
      </w:r>
      <w:r>
        <w:t xml:space="preserve"> </w:t>
      </w:r>
      <w:r>
        <w:t xml:space="preserve">Fonte: elaboração própria, com base em Gertler</w:t>
      </w:r>
      <w:r>
        <w:t xml:space="preserve"> </w:t>
      </w:r>
      <w:r>
        <w:rPr>
          <w:i/>
          <w:iCs/>
        </w:rPr>
        <w:t xml:space="preserve">et al.</w:t>
      </w:r>
      <w:r>
        <w:t xml:space="preserve"> </w:t>
      </w:r>
      <w:r>
        <w:t xml:space="preserve">(2018).</w:t>
      </w:r>
    </w:p>
    <w:p>
      <w:pPr>
        <w:pStyle w:val="Compact"/>
        <w:numPr>
          <w:ilvl w:val="2"/>
          <w:numId w:val="1234"/>
        </w:numPr>
      </w:pPr>
      <w:r>
        <w:t xml:space="preserve">citações: Gertler</w:t>
      </w:r>
      <w:r>
        <w:t xml:space="preserve"> </w:t>
      </w:r>
      <w:r>
        <w:rPr>
          <w:i/>
          <w:iCs/>
        </w:rPr>
        <w:t xml:space="preserve">et al.</w:t>
      </w:r>
      <w:r>
        <w:t xml:space="preserve"> </w:t>
      </w:r>
      <w:r>
        <w:t xml:space="preserve">(2018)</w:t>
      </w:r>
    </w:p>
    <w:bookmarkEnd w:id="23"/>
    <w:bookmarkStart w:id="24" w:name="estratégias-de-identificação"/>
    <w:p>
      <w:pPr>
        <w:pStyle w:val="Heading3"/>
      </w:pPr>
      <w:r>
        <w:t xml:space="preserve">5.2 Estratégias de identificação</w:t>
      </w:r>
    </w:p>
    <w:p>
      <w:pPr>
        <w:pStyle w:val="Compact"/>
        <w:numPr>
          <w:ilvl w:val="0"/>
          <w:numId w:val="1235"/>
        </w:numPr>
      </w:pPr>
      <w:r>
        <w:rPr>
          <w:b/>
          <w:bCs/>
        </w:rPr>
        <w:t xml:space="preserve">5.2.1</w:t>
      </w:r>
      <w:r>
        <w:t xml:space="preserve"> </w:t>
      </w:r>
      <w:r>
        <w:t xml:space="preserve">—</w:t>
      </w:r>
      <w:r>
        <w:t xml:space="preserve"> </w:t>
      </w:r>
      <w:r>
        <w:rPr>
          <w:i/>
          <w:iCs/>
        </w:rPr>
        <w:t xml:space="preserve">Passo:</w:t>
      </w:r>
      <w:r>
        <w:t xml:space="preserve"> </w:t>
      </w:r>
      <w:r>
        <w:t xml:space="preserve">Justifica a escolha dos métodos pelas regras de operação</w:t>
      </w:r>
    </w:p>
    <w:p>
      <w:pPr>
        <w:pStyle w:val="Compact"/>
        <w:numPr>
          <w:ilvl w:val="1"/>
          <w:numId w:val="1236"/>
        </w:numPr>
      </w:pPr>
      <w:r>
        <w:rPr>
          <w:b/>
          <w:bCs/>
        </w:rPr>
        <w:t xml:space="preserve">[5.2.1.1]</w:t>
      </w:r>
      <w:r>
        <w:t xml:space="preserve"> </w:t>
      </w:r>
      <w:r>
        <w:t xml:space="preserve">As regras de operação determinam o método (GERTLER</w:t>
      </w:r>
      <w:r>
        <w:t xml:space="preserve"> </w:t>
      </w:r>
      <w:r>
        <w:rPr>
          <w:i/>
          <w:iCs/>
        </w:rPr>
        <w:t xml:space="preserve">et al.</w:t>
      </w:r>
      <w:r>
        <w:t xml:space="preserve">, 2018).</w:t>
      </w:r>
    </w:p>
    <w:p>
      <w:pPr>
        <w:pStyle w:val="Compact"/>
        <w:numPr>
          <w:ilvl w:val="2"/>
          <w:numId w:val="1237"/>
        </w:numPr>
      </w:pPr>
      <w:r>
        <w:t xml:space="preserve">citações: GERTLER</w:t>
      </w:r>
      <w:r>
        <w:t xml:space="preserve"> </w:t>
      </w:r>
      <w:r>
        <w:rPr>
          <w:i/>
          <w:iCs/>
        </w:rPr>
        <w:t xml:space="preserve">et al.</w:t>
      </w:r>
      <w:r>
        <w:t xml:space="preserve">, 2018</w:t>
      </w:r>
    </w:p>
    <w:p>
      <w:pPr>
        <w:pStyle w:val="Compact"/>
        <w:numPr>
          <w:ilvl w:val="1"/>
          <w:numId w:val="1238"/>
        </w:numPr>
      </w:pPr>
      <w:r>
        <w:rPr>
          <w:b/>
          <w:bCs/>
        </w:rPr>
        <w:t xml:space="preserve">[5.2.1.2]</w:t>
      </w:r>
      <w:r>
        <w:t xml:space="preserve"> </w:t>
      </w:r>
      <w:r>
        <w:t xml:space="preserve">Com excesso de demanda, ciclos anuais e nenhum índice publicado com ponto de corte, cabem experimentos de escolha, avaliação cega, promoção aleatória, regressão descontínua no tempo e variáveis instrumentais.</w:t>
      </w:r>
    </w:p>
    <w:p>
      <w:pPr>
        <w:pStyle w:val="Compact"/>
        <w:numPr>
          <w:ilvl w:val="1"/>
          <w:numId w:val="1239"/>
        </w:numPr>
      </w:pPr>
      <w:r>
        <w:rPr>
          <w:b/>
          <w:bCs/>
        </w:rPr>
        <w:t xml:space="preserve">[5.2.1.3]</w:t>
      </w:r>
      <w:r>
        <w:t xml:space="preserve"> </w:t>
      </w:r>
      <w:r>
        <w:t xml:space="preserve">O sorteio mudaria a regra de alocação e fica fora do escopo.</w:t>
      </w:r>
    </w:p>
    <w:p>
      <w:pPr>
        <w:pStyle w:val="Compact"/>
        <w:numPr>
          <w:ilvl w:val="0"/>
          <w:numId w:val="1235"/>
        </w:numPr>
      </w:pPr>
      <w:r>
        <w:rPr>
          <w:b/>
          <w:bCs/>
        </w:rPr>
        <w:t xml:space="preserve">5.2.2</w:t>
      </w:r>
      <w:r>
        <w:t xml:space="preserve"> </w:t>
      </w:r>
      <w:r>
        <w:t xml:space="preserve">—</w:t>
      </w:r>
      <w:r>
        <w:t xml:space="preserve"> </w:t>
      </w:r>
      <w:r>
        <w:rPr>
          <w:i/>
          <w:iCs/>
        </w:rPr>
        <w:t xml:space="preserve">Passo:</w:t>
      </w:r>
      <w:r>
        <w:t xml:space="preserve"> </w:t>
      </w:r>
      <w:r>
        <w:t xml:space="preserve">Estratégia para H1: experimento conjunto com decisores de empresas e residentes</w:t>
      </w:r>
    </w:p>
    <w:p>
      <w:pPr>
        <w:pStyle w:val="Compact"/>
        <w:numPr>
          <w:ilvl w:val="1"/>
          <w:numId w:val="1240"/>
        </w:numPr>
      </w:pPr>
      <w:r>
        <w:rPr>
          <w:b/>
          <w:bCs/>
        </w:rPr>
        <w:t xml:space="preserve">[5.2.2.1]</w:t>
      </w:r>
      <w:r>
        <w:t xml:space="preserve"> </w:t>
      </w: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w:t>
      </w:r>
    </w:p>
    <w:p>
      <w:pPr>
        <w:pStyle w:val="Compact"/>
        <w:numPr>
          <w:ilvl w:val="2"/>
          <w:numId w:val="1241"/>
        </w:numPr>
      </w:pPr>
      <w:r>
        <w:t xml:space="preserve">citações: HAINMUELLER; HOPKINS; YAMAMOTO, 2014</w:t>
      </w:r>
    </w:p>
    <w:p>
      <w:pPr>
        <w:pStyle w:val="Compact"/>
        <w:numPr>
          <w:ilvl w:val="1"/>
          <w:numId w:val="1242"/>
        </w:numPr>
      </w:pPr>
      <w:r>
        <w:rPr>
          <w:b/>
          <w:bCs/>
        </w:rPr>
        <w:t xml:space="preserve">[5.2.2.2]</w:t>
      </w:r>
      <w:r>
        <w:t xml:space="preserve"> </w:t>
      </w:r>
      <w:r>
        <w:t xml:space="preserve">Os mesmos perfis vão a uma amostra de residentes do estado, e os grupos se comparam pelas médias marginais de escolha de cada atributo; aplicados aos projetos habilitados, os dois conjuntos de pesos indicam o que cada um financiaria, e a diferença, o bem público que a escolha privada deixa de fora.</w:t>
      </w:r>
    </w:p>
    <w:p>
      <w:pPr>
        <w:pStyle w:val="Compact"/>
        <w:numPr>
          <w:ilvl w:val="0"/>
          <w:numId w:val="1235"/>
        </w:numPr>
      </w:pPr>
      <w:r>
        <w:rPr>
          <w:b/>
          <w:bCs/>
        </w:rPr>
        <w:t xml:space="preserve">5.2.3</w:t>
      </w:r>
      <w:r>
        <w:t xml:space="preserve"> </w:t>
      </w:r>
      <w:r>
        <w:t xml:space="preserve">—</w:t>
      </w:r>
      <w:r>
        <w:t xml:space="preserve"> </w:t>
      </w:r>
      <w:r>
        <w:rPr>
          <w:i/>
          <w:iCs/>
        </w:rPr>
        <w:t xml:space="preserve">Passo:</w:t>
      </w:r>
      <w:r>
        <w:t xml:space="preserve"> </w:t>
      </w:r>
      <w:r>
        <w:t xml:space="preserve">Estratégia para H2: avaliação cega da regra de decisão; severidade do parecerista como extensão</w:t>
      </w:r>
    </w:p>
    <w:p>
      <w:pPr>
        <w:pStyle w:val="Compact"/>
        <w:numPr>
          <w:ilvl w:val="1"/>
          <w:numId w:val="1243"/>
        </w:numPr>
      </w:pPr>
      <w:r>
        <w:rPr>
          <w:b/>
          <w:bCs/>
        </w:rPr>
        <w:t xml:space="preserve">[5.2.3.1]</w:t>
      </w:r>
      <w:r>
        <w:t xml:space="preserve"> </w:t>
      </w:r>
      <w:r>
        <w:rPr>
          <w:b/>
          <w:bCs/>
        </w:rPr>
        <w:t xml:space="preserve">H2.</w:t>
      </w:r>
      <w:r>
        <w:t xml:space="preserve"> </w:t>
      </w:r>
      <w:r>
        <w:t xml:space="preserve">Sem nota, não há corte para regressão descontínua.</w:t>
      </w:r>
    </w:p>
    <w:p>
      <w:pPr>
        <w:pStyle w:val="Compact"/>
        <w:numPr>
          <w:ilvl w:val="1"/>
          <w:numId w:val="1244"/>
        </w:numPr>
      </w:pPr>
      <w:r>
        <w:rPr>
          <w:b/>
          <w:bCs/>
        </w:rPr>
        <w:t xml:space="preserve">[5.2.3.2]</w:t>
      </w:r>
      <w:r>
        <w:t xml:space="preserve"> </w:t>
      </w:r>
      <w:r>
        <w:t xml:space="preserve">O teste, descritivo, é uma avaliação cega da regra de decisão: avaliadores independentes dão nota, nos critérios de interesse público do decreto, a uma amostra de inscritos, habilitados e inabilitados, sem saber o destino de cada projeto.</w:t>
      </w:r>
    </w:p>
    <w:p>
      <w:pPr>
        <w:pStyle w:val="Compact"/>
        <w:numPr>
          <w:ilvl w:val="1"/>
          <w:numId w:val="1245"/>
        </w:numPr>
      </w:pPr>
      <w:r>
        <w:rPr>
          <w:b/>
          <w:bCs/>
        </w:rPr>
        <w:t xml:space="preserve">[5.2.3.3]</w:t>
      </w:r>
      <w:r>
        <w:t xml:space="preserve"> </w:t>
      </w:r>
      <w:r>
        <w:t xml:space="preserve">Se a decisão segue critério público, a nota separa habilitados de inabilitados e, entre os habilitados, quem capta.</w:t>
      </w:r>
    </w:p>
    <w:p>
      <w:pPr>
        <w:pStyle w:val="Compact"/>
        <w:numPr>
          <w:ilvl w:val="1"/>
          <w:numId w:val="1246"/>
        </w:numPr>
      </w:pPr>
      <w:r>
        <w:rPr>
          <w:b/>
          <w:bCs/>
        </w:rPr>
        <w:t xml:space="preserve">[5.2.3.4]</w:t>
      </w:r>
      <w:r>
        <w:t xml:space="preserve"> </w:t>
      </w:r>
      <w:r>
        <w:t xml:space="preserve">A severidade do parecerista, designado por ordem de inscrição e área (SECULT, 2025c), seria instrumento para o efeito do parecer, como em Maestas, Mullen e Strand (2013), mas é fraca com 41 pareceristas e fica como extensão.</w:t>
      </w:r>
    </w:p>
    <w:p>
      <w:pPr>
        <w:pStyle w:val="Compact"/>
        <w:numPr>
          <w:ilvl w:val="2"/>
          <w:numId w:val="1247"/>
        </w:numPr>
      </w:pPr>
      <w:r>
        <w:t xml:space="preserve">citações: SECULT, 2025c; Mullen e Strand (2013)</w:t>
      </w:r>
    </w:p>
    <w:p>
      <w:pPr>
        <w:pStyle w:val="Compact"/>
        <w:numPr>
          <w:ilvl w:val="2"/>
          <w:numId w:val="1247"/>
        </w:numPr>
      </w:pPr>
      <w:r>
        <w:t xml:space="preserve">checagem de dados: N56 ✔ (</w:t>
      </w:r>
      <w:r>
        <w:rPr>
          <w:rStyle w:val="VerbatimChar"/>
        </w:rPr>
        <w:t xml:space="preserve">analise/tabelas/10_pareceristas_por_area.csv (lista da SECULT de 18/09/2026)</w:t>
      </w:r>
      <w:r>
        <w:t xml:space="preserve">)</w:t>
      </w:r>
    </w:p>
    <w:p>
      <w:pPr>
        <w:pStyle w:val="Compact"/>
        <w:numPr>
          <w:ilvl w:val="0"/>
          <w:numId w:val="1235"/>
        </w:numPr>
      </w:pPr>
      <w:r>
        <w:rPr>
          <w:b/>
          <w:bCs/>
        </w:rPr>
        <w:t xml:space="preserve">5.2.4</w:t>
      </w:r>
      <w:r>
        <w:t xml:space="preserve"> </w:t>
      </w:r>
      <w:r>
        <w:t xml:space="preserve">—</w:t>
      </w:r>
      <w:r>
        <w:t xml:space="preserve"> </w:t>
      </w:r>
      <w:r>
        <w:rPr>
          <w:i/>
          <w:iCs/>
        </w:rPr>
        <w:t xml:space="preserve">Passo:</w:t>
      </w:r>
      <w:r>
        <w:t xml:space="preserve"> </w:t>
      </w:r>
      <w:r>
        <w:t xml:space="preserve">Estratégia para H3: acúmulo das taxas no teto e diferenças em diferenças com a regra de 2026</w:t>
      </w:r>
    </w:p>
    <w:p>
      <w:pPr>
        <w:pStyle w:val="Compact"/>
        <w:numPr>
          <w:ilvl w:val="1"/>
          <w:numId w:val="1248"/>
        </w:numPr>
      </w:pPr>
      <w:r>
        <w:rPr>
          <w:b/>
          <w:bCs/>
        </w:rPr>
        <w:t xml:space="preserve">[5.2.4.1]</w:t>
      </w:r>
      <w:r>
        <w:t xml:space="preserve"> </w:t>
      </w:r>
      <w:r>
        <w:rPr>
          <w:b/>
          <w:bCs/>
        </w:rPr>
        <w:t xml:space="preserve">H3.</w:t>
      </w:r>
      <w:r>
        <w:t xml:space="preserve"> </w:t>
      </w:r>
      <w:r>
        <w:t xml:space="preserve">As planilhas de custos, pedidas pela Lei de Acesso à Informação (LAI), dão a parcela de captação e elaboração de cada projeto.</w:t>
      </w:r>
    </w:p>
    <w:p>
      <w:pPr>
        <w:pStyle w:val="Compact"/>
        <w:numPr>
          <w:ilvl w:val="1"/>
          <w:numId w:val="1249"/>
        </w:numPr>
      </w:pPr>
      <w:r>
        <w:rPr>
          <w:b/>
          <w:bCs/>
        </w:rPr>
        <w:t xml:space="preserve">[5.2.4.2]</w:t>
      </w:r>
      <w:r>
        <w:t xml:space="preserve"> </w:t>
      </w:r>
      <w:r>
        <w:t xml:space="preserve">Se as taxas se acumulam no teto de 10%, o preço é fixado pela regra, e não pelo custo do serviço; a regra de 2026, que permite pagá-las ao proponente, compara-se à de 2025 por diferenças em diferenças, entre projetos que contratavam captador e os demais.</w:t>
      </w:r>
    </w:p>
    <w:p>
      <w:pPr>
        <w:pStyle w:val="Compact"/>
        <w:numPr>
          <w:ilvl w:val="2"/>
          <w:numId w:val="1250"/>
        </w:numPr>
      </w:pPr>
      <w:r>
        <w:t xml:space="preserve">⚠ números sem checagem automática (conferir na fonte citada): 10%</w:t>
      </w:r>
    </w:p>
    <w:p>
      <w:pPr>
        <w:pStyle w:val="Compact"/>
        <w:numPr>
          <w:ilvl w:val="0"/>
          <w:numId w:val="1235"/>
        </w:numPr>
      </w:pPr>
      <w:r>
        <w:rPr>
          <w:b/>
          <w:bCs/>
        </w:rPr>
        <w:t xml:space="preserve">5.2.5</w:t>
      </w:r>
      <w:r>
        <w:t xml:space="preserve"> </w:t>
      </w:r>
      <w:r>
        <w:t xml:space="preserve">—</w:t>
      </w:r>
      <w:r>
        <w:t xml:space="preserve"> </w:t>
      </w:r>
      <w:r>
        <w:rPr>
          <w:i/>
          <w:iCs/>
        </w:rPr>
        <w:t xml:space="preserve">Passo:</w:t>
      </w:r>
      <w:r>
        <w:t xml:space="preserve"> </w:t>
      </w:r>
      <w:r>
        <w:t xml:space="preserve">Estratégia para H4: promoção aleatória por município e braços entre agentes</w:t>
      </w:r>
    </w:p>
    <w:p>
      <w:pPr>
        <w:pStyle w:val="Compact"/>
        <w:numPr>
          <w:ilvl w:val="1"/>
          <w:numId w:val="1251"/>
        </w:numPr>
      </w:pPr>
      <w:r>
        <w:rPr>
          <w:b/>
          <w:bCs/>
        </w:rPr>
        <w:t xml:space="preserve">[5.2.5.1]</w:t>
      </w:r>
      <w:r>
        <w:t xml:space="preserve"> </w:t>
      </w:r>
      <w:r>
        <w:rPr>
          <w:b/>
          <w:bCs/>
        </w:rPr>
        <w:t xml:space="preserve">H4.</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w:t>
      </w:r>
    </w:p>
    <w:p>
      <w:pPr>
        <w:pStyle w:val="Compact"/>
        <w:numPr>
          <w:ilvl w:val="2"/>
          <w:numId w:val="1252"/>
        </w:numPr>
      </w:pPr>
      <w:r>
        <w:t xml:space="preserve">checagem de dados: N72 ✔ (</w:t>
      </w:r>
      <w:r>
        <w:rPr>
          <w:rStyle w:val="VerbatimChar"/>
        </w:rPr>
        <w:t xml:space="preserve">analise/tabelas/07_mapa_quadro_h3.csv</w:t>
      </w:r>
      <w:r>
        <w:t xml:space="preserve">)</w:t>
      </w:r>
    </w:p>
    <w:p>
      <w:pPr>
        <w:pStyle w:val="Compact"/>
        <w:numPr>
          <w:ilvl w:val="1"/>
          <w:numId w:val="1253"/>
        </w:numPr>
      </w:pPr>
      <w:r>
        <w:rPr>
          <w:b/>
          <w:bCs/>
        </w:rPr>
        <w:t xml:space="preserve">[5.2.5.2]</w:t>
      </w:r>
      <w:r>
        <w:t xml:space="preserve"> </w:t>
      </w:r>
      <w:r>
        <w:t xml:space="preserve">A promoção estima o efeito da oferta e, para quem responde a ela, o efeito local (ANGRIST; IMBENS; RUBIN, 1996).</w:t>
      </w:r>
    </w:p>
    <w:p>
      <w:pPr>
        <w:pStyle w:val="Compact"/>
        <w:numPr>
          <w:ilvl w:val="2"/>
          <w:numId w:val="1254"/>
        </w:numPr>
      </w:pPr>
      <w:r>
        <w:t xml:space="preserve">citações: ANGRIST; IMBENS; RUBIN, 1996</w:t>
      </w:r>
    </w:p>
    <w:p>
      <w:pPr>
        <w:pStyle w:val="Compact"/>
        <w:numPr>
          <w:ilvl w:val="1"/>
          <w:numId w:val="1255"/>
        </w:numPr>
      </w:pPr>
      <w:r>
        <w:rPr>
          <w:b/>
          <w:bCs/>
        </w:rPr>
        <w:t xml:space="preserve">[5.2.5.3]</w:t>
      </w:r>
      <w:r>
        <w:t xml:space="preserve"> </w:t>
      </w:r>
      <w:r>
        <w:t xml:space="preserve">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2"/>
          <w:numId w:val="1256"/>
        </w:numPr>
      </w:pPr>
      <w:r>
        <w:t xml:space="preserve">citações: BAIRD</w:t>
      </w:r>
      <w:r>
        <w:t xml:space="preserve"> </w:t>
      </w:r>
      <w:r>
        <w:rPr>
          <w:i/>
          <w:iCs/>
        </w:rPr>
        <w:t xml:space="preserve">et al.</w:t>
      </w:r>
      <w:r>
        <w:t xml:space="preserve">, 2018</w:t>
      </w:r>
    </w:p>
    <w:p>
      <w:pPr>
        <w:pStyle w:val="Compact"/>
        <w:numPr>
          <w:ilvl w:val="2"/>
          <w:numId w:val="1256"/>
        </w:numPr>
      </w:pPr>
      <w:r>
        <w:t xml:space="preserve">⚠ números sem checagem automática (conferir na fonte citada): 71</w:t>
      </w:r>
    </w:p>
    <w:p>
      <w:pPr>
        <w:pStyle w:val="Compact"/>
        <w:numPr>
          <w:ilvl w:val="0"/>
          <w:numId w:val="1235"/>
        </w:numPr>
      </w:pPr>
      <w:r>
        <w:rPr>
          <w:b/>
          <w:bCs/>
        </w:rPr>
        <w:t xml:space="preserve">5.2.6</w:t>
      </w:r>
      <w:r>
        <w:t xml:space="preserve"> </w:t>
      </w:r>
      <w:r>
        <w:t xml:space="preserve">—</w:t>
      </w:r>
      <w:r>
        <w:t xml:space="preserve"> </w:t>
      </w:r>
      <w:r>
        <w:rPr>
          <w:i/>
          <w:iCs/>
        </w:rPr>
        <w:t xml:space="preserve">Passo:</w:t>
      </w:r>
      <w:r>
        <w:t xml:space="preserve"> </w:t>
      </w:r>
      <w:r>
        <w:t xml:space="preserve">Estratégia para H5: margem do racionamento, validação tardia de 2024 e desenho prospectivo (regressão descontínua no tempo)</w:t>
      </w:r>
    </w:p>
    <w:p>
      <w:pPr>
        <w:pStyle w:val="Compact"/>
        <w:numPr>
          <w:ilvl w:val="1"/>
          <w:numId w:val="1257"/>
        </w:numPr>
      </w:pPr>
      <w:r>
        <w:rPr>
          <w:b/>
          <w:bCs/>
        </w:rPr>
        <w:t xml:space="preserve">[5.2.6.1]</w:t>
      </w:r>
      <w:r>
        <w:t xml:space="preserve"> </w:t>
      </w:r>
      <w:r>
        <w:rPr>
          <w:b/>
          <w:bCs/>
        </w:rPr>
        <w:t xml:space="preserve">H5.</w:t>
      </w:r>
      <w:r>
        <w:t xml:space="preserve"> </w:t>
      </w:r>
      <w:r>
        <w:t xml:space="preserve">Os termos validados pouco antes do esgotamento do teto e os de 32 projetos recusados em 2023 e 2024 tinham, todos, patrocinador disposto.</w:t>
      </w:r>
    </w:p>
    <w:p>
      <w:pPr>
        <w:pStyle w:val="Compact"/>
        <w:numPr>
          <w:ilvl w:val="2"/>
          <w:numId w:val="1258"/>
        </w:numPr>
      </w:pPr>
      <w:r>
        <w:t xml:space="preserve">checagem de dados: N31 ✔ (</w:t>
      </w:r>
      <w:r>
        <w:rPr>
          <w:rStyle w:val="VerbatimChar"/>
        </w:rPr>
        <w:t xml:space="preserve">dados/processados/indeferidos_2023_2024.csv</w:t>
      </w:r>
      <w:r>
        <w:t xml:space="preserve">)</w:t>
      </w:r>
    </w:p>
    <w:p>
      <w:pPr>
        <w:pStyle w:val="Compact"/>
        <w:numPr>
          <w:ilvl w:val="1"/>
          <w:numId w:val="1259"/>
        </w:numPr>
      </w:pPr>
      <w:r>
        <w:rPr>
          <w:b/>
          <w:bCs/>
        </w:rPr>
        <w:t xml:space="preserve">[5.2.6.2]</w:t>
      </w:r>
      <w:r>
        <w:t xml:space="preserve"> </w:t>
      </w:r>
      <w:r>
        <w:t xml:space="preserve">Mas 6 dos 11 recusados em 2023 e 12 dos 21 recusados em 2024 captaram no ano seguinte: com resultado datado, a comparação estima o efeito de receber agora; para o de receber em algum momento, o indeferimento serve de instrumento, com primeiro estágio de 41% (13 dos 32 recusados não captaram depois).</w:t>
      </w:r>
    </w:p>
    <w:p>
      <w:pPr>
        <w:pStyle w:val="Compact"/>
        <w:numPr>
          <w:ilvl w:val="2"/>
          <w:numId w:val="1260"/>
        </w:numPr>
      </w:pPr>
      <w:r>
        <w:t xml:space="preserve">checagem de dados: N30 ✔ (</w:t>
      </w:r>
      <w:r>
        <w:rPr>
          <w:rStyle w:val="VerbatimChar"/>
        </w:rPr>
        <w:t xml:space="preserve">analise/tabelas/09_reentrada_resumo.csv</w:t>
      </w:r>
      <w:r>
        <w:t xml:space="preserve">); N42 ✔ (</w:t>
      </w:r>
      <w:r>
        <w:rPr>
          <w:rStyle w:val="VerbatimChar"/>
        </w:rPr>
        <w:t xml:space="preserve">analise/tabelas/09_reentrada_resumo.csv</w:t>
      </w:r>
      <w:r>
        <w:t xml:space="preserve">)</w:t>
      </w:r>
    </w:p>
    <w:p>
      <w:pPr>
        <w:pStyle w:val="Compact"/>
        <w:numPr>
          <w:ilvl w:val="1"/>
          <w:numId w:val="1261"/>
        </w:numPr>
      </w:pPr>
      <w:r>
        <w:rPr>
          <w:b/>
          <w:bCs/>
        </w:rPr>
        <w:t xml:space="preserve">[5.2.6.3]</w:t>
      </w:r>
      <w:r>
        <w:t xml:space="preserve"> </w:t>
      </w:r>
      <w:r>
        <w:t xml:space="preserve">Em 2024, das 47 recusas registradas nas versões sucessivas do anexo, 27 viraram validação em versão posterior, no ano em que o teto passou de R$ 15 para R$ 25 milhões: a comparação com as 20 que não viraram mede o efeito de receber mais tarde.</w:t>
      </w:r>
    </w:p>
    <w:p>
      <w:pPr>
        <w:pStyle w:val="Compact"/>
        <w:numPr>
          <w:ilvl w:val="2"/>
          <w:numId w:val="1262"/>
        </w:numPr>
      </w:pPr>
      <w:r>
        <w:t xml:space="preserve">checagem de dados: N81 ✔ (</w:t>
      </w:r>
      <w:r>
        <w:rPr>
          <w:rStyle w:val="VerbatimChar"/>
        </w:rPr>
        <w:t xml:space="preserve">analise/tabelas/13_versoes_captados_fila.csv (2024)</w:t>
      </w:r>
      <w:r>
        <w:t xml:space="preserve">); N82 ✔ (</w:t>
      </w:r>
      <w:r>
        <w:rPr>
          <w:rStyle w:val="VerbatimChar"/>
        </w:rPr>
        <w:t xml:space="preserve">analise/tabelas/13_versoes_captados_fila.csv (2024)</w:t>
      </w:r>
      <w:r>
        <w:t xml:space="preserve">)</w:t>
      </w:r>
    </w:p>
    <w:p>
      <w:pPr>
        <w:pStyle w:val="Compact"/>
        <w:numPr>
          <w:ilvl w:val="2"/>
          <w:numId w:val="1262"/>
        </w:numPr>
      </w:pPr>
      <w:r>
        <w:t xml:space="preserve">⚠ números sem checagem automática (conferir na fonte citada): 25</w:t>
      </w:r>
    </w:p>
    <w:p>
      <w:pPr>
        <w:pStyle w:val="Compact"/>
        <w:numPr>
          <w:ilvl w:val="1"/>
          <w:numId w:val="1263"/>
        </w:numPr>
      </w:pPr>
      <w:r>
        <w:rPr>
          <w:b/>
          <w:bCs/>
        </w:rPr>
        <w:t xml:space="preserve">[5.2.6.4]</w:t>
      </w:r>
      <w:r>
        <w:t xml:space="preserve"> </w:t>
      </w:r>
      <w:r>
        <w:t xml:space="preserve">Para decidir, o desenho precisa ser prospectivo: a SEFAZ registra a hora de protocolo e a recusa de cada termo, a SECULT padroniza no relatório de execução a realização e o público, e a comparação vira regressão descontínua no tempo em torno do esgotamento de cada cota, acumulada ano a ano.</w:t>
      </w:r>
    </w:p>
    <w:p>
      <w:pPr>
        <w:pStyle w:val="Compact"/>
        <w:numPr>
          <w:ilvl w:val="1"/>
          <w:numId w:val="1264"/>
        </w:numPr>
      </w:pPr>
      <w:r>
        <w:rPr>
          <w:b/>
          <w:bCs/>
        </w:rPr>
        <w:t xml:space="preserve">[5.2.6.5]</w:t>
      </w:r>
      <w:r>
        <w:t xml:space="preserve"> </w:t>
      </w:r>
      <w:r>
        <w:t xml:space="preserve">Como o momento do esgotamento não é conhecido de antemão, é difícil manipular a posição na fila, e a ordem de validação não deve se ligar ao projeto, o que as datas de protocolo permitem testar.</w:t>
      </w:r>
    </w:p>
    <w:bookmarkEnd w:id="24"/>
    <w:bookmarkStart w:id="25" w:name="desenho-da-amostra-e-fontes-de-dados"/>
    <w:p>
      <w:pPr>
        <w:pStyle w:val="Heading3"/>
      </w:pPr>
      <w:r>
        <w:t xml:space="preserve">5.3 Desenho da amostra e fontes de dados</w:t>
      </w:r>
    </w:p>
    <w:p>
      <w:pPr>
        <w:pStyle w:val="Compact"/>
        <w:numPr>
          <w:ilvl w:val="0"/>
          <w:numId w:val="1265"/>
        </w:numPr>
      </w:pPr>
      <w:r>
        <w:rPr>
          <w:b/>
          <w:bCs/>
        </w:rPr>
        <w:t xml:space="preserve">5.3.1</w:t>
      </w:r>
      <w:r>
        <w:t xml:space="preserve"> </w:t>
      </w:r>
      <w:r>
        <w:t xml:space="preserve">—</w:t>
      </w:r>
      <w:r>
        <w:t xml:space="preserve"> </w:t>
      </w:r>
      <w:r>
        <w:rPr>
          <w:i/>
          <w:iCs/>
        </w:rPr>
        <w:t xml:space="preserve">Passo:</w:t>
      </w:r>
      <w:r>
        <w:t xml:space="preserve"> </w:t>
      </w:r>
      <w:r>
        <w:t xml:space="preserve">Define populações, listagens e a chave de ligação por CNPJ</w:t>
      </w:r>
    </w:p>
    <w:p>
      <w:pPr>
        <w:pStyle w:val="Compact"/>
        <w:numPr>
          <w:ilvl w:val="1"/>
          <w:numId w:val="1266"/>
        </w:numPr>
      </w:pPr>
      <w:r>
        <w:rPr>
          <w:b/>
          <w:bCs/>
        </w:rPr>
        <w:t xml:space="preserve">[5.3.1.1]</w:t>
      </w:r>
      <w:r>
        <w:t xml:space="preserve"> </w:t>
      </w:r>
      <w:r>
        <w:t xml:space="preserve">Para H5, a listagem são os termos de 2023 e 2024 na margem do racionamento e, no desenho prospectivo, todos os protocolados a partir de 2027.</w:t>
      </w:r>
    </w:p>
    <w:p>
      <w:pPr>
        <w:pStyle w:val="Compact"/>
        <w:numPr>
          <w:ilvl w:val="1"/>
          <w:numId w:val="1267"/>
        </w:numPr>
      </w:pPr>
      <w:r>
        <w:rPr>
          <w:b/>
          <w:bCs/>
        </w:rPr>
        <w:t xml:space="preserve">[5.3.1.2]</w:t>
      </w:r>
      <w:r>
        <w:t xml:space="preserve"> </w:t>
      </w:r>
      <w:r>
        <w:t xml:space="preserve">Para H2, o universo são os 293 projetos habilitados em 2022-2024 com situação resolvida, de 172 proponentes, e os 86 inabilitados das atas da CAP, de onde se sorteia a amostra da avaliação cega; para H3, as planilhas de 2025 e 2026.</w:t>
      </w:r>
    </w:p>
    <w:p>
      <w:pPr>
        <w:pStyle w:val="Compact"/>
        <w:numPr>
          <w:ilvl w:val="2"/>
          <w:numId w:val="1268"/>
        </w:numPr>
      </w:pPr>
      <w:r>
        <w:t xml:space="preserve">checagem de dados: N22 ✔ (</w:t>
      </w:r>
      <w:r>
        <w:rPr>
          <w:rStyle w:val="VerbatimChar"/>
        </w:rPr>
        <w:t xml:space="preserve">analise/tabelas/07_poder_hipoteses.csv (nota)</w:t>
      </w:r>
      <w:r>
        <w:t xml:space="preserve">); N80 ✔ (</w:t>
      </w:r>
      <w:r>
        <w:rPr>
          <w:rStyle w:val="VerbatimChar"/>
        </w:rPr>
        <w:t xml:space="preserve">analise/tabelas/12_cap_deliberacoes.csv</w:t>
      </w:r>
      <w:r>
        <w:t xml:space="preserve">)</w:t>
      </w:r>
    </w:p>
    <w:p>
      <w:pPr>
        <w:pStyle w:val="Compact"/>
        <w:numPr>
          <w:ilvl w:val="1"/>
          <w:numId w:val="1269"/>
        </w:numPr>
      </w:pPr>
      <w:r>
        <w:rPr>
          <w:b/>
          <w:bCs/>
        </w:rPr>
        <w:t xml:space="preserve">[5.3.1.3]</w:t>
      </w:r>
      <w:r>
        <w:t xml:space="preserve"> </w:t>
      </w:r>
      <w:r>
        <w:t xml:space="preserve">Para H1, a população principal é quem decide o patrocínio (marketing, diretoria ou relações institucionais): a listagem parte das 26 patrocinadoras de 2025, e os maiores contribuintes fora do Simples Nacional, listados com a SEFAZ, formam uma extensão; o braço da população é uma amostra de residentes por cotas de região.</w:t>
      </w:r>
    </w:p>
    <w:p>
      <w:pPr>
        <w:pStyle w:val="Compact"/>
        <w:numPr>
          <w:ilvl w:val="2"/>
          <w:numId w:val="1270"/>
        </w:numPr>
      </w:pPr>
      <w:r>
        <w:t xml:space="preserve">checagem de dados: N55 ✔ (</w:t>
      </w:r>
      <w:r>
        <w:rPr>
          <w:rStyle w:val="VerbatimChar"/>
        </w:rPr>
        <w:t xml:space="preserve">analise/tabelas/03_patrocinadores_concentracao.csv</w:t>
      </w:r>
      <w:r>
        <w:t xml:space="preserve">)</w:t>
      </w:r>
    </w:p>
    <w:p>
      <w:pPr>
        <w:pStyle w:val="Compact"/>
        <w:numPr>
          <w:ilvl w:val="1"/>
          <w:numId w:val="1271"/>
        </w:numPr>
      </w:pPr>
      <w:r>
        <w:rPr>
          <w:b/>
          <w:bCs/>
        </w:rPr>
        <w:t xml:space="preserve">[5.3.1.4]</w:t>
      </w:r>
      <w:r>
        <w:t xml:space="preserve"> </w:t>
      </w:r>
      <w:r>
        <w:t xml:space="preserve">Para H4, a listagem é o cadastro de agentes do Mapa Cultural, em que 79% dos coletivos e 78% dos individuais não informam município; com município no interior, há 257 coletivos em 52 municípios e 2.389 agentes, somados os individuais, nos 71.</w:t>
      </w:r>
    </w:p>
    <w:p>
      <w:pPr>
        <w:pStyle w:val="Compact"/>
        <w:numPr>
          <w:ilvl w:val="2"/>
          <w:numId w:val="1272"/>
        </w:numPr>
      </w:pPr>
      <w:r>
        <w:t xml:space="preserve">checagem de dados: N38 ✔ (</w:t>
      </w:r>
      <w:r>
        <w:rPr>
          <w:rStyle w:val="VerbatimChar"/>
        </w:rPr>
        <w:t xml:space="preserve">analise/tabelas/07_mapa_agentes_cobertura.csv</w:t>
      </w:r>
      <w:r>
        <w:t xml:space="preserve">); N39 ✔ (</w:t>
      </w:r>
      <w:r>
        <w:rPr>
          <w:rStyle w:val="VerbatimChar"/>
        </w:rPr>
        <w:t xml:space="preserve">analise/tabelas/07_mapa_quadro_h3.csv</w:t>
      </w:r>
      <w:r>
        <w:t xml:space="preserve">)</w:t>
      </w:r>
    </w:p>
    <w:p>
      <w:pPr>
        <w:pStyle w:val="Compact"/>
        <w:numPr>
          <w:ilvl w:val="1"/>
          <w:numId w:val="1273"/>
        </w:numPr>
      </w:pPr>
      <w:r>
        <w:rPr>
          <w:b/>
          <w:bCs/>
        </w:rPr>
        <w:t xml:space="preserve">[5.3.1.5]</w:t>
      </w:r>
      <w:r>
        <w:t xml:space="preserve"> </w:t>
      </w:r>
      <w:r>
        <w:t xml:space="preserve">A oferta é sorteada entre municípios do interior e chega a todos os agentes cadastrados sem inscrição anterior; quem não está no Mapa fica de fora, um viés de cobertura.</w:t>
      </w:r>
    </w:p>
    <w:p>
      <w:pPr>
        <w:pStyle w:val="Compact"/>
        <w:numPr>
          <w:ilvl w:val="1"/>
          <w:numId w:val="1274"/>
        </w:numPr>
      </w:pPr>
      <w:r>
        <w:rPr>
          <w:b/>
          <w:bCs/>
        </w:rPr>
        <w:t xml:space="preserve">[5.3.1.6]</w:t>
      </w:r>
      <w:r>
        <w:t xml:space="preserve"> </w:t>
      </w:r>
      <w:r>
        <w:t xml:space="preserve">O Mapa serve, assim, de retrato da demanda: agentes e eventos que nunca aparecem nos anexos da LICC são os projetos pequenos que a escolha concentrada não alcança.</w:t>
      </w:r>
    </w:p>
    <w:p>
      <w:pPr>
        <w:pStyle w:val="Compact"/>
        <w:numPr>
          <w:ilvl w:val="1"/>
          <w:numId w:val="1275"/>
        </w:numPr>
      </w:pPr>
      <w:r>
        <w:rPr>
          <w:b/>
          <w:bCs/>
        </w:rPr>
        <w:t xml:space="preserve">[5.3.1.7]</w:t>
      </w:r>
      <w:r>
        <w:t xml:space="preserve"> </w:t>
      </w:r>
      <w:r>
        <w:t xml:space="preserve">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Compact"/>
        <w:numPr>
          <w:ilvl w:val="2"/>
          <w:numId w:val="1276"/>
        </w:numPr>
      </w:pPr>
      <w:r>
        <w:t xml:space="preserve">citações: ESPÍRITO SANTO, 2026; DIO-ES, 2026</w:t>
      </w:r>
    </w:p>
    <w:p>
      <w:pPr>
        <w:pStyle w:val="Compact"/>
        <w:numPr>
          <w:ilvl w:val="2"/>
          <w:numId w:val="1276"/>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77"/>
        </w:numPr>
      </w:pPr>
      <w:r>
        <w:rPr>
          <w:b/>
          <w:bCs/>
        </w:rPr>
        <w:t xml:space="preserve">Colunas:</w:t>
      </w:r>
      <w:r>
        <w:t xml:space="preserve"> </w:t>
      </w:r>
      <w:r>
        <w:t xml:space="preserve">Fonte · Conteúdo · Uso · Acesso</w:t>
      </w:r>
    </w:p>
    <w:p>
      <w:pPr>
        <w:pStyle w:val="Compact"/>
        <w:numPr>
          <w:ilvl w:val="1"/>
          <w:numId w:val="1278"/>
        </w:numPr>
      </w:pPr>
      <w:r>
        <w:rPr>
          <w:b/>
          <w:bCs/>
        </w:rPr>
        <w:t xml:space="preserve">Inscrições da SECULT (Mapa Cultural)</w:t>
      </w:r>
      <w:r>
        <w:t xml:space="preserve"> </w:t>
      </w:r>
      <w:r>
        <w:t xml:space="preserve">— Todas as inscrições, inclusive inabilitadas e arquivadas, com linha, área, parecerista, parecer, CNPJ, sede e datas — H2, H4; chave de ligação — Pedido por LAI</w:t>
      </w:r>
    </w:p>
    <w:p>
      <w:pPr>
        <w:pStyle w:val="Compact"/>
        <w:numPr>
          <w:ilvl w:val="1"/>
          <w:numId w:val="1279"/>
        </w:numPr>
      </w:pPr>
      <w:r>
        <w:rPr>
          <w:b/>
          <w:bCs/>
        </w:rPr>
        <w:t xml:space="preserve">Planilhas de custos</w:t>
      </w:r>
      <w:r>
        <w:t xml:space="preserve"> </w:t>
      </w:r>
      <w:r>
        <w:t xml:space="preserve">— Rubricas de captação, elaboração, divulgação e remuneração, por projeto — H3 — Pedido por LAI</w:t>
      </w:r>
    </w:p>
    <w:p>
      <w:pPr>
        <w:pStyle w:val="Compact"/>
        <w:numPr>
          <w:ilvl w:val="1"/>
          <w:numId w:val="1280"/>
        </w:numPr>
      </w:pPr>
      <w:r>
        <w:rPr>
          <w:b/>
          <w:bCs/>
        </w:rPr>
        <w:t xml:space="preserve">Anexos de habilitados e captados; avisos do Diário Oficial; extratos das atas da CAP</w:t>
      </w:r>
      <w:r>
        <w:t xml:space="preserve"> </w:t>
      </w:r>
      <w:r>
        <w:t xml:space="preserve">— Status, valores e patrocinador; CNPJ e data da habilitação; data de cada depósito (82% dos termos de 2022-2025); inabilitados — H5 (tratamento e intensidade); H2 — Público</w:t>
      </w:r>
    </w:p>
    <w:p>
      <w:pPr>
        <w:pStyle w:val="Compact"/>
        <w:numPr>
          <w:ilvl w:val="2"/>
          <w:numId w:val="1281"/>
        </w:numPr>
      </w:pPr>
      <w:r>
        <w:t xml:space="preserve">checagem de dados: N66 ✔ (</w:t>
      </w:r>
      <w:r>
        <w:rPr>
          <w:rStyle w:val="VerbatimChar"/>
        </w:rPr>
        <w:t xml:space="preserve">analise/tabelas/18_deposito_x_portal.csv</w:t>
      </w:r>
      <w:r>
        <w:t xml:space="preserve">)</w:t>
      </w:r>
    </w:p>
    <w:p>
      <w:pPr>
        <w:pStyle w:val="Compact"/>
        <w:numPr>
          <w:ilvl w:val="1"/>
          <w:numId w:val="1282"/>
        </w:numPr>
      </w:pPr>
      <w:r>
        <w:rPr>
          <w:b/>
          <w:bCs/>
        </w:rPr>
        <w:t xml:space="preserve">Portal da Transparência (SEFAZ); Receita Federal</w:t>
      </w:r>
      <w:r>
        <w:t xml:space="preserve"> </w:t>
      </w:r>
      <w:r>
        <w:t xml:space="preserve">— Termos de 2022-2025: data, patrocinador e proponente (CNPJ); pelo CNPJ, porte, idade e sede — Fila (H5); pares e porte (H1, H4) — Público</w:t>
      </w:r>
    </w:p>
    <w:p>
      <w:pPr>
        <w:pStyle w:val="Compact"/>
        <w:numPr>
          <w:ilvl w:val="1"/>
          <w:numId w:val="1283"/>
        </w:numPr>
      </w:pPr>
      <w:r>
        <w:rPr>
          <w:b/>
          <w:bCs/>
        </w:rPr>
        <w:t xml:space="preserve">SEFAZ</w:t>
      </w:r>
      <w:r>
        <w:t xml:space="preserve"> </w:t>
      </w:r>
      <w:r>
        <w:t xml:space="preserve">— Hora de protocolo (pública só nos validados de 2025) e de validação dos termos, cota e indeferidos — H5 (margem; desenho prospectivo) — Pedido por LAI</w:t>
      </w:r>
    </w:p>
    <w:p>
      <w:pPr>
        <w:pStyle w:val="Compact"/>
        <w:numPr>
          <w:ilvl w:val="1"/>
          <w:numId w:val="1284"/>
        </w:numPr>
      </w:pPr>
      <w:r>
        <w:rPr>
          <w:b/>
          <w:bCs/>
        </w:rPr>
        <w:t xml:space="preserve">Pesquisa própria</w:t>
      </w:r>
      <w:r>
        <w:t xml:space="preserve"> </w:t>
      </w:r>
      <w:r>
        <w:t xml:space="preserve">— Escolhas de decisores e residentes entre perfis de projeto; nota cega dos projetos inscritos — H1, H2 — Coleta</w:t>
      </w:r>
    </w:p>
    <w:p>
      <w:pPr>
        <w:pStyle w:val="Compact"/>
        <w:numPr>
          <w:ilvl w:val="1"/>
          <w:numId w:val="1285"/>
        </w:numPr>
      </w:pPr>
      <w:r>
        <w:rPr>
          <w:b/>
          <w:bCs/>
        </w:rPr>
        <w:t xml:space="preserve">Relatórios de execução</w:t>
      </w:r>
      <w:r>
        <w:t xml:space="preserve"> </w:t>
      </w:r>
      <w:r>
        <w:t xml:space="preserve">— Lista de presença e estimativa de público (IN 001/2025, art. 66), gratuidade, locais, contrapartidas —</w:t>
      </w:r>
      <w:r>
        <w:t xml:space="preserve"> </w:t>
      </w:r>
      <w:r>
        <w:rPr>
          <w:i/>
          <w:iCs/>
        </w:rPr>
        <w:t xml:space="preserve">Y</w:t>
      </w:r>
      <w:r>
        <w:t xml:space="preserve"> </w:t>
      </w:r>
      <w:r>
        <w:t xml:space="preserve">de H5 (a padronizar) — Interno</w:t>
      </w:r>
    </w:p>
    <w:p>
      <w:pPr>
        <w:pStyle w:val="Compact"/>
        <w:numPr>
          <w:ilvl w:val="1"/>
          <w:numId w:val="1286"/>
        </w:numPr>
      </w:pPr>
      <w:r>
        <w:rPr>
          <w:b/>
          <w:bCs/>
        </w:rPr>
        <w:t xml:space="preserve">Mapa Cultural (API)</w:t>
      </w:r>
      <w:r>
        <w:t xml:space="preserve"> </w:t>
      </w:r>
      <w:r>
        <w:t xml:space="preserve">— Agentes, espaços e agenda de eventos por município — Listagem de H4; eventos datados de 18 projetos (</w:t>
      </w:r>
      <w:r>
        <w:rPr>
          <w:i/>
          <w:iCs/>
        </w:rPr>
        <w:t xml:space="preserve">Y</w:t>
      </w:r>
      <w:r>
        <w:t xml:space="preserve"> </w:t>
      </w:r>
      <w:r>
        <w:t xml:space="preserve">de H5) — Público</w:t>
      </w:r>
    </w:p>
    <w:p>
      <w:pPr>
        <w:pStyle w:val="Compact"/>
        <w:numPr>
          <w:ilvl w:val="2"/>
          <w:numId w:val="1287"/>
        </w:numPr>
      </w:pPr>
      <w:r>
        <w:t xml:space="preserve">checagem de dados: N67 ✔ (</w:t>
      </w:r>
      <w:r>
        <w:rPr>
          <w:rStyle w:val="VerbatimChar"/>
        </w:rPr>
        <w:t xml:space="preserve">dados/externos/mapa_eventos_licc.csv</w:t>
      </w:r>
      <w:r>
        <w:t xml:space="preserve">)</w:t>
      </w:r>
    </w:p>
    <w:p>
      <w:pPr>
        <w:pStyle w:val="Compact"/>
        <w:numPr>
          <w:ilvl w:val="0"/>
          <w:numId w:val="1277"/>
        </w:numPr>
      </w:pPr>
      <w:r>
        <w:rPr>
          <w:b/>
          <w:bCs/>
        </w:rPr>
        <w:t xml:space="preserve">5.3.2</w:t>
      </w:r>
      <w:r>
        <w:t xml:space="preserve"> </w:t>
      </w:r>
      <w:r>
        <w:t xml:space="preserve">(fonte do quadro, tabela ou figura)</w:t>
      </w:r>
    </w:p>
    <w:p>
      <w:pPr>
        <w:pStyle w:val="Compact"/>
        <w:numPr>
          <w:ilvl w:val="1"/>
          <w:numId w:val="1288"/>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89"/>
        </w:numPr>
      </w:pPr>
      <w:r>
        <w:rPr>
          <w:b/>
          <w:bCs/>
        </w:rPr>
        <w:t xml:space="preserve">5.4.1</w:t>
      </w:r>
      <w:r>
        <w:t xml:space="preserve"> </w:t>
      </w:r>
      <w:r>
        <w:t xml:space="preserve">—</w:t>
      </w:r>
      <w:r>
        <w:t xml:space="preserve"> </w:t>
      </w:r>
      <w:r>
        <w:rPr>
          <w:i/>
          <w:iCs/>
        </w:rPr>
        <w:t xml:space="preserve">Passo:</w:t>
      </w:r>
      <w:r>
        <w:t xml:space="preserve"> </w:t>
      </w:r>
      <w:r>
        <w:t xml:space="preserve">Apresenta a fórmula do efeito mínimo detectável</w:t>
      </w:r>
    </w:p>
    <w:p>
      <w:pPr>
        <w:pStyle w:val="Compact"/>
        <w:numPr>
          <w:ilvl w:val="1"/>
          <w:numId w:val="1290"/>
        </w:numPr>
      </w:pPr>
      <w:r>
        <w:rPr>
          <w:b/>
          <w:bCs/>
        </w:rPr>
        <w:t xml:space="preserve">[5.4.1.1]</w:t>
      </w:r>
      <w:r>
        <w:t xml:space="preserve"> </w:t>
      </w:r>
      <w:r>
        <w:t xml:space="preserve">Para resultados binários, o efeito mínimo detectável (EMD), em pontos percentuais, é:</w:t>
      </w:r>
    </w:p>
    <w:p>
      <w:pPr>
        <w:numPr>
          <w:ilvl w:val="0"/>
          <w:numId w:val="1289"/>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89"/>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91"/>
        </w:numPr>
      </w:pPr>
      <w:r>
        <w:rPr>
          <w:b/>
          <w:bCs/>
        </w:rPr>
        <w:t xml:space="preserve">[5.4.2.1]</w:t>
      </w:r>
      <w:r>
        <w:t xml:space="preserve"> </w:t>
      </w:r>
      <w:r>
        <w:t xml:space="preserve">A fórmula segue Djimeu e Houndolo (2016), com α = 5% bicaudal e poder de 80%.</w:t>
      </w:r>
    </w:p>
    <w:p>
      <w:pPr>
        <w:pStyle w:val="Compact"/>
        <w:numPr>
          <w:ilvl w:val="2"/>
          <w:numId w:val="1292"/>
        </w:numPr>
      </w:pPr>
      <w:r>
        <w:t xml:space="preserve">citações: Djimeu e Houndolo (2016)</w:t>
      </w:r>
    </w:p>
    <w:p>
      <w:pPr>
        <w:pStyle w:val="Compact"/>
        <w:numPr>
          <w:ilvl w:val="2"/>
          <w:numId w:val="1292"/>
        </w:numPr>
      </w:pPr>
      <w:r>
        <w:t xml:space="preserve">⚠ números sem checagem automática (conferir na fonte citada): 5%, 80%</w:t>
      </w:r>
    </w:p>
    <w:p>
      <w:pPr>
        <w:pStyle w:val="Compact"/>
        <w:numPr>
          <w:ilvl w:val="1"/>
          <w:numId w:val="1293"/>
        </w:numPr>
      </w:pPr>
      <w:r>
        <w:rPr>
          <w:b/>
          <w:bCs/>
        </w:rPr>
        <w:t xml:space="preserve">[5.4.2.2]</w:t>
      </w:r>
      <w:r>
        <w:t xml:space="preserve"> </w:t>
      </w:r>
      <w:r>
        <w:t xml:space="preserve">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Compact"/>
        <w:numPr>
          <w:ilvl w:val="2"/>
          <w:numId w:val="1294"/>
        </w:numPr>
      </w:pPr>
      <w:r>
        <w:t xml:space="preserve">citações: ELDRIDGE; ASHBY; KERRY, 2006</w:t>
      </w:r>
    </w:p>
    <w:bookmarkEnd w:id="27"/>
    <w:bookmarkStart w:id="28" w:name="X4186f8a557f8a79ab955beeb46e3c94838665f3"/>
    <w:p>
      <w:pPr>
        <w:pStyle w:val="Heading3"/>
      </w:pPr>
      <w:r>
        <w:t xml:space="preserve">Tabela 2 – Efeito mínimo detectável por pergunta (pontos percentuais, salvo indicação)</w:t>
      </w:r>
    </w:p>
    <w:p>
      <w:pPr>
        <w:pStyle w:val="Compact"/>
        <w:numPr>
          <w:ilvl w:val="0"/>
          <w:numId w:val="1295"/>
        </w:numPr>
      </w:pPr>
      <w:r>
        <w:rPr>
          <w:b/>
          <w:bCs/>
        </w:rPr>
        <w:t xml:space="preserve">Colunas:</w:t>
      </w:r>
      <w:r>
        <w:t xml:space="preserve"> </w:t>
      </w:r>
      <w:r>
        <w:t xml:space="preserve">Pergunta e comparação · Unidades · Cenários · EMD</w:t>
      </w:r>
    </w:p>
    <w:p>
      <w:pPr>
        <w:pStyle w:val="Compact"/>
        <w:numPr>
          <w:ilvl w:val="1"/>
          <w:numId w:val="1296"/>
        </w:numPr>
      </w:pPr>
      <w:r>
        <w:rPr>
          <w:b/>
          <w:bCs/>
        </w:rPr>
        <w:t xml:space="preserve">H1: experimento conjunto</w:t>
      </w:r>
      <w:r>
        <w:t xml:space="preserve"> </w:t>
      </w:r>
      <w:r>
        <w:t xml:space="preserve">— 30 a 60 decisores × 12 tarefas —</w:t>
      </w:r>
      <w:r>
        <w:t xml:space="preserve"> </w:t>
      </w:r>
      <m:oMath>
        <m:sSub>
          <m:e>
            <m:r>
              <m:t>p</m:t>
            </m:r>
          </m:e>
          <m:sub>
            <m:r>
              <m:t>0</m:t>
            </m:r>
          </m:sub>
        </m:sSub>
      </m:oMath>
      <w:r>
        <w:t xml:space="preserve"> </w:t>
      </w:r>
      <w:r>
        <w:t xml:space="preserve">= 0,5; ρ = 0 ou 0,1 no decisor — 7,4 a 19,0</w:t>
      </w:r>
    </w:p>
    <w:p>
      <w:pPr>
        <w:pStyle w:val="Compact"/>
        <w:numPr>
          <w:ilvl w:val="2"/>
          <w:numId w:val="1297"/>
        </w:numPr>
      </w:pPr>
      <w:r>
        <w:t xml:space="preserve">checagem de dados: N48 ✔ (</w:t>
      </w:r>
      <w:r>
        <w:rPr>
          <w:rStyle w:val="VerbatimChar"/>
        </w:rPr>
        <w:t xml:space="preserve">analise/tabelas/10_poder_conjoint.csv (30 e 60 × 12)</w:t>
      </w:r>
      <w:r>
        <w:t xml:space="preserve">)</w:t>
      </w:r>
    </w:p>
    <w:p>
      <w:pPr>
        <w:pStyle w:val="Compact"/>
        <w:numPr>
          <w:ilvl w:val="1"/>
          <w:numId w:val="1298"/>
        </w:numPr>
      </w:pPr>
      <w:r>
        <w:rPr>
          <w:b/>
          <w:bCs/>
        </w:rPr>
        <w:t xml:space="preserve">H1: diferença empresas − população</w:t>
      </w:r>
      <w:r>
        <w:t xml:space="preserve"> </w:t>
      </w:r>
      <w:r>
        <w:t xml:space="preserve">— e 500 residentes × 6 tarefas — idem — 8,2 a 19,7</w:t>
      </w:r>
    </w:p>
    <w:p>
      <w:pPr>
        <w:pStyle w:val="Compact"/>
        <w:numPr>
          <w:ilvl w:val="2"/>
          <w:numId w:val="1299"/>
        </w:numPr>
      </w:pPr>
      <w:r>
        <w:t xml:space="preserve">checagem de dados: N76 ✔ (</w:t>
      </w:r>
      <w:r>
        <w:rPr>
          <w:rStyle w:val="VerbatimChar"/>
        </w:rPr>
        <w:t xml:space="preserve">analise/tabelas/19_poder_revisao.csv</w:t>
      </w:r>
      <w:r>
        <w:t xml:space="preserve">)</w:t>
      </w:r>
    </w:p>
    <w:p>
      <w:pPr>
        <w:pStyle w:val="Compact"/>
        <w:numPr>
          <w:ilvl w:val="1"/>
          <w:numId w:val="1300"/>
        </w:numPr>
      </w:pPr>
      <w:r>
        <w:rPr>
          <w:b/>
          <w:bCs/>
        </w:rPr>
        <w:t xml:space="preserve">H2: nota cega, habilitados × inabilitados</w:t>
      </w:r>
      <w:r>
        <w:t xml:space="preserve"> </w:t>
      </w:r>
      <w:r>
        <w:t xml:space="preserve">— 86 × 86 projetos — nota padronizada — 0,43 DP</w:t>
      </w:r>
    </w:p>
    <w:p>
      <w:pPr>
        <w:pStyle w:val="Compact"/>
        <w:numPr>
          <w:ilvl w:val="2"/>
          <w:numId w:val="1301"/>
        </w:numPr>
      </w:pPr>
      <w:r>
        <w:t xml:space="preserve">checagem de dados: N77 ✔ (</w:t>
      </w:r>
      <w:r>
        <w:rPr>
          <w:rStyle w:val="VerbatimChar"/>
        </w:rPr>
        <w:t xml:space="preserve">analise/tabelas/19_poder_revisao.csv</w:t>
      </w:r>
      <w:r>
        <w:t xml:space="preserve">)</w:t>
      </w:r>
    </w:p>
    <w:p>
      <w:pPr>
        <w:pStyle w:val="Compact"/>
        <w:numPr>
          <w:ilvl w:val="1"/>
          <w:numId w:val="1302"/>
        </w:numPr>
      </w:pPr>
      <w:r>
        <w:rPr>
          <w:b/>
          <w:bCs/>
        </w:rPr>
        <w:t xml:space="preserve">H2: nota cega, captou × não captou</w:t>
      </w:r>
      <w:r>
        <w:t xml:space="preserve"> </w:t>
      </w:r>
      <w:r>
        <w:t xml:space="preserve">— 198 × 95 habilitados — nota padronizada — 0,35 DP</w:t>
      </w:r>
    </w:p>
    <w:p>
      <w:pPr>
        <w:pStyle w:val="Compact"/>
        <w:numPr>
          <w:ilvl w:val="2"/>
          <w:numId w:val="1303"/>
        </w:numPr>
      </w:pPr>
      <w:r>
        <w:t xml:space="preserve">checagem de dados: N78 ✔ (</w:t>
      </w:r>
      <w:r>
        <w:rPr>
          <w:rStyle w:val="VerbatimChar"/>
        </w:rPr>
        <w:t xml:space="preserve">analise/tabelas/19_poder_revisao.csv</w:t>
      </w:r>
      <w:r>
        <w:t xml:space="preserve">)</w:t>
      </w:r>
    </w:p>
    <w:p>
      <w:pPr>
        <w:pStyle w:val="Compact"/>
        <w:numPr>
          <w:ilvl w:val="1"/>
          <w:numId w:val="1304"/>
        </w:numPr>
      </w:pPr>
      <w:r>
        <w:rPr>
          <w:b/>
          <w:bCs/>
        </w:rPr>
        <w:t xml:space="preserve">H5: margem do racionamento, 2023-2024</w:t>
      </w:r>
      <w:r>
        <w:t xml:space="preserve"> </w:t>
      </w:r>
      <w:r>
        <w:t xml:space="preserve">— 32 recusados × 32 validados —</w:t>
      </w:r>
      <w:r>
        <w:t xml:space="preserve"> </w:t>
      </w:r>
      <m:oMath>
        <m:sSub>
          <m:e>
            <m:r>
              <m:t>p</m:t>
            </m:r>
          </m:e>
          <m:sub>
            <m:r>
              <m:t>0</m:t>
            </m:r>
          </m:sub>
        </m:sSub>
      </m:oMath>
      <w:r>
        <w:t xml:space="preserve"> </w:t>
      </w:r>
      <w:r>
        <w:t xml:space="preserve">de 0,2 a 0,6 — 28 a 34</w:t>
      </w:r>
    </w:p>
    <w:p>
      <w:pPr>
        <w:pStyle w:val="Compact"/>
        <w:numPr>
          <w:ilvl w:val="2"/>
          <w:numId w:val="1305"/>
        </w:numPr>
      </w:pPr>
      <w:r>
        <w:t xml:space="preserve">checagem de dados: N24 ✔ (</w:t>
      </w:r>
      <w:r>
        <w:rPr>
          <w:rStyle w:val="VerbatimChar"/>
        </w:rPr>
        <w:t xml:space="preserve">analise/tabelas/07_poder_hipoteses.csv</w:t>
      </w:r>
      <w:r>
        <w:t xml:space="preserve">)</w:t>
      </w:r>
    </w:p>
    <w:p>
      <w:pPr>
        <w:pStyle w:val="Compact"/>
        <w:numPr>
          <w:ilvl w:val="1"/>
          <w:numId w:val="1306"/>
        </w:numPr>
      </w:pPr>
      <w:r>
        <w:rPr>
          <w:b/>
          <w:bCs/>
        </w:rPr>
        <w:t xml:space="preserve">H4: oferta por município, só coletivos</w:t>
      </w:r>
      <w:r>
        <w:t xml:space="preserve"> </w:t>
      </w:r>
      <w:r>
        <w:t xml:space="preserve">— 52 municípios, 257 coletivos (</w:t>
      </w:r>
      <m:oMath>
        <m:acc>
          <m:accPr>
            <m:chr m:val="‾"/>
          </m:accPr>
          <m:e>
            <m:r>
              <m:t>m</m:t>
            </m:r>
          </m:e>
        </m:acc>
      </m:oMath>
      <w:r>
        <w:t xml:space="preserve"> </w:t>
      </w:r>
      <w:r>
        <w:t xml:space="preserve">= 4,9;</w:t>
      </w:r>
      <w:r>
        <w:t xml:space="preserve"> </w:t>
      </w:r>
      <w:r>
        <w:rPr>
          <w:i/>
          <w:iCs/>
        </w:rPr>
        <w:t xml:space="preserve">cv</w:t>
      </w:r>
      <w:r>
        <w:t xml:space="preserve"> </w:t>
      </w:r>
      <w:r>
        <w:t xml:space="preserve">= 1,32) —</w:t>
      </w:r>
      <w:r>
        <w:t xml:space="preserve"> </w:t>
      </w:r>
      <m:oMath>
        <m:sSub>
          <m:e>
            <m:r>
              <m:t>p</m:t>
            </m:r>
          </m:e>
          <m:sub>
            <m:r>
              <m:t>0</m:t>
            </m:r>
          </m:sub>
        </m:sSub>
      </m:oMath>
      <w:r>
        <w:t xml:space="preserve"> </w:t>
      </w:r>
      <w:r>
        <w:t xml:space="preserve">de 2% a 10%; ρ de 0,02 a 0,05 — 5,5 a 13,4</w:t>
      </w:r>
    </w:p>
    <w:p>
      <w:pPr>
        <w:pStyle w:val="Compact"/>
        <w:numPr>
          <w:ilvl w:val="2"/>
          <w:numId w:val="1307"/>
        </w:numPr>
      </w:pPr>
      <w:r>
        <w:t xml:space="preserve">checagem de dados: N25 ✔ (</w:t>
      </w:r>
      <w:r>
        <w:rPr>
          <w:rStyle w:val="VerbatimChar"/>
        </w:rPr>
        <w:t xml:space="preserve">analise/tabelas/07_poder_hipoteses.csv</w:t>
      </w:r>
      <w:r>
        <w:t xml:space="preserve">)</w:t>
      </w:r>
    </w:p>
    <w:p>
      <w:pPr>
        <w:pStyle w:val="Compact"/>
        <w:numPr>
          <w:ilvl w:val="1"/>
          <w:numId w:val="1308"/>
        </w:numPr>
      </w:pPr>
      <w:r>
        <w:rPr>
          <w:b/>
          <w:bCs/>
        </w:rPr>
        <w:t xml:space="preserve">H4: oferta por município, todos os agentes</w:t>
      </w:r>
      <w:r>
        <w:t xml:space="preserve"> </w:t>
      </w:r>
      <w:r>
        <w:t xml:space="preserve">— 71 municípios, 2.389 agentes (</w:t>
      </w:r>
      <m:oMath>
        <m:acc>
          <m:accPr>
            <m:chr m:val="‾"/>
          </m:accPr>
          <m:e>
            <m:r>
              <m:t>m</m:t>
            </m:r>
          </m:e>
        </m:acc>
      </m:oMath>
      <w:r>
        <w:t xml:space="preserve"> </w:t>
      </w:r>
      <w:r>
        <w:t xml:space="preserve">= 33,6;</w:t>
      </w:r>
      <w:r>
        <w:t xml:space="preserve"> </w:t>
      </w:r>
      <w:r>
        <w:rPr>
          <w:i/>
          <w:iCs/>
        </w:rPr>
        <w:t xml:space="preserve">cv</w:t>
      </w:r>
      <w:r>
        <w:t xml:space="preserve"> </w:t>
      </w:r>
      <w:r>
        <w:t xml:space="preserve">= 1,43) —</w:t>
      </w:r>
      <w:r>
        <w:t xml:space="preserve"> </w:t>
      </w:r>
      <m:oMath>
        <m:sSub>
          <m:e>
            <m:r>
              <m:t>p</m:t>
            </m:r>
          </m:e>
          <m:sub>
            <m:r>
              <m:t>0</m:t>
            </m:r>
          </m:sub>
        </m:sSub>
      </m:oMath>
      <w:r>
        <w:t xml:space="preserve"> </w:t>
      </w:r>
      <w:r>
        <w:t xml:space="preserve">de 2% a 10%; ρ de 0,02 a 0,05 — 2,8 a 8,5</w:t>
      </w:r>
    </w:p>
    <w:p>
      <w:pPr>
        <w:pStyle w:val="Compact"/>
        <w:numPr>
          <w:ilvl w:val="2"/>
          <w:numId w:val="1309"/>
        </w:numPr>
      </w:pPr>
      <w:r>
        <w:t xml:space="preserve">checagem de dados: N26 ✔ (</w:t>
      </w:r>
      <w:r>
        <w:rPr>
          <w:rStyle w:val="VerbatimChar"/>
        </w:rPr>
        <w:t xml:space="preserve">analise/tabelas/07_poder_hipoteses.csv</w:t>
      </w:r>
      <w:r>
        <w:t xml:space="preserve">)</w:t>
      </w:r>
    </w:p>
    <w:p>
      <w:pPr>
        <w:pStyle w:val="Compact"/>
        <w:numPr>
          <w:ilvl w:val="0"/>
          <w:numId w:val="1295"/>
        </w:numPr>
      </w:pPr>
      <w:r>
        <w:rPr>
          <w:b/>
          <w:bCs/>
        </w:rPr>
        <w:t xml:space="preserve">5.4.3</w:t>
      </w:r>
      <w:r>
        <w:t xml:space="preserve"> </w:t>
      </w:r>
      <w:r>
        <w:t xml:space="preserve">(fonte do quadro, tabela ou figura)</w:t>
      </w:r>
    </w:p>
    <w:p>
      <w:pPr>
        <w:pStyle w:val="Compact"/>
        <w:numPr>
          <w:ilvl w:val="1"/>
          <w:numId w:val="1310"/>
        </w:numPr>
      </w:pPr>
      <w:r>
        <w:rPr>
          <w:b/>
          <w:bCs/>
        </w:rPr>
        <w:t xml:space="preserve">[5.4.3.1]</w:t>
      </w:r>
      <w:r>
        <w:t xml:space="preserve"> </w:t>
      </w:r>
      <w:r>
        <w:t xml:space="preserve">Fonte: elaboração própria;</w:t>
      </w:r>
      <w:r>
        <w:t xml:space="preserve"> </w:t>
      </w:r>
      <w:r>
        <w:rPr>
          <w:rStyle w:val="VerbatimChar"/>
        </w:rPr>
        <w:t xml:space="preserve">analise/tabelas/07_poder_hipoteses.csv</w:t>
      </w:r>
      <w:r>
        <w:t xml:space="preserve">,</w:t>
      </w:r>
      <w:r>
        <w:t xml:space="preserve"> </w:t>
      </w:r>
      <w:r>
        <w:rPr>
          <w:rStyle w:val="VerbatimChar"/>
        </w:rPr>
        <w:t xml:space="preserve">07_mapa_quadro_h3.csv</w:t>
      </w:r>
      <w:r>
        <w:t xml:space="preserve">,</w:t>
      </w:r>
      <w:r>
        <w:t xml:space="preserve"> </w:t>
      </w:r>
      <w:r>
        <w:rPr>
          <w:rStyle w:val="VerbatimChar"/>
        </w:rPr>
        <w:t xml:space="preserve">10_poder_conjoint.csv</w:t>
      </w:r>
      <w:r>
        <w:t xml:space="preserve"> </w:t>
      </w:r>
      <w:r>
        <w:t xml:space="preserve">e</w:t>
      </w:r>
      <w:r>
        <w:t xml:space="preserve"> </w:t>
      </w:r>
      <w:r>
        <w:rPr>
          <w:rStyle w:val="VerbatimChar"/>
        </w:rPr>
        <w:t xml:space="preserve">19_poder_revisao.csv</w:t>
      </w:r>
      <w:r>
        <w:t xml:space="preserve"> </w:t>
      </w:r>
      <w:r>
        <w:t xml:space="preserve">(scripts</w:t>
      </w:r>
      <w:r>
        <w:t xml:space="preserve"> </w:t>
      </w:r>
      <w:r>
        <w:rPr>
          <w:rStyle w:val="VerbatimChar"/>
        </w:rPr>
        <w:t xml:space="preserve">analise/07_hipoteses_h1_h3.py</w:t>
      </w:r>
      <w:r>
        <w:t xml:space="preserve">,</w:t>
      </w:r>
      <w:r>
        <w:t xml:space="preserve"> </w:t>
      </w:r>
      <w:r>
        <w:rPr>
          <w:rStyle w:val="VerbatimChar"/>
        </w:rPr>
        <w:t xml:space="preserve">10_poder_mercado_rubricas.py</w:t>
      </w:r>
      <w:r>
        <w:t xml:space="preserve"> </w:t>
      </w:r>
      <w:r>
        <w:t xml:space="preserve">e</w:t>
      </w:r>
      <w:r>
        <w:t xml:space="preserve"> </w:t>
      </w:r>
      <w:r>
        <w:rPr>
          <w:rStyle w:val="VerbatimChar"/>
        </w:rPr>
        <w:t xml:space="preserve">19_poder_revisao.py</w:t>
      </w:r>
      <w:r>
        <w:t xml:space="preserve">).</w:t>
      </w:r>
    </w:p>
    <w:p>
      <w:pPr>
        <w:pStyle w:val="Compact"/>
        <w:numPr>
          <w:ilvl w:val="0"/>
          <w:numId w:val="1295"/>
        </w:numPr>
      </w:pPr>
      <w:r>
        <w:rPr>
          <w:b/>
          <w:bCs/>
        </w:rPr>
        <w:t xml:space="preserve">5.4.4</w:t>
      </w:r>
      <w:r>
        <w:t xml:space="preserve"> </w:t>
      </w:r>
      <w:r>
        <w:t xml:space="preserve">—</w:t>
      </w:r>
      <w:r>
        <w:t xml:space="preserve"> </w:t>
      </w:r>
      <w:r>
        <w:rPr>
          <w:i/>
          <w:iCs/>
        </w:rPr>
        <w:t xml:space="preserve">Passo:</w:t>
      </w:r>
      <w:r>
        <w:t xml:space="preserve"> </w:t>
      </w:r>
      <w:r>
        <w:t xml:space="preserve">Interpreta o poder de cada desenho: margem, prospectivo, conjunto, avaliação cega, conglomerados e adesão</w:t>
      </w:r>
    </w:p>
    <w:p>
      <w:pPr>
        <w:pStyle w:val="Compact"/>
        <w:numPr>
          <w:ilvl w:val="1"/>
          <w:numId w:val="1311"/>
        </w:numPr>
      </w:pPr>
      <w:r>
        <w:rPr>
          <w:b/>
          <w:bCs/>
        </w:rPr>
        <w:t xml:space="preserve">[5.4.4.1]</w:t>
      </w:r>
      <w:r>
        <w:t xml:space="preserve"> </w:t>
      </w:r>
      <w:r>
        <w:t xml:space="preserve">A comparação na margem do racionamento só detecta efeitos muito grandes; para o efeito de receber em algum momento, o EMD divide-se pelo primeiro estágio (0,41) e vai a 69 a 84 pontos.</w:t>
      </w:r>
    </w:p>
    <w:p>
      <w:pPr>
        <w:pStyle w:val="Compact"/>
        <w:numPr>
          <w:ilvl w:val="2"/>
          <w:numId w:val="1312"/>
        </w:numPr>
      </w:pPr>
      <w:r>
        <w:t xml:space="preserve">checagem de dados: N68 ✔ (</w:t>
      </w:r>
      <w:r>
        <w:rPr>
          <w:rStyle w:val="VerbatimChar"/>
        </w:rPr>
        <w:t xml:space="preserve">analise/tabelas/19_poder_revisao.csv</w:t>
      </w:r>
      <w:r>
        <w:t xml:space="preserve">)</w:t>
      </w:r>
    </w:p>
    <w:p>
      <w:pPr>
        <w:pStyle w:val="Compact"/>
        <w:numPr>
          <w:ilvl w:val="1"/>
          <w:numId w:val="1313"/>
        </w:numPr>
      </w:pPr>
      <w:r>
        <w:rPr>
          <w:b/>
          <w:bCs/>
        </w:rPr>
        <w:t xml:space="preserve">[5.4.4.2]</w:t>
      </w:r>
      <w:r>
        <w:t xml:space="preserve"> </w:t>
      </w:r>
      <w:r>
        <w:t xml:space="preserve">Para detectar 15 pontos, o desenho prospectivo precisa de 112 a 168 recusados por braço: no ritmo de 2023 e 2024, de 11 a 21 projetos recusados por ano, são de 6 a 16 ciclos, e H5 só decide no longo prazo ou com esgotamentos mais frequentes.</w:t>
      </w:r>
    </w:p>
    <w:p>
      <w:pPr>
        <w:pStyle w:val="Compact"/>
        <w:numPr>
          <w:ilvl w:val="2"/>
          <w:numId w:val="1314"/>
        </w:numPr>
      </w:pPr>
      <w:r>
        <w:t xml:space="preserve">checagem de dados: N69 ✔ (</w:t>
      </w:r>
      <w:r>
        <w:rPr>
          <w:rStyle w:val="VerbatimChar"/>
        </w:rPr>
        <w:t xml:space="preserve">analise/tabelas/19_poder_revisao.csv</w:t>
      </w:r>
      <w:r>
        <w:t xml:space="preserve">); N83 ✔ (</w:t>
      </w:r>
      <w:r>
        <w:rPr>
          <w:rStyle w:val="VerbatimChar"/>
        </w:rPr>
        <w:t xml:space="preserve">analise/tabelas/09_reentrada_resumo.csv</w:t>
      </w:r>
      <w:r>
        <w:t xml:space="preserve">)</w:t>
      </w:r>
    </w:p>
    <w:p>
      <w:pPr>
        <w:pStyle w:val="Compact"/>
        <w:numPr>
          <w:ilvl w:val="2"/>
          <w:numId w:val="1314"/>
        </w:numPr>
      </w:pPr>
      <w:r>
        <w:t xml:space="preserve">⚠ números sem checagem automática (conferir na fonte citada): 15</w:t>
      </w:r>
    </w:p>
    <w:p>
      <w:pPr>
        <w:pStyle w:val="Compact"/>
        <w:numPr>
          <w:ilvl w:val="1"/>
          <w:numId w:val="1315"/>
        </w:numPr>
      </w:pPr>
      <w:r>
        <w:rPr>
          <w:b/>
          <w:bCs/>
        </w:rPr>
        <w:t xml:space="preserve">[5.4.4.3]</w:t>
      </w:r>
      <w:r>
        <w:t xml:space="preserve"> </w:t>
      </w:r>
      <w:r>
        <w:t xml:space="preserve">O experimento conjunto detecta diferenças de 7 a 13 pontos na probabilidade de escolha com 60 decisores, e de 10 a 19 com 30; o braço da população pouco acrescenta ao erro, e a diferença entre empresas e população fica entre 8 e 20 pontos.</w:t>
      </w:r>
    </w:p>
    <w:p>
      <w:pPr>
        <w:pStyle w:val="Compact"/>
        <w:numPr>
          <w:ilvl w:val="2"/>
          <w:numId w:val="1316"/>
        </w:numPr>
      </w:pPr>
      <w:r>
        <w:t xml:space="preserve">checagem de dados: N49 ✔ (</w:t>
      </w:r>
      <w:r>
        <w:rPr>
          <w:rStyle w:val="VerbatimChar"/>
        </w:rPr>
        <w:t xml:space="preserve">analise/tabelas/10_poder_conjoint.csv (30 e 60 × 12)</w:t>
      </w:r>
      <w:r>
        <w:t xml:space="preserve">); N75 ✔ (</w:t>
      </w:r>
      <w:r>
        <w:rPr>
          <w:rStyle w:val="VerbatimChar"/>
        </w:rPr>
        <w:t xml:space="preserve">analise/tabelas/19_poder_revisao.csv</w:t>
      </w:r>
      <w:r>
        <w:t xml:space="preserve">)</w:t>
      </w:r>
    </w:p>
    <w:p>
      <w:pPr>
        <w:pStyle w:val="Compact"/>
        <w:numPr>
          <w:ilvl w:val="1"/>
          <w:numId w:val="1317"/>
        </w:numPr>
      </w:pPr>
      <w:r>
        <w:rPr>
          <w:b/>
          <w:bCs/>
        </w:rPr>
        <w:t xml:space="preserve">[5.4.4.4]</w:t>
      </w:r>
      <w:r>
        <w:t xml:space="preserve"> </w:t>
      </w:r>
      <w:r>
        <w:t xml:space="preserve">A avaliação cega detecta diferença de nota de 0,43 desvio-padrão (DP) entre habilitados e inabilitados.</w:t>
      </w:r>
    </w:p>
    <w:p>
      <w:pPr>
        <w:pStyle w:val="Compact"/>
        <w:numPr>
          <w:ilvl w:val="2"/>
          <w:numId w:val="1318"/>
        </w:numPr>
      </w:pPr>
      <w:r>
        <w:t xml:space="preserve">checagem de dados: N79 ✔ (</w:t>
      </w:r>
      <w:r>
        <w:rPr>
          <w:rStyle w:val="VerbatimChar"/>
        </w:rPr>
        <w:t xml:space="preserve">analise/tabelas/19_poder_revisao.csv</w:t>
      </w:r>
      <w:r>
        <w:t xml:space="preserve">)</w:t>
      </w:r>
    </w:p>
    <w:p>
      <w:pPr>
        <w:pStyle w:val="Compact"/>
        <w:numPr>
          <w:ilvl w:val="1"/>
          <w:numId w:val="1319"/>
        </w:numPr>
      </w:pPr>
      <w:r>
        <w:rPr>
          <w:b/>
          <w:bCs/>
        </w:rPr>
        <w:t xml:space="preserve">[5.4.4.5]</w:t>
      </w:r>
      <w:r>
        <w:t xml:space="preserve"> </w:t>
      </w:r>
      <w:r>
        <w:t xml:space="preserve">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w:t>
      </w:r>
    </w:p>
    <w:p>
      <w:pPr>
        <w:pStyle w:val="Compact"/>
        <w:numPr>
          <w:ilvl w:val="2"/>
          <w:numId w:val="1320"/>
        </w:numPr>
      </w:pPr>
      <w:r>
        <w:t xml:space="preserve">citações: GERTLER</w:t>
      </w:r>
      <w:r>
        <w:t xml:space="preserve"> </w:t>
      </w:r>
      <w:r>
        <w:rPr>
          <w:i/>
          <w:iCs/>
        </w:rPr>
        <w:t xml:space="preserve">et al.</w:t>
      </w:r>
      <w:r>
        <w:t xml:space="preserve">, 2018</w:t>
      </w:r>
    </w:p>
    <w:p>
      <w:pPr>
        <w:pStyle w:val="Compact"/>
        <w:numPr>
          <w:ilvl w:val="2"/>
          <w:numId w:val="1320"/>
        </w:numPr>
      </w:pPr>
      <w:r>
        <w:t xml:space="preserve">checagem de dados: N70 ✔ (</w:t>
      </w:r>
      <w:r>
        <w:rPr>
          <w:rStyle w:val="VerbatimChar"/>
        </w:rPr>
        <w:t xml:space="preserve">analise/tabelas/19_poder_revisao.csv</w:t>
      </w:r>
      <w:r>
        <w:t xml:space="preserve">)</w:t>
      </w:r>
    </w:p>
    <w:p>
      <w:pPr>
        <w:pStyle w:val="Compact"/>
        <w:numPr>
          <w:ilvl w:val="2"/>
          <w:numId w:val="1320"/>
        </w:numPr>
      </w:pPr>
      <w:r>
        <w:t xml:space="preserve">⚠ números sem checagem automática (conferir na fonte citada): 30, 50</w:t>
      </w:r>
    </w:p>
    <w:p>
      <w:pPr>
        <w:pStyle w:val="Compact"/>
        <w:numPr>
          <w:ilvl w:val="1"/>
          <w:numId w:val="1321"/>
        </w:numPr>
      </w:pPr>
      <w:r>
        <w:rPr>
          <w:b/>
          <w:bCs/>
        </w:rPr>
        <w:t xml:space="preserve">[5.4.4.6]</w:t>
      </w:r>
      <w:r>
        <w:t xml:space="preserve"> </w:t>
      </w:r>
      <w:r>
        <w:t xml:space="preserve">Só com os coletivos, são 26 por grupo, e o efeito mínimo passa de 5 pontos.</w:t>
      </w:r>
    </w:p>
    <w:p>
      <w:pPr>
        <w:pStyle w:val="Compact"/>
        <w:numPr>
          <w:ilvl w:val="2"/>
          <w:numId w:val="1322"/>
        </w:numPr>
      </w:pPr>
      <w:r>
        <w:t xml:space="preserve">checagem de dados: N40 ✔ (</w:t>
      </w:r>
      <w:r>
        <w:rPr>
          <w:rStyle w:val="VerbatimChar"/>
        </w:rPr>
        <w:t xml:space="preserve">analise/tabelas/07_poder_hipoteses.csv</w:t>
      </w:r>
      <w:r>
        <w:t xml:space="preserve">); N71 ✔ (</w:t>
      </w:r>
      <w:r>
        <w:rPr>
          <w:rStyle w:val="VerbatimChar"/>
        </w:rPr>
        <w:t xml:space="preserve">analise/tabelas/07_mapa_quadro_h3.csv</w:t>
      </w:r>
      <w:r>
        <w:t xml:space="preserve">)</w:t>
      </w:r>
    </w:p>
    <w:p>
      <w:pPr>
        <w:pStyle w:val="Compact"/>
        <w:numPr>
          <w:ilvl w:val="1"/>
          <w:numId w:val="1323"/>
        </w:numPr>
      </w:pPr>
      <w:r>
        <w:rPr>
          <w:b/>
          <w:bCs/>
        </w:rPr>
        <w:t xml:space="preserve">[5.4.4.7]</w:t>
      </w:r>
      <w:r>
        <w:t xml:space="preserve"> </w:t>
      </w:r>
      <w:r>
        <w:t xml:space="preserve">Para quem adere à oferta, o EMD é o da Tabela 2 dividido pela adesão.</w:t>
      </w:r>
    </w:p>
    <w:p>
      <w:pPr>
        <w:pStyle w:val="Compact"/>
        <w:numPr>
          <w:ilvl w:val="1"/>
          <w:numId w:val="1324"/>
        </w:numPr>
      </w:pPr>
      <w:r>
        <w:rPr>
          <w:b/>
          <w:bCs/>
        </w:rPr>
        <w:t xml:space="preserve">[5.4.4.8]</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p>
      <w:pPr>
        <w:pStyle w:val="Compact"/>
        <w:numPr>
          <w:ilvl w:val="2"/>
          <w:numId w:val="1325"/>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26"/>
        </w:numPr>
      </w:pPr>
      <w:r>
        <w:rPr>
          <w:b/>
          <w:bCs/>
        </w:rPr>
        <w:t xml:space="preserve">5.5.1</w:t>
      </w:r>
      <w:r>
        <w:t xml:space="preserve"> </w:t>
      </w:r>
      <w:r>
        <w:t xml:space="preserve">—</w:t>
      </w:r>
      <w:r>
        <w:t xml:space="preserve"> </w:t>
      </w:r>
      <w:r>
        <w:rPr>
          <w:i/>
          <w:iCs/>
        </w:rPr>
        <w:t xml:space="preserve">Passo:</w:t>
      </w:r>
      <w:r>
        <w:t xml:space="preserve"> </w:t>
      </w:r>
      <w:r>
        <w:t xml:space="preserve">Lista as ameaças à validade interna e externa e os cuidados éticos</w:t>
      </w:r>
    </w:p>
    <w:p>
      <w:pPr>
        <w:pStyle w:val="Compact"/>
        <w:numPr>
          <w:ilvl w:val="1"/>
          <w:numId w:val="1327"/>
        </w:numPr>
      </w:pPr>
      <w:r>
        <w:rPr>
          <w:b/>
          <w:bCs/>
        </w:rPr>
        <w:t xml:space="preserve">[5.5.1.1]</w:t>
      </w:r>
      <w:r>
        <w:t xml:space="preserve"> </w:t>
      </w:r>
      <w:r>
        <w:t xml:space="preserve">A primeira ameaça à validade interna é a violação da hipótese de ausência de interferência entre unidades (SUTVA): com o teto fixo, o que um projeto capta falta a outro.</w:t>
      </w:r>
    </w:p>
    <w:p>
      <w:pPr>
        <w:pStyle w:val="Compact"/>
        <w:numPr>
          <w:ilvl w:val="1"/>
          <w:numId w:val="1328"/>
        </w:numPr>
      </w:pPr>
      <w:r>
        <w:rPr>
          <w:b/>
          <w:bCs/>
        </w:rPr>
        <w:t xml:space="preserve">[5.5.1.2]</w:t>
      </w:r>
      <w:r>
        <w:t xml:space="preserve"> </w:t>
      </w:r>
      <w:r>
        <w:t xml:space="preserve">Seguem-se a substituição de fonte (a captação pela Lei Rouanet entra como resultado), os eventos externos do período (Lei Paulo Gustavo e Política Nacional Aldir Blanc) e o atrito dos dados.</w:t>
      </w:r>
    </w:p>
    <w:p>
      <w:pPr>
        <w:pStyle w:val="Compact"/>
        <w:numPr>
          <w:ilvl w:val="1"/>
          <w:numId w:val="1329"/>
        </w:numPr>
      </w:pPr>
      <w:r>
        <w:rPr>
          <w:b/>
          <w:bCs/>
        </w:rPr>
        <w:t xml:space="preserve">[5.5.1.3]</w:t>
      </w:r>
      <w:r>
        <w:t xml:space="preserve"> </w:t>
      </w:r>
      <w:r>
        <w:t xml:space="preserve">No experimento conjunto, a escolha declarada pode pender para o socialmente desejável; a escolha forçada entre perfis reduz o viés, e os patrocínios observados servem de validação.</w:t>
      </w:r>
    </w:p>
    <w:p>
      <w:pPr>
        <w:pStyle w:val="Compact"/>
        <w:numPr>
          <w:ilvl w:val="1"/>
          <w:numId w:val="1330"/>
        </w:numPr>
      </w:pPr>
      <w:r>
        <w:rPr>
          <w:b/>
          <w:bCs/>
        </w:rPr>
        <w:t xml:space="preserve">[5.5.1.4]</w:t>
      </w:r>
      <w:r>
        <w:t xml:space="preserve"> </w:t>
      </w:r>
      <w:r>
        <w:t xml:space="preserve">Na avaliação cega, dois avaliadores por projeto medem a confiabilidade da nota.</w:t>
      </w:r>
    </w:p>
    <w:p>
      <w:pPr>
        <w:pStyle w:val="Compact"/>
        <w:numPr>
          <w:ilvl w:val="1"/>
          <w:numId w:val="1331"/>
        </w:numPr>
      </w:pPr>
      <w:r>
        <w:rPr>
          <w:b/>
          <w:bCs/>
        </w:rPr>
        <w:t xml:space="preserve">[5.5.1.5]</w:t>
      </w:r>
      <w:r>
        <w:t xml:space="preserve"> </w:t>
      </w:r>
      <w:r>
        <w:t xml:space="preserve">A validade externa é limitada: as comparações retrospectivas de H5 valem para o regime de 2022-2024, em que a habilitação precedia a busca por patrocinador, e desde 2025 os expirados quase desapareceram (3 em 56 resolvidos no ciclo 2025).</w:t>
      </w:r>
    </w:p>
    <w:p>
      <w:pPr>
        <w:pStyle w:val="Compact"/>
        <w:numPr>
          <w:ilvl w:val="2"/>
          <w:numId w:val="1332"/>
        </w:numPr>
      </w:pPr>
      <w:r>
        <w:t xml:space="preserve">checagem de dados: N27 ✔ (</w:t>
      </w:r>
      <w:r>
        <w:rPr>
          <w:rStyle w:val="VerbatimChar"/>
        </w:rPr>
        <w:t xml:space="preserve">analise/tabelas/07_funil_por_ciclo.csv</w:t>
      </w:r>
      <w:r>
        <w:t xml:space="preserve">)</w:t>
      </w:r>
    </w:p>
    <w:p>
      <w:pPr>
        <w:pStyle w:val="Compact"/>
        <w:numPr>
          <w:ilvl w:val="1"/>
          <w:numId w:val="1333"/>
        </w:numPr>
      </w:pPr>
      <w:r>
        <w:rPr>
          <w:b/>
          <w:bCs/>
        </w:rPr>
        <w:t xml:space="preserve">[5.5.1.6]</w:t>
      </w:r>
      <w:r>
        <w:t xml:space="preserve"> </w:t>
      </w:r>
      <w:r>
        <w:t xml:space="preserve">No plano ético, nenhum desenho nega acesso a elegíveis: o apoio chega aos controles ao fim, e o deslocamento pelo teto é medido pela saturação.</w:t>
      </w:r>
    </w:p>
    <w:p>
      <w:pPr>
        <w:pStyle w:val="Compact"/>
        <w:numPr>
          <w:ilvl w:val="1"/>
          <w:numId w:val="1334"/>
        </w:numPr>
      </w:pPr>
      <w:r>
        <w:rPr>
          <w:b/>
          <w:bCs/>
        </w:rPr>
        <w:t xml:space="preserve">[5.5.1.7]</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35"/>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36"/>
        </w:numPr>
      </w:pPr>
      <w:r>
        <w:rPr>
          <w:b/>
          <w:bCs/>
        </w:rPr>
        <w:t xml:space="preserve">[6.1.1]</w:t>
      </w:r>
      <w:r>
        <w:t xml:space="preserve"> </w:t>
      </w:r>
      <w:r>
        <w:t xml:space="preserve">A LICC é um gasto tributário que mais que dobrou de 2023 a 2026, sem problema declarado, objetivos mensuráveis ou previsão de avaliação: o Estado paga, as empresas escolhem, e o público que usaria o bem cultural não passa pelo mecanismo.</w:t>
      </w:r>
    </w:p>
    <w:p>
      <w:pPr>
        <w:pStyle w:val="Compact"/>
        <w:numPr>
          <w:ilvl w:val="1"/>
          <w:numId w:val="1337"/>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38"/>
        </w:numPr>
      </w:pPr>
      <w:r>
        <w:rPr>
          <w:b/>
          <w:bCs/>
        </w:rPr>
        <w:t xml:space="preserve">[6.1.3]</w:t>
      </w:r>
      <w:r>
        <w:t xml:space="preserve"> </w:t>
      </w:r>
      <w:r>
        <w:t xml:space="preserve">A entrega, extremo da cadeia, é indeterminada, porque a SECULT não publica o público alcançado.</w:t>
      </w:r>
    </w:p>
    <w:p>
      <w:pPr>
        <w:pStyle w:val="Compact"/>
        <w:numPr>
          <w:ilvl w:val="0"/>
          <w:numId w:val="1335"/>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39"/>
        </w:numPr>
      </w:pPr>
      <w:r>
        <w:rPr>
          <w:b/>
          <w:bCs/>
        </w:rPr>
        <w:t xml:space="preserve">[6.2.1]</w:t>
      </w:r>
      <w:r>
        <w:t xml:space="preserve"> </w:t>
      </w: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Compact"/>
        <w:numPr>
          <w:ilvl w:val="0"/>
          <w:numId w:val="1335"/>
        </w:numPr>
      </w:pPr>
      <w:r>
        <w:rPr>
          <w:b/>
          <w:bCs/>
        </w:rPr>
        <w:t xml:space="preserve">6.3</w:t>
      </w:r>
      <w:r>
        <w:t xml:space="preserve"> </w:t>
      </w:r>
      <w:r>
        <w:t xml:space="preserve">—</w:t>
      </w:r>
      <w:r>
        <w:t xml:space="preserve"> </w:t>
      </w:r>
      <w:r>
        <w:rPr>
          <w:i/>
          <w:iCs/>
        </w:rPr>
        <w:t xml:space="preserve">Passo:</w:t>
      </w:r>
      <w:r>
        <w:t xml:space="preserve"> </w:t>
      </w:r>
      <w:r>
        <w:t xml:space="preserve">Retoma a pergunta central (H5), a implicação para o teto e as limitações</w:t>
      </w:r>
    </w:p>
    <w:p>
      <w:pPr>
        <w:pStyle w:val="Compact"/>
        <w:numPr>
          <w:ilvl w:val="1"/>
          <w:numId w:val="1340"/>
        </w:numPr>
      </w:pPr>
      <w:r>
        <w:rPr>
          <w:b/>
          <w:bCs/>
        </w:rPr>
        <w:t xml:space="preserve">[6.3.1]</w:t>
      </w:r>
      <w:r>
        <w:t xml:space="preserve"> </w:t>
      </w:r>
      <w:r>
        <w:t xml:space="preserve">Das cinco perguntas, a da entrega (H5) é a mais importante e a mais difícil: mais da metade dos recusados por falta de teto captou no ano seguinte, e comparar quem recebe com quem não recebe exige resultado datado e a fila de termos com as datas.</w:t>
      </w:r>
    </w:p>
    <w:p>
      <w:pPr>
        <w:pStyle w:val="Compact"/>
        <w:numPr>
          <w:ilvl w:val="1"/>
          <w:numId w:val="1341"/>
        </w:numPr>
      </w:pPr>
      <w:r>
        <w:rPr>
          <w:b/>
          <w:bCs/>
        </w:rPr>
        <w:t xml:space="preserve">[6.3.2]</w:t>
      </w:r>
      <w:r>
        <w:t xml:space="preserve"> </w:t>
      </w:r>
      <w:r>
        <w:t xml:space="preserve">Se a adicionalidade na margem for baixa, ampliar o teto financia sobretudo o que ocorreria de todo modo, e as decisões que importam passam a ser quem entra e o que se entrega.</w:t>
      </w:r>
    </w:p>
    <w:p>
      <w:pPr>
        <w:pStyle w:val="Compact"/>
        <w:numPr>
          <w:ilvl w:val="1"/>
          <w:numId w:val="1342"/>
        </w:numPr>
      </w:pPr>
      <w:r>
        <w:rPr>
          <w:b/>
          <w:bCs/>
        </w:rPr>
        <w:t xml:space="preserve">[6.3.3]</w:t>
      </w:r>
      <w:r>
        <w:t xml:space="preserve"> </w:t>
      </w:r>
      <w:r>
        <w:t xml:space="preserve">Limitações dos dados: a situação publicada aproxima a captação, a estreia é medida por nome de proponente, e o retrato territorial cobre 74% do valor.</w:t>
      </w:r>
    </w:p>
    <w:p>
      <w:pPr>
        <w:pStyle w:val="Compact"/>
        <w:numPr>
          <w:ilvl w:val="2"/>
          <w:numId w:val="1343"/>
        </w:numPr>
      </w:pPr>
      <w:r>
        <w:t xml:space="preserve">checagem de dados: D33 ✔ (</w:t>
      </w:r>
      <w:r>
        <w:rPr>
          <w:rStyle w:val="VerbatimChar"/>
        </w:rPr>
        <w:t xml:space="preserve">analise/tabelas/03_territorio_indicadores.csv</w:t>
      </w:r>
      <w:r>
        <w:t xml:space="preserve">); N28 ✔ (</w:t>
      </w:r>
      <w:r>
        <w:rPr>
          <w:rStyle w:val="VerbatimChar"/>
        </w:rPr>
        <w:t xml:space="preserve">analise/tabelas/03_territorio_indicadores.csv (cobertura_valor_atribuivel = 0.741)</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44"/>
        </w:numPr>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Compact"/>
        <w:numPr>
          <w:ilvl w:val="1"/>
          <w:numId w:val="1345"/>
        </w:numPr>
      </w:pPr>
      <w:r>
        <w:t xml:space="preserve">conferência: VERIFIED</w:t>
      </w:r>
    </w:p>
    <w:p>
      <w:pPr>
        <w:pStyle w:val="Compact"/>
        <w:numPr>
          <w:ilvl w:val="0"/>
          <w:numId w:val="1346"/>
        </w:numPr>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Compact"/>
        <w:numPr>
          <w:ilvl w:val="1"/>
          <w:numId w:val="1347"/>
        </w:numPr>
      </w:pPr>
      <w:r>
        <w:t xml:space="preserve">conferência: VERIFIED</w:t>
      </w:r>
    </w:p>
    <w:p>
      <w:pPr>
        <w:pStyle w:val="Compact"/>
        <w:numPr>
          <w:ilvl w:val="0"/>
          <w:numId w:val="1348"/>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49"/>
        </w:numPr>
      </w:pPr>
      <w:r>
        <w:t xml:space="preserve">conferência: sem_doi</w:t>
      </w:r>
    </w:p>
    <w:p>
      <w:pPr>
        <w:pStyle w:val="Compact"/>
        <w:numPr>
          <w:ilvl w:val="0"/>
          <w:numId w:val="1350"/>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51"/>
        </w:numPr>
      </w:pPr>
      <w:r>
        <w:t xml:space="preserve">conferência: sem_doi</w:t>
      </w:r>
    </w:p>
    <w:p>
      <w:pPr>
        <w:pStyle w:val="Compact"/>
        <w:numPr>
          <w:ilvl w:val="0"/>
          <w:numId w:val="1352"/>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53"/>
        </w:numPr>
      </w:pPr>
      <w:r>
        <w:t xml:space="preserve">conferência: VERIFIED</w:t>
      </w:r>
    </w:p>
    <w:p>
      <w:pPr>
        <w:pStyle w:val="Compact"/>
        <w:numPr>
          <w:ilvl w:val="0"/>
          <w:numId w:val="1354"/>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55"/>
        </w:numPr>
      </w:pPr>
      <w:r>
        <w:t xml:space="preserve">conferência: sem_doi</w:t>
      </w:r>
    </w:p>
    <w:p>
      <w:pPr>
        <w:pStyle w:val="Compact"/>
        <w:numPr>
          <w:ilvl w:val="0"/>
          <w:numId w:val="1356"/>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57"/>
        </w:numPr>
      </w:pPr>
      <w:r>
        <w:t xml:space="preserve">conferência: sem_doi</w:t>
      </w:r>
    </w:p>
    <w:p>
      <w:pPr>
        <w:pStyle w:val="Compact"/>
        <w:numPr>
          <w:ilvl w:val="0"/>
          <w:numId w:val="1358"/>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59"/>
        </w:numPr>
      </w:pPr>
      <w:r>
        <w:t xml:space="preserve">conferência: sem_doi</w:t>
      </w:r>
    </w:p>
    <w:p>
      <w:pPr>
        <w:pStyle w:val="Compact"/>
        <w:numPr>
          <w:ilvl w:val="0"/>
          <w:numId w:val="1360"/>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61"/>
        </w:numPr>
      </w:pPr>
      <w:r>
        <w:t xml:space="preserve">conferência: VERIFIED</w:t>
      </w:r>
    </w:p>
    <w:p>
      <w:pPr>
        <w:pStyle w:val="Compact"/>
        <w:numPr>
          <w:ilvl w:val="0"/>
          <w:numId w:val="1362"/>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63"/>
        </w:numPr>
      </w:pPr>
      <w:r>
        <w:t xml:space="preserve">conferência: VERIFIED</w:t>
      </w:r>
    </w:p>
    <w:p>
      <w:pPr>
        <w:pStyle w:val="Compact"/>
        <w:numPr>
          <w:ilvl w:val="0"/>
          <w:numId w:val="1364"/>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65"/>
        </w:numPr>
      </w:pPr>
      <w:r>
        <w:t xml:space="preserve">conferência: VERIFIED</w:t>
      </w:r>
    </w:p>
    <w:p>
      <w:pPr>
        <w:pStyle w:val="Compact"/>
        <w:numPr>
          <w:ilvl w:val="0"/>
          <w:numId w:val="1366"/>
        </w:numPr>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Compact"/>
        <w:numPr>
          <w:ilvl w:val="1"/>
          <w:numId w:val="1367"/>
        </w:numPr>
      </w:pPr>
      <w:r>
        <w:t xml:space="preserve">conferência: sem_doi</w:t>
      </w:r>
    </w:p>
    <w:p>
      <w:pPr>
        <w:pStyle w:val="Compact"/>
        <w:numPr>
          <w:ilvl w:val="0"/>
          <w:numId w:val="1368"/>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69"/>
        </w:numPr>
      </w:pPr>
      <w:r>
        <w:t xml:space="preserve">conferência: VERIFIED</w:t>
      </w:r>
    </w:p>
    <w:p>
      <w:pPr>
        <w:pStyle w:val="Compact"/>
        <w:numPr>
          <w:ilvl w:val="0"/>
          <w:numId w:val="1370"/>
        </w:numPr>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Compact"/>
        <w:numPr>
          <w:ilvl w:val="1"/>
          <w:numId w:val="1371"/>
        </w:numPr>
      </w:pPr>
      <w:r>
        <w:t xml:space="preserve">conferência: VERIFIED</w:t>
      </w:r>
    </w:p>
    <w:p>
      <w:pPr>
        <w:pStyle w:val="Compact"/>
        <w:numPr>
          <w:ilvl w:val="0"/>
          <w:numId w:val="1372"/>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73"/>
        </w:numPr>
      </w:pPr>
      <w:r>
        <w:t xml:space="preserve">conferência: sem_doi</w:t>
      </w:r>
    </w:p>
    <w:p>
      <w:pPr>
        <w:pStyle w:val="Compact"/>
        <w:numPr>
          <w:ilvl w:val="0"/>
          <w:numId w:val="1374"/>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75"/>
        </w:numPr>
      </w:pPr>
      <w:r>
        <w:t xml:space="preserve">conferência: sem_doi</w:t>
      </w:r>
    </w:p>
    <w:p>
      <w:pPr>
        <w:pStyle w:val="Compact"/>
        <w:numPr>
          <w:ilvl w:val="0"/>
          <w:numId w:val="1376"/>
        </w:numPr>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Compact"/>
        <w:numPr>
          <w:ilvl w:val="1"/>
          <w:numId w:val="1377"/>
        </w:numPr>
      </w:pPr>
      <w:r>
        <w:t xml:space="preserve">conferência: sem_doi</w:t>
      </w:r>
    </w:p>
    <w:p>
      <w:pPr>
        <w:pStyle w:val="Compact"/>
        <w:numPr>
          <w:ilvl w:val="0"/>
          <w:numId w:val="1378"/>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79"/>
        </w:numPr>
      </w:pPr>
      <w:r>
        <w:t xml:space="preserve">conferência: sem_doi</w:t>
      </w:r>
    </w:p>
    <w:p>
      <w:pPr>
        <w:pStyle w:val="Compact"/>
        <w:numPr>
          <w:ilvl w:val="0"/>
          <w:numId w:val="1380"/>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81"/>
        </w:numPr>
      </w:pPr>
      <w:r>
        <w:t xml:space="preserve">conferência: VERIFIED</w:t>
      </w:r>
    </w:p>
    <w:p>
      <w:pPr>
        <w:pStyle w:val="Compact"/>
        <w:numPr>
          <w:ilvl w:val="0"/>
          <w:numId w:val="1382"/>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83"/>
        </w:numPr>
      </w:pPr>
      <w:r>
        <w:t xml:space="preserve">conferência: VERIFIED</w:t>
      </w:r>
    </w:p>
    <w:p>
      <w:pPr>
        <w:pStyle w:val="Compact"/>
        <w:numPr>
          <w:ilvl w:val="0"/>
          <w:numId w:val="1384"/>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85"/>
        </w:numPr>
      </w:pPr>
      <w:r>
        <w:t xml:space="preserve">conferência: sem_doi</w:t>
      </w:r>
    </w:p>
    <w:p>
      <w:pPr>
        <w:pStyle w:val="Compact"/>
        <w:numPr>
          <w:ilvl w:val="0"/>
          <w:numId w:val="1386"/>
        </w:numPr>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 10.1093/pan/mpt024.</w:t>
      </w:r>
    </w:p>
    <w:p>
      <w:pPr>
        <w:pStyle w:val="Compact"/>
        <w:numPr>
          <w:ilvl w:val="1"/>
          <w:numId w:val="1387"/>
        </w:numPr>
      </w:pPr>
      <w:r>
        <w:t xml:space="preserve">conferência: VERIFIED</w:t>
      </w:r>
    </w:p>
    <w:p>
      <w:pPr>
        <w:pStyle w:val="Compact"/>
        <w:numPr>
          <w:ilvl w:val="0"/>
          <w:numId w:val="1388"/>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89"/>
        </w:numPr>
      </w:pPr>
      <w:r>
        <w:t xml:space="preserve">conferência: sem_doi</w:t>
      </w:r>
    </w:p>
    <w:p>
      <w:pPr>
        <w:pStyle w:val="Compact"/>
        <w:numPr>
          <w:ilvl w:val="0"/>
          <w:numId w:val="1390"/>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91"/>
        </w:numPr>
      </w:pPr>
      <w:r>
        <w:t xml:space="preserve">conferência: sem_doi</w:t>
      </w:r>
    </w:p>
    <w:p>
      <w:pPr>
        <w:pStyle w:val="Compact"/>
        <w:numPr>
          <w:ilvl w:val="0"/>
          <w:numId w:val="1392"/>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93"/>
        </w:numPr>
      </w:pPr>
      <w:r>
        <w:t xml:space="preserve">conferência: sem_doi</w:t>
      </w:r>
    </w:p>
    <w:p>
      <w:pPr>
        <w:pStyle w:val="Compact"/>
        <w:numPr>
          <w:ilvl w:val="0"/>
          <w:numId w:val="1394"/>
        </w:numPr>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 10.1257/aer.103.5.1797.</w:t>
      </w:r>
    </w:p>
    <w:p>
      <w:pPr>
        <w:pStyle w:val="Compact"/>
        <w:numPr>
          <w:ilvl w:val="1"/>
          <w:numId w:val="1395"/>
        </w:numPr>
      </w:pPr>
      <w:r>
        <w:t xml:space="preserve">conferência: VERIFIED</w:t>
      </w:r>
    </w:p>
    <w:p>
      <w:pPr>
        <w:pStyle w:val="Compact"/>
        <w:numPr>
          <w:ilvl w:val="0"/>
          <w:numId w:val="1396"/>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97"/>
        </w:numPr>
      </w:pPr>
      <w:r>
        <w:t xml:space="preserve">conferência: VERIFIED</w:t>
      </w:r>
    </w:p>
    <w:p>
      <w:pPr>
        <w:pStyle w:val="Compact"/>
        <w:numPr>
          <w:ilvl w:val="0"/>
          <w:numId w:val="1398"/>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99"/>
        </w:numPr>
      </w:pPr>
      <w:r>
        <w:t xml:space="preserve">conferência: VERIFIED</w:t>
      </w:r>
    </w:p>
    <w:p>
      <w:pPr>
        <w:pStyle w:val="Compact"/>
        <w:numPr>
          <w:ilvl w:val="0"/>
          <w:numId w:val="1400"/>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401"/>
        </w:numPr>
      </w:pPr>
      <w:r>
        <w:t xml:space="preserve">conferência: sem_doi</w:t>
      </w:r>
    </w:p>
    <w:p>
      <w:pPr>
        <w:pStyle w:val="Compact"/>
        <w:numPr>
          <w:ilvl w:val="0"/>
          <w:numId w:val="1402"/>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403"/>
        </w:numPr>
      </w:pPr>
      <w:r>
        <w:t xml:space="preserve">conferência: VERIFIED</w:t>
      </w:r>
    </w:p>
    <w:p>
      <w:pPr>
        <w:pStyle w:val="Compact"/>
        <w:numPr>
          <w:ilvl w:val="0"/>
          <w:numId w:val="1404"/>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405"/>
        </w:numPr>
      </w:pPr>
      <w:r>
        <w:t xml:space="preserve">conferência: sem_doi</w:t>
      </w:r>
    </w:p>
    <w:p>
      <w:pPr>
        <w:pStyle w:val="Compact"/>
        <w:numPr>
          <w:ilvl w:val="0"/>
          <w:numId w:val="1406"/>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407"/>
        </w:numPr>
      </w:pPr>
      <w:r>
        <w:t xml:space="preserve">conferência: sem_doi</w:t>
      </w:r>
    </w:p>
    <w:p>
      <w:pPr>
        <w:pStyle w:val="Compact"/>
        <w:numPr>
          <w:ilvl w:val="0"/>
          <w:numId w:val="1408"/>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409"/>
        </w:numPr>
      </w:pPr>
      <w:r>
        <w:t xml:space="preserve">conferência: sem_doi</w:t>
      </w:r>
    </w:p>
    <w:p>
      <w:pPr>
        <w:pStyle w:val="Compact"/>
        <w:numPr>
          <w:ilvl w:val="0"/>
          <w:numId w:val="1410"/>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411"/>
        </w:numPr>
      </w:pPr>
      <w:r>
        <w:t xml:space="preserve">conferência: sem_doi</w:t>
      </w:r>
    </w:p>
    <w:p>
      <w:pPr>
        <w:pStyle w:val="Compact"/>
        <w:numPr>
          <w:ilvl w:val="0"/>
          <w:numId w:val="1412"/>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413"/>
        </w:numPr>
      </w:pPr>
      <w:r>
        <w:t xml:space="preserve">conferência: sem_doi</w:t>
      </w:r>
    </w:p>
    <w:p>
      <w:pPr>
        <w:pStyle w:val="Compact"/>
        <w:numPr>
          <w:ilvl w:val="0"/>
          <w:numId w:val="1414"/>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415"/>
        </w:numPr>
      </w:pPr>
      <w:r>
        <w:t xml:space="preserve">conferência: sem_doi</w:t>
      </w:r>
    </w:p>
    <w:p>
      <w:pPr>
        <w:pStyle w:val="Compact"/>
        <w:numPr>
          <w:ilvl w:val="0"/>
          <w:numId w:val="1416"/>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417"/>
        </w:numPr>
      </w:pPr>
      <w:r>
        <w:t xml:space="preserve">conferência: sem_doi</w:t>
      </w:r>
    </w:p>
    <w:p>
      <w:pPr>
        <w:pStyle w:val="Compact"/>
        <w:numPr>
          <w:ilvl w:val="0"/>
          <w:numId w:val="1418"/>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19"/>
        </w:numPr>
      </w:pPr>
      <w:r>
        <w:t xml:space="preserve">conferência: sem_doi</w:t>
      </w:r>
    </w:p>
    <w:p>
      <w:pPr>
        <w:pStyle w:val="Compact"/>
        <w:numPr>
          <w:ilvl w:val="0"/>
          <w:numId w:val="1420"/>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21"/>
        </w:numPr>
      </w:pPr>
      <w:r>
        <w:t xml:space="preserve">conferência: sem_doi</w:t>
      </w:r>
    </w:p>
    <w:p>
      <w:pPr>
        <w:pStyle w:val="Compact"/>
        <w:numPr>
          <w:ilvl w:val="0"/>
          <w:numId w:val="1422"/>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23"/>
        </w:numPr>
      </w:pPr>
      <w:r>
        <w:t xml:space="preserve">conferência: sem_doi</w:t>
      </w:r>
    </w:p>
    <w:p>
      <w:pPr>
        <w:pStyle w:val="Compact"/>
        <w:numPr>
          <w:ilvl w:val="0"/>
          <w:numId w:val="1424"/>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25"/>
        </w:numPr>
      </w:pPr>
      <w:r>
        <w:t xml:space="preserve">conferência: sem_doi</w:t>
      </w:r>
    </w:p>
    <w:p>
      <w:pPr>
        <w:pStyle w:val="Compact"/>
        <w:numPr>
          <w:ilvl w:val="0"/>
          <w:numId w:val="1426"/>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27"/>
        </w:numPr>
      </w:pPr>
      <w:r>
        <w:t xml:space="preserve">conferência: sem_doi</w:t>
      </w:r>
    </w:p>
    <w:p>
      <w:pPr>
        <w:pStyle w:val="Compact"/>
        <w:numPr>
          <w:ilvl w:val="0"/>
          <w:numId w:val="1428"/>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29"/>
        </w:numPr>
      </w:pPr>
      <w:r>
        <w:t xml:space="preserve">conferência: sem_doi</w:t>
      </w:r>
    </w:p>
    <w:p>
      <w:pPr>
        <w:pStyle w:val="Compact"/>
        <w:numPr>
          <w:ilvl w:val="0"/>
          <w:numId w:val="1430"/>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31"/>
        </w:numPr>
      </w:pPr>
      <w:r>
        <w:t xml:space="preserve">conferência: sem_doi</w:t>
      </w:r>
    </w:p>
    <w:p>
      <w:pPr>
        <w:pStyle w:val="Compact"/>
        <w:numPr>
          <w:ilvl w:val="0"/>
          <w:numId w:val="1432"/>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33"/>
        </w:numPr>
      </w:pPr>
      <w:r>
        <w:t xml:space="preserve">conferência: sem_doi</w:t>
      </w:r>
    </w:p>
    <w:p>
      <w:pPr>
        <w:pStyle w:val="Compact"/>
        <w:numPr>
          <w:ilvl w:val="0"/>
          <w:numId w:val="1434"/>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35"/>
        </w:numPr>
      </w:pPr>
      <w:r>
        <w:t xml:space="preserve">conferência: sem_doi</w:t>
      </w:r>
    </w:p>
    <w:p>
      <w:pPr>
        <w:pStyle w:val="Compact"/>
        <w:numPr>
          <w:ilvl w:val="0"/>
          <w:numId w:val="1436"/>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37"/>
        </w:numPr>
      </w:pPr>
      <w:r>
        <w:t xml:space="preserve">conferência: sem_doi</w:t>
      </w:r>
    </w:p>
    <w:p>
      <w:pPr>
        <w:pStyle w:val="Compact"/>
        <w:numPr>
          <w:ilvl w:val="0"/>
          <w:numId w:val="1438"/>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39"/>
        </w:numPr>
      </w:pPr>
      <w:r>
        <w:t xml:space="preserve">conferência: VERIFIED</w:t>
      </w:r>
    </w:p>
    <w:p>
      <w:pPr>
        <w:pStyle w:val="Compact"/>
        <w:numPr>
          <w:ilvl w:val="0"/>
          <w:numId w:val="1440"/>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41"/>
        </w:numPr>
      </w:pPr>
      <w:r>
        <w:t xml:space="preserve">conferência: VERIFIED</w:t>
      </w:r>
    </w:p>
    <w:p>
      <w:pPr>
        <w:pStyle w:val="Compact"/>
        <w:numPr>
          <w:ilvl w:val="0"/>
          <w:numId w:val="1442"/>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43"/>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196 frases e linhas de tabela; 55 com checagem automática de dados. Abaixo, as que têm números sem checagem automática (a maioria é regra de norma; conferir na fonte citada):</w:t>
      </w:r>
    </w:p>
    <w:bookmarkStart w:id="33" w:name="dado-ou-literatura-17"/>
    <w:p>
      <w:pPr>
        <w:pStyle w:val="Heading3"/>
      </w:pPr>
      <w:r>
        <w:t xml:space="preserve">Dado ou literatura (17)</w:t>
      </w:r>
    </w:p>
    <w:p>
      <w:pPr>
        <w:pStyle w:val="Compact"/>
        <w:numPr>
          <w:ilvl w:val="0"/>
          <w:numId w:val="1444"/>
        </w:numPr>
      </w:pPr>
      <w:r>
        <w:t xml:space="preserve">[1.1.3]: 25, 63</w:t>
      </w:r>
    </w:p>
    <w:p>
      <w:pPr>
        <w:pStyle w:val="Compact"/>
        <w:numPr>
          <w:ilvl w:val="0"/>
          <w:numId w:val="1445"/>
        </w:numPr>
      </w:pPr>
      <w:r>
        <w:t xml:space="preserve">[1.2.1]: 27</w:t>
      </w:r>
    </w:p>
    <w:p>
      <w:pPr>
        <w:pStyle w:val="Compact"/>
        <w:numPr>
          <w:ilvl w:val="0"/>
          <w:numId w:val="1446"/>
        </w:numPr>
      </w:pPr>
      <w:r>
        <w:t xml:space="preserve">[3.2.3]: 853</w:t>
      </w:r>
    </w:p>
    <w:p>
      <w:pPr>
        <w:pStyle w:val="Compact"/>
        <w:numPr>
          <w:ilvl w:val="0"/>
          <w:numId w:val="1447"/>
        </w:numPr>
      </w:pPr>
      <w:r>
        <w:t xml:space="preserve">linha «Escolha (H1)»: 25%</w:t>
      </w:r>
    </w:p>
    <w:p>
      <w:pPr>
        <w:pStyle w:val="Compact"/>
        <w:numPr>
          <w:ilvl w:val="0"/>
          <w:numId w:val="1448"/>
        </w:numPr>
      </w:pPr>
      <w:r>
        <w:t xml:space="preserve">linha «Entrega (H5)»: 30%</w:t>
      </w:r>
    </w:p>
    <w:p>
      <w:pPr>
        <w:pStyle w:val="Compact"/>
        <w:numPr>
          <w:ilvl w:val="0"/>
          <w:numId w:val="1449"/>
        </w:numPr>
      </w:pPr>
      <w:r>
        <w:t xml:space="preserve">[4.2.4.1]: 2026</w:t>
      </w:r>
    </w:p>
    <w:p>
      <w:pPr>
        <w:pStyle w:val="Compact"/>
        <w:numPr>
          <w:ilvl w:val="0"/>
          <w:numId w:val="1450"/>
        </w:numPr>
      </w:pPr>
      <w:r>
        <w:t xml:space="preserve">[4.2.5.1]: 2026</w:t>
      </w:r>
    </w:p>
    <w:p>
      <w:pPr>
        <w:pStyle w:val="Compact"/>
        <w:numPr>
          <w:ilvl w:val="0"/>
          <w:numId w:val="1451"/>
        </w:numPr>
      </w:pPr>
      <w:r>
        <w:t xml:space="preserve">[4.2.6.4]: 400</w:t>
      </w:r>
    </w:p>
    <w:p>
      <w:pPr>
        <w:pStyle w:val="Compact"/>
        <w:numPr>
          <w:ilvl w:val="0"/>
          <w:numId w:val="1452"/>
        </w:numPr>
      </w:pPr>
      <w:r>
        <w:t xml:space="preserve">[4.2.10.1]: 30%</w:t>
      </w:r>
    </w:p>
    <w:p>
      <w:pPr>
        <w:pStyle w:val="Compact"/>
        <w:numPr>
          <w:ilvl w:val="0"/>
          <w:numId w:val="1453"/>
        </w:numPr>
      </w:pPr>
      <w:r>
        <w:t xml:space="preserve">[4.2.10.3]: 10%</w:t>
      </w:r>
    </w:p>
    <w:p>
      <w:pPr>
        <w:pStyle w:val="Compact"/>
        <w:numPr>
          <w:ilvl w:val="0"/>
          <w:numId w:val="1454"/>
        </w:numPr>
      </w:pPr>
      <w:r>
        <w:t xml:space="preserve">linha «H3»: 10%</w:t>
      </w:r>
    </w:p>
    <w:p>
      <w:pPr>
        <w:pStyle w:val="Compact"/>
        <w:numPr>
          <w:ilvl w:val="0"/>
          <w:numId w:val="1455"/>
        </w:numPr>
      </w:pPr>
      <w:r>
        <w:t xml:space="preserve">[5.2.4.2]: 10%</w:t>
      </w:r>
    </w:p>
    <w:p>
      <w:pPr>
        <w:pStyle w:val="Compact"/>
        <w:numPr>
          <w:ilvl w:val="0"/>
          <w:numId w:val="1456"/>
        </w:numPr>
      </w:pPr>
      <w:r>
        <w:t xml:space="preserve">[5.2.5.3]: 71</w:t>
      </w:r>
    </w:p>
    <w:p>
      <w:pPr>
        <w:pStyle w:val="Compact"/>
        <w:numPr>
          <w:ilvl w:val="0"/>
          <w:numId w:val="1457"/>
        </w:numPr>
      </w:pPr>
      <w:r>
        <w:t xml:space="preserve">[5.2.6.3]: 25</w:t>
      </w:r>
    </w:p>
    <w:p>
      <w:pPr>
        <w:pStyle w:val="Compact"/>
        <w:numPr>
          <w:ilvl w:val="0"/>
          <w:numId w:val="1458"/>
        </w:numPr>
      </w:pPr>
      <w:r>
        <w:t xml:space="preserve">[5.4.2.1]: 5%, 80%</w:t>
      </w:r>
    </w:p>
    <w:p>
      <w:pPr>
        <w:pStyle w:val="Compact"/>
        <w:numPr>
          <w:ilvl w:val="0"/>
          <w:numId w:val="1459"/>
        </w:numPr>
      </w:pPr>
      <w:r>
        <w:t xml:space="preserve">[5.4.4.2]: 15</w:t>
      </w:r>
    </w:p>
    <w:p>
      <w:pPr>
        <w:pStyle w:val="Compact"/>
        <w:numPr>
          <w:ilvl w:val="0"/>
          <w:numId w:val="1460"/>
        </w:numPr>
      </w:pPr>
      <w:r>
        <w:t xml:space="preserve">[5.4.4.5]: 30, 50</w:t>
      </w:r>
    </w:p>
    <w:bookmarkEnd w:id="33"/>
    <w:bookmarkStart w:id="34" w:name="regra-de-norma-11"/>
    <w:p>
      <w:pPr>
        <w:pStyle w:val="Heading3"/>
      </w:pPr>
      <w:r>
        <w:t xml:space="preserve">Regra de norma (11)</w:t>
      </w:r>
    </w:p>
    <w:p>
      <w:pPr>
        <w:pStyle w:val="Compact"/>
        <w:numPr>
          <w:ilvl w:val="0"/>
          <w:numId w:val="1461"/>
        </w:numPr>
      </w:pPr>
      <w:r>
        <w:t xml:space="preserve">[2.1.4]: 100%</w:t>
      </w:r>
    </w:p>
    <w:p>
      <w:pPr>
        <w:pStyle w:val="Compact"/>
        <w:numPr>
          <w:ilvl w:val="0"/>
          <w:numId w:val="1462"/>
        </w:numPr>
      </w:pPr>
      <w:r>
        <w:t xml:space="preserve">linha «Benefício ao patrocinador»: 100%</w:t>
      </w:r>
    </w:p>
    <w:p>
      <w:pPr>
        <w:pStyle w:val="Compact"/>
        <w:numPr>
          <w:ilvl w:val="0"/>
          <w:numId w:val="1463"/>
        </w:numPr>
      </w:pPr>
      <w:r>
        <w:t xml:space="preserve">linha «Teto anual»: 31, 01, 2%, 15, 10, 25</w:t>
      </w:r>
    </w:p>
    <w:p>
      <w:pPr>
        <w:pStyle w:val="Compact"/>
        <w:numPr>
          <w:ilvl w:val="0"/>
          <w:numId w:val="1464"/>
        </w:numPr>
      </w:pPr>
      <w:r>
        <w:t xml:space="preserve">linha «Patrocinador»: 20%, 15%, 10%, 5%</w:t>
      </w:r>
    </w:p>
    <w:p>
      <w:pPr>
        <w:pStyle w:val="Compact"/>
        <w:numPr>
          <w:ilvl w:val="0"/>
          <w:numId w:val="1465"/>
        </w:numPr>
      </w:pPr>
      <w:r>
        <w:t xml:space="preserve">linha «Proponentes»: 2, 3</w:t>
      </w:r>
    </w:p>
    <w:p>
      <w:pPr>
        <w:pStyle w:val="Compact"/>
        <w:numPr>
          <w:ilvl w:val="0"/>
          <w:numId w:val="1466"/>
        </w:numPr>
      </w:pPr>
      <w:r>
        <w:t xml:space="preserve">linha «Linhas e limite por projeto»: 1, 300, 001</w:t>
      </w:r>
    </w:p>
    <w:p>
      <w:pPr>
        <w:pStyle w:val="Compact"/>
        <w:numPr>
          <w:ilvl w:val="0"/>
          <w:numId w:val="1467"/>
        </w:numPr>
      </w:pPr>
      <w:r>
        <w:t xml:space="preserve">linha «Alocação entre habilitados»: 30%, 10, 10%, 50%</w:t>
      </w:r>
    </w:p>
    <w:p>
      <w:pPr>
        <w:pStyle w:val="Compact"/>
        <w:numPr>
          <w:ilvl w:val="0"/>
          <w:numId w:val="1468"/>
        </w:numPr>
      </w:pPr>
      <w:r>
        <w:t xml:space="preserve">linha «Custos com o recurso incentivado»: 10%, 15, 25%</w:t>
      </w:r>
    </w:p>
    <w:p>
      <w:pPr>
        <w:pStyle w:val="Compact"/>
        <w:numPr>
          <w:ilvl w:val="0"/>
          <w:numId w:val="1469"/>
        </w:numPr>
      </w:pPr>
      <w:r>
        <w:t xml:space="preserve">[4.2.7.3]: 35%</w:t>
      </w:r>
    </w:p>
    <w:p>
      <w:pPr>
        <w:pStyle w:val="Compact"/>
        <w:numPr>
          <w:ilvl w:val="0"/>
          <w:numId w:val="1470"/>
        </w:numPr>
      </w:pPr>
      <w:r>
        <w:t xml:space="preserve">[4.2.9.2]: 1, 3</w:t>
      </w:r>
    </w:p>
    <w:p>
      <w:pPr>
        <w:pStyle w:val="Compact"/>
        <w:numPr>
          <w:ilvl w:val="0"/>
          <w:numId w:val="1471"/>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1"/>
  </w:num>
  <w:num w:numId="1015">
    <w:abstractNumId w:val="992"/>
  </w:num>
  <w:num w:numId="1016">
    <w:abstractNumId w:val="991"/>
  </w:num>
  <w:num w:numId="1017">
    <w:abstractNumId w:val="992"/>
  </w:num>
  <w:num w:numId="1018">
    <w:abstractNumId w:val="991"/>
  </w:num>
  <w:num w:numId="1019">
    <w:abstractNumId w:val="991"/>
  </w:num>
  <w:num w:numId="1020">
    <w:abstractNumId w:val="992"/>
  </w:num>
  <w:num w:numId="1021">
    <w:abstractNumId w:val="991"/>
  </w:num>
  <w:num w:numId="1022">
    <w:abstractNumId w:val="992"/>
  </w:num>
  <w:num w:numId="1023">
    <w:abstractNumId w:val="991"/>
  </w:num>
  <w:num w:numId="1024">
    <w:abstractNumId w:val="991"/>
  </w:num>
  <w:num w:numId="1025">
    <w:abstractNumId w:val="992"/>
  </w:num>
  <w:num w:numId="1026">
    <w:abstractNumId w:val="991"/>
  </w:num>
  <w:num w:numId="1027">
    <w:abstractNumId w:val="992"/>
  </w:num>
  <w:num w:numId="1028">
    <w:abstractNumId w:val="991"/>
  </w:num>
  <w:num w:numId="1029">
    <w:abstractNumId w:val="992"/>
  </w:num>
  <w:num w:numId="1030">
    <w:abstractNumId w:val="992"/>
  </w:num>
  <w:num w:numId="1031">
    <w:abstractNumId w:val="991"/>
  </w:num>
  <w:num w:numId="1032">
    <w:abstractNumId w:val="992"/>
  </w:num>
  <w:num w:numId="1033">
    <w:abstractNumId w:val="992"/>
  </w:num>
  <w:num w:numId="1034">
    <w:abstractNumId w:val="992"/>
  </w:num>
  <w:num w:numId="1035">
    <w:abstractNumId w:val="991"/>
  </w:num>
  <w:num w:numId="1036">
    <w:abstractNumId w:val="992"/>
  </w:num>
  <w:num w:numId="1037">
    <w:abstractNumId w:val="991"/>
  </w:num>
  <w:num w:numId="1038">
    <w:abstractNumId w:val="992"/>
  </w:num>
  <w:num w:numId="1039">
    <w:abstractNumId w:val="992"/>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1"/>
  </w:num>
  <w:num w:numId="1048">
    <w:abstractNumId w:val="992"/>
  </w:num>
  <w:num w:numId="1049">
    <w:abstractNumId w:val="991"/>
  </w:num>
  <w:num w:numId="1050">
    <w:abstractNumId w:val="992"/>
  </w:num>
  <w:num w:numId="1051">
    <w:abstractNumId w:val="991"/>
  </w:num>
  <w:num w:numId="1052">
    <w:abstractNumId w:val="992"/>
  </w:num>
  <w:num w:numId="1053">
    <w:abstractNumId w:val="991"/>
  </w:num>
  <w:num w:numId="1054">
    <w:abstractNumId w:val="992"/>
  </w:num>
  <w:num w:numId="1055">
    <w:abstractNumId w:val="991"/>
  </w:num>
  <w:num w:numId="1056">
    <w:abstractNumId w:val="992"/>
  </w:num>
  <w:num w:numId="1057">
    <w:abstractNumId w:val="991"/>
  </w:num>
  <w:num w:numId="1058">
    <w:abstractNumId w:val="992"/>
  </w:num>
  <w:num w:numId="1059">
    <w:abstractNumId w:val="992"/>
  </w:num>
  <w:num w:numId="1060">
    <w:abstractNumId w:val="991"/>
  </w:num>
  <w:num w:numId="1061">
    <w:abstractNumId w:val="992"/>
  </w:num>
  <w:num w:numId="1062">
    <w:abstractNumId w:val="991"/>
  </w:num>
  <w:num w:numId="1063">
    <w:abstractNumId w:val="992"/>
  </w:num>
  <w:num w:numId="1064">
    <w:abstractNumId w:val="992"/>
  </w:num>
  <w:num w:numId="1065">
    <w:abstractNumId w:val="992"/>
  </w:num>
  <w:num w:numId="1066">
    <w:abstractNumId w:val="991"/>
  </w:num>
  <w:num w:numId="1067">
    <w:abstractNumId w:val="992"/>
  </w:num>
  <w:num w:numId="1068">
    <w:abstractNumId w:val="992"/>
  </w:num>
  <w:num w:numId="1069">
    <w:abstractNumId w:val="992"/>
  </w:num>
  <w:num w:numId="1070">
    <w:abstractNumId w:val="991"/>
  </w:num>
  <w:num w:numId="1071">
    <w:abstractNumId w:val="992"/>
  </w:num>
  <w:num w:numId="1072">
    <w:abstractNumId w:val="991"/>
  </w:num>
  <w:num w:numId="1073">
    <w:abstractNumId w:val="991"/>
  </w:num>
  <w:num w:numId="1074">
    <w:abstractNumId w:val="992"/>
  </w:num>
  <w:num w:numId="1075">
    <w:abstractNumId w:val="991"/>
  </w:num>
  <w:num w:numId="1076">
    <w:abstractNumId w:val="992"/>
  </w:num>
  <w:num w:numId="1077">
    <w:abstractNumId w:val="991"/>
  </w:num>
  <w:num w:numId="1078">
    <w:abstractNumId w:val="992"/>
  </w:num>
  <w:num w:numId="1079">
    <w:abstractNumId w:val="991"/>
  </w:num>
  <w:num w:numId="1080">
    <w:abstractNumId w:val="992"/>
  </w:num>
  <w:num w:numId="1081">
    <w:abstractNumId w:val="991"/>
  </w:num>
  <w:num w:numId="1082">
    <w:abstractNumId w:val="992"/>
  </w:num>
  <w:num w:numId="1083">
    <w:abstractNumId w:val="991"/>
  </w:num>
  <w:num w:numId="1084">
    <w:abstractNumId w:val="992"/>
  </w:num>
  <w:num w:numId="1085">
    <w:abstractNumId w:val="991"/>
  </w:num>
  <w:num w:numId="1086">
    <w:abstractNumId w:val="991"/>
  </w:num>
  <w:num w:numId="1087">
    <w:abstractNumId w:val="992"/>
  </w:num>
  <w:num w:numId="1088">
    <w:abstractNumId w:val="992"/>
  </w:num>
  <w:num w:numId="1089">
    <w:abstractNumId w:val="991"/>
  </w:num>
  <w:num w:numId="1090">
    <w:abstractNumId w:val="992"/>
  </w:num>
  <w:num w:numId="1091">
    <w:abstractNumId w:val="992"/>
  </w:num>
  <w:num w:numId="1092">
    <w:abstractNumId w:val="992"/>
  </w:num>
  <w:num w:numId="1093">
    <w:abstractNumId w:val="991"/>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1"/>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1"/>
  </w:num>
  <w:num w:numId="1122">
    <w:abstractNumId w:val="992"/>
  </w:num>
  <w:num w:numId="1123">
    <w:abstractNumId w:val="991"/>
  </w:num>
  <w:num w:numId="1124">
    <w:abstractNumId w:val="992"/>
  </w:num>
  <w:num w:numId="1125">
    <w:abstractNumId w:val="992"/>
  </w:num>
  <w:num w:numId="1126">
    <w:abstractNumId w:val="992"/>
  </w:num>
  <w:num w:numId="1127">
    <w:abstractNumId w:val="992"/>
  </w:num>
  <w:num w:numId="1128">
    <w:abstractNumId w:val="992"/>
  </w:num>
  <w:num w:numId="1129">
    <w:abstractNumId w:val="991"/>
  </w:num>
  <w:num w:numId="1130">
    <w:abstractNumId w:val="992"/>
  </w:num>
  <w:num w:numId="1131">
    <w:abstractNumId w:val="991"/>
  </w:num>
  <w:num w:numId="1132">
    <w:abstractNumId w:val="992"/>
  </w:num>
  <w:num w:numId="1133">
    <w:abstractNumId w:val="992"/>
  </w:num>
  <w:num w:numId="1134">
    <w:abstractNumId w:val="991"/>
  </w:num>
  <w:num w:numId="1135">
    <w:abstractNumId w:val="992"/>
  </w:num>
  <w:num w:numId="1136">
    <w:abstractNumId w:val="991"/>
  </w:num>
  <w:num w:numId="1137">
    <w:abstractNumId w:val="992"/>
  </w:num>
  <w:num w:numId="1138">
    <w:abstractNumId w:val="991"/>
  </w:num>
  <w:num w:numId="1139">
    <w:abstractNumId w:val="992"/>
  </w:num>
  <w:num w:numId="1140">
    <w:abstractNumId w:val="991"/>
  </w:num>
  <w:num w:numId="1141">
    <w:abstractNumId w:val="991"/>
  </w:num>
  <w:num w:numId="1142">
    <w:abstractNumId w:val="992"/>
  </w:num>
  <w:num w:numId="1143">
    <w:abstractNumId w:val="991"/>
  </w:num>
  <w:num w:numId="1144">
    <w:abstractNumId w:val="992"/>
  </w:num>
  <w:num w:numId="1145">
    <w:abstractNumId w:val="991"/>
  </w:num>
  <w:num w:numId="1146">
    <w:abstractNumId w:val="992"/>
  </w:num>
  <w:num w:numId="1147">
    <w:abstractNumId w:val="991"/>
  </w:num>
  <w:num w:numId="1148">
    <w:abstractNumId w:val="992"/>
  </w:num>
  <w:num w:numId="1149">
    <w:abstractNumId w:val="991"/>
  </w:num>
  <w:num w:numId="1150">
    <w:abstractNumId w:val="992"/>
  </w:num>
  <w:num w:numId="1151">
    <w:abstractNumId w:val="991"/>
  </w:num>
  <w:num w:numId="1152">
    <w:abstractNumId w:val="992"/>
  </w:num>
  <w:num w:numId="1153">
    <w:abstractNumId w:val="991"/>
  </w:num>
  <w:num w:numId="1154">
    <w:abstractNumId w:val="991"/>
  </w:num>
  <w:num w:numId="1155">
    <w:abstractNumId w:val="992"/>
  </w:num>
  <w:num w:numId="1156">
    <w:abstractNumId w:val="991"/>
  </w:num>
  <w:num w:numId="1157">
    <w:abstractNumId w:val="992"/>
  </w:num>
  <w:num w:numId="1158">
    <w:abstractNumId w:val="992"/>
  </w:num>
  <w:num w:numId="1159">
    <w:abstractNumId w:val="991"/>
  </w:num>
  <w:num w:numId="1160">
    <w:abstractNumId w:val="992"/>
  </w:num>
  <w:num w:numId="1161">
    <w:abstractNumId w:val="991"/>
  </w:num>
  <w:num w:numId="1162">
    <w:abstractNumId w:val="992"/>
  </w:num>
  <w:num w:numId="1163">
    <w:abstractNumId w:val="991"/>
  </w:num>
  <w:num w:numId="1164">
    <w:abstractNumId w:val="992"/>
  </w:num>
  <w:num w:numId="1165">
    <w:abstractNumId w:val="992"/>
  </w:num>
  <w:num w:numId="1166">
    <w:abstractNumId w:val="991"/>
  </w:num>
  <w:num w:numId="1167">
    <w:abstractNumId w:val="992"/>
  </w:num>
  <w:num w:numId="1168">
    <w:abstractNumId w:val="992"/>
  </w:num>
  <w:num w:numId="1169">
    <w:abstractNumId w:val="991"/>
  </w:num>
  <w:num w:numId="1170">
    <w:abstractNumId w:val="992"/>
  </w:num>
  <w:num w:numId="1171">
    <w:abstractNumId w:val="991"/>
  </w:num>
  <w:num w:numId="1172">
    <w:abstractNumId w:val="992"/>
  </w:num>
  <w:num w:numId="1173">
    <w:abstractNumId w:val="991"/>
  </w:num>
  <w:num w:numId="1174">
    <w:abstractNumId w:val="992"/>
  </w:num>
  <w:num w:numId="1175">
    <w:abstractNumId w:val="991"/>
  </w:num>
  <w:num w:numId="1176">
    <w:abstractNumId w:val="992"/>
  </w:num>
  <w:num w:numId="1177">
    <w:abstractNumId w:val="991"/>
  </w:num>
  <w:num w:numId="1178">
    <w:abstractNumId w:val="992"/>
  </w:num>
  <w:num w:numId="1179">
    <w:abstractNumId w:val="992"/>
  </w:num>
  <w:num w:numId="1180">
    <w:abstractNumId w:val="991"/>
  </w:num>
  <w:num w:numId="1181">
    <w:abstractNumId w:val="992"/>
  </w:num>
  <w:num w:numId="1182">
    <w:abstractNumId w:val="991"/>
  </w:num>
  <w:num w:numId="1183">
    <w:abstractNumId w:val="992"/>
  </w:num>
  <w:num w:numId="1184">
    <w:abstractNumId w:val="991"/>
  </w:num>
  <w:num w:numId="1185">
    <w:abstractNumId w:val="992"/>
  </w:num>
  <w:num w:numId="1186">
    <w:abstractNumId w:val="991"/>
  </w:num>
  <w:num w:numId="1187">
    <w:abstractNumId w:val="992"/>
  </w:num>
  <w:num w:numId="1188">
    <w:abstractNumId w:val="991"/>
  </w:num>
  <w:num w:numId="1189">
    <w:abstractNumId w:val="992"/>
  </w:num>
  <w:num w:numId="1190">
    <w:abstractNumId w:val="991"/>
  </w:num>
  <w:num w:numId="1191">
    <w:abstractNumId w:val="992"/>
  </w:num>
  <w:num w:numId="1192">
    <w:abstractNumId w:val="991"/>
  </w:num>
  <w:num w:numId="1193">
    <w:abstractNumId w:val="992"/>
  </w:num>
  <w:num w:numId="1194">
    <w:abstractNumId w:val="991"/>
  </w:num>
  <w:num w:numId="1195">
    <w:abstractNumId w:val="992"/>
  </w:num>
  <w:num w:numId="1196">
    <w:abstractNumId w:val="992"/>
  </w:num>
  <w:num w:numId="1197">
    <w:abstractNumId w:val="991"/>
  </w:num>
  <w:num w:numId="1198">
    <w:abstractNumId w:val="992"/>
  </w:num>
  <w:num w:numId="1199">
    <w:abstractNumId w:val="992"/>
  </w:num>
  <w:num w:numId="1200">
    <w:abstractNumId w:val="992"/>
  </w:num>
  <w:num w:numId="1201">
    <w:abstractNumId w:val="991"/>
  </w:num>
  <w:num w:numId="1202">
    <w:abstractNumId w:val="992"/>
  </w:num>
  <w:num w:numId="1203">
    <w:abstractNumId w:val="992"/>
  </w:num>
  <w:num w:numId="1204">
    <w:abstractNumId w:val="991"/>
  </w:num>
  <w:num w:numId="1205">
    <w:abstractNumId w:val="992"/>
  </w:num>
  <w:num w:numId="1206">
    <w:abstractNumId w:val="991"/>
  </w:num>
  <w:num w:numId="1207">
    <w:abstractNumId w:val="992"/>
  </w:num>
  <w:num w:numId="1208">
    <w:abstractNumId w:val="991"/>
  </w:num>
  <w:num w:numId="1209">
    <w:abstractNumId w:val="992"/>
  </w:num>
  <w:num w:numId="1210">
    <w:abstractNumId w:val="992"/>
  </w:num>
  <w:num w:numId="1211">
    <w:abstractNumId w:val="991"/>
  </w:num>
  <w:num w:numId="1212">
    <w:abstractNumId w:val="992"/>
  </w:num>
  <w:num w:numId="1213">
    <w:abstractNumId w:val="991"/>
  </w:num>
  <w:num w:numId="1214">
    <w:abstractNumId w:val="992"/>
  </w:num>
  <w:num w:numId="1215">
    <w:abstractNumId w:val="991"/>
  </w:num>
  <w:num w:numId="1216">
    <w:abstractNumId w:val="992"/>
  </w:num>
  <w:num w:numId="1217">
    <w:abstractNumId w:val="992"/>
  </w:num>
  <w:num w:numId="1218">
    <w:abstractNumId w:val="992"/>
  </w:num>
  <w:num w:numId="1219">
    <w:abstractNumId w:val="991"/>
  </w:num>
  <w:num w:numId="1220">
    <w:abstractNumId w:val="992"/>
  </w:num>
  <w:num w:numId="1221">
    <w:abstractNumId w:val="992"/>
  </w:num>
  <w:num w:numId="1222">
    <w:abstractNumId w:val="992"/>
  </w:num>
  <w:num w:numId="1223">
    <w:abstractNumId w:val="992"/>
  </w:num>
  <w:num w:numId="1224">
    <w:abstractNumId w:val="992"/>
  </w:num>
  <w:num w:numId="1225">
    <w:abstractNumId w:val="991"/>
  </w:num>
  <w:num w:numId="1226">
    <w:abstractNumId w:val="991"/>
  </w:num>
  <w:num w:numId="1227">
    <w:abstractNumId w:val="992"/>
  </w:num>
  <w:num w:numId="1228">
    <w:abstractNumId w:val="992"/>
  </w:num>
  <w:num w:numId="1229">
    <w:abstractNumId w:val="992"/>
  </w:num>
  <w:num w:numId="1230">
    <w:abstractNumId w:val="991"/>
  </w:num>
  <w:num w:numId="1231">
    <w:abstractNumId w:val="992"/>
  </w:num>
  <w:num w:numId="1232">
    <w:abstractNumId w:val="992"/>
  </w:num>
  <w:num w:numId="1233">
    <w:abstractNumId w:val="992"/>
  </w:num>
  <w:num w:numId="1234">
    <w:abstractNumId w:val="991"/>
  </w:num>
  <w:num w:numId="1235">
    <w:abstractNumId w:val="991"/>
  </w:num>
  <w:num w:numId="1236">
    <w:abstractNumId w:val="992"/>
  </w:num>
  <w:num w:numId="1237">
    <w:abstractNumId w:val="991"/>
  </w:num>
  <w:num w:numId="1238">
    <w:abstractNumId w:val="992"/>
  </w:num>
  <w:num w:numId="1239">
    <w:abstractNumId w:val="992"/>
  </w:num>
  <w:num w:numId="1240">
    <w:abstractNumId w:val="992"/>
  </w:num>
  <w:num w:numId="1241">
    <w:abstractNumId w:val="991"/>
  </w:num>
  <w:num w:numId="1242">
    <w:abstractNumId w:val="992"/>
  </w:num>
  <w:num w:numId="1243">
    <w:abstractNumId w:val="992"/>
  </w:num>
  <w:num w:numId="1244">
    <w:abstractNumId w:val="992"/>
  </w:num>
  <w:num w:numId="1245">
    <w:abstractNumId w:val="992"/>
  </w:num>
  <w:num w:numId="1246">
    <w:abstractNumId w:val="992"/>
  </w:num>
  <w:num w:numId="1247">
    <w:abstractNumId w:val="991"/>
  </w:num>
  <w:num w:numId="1248">
    <w:abstractNumId w:val="992"/>
  </w:num>
  <w:num w:numId="1249">
    <w:abstractNumId w:val="992"/>
  </w:num>
  <w:num w:numId="1250">
    <w:abstractNumId w:val="991"/>
  </w:num>
  <w:num w:numId="1251">
    <w:abstractNumId w:val="992"/>
  </w:num>
  <w:num w:numId="1252">
    <w:abstractNumId w:val="991"/>
  </w:num>
  <w:num w:numId="1253">
    <w:abstractNumId w:val="992"/>
  </w:num>
  <w:num w:numId="1254">
    <w:abstractNumId w:val="991"/>
  </w:num>
  <w:num w:numId="1255">
    <w:abstractNumId w:val="992"/>
  </w:num>
  <w:num w:numId="1256">
    <w:abstractNumId w:val="991"/>
  </w:num>
  <w:num w:numId="1257">
    <w:abstractNumId w:val="992"/>
  </w:num>
  <w:num w:numId="1258">
    <w:abstractNumId w:val="991"/>
  </w:num>
  <w:num w:numId="1259">
    <w:abstractNumId w:val="992"/>
  </w:num>
  <w:num w:numId="1260">
    <w:abstractNumId w:val="991"/>
  </w:num>
  <w:num w:numId="1261">
    <w:abstractNumId w:val="992"/>
  </w:num>
  <w:num w:numId="1262">
    <w:abstractNumId w:val="991"/>
  </w:num>
  <w:num w:numId="1263">
    <w:abstractNumId w:val="992"/>
  </w:num>
  <w:num w:numId="1264">
    <w:abstractNumId w:val="992"/>
  </w:num>
  <w:num w:numId="1265">
    <w:abstractNumId w:val="991"/>
  </w:num>
  <w:num w:numId="1266">
    <w:abstractNumId w:val="992"/>
  </w:num>
  <w:num w:numId="1267">
    <w:abstractNumId w:val="992"/>
  </w:num>
  <w:num w:numId="1268">
    <w:abstractNumId w:val="991"/>
  </w:num>
  <w:num w:numId="1269">
    <w:abstractNumId w:val="992"/>
  </w:num>
  <w:num w:numId="1270">
    <w:abstractNumId w:val="991"/>
  </w:num>
  <w:num w:numId="1271">
    <w:abstractNumId w:val="992"/>
  </w:num>
  <w:num w:numId="1272">
    <w:abstractNumId w:val="991"/>
  </w:num>
  <w:num w:numId="1273">
    <w:abstractNumId w:val="992"/>
  </w:num>
  <w:num w:numId="1274">
    <w:abstractNumId w:val="992"/>
  </w:num>
  <w:num w:numId="1275">
    <w:abstractNumId w:val="992"/>
  </w:num>
  <w:num w:numId="1276">
    <w:abstractNumId w:val="991"/>
  </w:num>
  <w:num w:numId="1277">
    <w:abstractNumId w:val="991"/>
  </w:num>
  <w:num w:numId="1278">
    <w:abstractNumId w:val="992"/>
  </w:num>
  <w:num w:numId="1279">
    <w:abstractNumId w:val="992"/>
  </w:num>
  <w:num w:numId="1280">
    <w:abstractNumId w:val="992"/>
  </w:num>
  <w:num w:numId="1281">
    <w:abstractNumId w:val="991"/>
  </w:num>
  <w:num w:numId="1282">
    <w:abstractNumId w:val="992"/>
  </w:num>
  <w:num w:numId="1283">
    <w:abstractNumId w:val="992"/>
  </w:num>
  <w:num w:numId="1284">
    <w:abstractNumId w:val="992"/>
  </w:num>
  <w:num w:numId="1285">
    <w:abstractNumId w:val="992"/>
  </w:num>
  <w:num w:numId="1286">
    <w:abstractNumId w:val="992"/>
  </w:num>
  <w:num w:numId="1287">
    <w:abstractNumId w:val="991"/>
  </w:num>
  <w:num w:numId="1288">
    <w:abstractNumId w:val="992"/>
  </w:num>
  <w:num w:numId="1289">
    <w:abstractNumId w:val="991"/>
  </w:num>
  <w:num w:numId="1290">
    <w:abstractNumId w:val="992"/>
  </w:num>
  <w:num w:numId="1291">
    <w:abstractNumId w:val="992"/>
  </w:num>
  <w:num w:numId="1292">
    <w:abstractNumId w:val="991"/>
  </w:num>
  <w:num w:numId="1293">
    <w:abstractNumId w:val="992"/>
  </w:num>
  <w:num w:numId="1294">
    <w:abstractNumId w:val="991"/>
  </w:num>
  <w:num w:numId="1295">
    <w:abstractNumId w:val="991"/>
  </w:num>
  <w:num w:numId="1296">
    <w:abstractNumId w:val="992"/>
  </w:num>
  <w:num w:numId="1297">
    <w:abstractNumId w:val="991"/>
  </w:num>
  <w:num w:numId="1298">
    <w:abstractNumId w:val="992"/>
  </w:num>
  <w:num w:numId="1299">
    <w:abstractNumId w:val="991"/>
  </w:num>
  <w:num w:numId="1300">
    <w:abstractNumId w:val="992"/>
  </w:num>
  <w:num w:numId="1301">
    <w:abstractNumId w:val="991"/>
  </w:num>
  <w:num w:numId="1302">
    <w:abstractNumId w:val="992"/>
  </w:num>
  <w:num w:numId="1303">
    <w:abstractNumId w:val="991"/>
  </w:num>
  <w:num w:numId="1304">
    <w:abstractNumId w:val="992"/>
  </w:num>
  <w:num w:numId="1305">
    <w:abstractNumId w:val="991"/>
  </w:num>
  <w:num w:numId="1306">
    <w:abstractNumId w:val="992"/>
  </w:num>
  <w:num w:numId="1307">
    <w:abstractNumId w:val="991"/>
  </w:num>
  <w:num w:numId="1308">
    <w:abstractNumId w:val="992"/>
  </w:num>
  <w:num w:numId="1309">
    <w:abstractNumId w:val="991"/>
  </w:num>
  <w:num w:numId="1310">
    <w:abstractNumId w:val="992"/>
  </w:num>
  <w:num w:numId="1311">
    <w:abstractNumId w:val="992"/>
  </w:num>
  <w:num w:numId="1312">
    <w:abstractNumId w:val="991"/>
  </w:num>
  <w:num w:numId="1313">
    <w:abstractNumId w:val="992"/>
  </w:num>
  <w:num w:numId="1314">
    <w:abstractNumId w:val="991"/>
  </w:num>
  <w:num w:numId="1315">
    <w:abstractNumId w:val="992"/>
  </w:num>
  <w:num w:numId="1316">
    <w:abstractNumId w:val="991"/>
  </w:num>
  <w:num w:numId="1317">
    <w:abstractNumId w:val="992"/>
  </w:num>
  <w:num w:numId="1318">
    <w:abstractNumId w:val="991"/>
  </w:num>
  <w:num w:numId="1319">
    <w:abstractNumId w:val="992"/>
  </w:num>
  <w:num w:numId="1320">
    <w:abstractNumId w:val="991"/>
  </w:num>
  <w:num w:numId="1321">
    <w:abstractNumId w:val="992"/>
  </w:num>
  <w:num w:numId="1322">
    <w:abstractNumId w:val="991"/>
  </w:num>
  <w:num w:numId="1323">
    <w:abstractNumId w:val="992"/>
  </w:num>
  <w:num w:numId="1324">
    <w:abstractNumId w:val="992"/>
  </w:num>
  <w:num w:numId="1325">
    <w:abstractNumId w:val="991"/>
  </w:num>
  <w:num w:numId="1326">
    <w:abstractNumId w:val="991"/>
  </w:num>
  <w:num w:numId="1327">
    <w:abstractNumId w:val="992"/>
  </w:num>
  <w:num w:numId="1328">
    <w:abstractNumId w:val="992"/>
  </w:num>
  <w:num w:numId="1329">
    <w:abstractNumId w:val="992"/>
  </w:num>
  <w:num w:numId="1330">
    <w:abstractNumId w:val="992"/>
  </w:num>
  <w:num w:numId="1331">
    <w:abstractNumId w:val="992"/>
  </w:num>
  <w:num w:numId="1332">
    <w:abstractNumId w:val="991"/>
  </w:num>
  <w:num w:numId="1333">
    <w:abstractNumId w:val="992"/>
  </w:num>
  <w:num w:numId="1334">
    <w:abstractNumId w:val="992"/>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1"/>
  </w:num>
  <w:num w:numId="1344">
    <w:abstractNumId w:val="992"/>
  </w:num>
  <w:num w:numId="1345">
    <w:abstractNumId w:val="991"/>
  </w:num>
  <w:num w:numId="1346">
    <w:abstractNumId w:val="992"/>
  </w:num>
  <w:num w:numId="1347">
    <w:abstractNumId w:val="991"/>
  </w:num>
  <w:num w:numId="1348">
    <w:abstractNumId w:val="992"/>
  </w:num>
  <w:num w:numId="1349">
    <w:abstractNumId w:val="991"/>
  </w:num>
  <w:num w:numId="1350">
    <w:abstractNumId w:val="992"/>
  </w:num>
  <w:num w:numId="1351">
    <w:abstractNumId w:val="991"/>
  </w:num>
  <w:num w:numId="1352">
    <w:abstractNumId w:val="992"/>
  </w:num>
  <w:num w:numId="1353">
    <w:abstractNumId w:val="991"/>
  </w:num>
  <w:num w:numId="1354">
    <w:abstractNumId w:val="992"/>
  </w:num>
  <w:num w:numId="1355">
    <w:abstractNumId w:val="991"/>
  </w:num>
  <w:num w:numId="1356">
    <w:abstractNumId w:val="992"/>
  </w:num>
  <w:num w:numId="1357">
    <w:abstractNumId w:val="991"/>
  </w:num>
  <w:num w:numId="1358">
    <w:abstractNumId w:val="992"/>
  </w:num>
  <w:num w:numId="1359">
    <w:abstractNumId w:val="991"/>
  </w:num>
  <w:num w:numId="1360">
    <w:abstractNumId w:val="992"/>
  </w:num>
  <w:num w:numId="1361">
    <w:abstractNumId w:val="991"/>
  </w:num>
  <w:num w:numId="1362">
    <w:abstractNumId w:val="992"/>
  </w:num>
  <w:num w:numId="1363">
    <w:abstractNumId w:val="991"/>
  </w:num>
  <w:num w:numId="1364">
    <w:abstractNumId w:val="992"/>
  </w:num>
  <w:num w:numId="1365">
    <w:abstractNumId w:val="991"/>
  </w:num>
  <w:num w:numId="1366">
    <w:abstractNumId w:val="992"/>
  </w:num>
  <w:num w:numId="1367">
    <w:abstractNumId w:val="991"/>
  </w:num>
  <w:num w:numId="1368">
    <w:abstractNumId w:val="992"/>
  </w:num>
  <w:num w:numId="1369">
    <w:abstractNumId w:val="991"/>
  </w:num>
  <w:num w:numId="1370">
    <w:abstractNumId w:val="992"/>
  </w:num>
  <w:num w:numId="1371">
    <w:abstractNumId w:val="991"/>
  </w:num>
  <w:num w:numId="1372">
    <w:abstractNumId w:val="992"/>
  </w:num>
  <w:num w:numId="1373">
    <w:abstractNumId w:val="991"/>
  </w:num>
  <w:num w:numId="1374">
    <w:abstractNumId w:val="992"/>
  </w:num>
  <w:num w:numId="1375">
    <w:abstractNumId w:val="991"/>
  </w:num>
  <w:num w:numId="1376">
    <w:abstractNumId w:val="992"/>
  </w:num>
  <w:num w:numId="1377">
    <w:abstractNumId w:val="991"/>
  </w:num>
  <w:num w:numId="1378">
    <w:abstractNumId w:val="992"/>
  </w:num>
  <w:num w:numId="1379">
    <w:abstractNumId w:val="991"/>
  </w:num>
  <w:num w:numId="1380">
    <w:abstractNumId w:val="992"/>
  </w:num>
  <w:num w:numId="1381">
    <w:abstractNumId w:val="991"/>
  </w:num>
  <w:num w:numId="1382">
    <w:abstractNumId w:val="992"/>
  </w:num>
  <w:num w:numId="1383">
    <w:abstractNumId w:val="991"/>
  </w:num>
  <w:num w:numId="1384">
    <w:abstractNumId w:val="992"/>
  </w:num>
  <w:num w:numId="1385">
    <w:abstractNumId w:val="991"/>
  </w:num>
  <w:num w:numId="1386">
    <w:abstractNumId w:val="992"/>
  </w:num>
  <w:num w:numId="1387">
    <w:abstractNumId w:val="991"/>
  </w:num>
  <w:num w:numId="1388">
    <w:abstractNumId w:val="992"/>
  </w:num>
  <w:num w:numId="1389">
    <w:abstractNumId w:val="991"/>
  </w:num>
  <w:num w:numId="1390">
    <w:abstractNumId w:val="992"/>
  </w:num>
  <w:num w:numId="1391">
    <w:abstractNumId w:val="991"/>
  </w:num>
  <w:num w:numId="1392">
    <w:abstractNumId w:val="992"/>
  </w:num>
  <w:num w:numId="1393">
    <w:abstractNumId w:val="991"/>
  </w:num>
  <w:num w:numId="1394">
    <w:abstractNumId w:val="992"/>
  </w:num>
  <w:num w:numId="1395">
    <w:abstractNumId w:val="991"/>
  </w:num>
  <w:num w:numId="1396">
    <w:abstractNumId w:val="992"/>
  </w:num>
  <w:num w:numId="1397">
    <w:abstractNumId w:val="991"/>
  </w:num>
  <w:num w:numId="1398">
    <w:abstractNumId w:val="992"/>
  </w:num>
  <w:num w:numId="1399">
    <w:abstractNumId w:val="991"/>
  </w:num>
  <w:num w:numId="1400">
    <w:abstractNumId w:val="992"/>
  </w:num>
  <w:num w:numId="1401">
    <w:abstractNumId w:val="991"/>
  </w:num>
  <w:num w:numId="1402">
    <w:abstractNumId w:val="992"/>
  </w:num>
  <w:num w:numId="1403">
    <w:abstractNumId w:val="991"/>
  </w:num>
  <w:num w:numId="1404">
    <w:abstractNumId w:val="992"/>
  </w:num>
  <w:num w:numId="1405">
    <w:abstractNumId w:val="991"/>
  </w:num>
  <w:num w:numId="1406">
    <w:abstractNumId w:val="992"/>
  </w:num>
  <w:num w:numId="1407">
    <w:abstractNumId w:val="991"/>
  </w:num>
  <w:num w:numId="1408">
    <w:abstractNumId w:val="992"/>
  </w:num>
  <w:num w:numId="1409">
    <w:abstractNumId w:val="991"/>
  </w:num>
  <w:num w:numId="1410">
    <w:abstractNumId w:val="992"/>
  </w:num>
  <w:num w:numId="1411">
    <w:abstractNumId w:val="991"/>
  </w:num>
  <w:num w:numId="1412">
    <w:abstractNumId w:val="992"/>
  </w:num>
  <w:num w:numId="1413">
    <w:abstractNumId w:val="991"/>
  </w:num>
  <w:num w:numId="1414">
    <w:abstractNumId w:val="992"/>
  </w:num>
  <w:num w:numId="1415">
    <w:abstractNumId w:val="991"/>
  </w:num>
  <w:num w:numId="1416">
    <w:abstractNumId w:val="992"/>
  </w:num>
  <w:num w:numId="1417">
    <w:abstractNumId w:val="991"/>
  </w:num>
  <w:num w:numId="1418">
    <w:abstractNumId w:val="992"/>
  </w:num>
  <w:num w:numId="1419">
    <w:abstractNumId w:val="991"/>
  </w:num>
  <w:num w:numId="1420">
    <w:abstractNumId w:val="992"/>
  </w:num>
  <w:num w:numId="1421">
    <w:abstractNumId w:val="991"/>
  </w:num>
  <w:num w:numId="1422">
    <w:abstractNumId w:val="992"/>
  </w:num>
  <w:num w:numId="1423">
    <w:abstractNumId w:val="991"/>
  </w:num>
  <w:num w:numId="1424">
    <w:abstractNumId w:val="992"/>
  </w:num>
  <w:num w:numId="1425">
    <w:abstractNumId w:val="991"/>
  </w:num>
  <w:num w:numId="1426">
    <w:abstractNumId w:val="992"/>
  </w:num>
  <w:num w:numId="1427">
    <w:abstractNumId w:val="991"/>
  </w:num>
  <w:num w:numId="1428">
    <w:abstractNumId w:val="992"/>
  </w:num>
  <w:num w:numId="1429">
    <w:abstractNumId w:val="991"/>
  </w:num>
  <w:num w:numId="1430">
    <w:abstractNumId w:val="992"/>
  </w:num>
  <w:num w:numId="1431">
    <w:abstractNumId w:val="991"/>
  </w:num>
  <w:num w:numId="1432">
    <w:abstractNumId w:val="992"/>
  </w:num>
  <w:num w:numId="1433">
    <w:abstractNumId w:val="991"/>
  </w:num>
  <w:num w:numId="1434">
    <w:abstractNumId w:val="992"/>
  </w:num>
  <w:num w:numId="1435">
    <w:abstractNumId w:val="991"/>
  </w:num>
  <w:num w:numId="1436">
    <w:abstractNumId w:val="992"/>
  </w:num>
  <w:num w:numId="1437">
    <w:abstractNumId w:val="991"/>
  </w:num>
  <w:num w:numId="1438">
    <w:abstractNumId w:val="992"/>
  </w:num>
  <w:num w:numId="1439">
    <w:abstractNumId w:val="991"/>
  </w:num>
  <w:num w:numId="1440">
    <w:abstractNumId w:val="992"/>
  </w:num>
  <w:num w:numId="1441">
    <w:abstractNumId w:val="991"/>
  </w:num>
  <w:num w:numId="1442">
    <w:abstractNumId w:val="992"/>
  </w:num>
  <w:num w:numId="1443">
    <w:abstractNumId w:val="991"/>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 w:numId="1456">
    <w:abstractNumId w:val="992"/>
  </w:num>
  <w:num w:numId="1457">
    <w:abstractNumId w:val="992"/>
  </w:num>
  <w:num w:numId="1458">
    <w:abstractNumId w:val="992"/>
  </w:num>
  <w:num w:numId="1459">
    <w:abstractNumId w:val="992"/>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2"/>
  </w:num>
  <w:num w:numId="1467">
    <w:abstractNumId w:val="992"/>
  </w:num>
  <w:num w:numId="1468">
    <w:abstractNumId w:val="992"/>
  </w:num>
  <w:num w:numId="1469">
    <w:abstractNumId w:val="992"/>
  </w:num>
  <w:num w:numId="1470">
    <w:abstractNumId w:val="992"/>
  </w:num>
  <w:num w:numId="14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2026-09-28T00:34:40Z</dcterms:created>
  <dcterms:modified xsi:type="dcterms:W3CDTF">2026-09-28T00:34:40Z</dcterms:modified>
</cp:coreProperties>
</file>

<file path=docProps/custom.xml><?xml version="1.0" encoding="utf-8"?>
<Properties xmlns="http://schemas.openxmlformats.org/officeDocument/2006/custom-properties" xmlns:vt="http://schemas.openxmlformats.org/officeDocument/2006/docPropsVTypes"/>
</file>