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26bbbdf700f679bd35e4106344bcaf5a270cd5"/>
    <w:p>
      <w:pPr>
        <w:pStyle w:val="Heading2"/>
        <w:spacing w:line="240" w:lineRule="auto"/>
        <w:jc w:val="center"/>
      </w:pPr>
      <w:r>
        <w:rPr>
          <w:rFonts w:ascii="Century Gothic" w:hAnsi="Century Gothic"/>
          <w:b/>
          <w:sz w:val="28"/>
        </w:rPr>
        <w:t xml:space="preserve">Cooperación evolutiva frente al límite biofísico de un recurso de uso común: una simulación basada en agentes de una economía de intercambio</w:t>
      </w:r>
    </w:p>
    <w:p>
      <w:pPr>
        <w:pStyle w:val="FirstParagraph"/>
        <w:spacing w:line="240" w:lineRule="auto"/>
        <w:jc w:val="left"/>
      </w:pPr>
      <w:r>
        <w:rPr>
          <w:rFonts w:ascii="Century Gothic" w:hAnsi="Century Gothic"/>
          <w:b/>
          <w:bCs/>
          <w:sz w:val="20"/>
        </w:rPr>
        <w:t xml:space="preserve">Resumen: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Presento Symbio-Grid, un modelo basado en agentes donde plantas y hongos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intercambian carbono y fósforo bajo reglas heredables que evolucionan por mutación y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selección: un caso generativo mínimo de una economía de intercambio que depende de un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recurso de uso común, el fósforo del suelo. Siguiendo la pregunta central de la literatura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sobre gobernanza de recursos de uso común, pregunto cuándo esta economía sostiene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cooperación y cuándo colapsa, y si la adaptación conductual desplaza el umbral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sostenibilidad. Barriendo la mutación, la disponibilidad de fósforo y su renovación, mido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 frecuencia de colapso y la fracción de agentes que intercambia. La cooperación no está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impuesta: partiendo de reglas aleatorias, la fracción que intercambia supera el azar y casi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 duplica entre los sobrevivientes bajo escasez. Pero ni la mutación ni el tamaño de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grilla desplazan el umbral de colapso, fijado solo por la renovación del recurso, cercana 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cero: la dinámica biofísica del recurso acota la sostenibilidad, con independencia de cuánta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flexibilidad conductual tengan quienes lo explotan, un resultado que dialoga con el marco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Ostrom sobre sistemas socioecológicos. La señal de selección solo es visible en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comportamiento expresado, no en el promedio de la tabla de reglas.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b/>
          <w:bCs/>
          <w:sz w:val="20"/>
        </w:rPr>
        <w:t xml:space="preserve">Palabras clave: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Modelado basado en agentes; evolución de la cooperación; recursos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uso común; economía de intercambio; gobernanza de recursos.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b/>
          <w:bCs/>
          <w:sz w:val="20"/>
        </w:rPr>
        <w:t xml:space="preserve">English title: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Evolutionary cooperation against the biophysical limit of a common-pool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resource: an agent-based simulation of a trading economy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b/>
          <w:bCs/>
          <w:sz w:val="20"/>
        </w:rPr>
        <w:t xml:space="preserve">Abstract: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 present Symbio-Grid, an agent-based model in which plant and fungal agents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trade carbon and phosphorus under heritable rules that evolve by mutation and selection: 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minimal generative case of a trading economy that depends on a common-pool resource, soil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phosphorus. Following the central question of the common-pool resource governance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literature, I ask when this economy sustains cooperation and when it collapses, and whether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behavioral adaptability shifts the sustainability threshold. Sweeping mutation, phosphorus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availability, and its renewal rate, I measure collapse frequency and the fraction of agents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that trade. Cooperation is not imposed: starting from random rules, the trading fraction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rises above chance and nearly doubles among survivors under scarcity. Yet neither mutation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nor grid size shifts the collapse threshold, which is set solely by resource renewal, near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zero: the resource’s own biophysical dynamics bound sustainability, regardless of how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behaviorally flexible its exploiters are, a result that speaks directly to Ostrom’s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social-ecological systems framework. The selection signal is visible only in expressed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behavior, not in the genotype-wide average.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b/>
          <w:bCs/>
          <w:sz w:val="20"/>
        </w:rPr>
        <w:t xml:space="preserve">Keywords: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Agent-based modeling; evolution of cooperation; common-pool resources;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resource-trading economy; resource governance.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b/>
          <w:bCs/>
          <w:sz w:val="20"/>
        </w:rPr>
        <w:t xml:space="preserve">Título em português: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Cooperação evolutiva perante o limite biofísico de um recurso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uso comum: uma simulação baseada em agentes de uma economia de troca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b/>
          <w:bCs/>
          <w:sz w:val="20"/>
        </w:rPr>
        <w:t xml:space="preserve">Resumo: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Apresento o Symbio-Grid, um modelo baseado em agentes em que plantas 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fungos trocam carbono e fósforo segundo regras hereditárias que evoluem por mutação 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seleção: um caso generativo mínimo de uma economia de troca que depende de um recurso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uso comum, o fósforo do solo. Seguindo a pergunta central da literatura sobre governança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recursos de uso comum, pergunto quando essa economia sustenta a cooperação e quando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colapsa, e se a adaptação comportamental desloca o limiar de sustentabilidade. Variando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sistematicamente a mutação, a disponibilidade de fósforo e sua renovação, meço 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frequência de colapso e a fração de agentes que troca. A cooperação não é imposta: partindo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regras aleatórias, a fração que troca supera o acaso e quase duplica entre 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sobreviventes sob escassez. Porém, nem a mutação nem o tamanho da grade deslocam o limiar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colapso, fixado apenas pela renovação do recurso, próxima de zero: a dinâmica biofísica do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recurso limita a sustentabilidade, independentemente da flexibilidade comportamental de quem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o explora, em diálogo direto com o referencial de Ostrom sobre sistemas socioecológicos. O sinal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seleção só é visível no comportamento efetivamente expresso, não na média da tabela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regras.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b/>
          <w:bCs/>
          <w:sz w:val="20"/>
        </w:rPr>
        <w:t xml:space="preserve">Palavras-chave: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Modelagem baseada em agentes; evolução da cooperação; recursos de uso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comum; economia de troca; governança de recursos.</w:t>
      </w:r>
    </w:p>
    <w:bookmarkEnd w:id="9"/>
    <w:bookmarkStart w:id="12" w:name="introducción"/>
    <w:p>
      <w:pPr>
        <w:pStyle w:val="Heading2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Introducción</w:t>
      </w:r>
    </w:p>
    <w:bookmarkStart w:id="10" w:name="Xcde9838b10cf8bbc4492c4798eb7f7feb2620a7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El problema de los recursos de uso común y la cooperación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Toda comunidad que depende de un recurso compartido y agotable enfrenta la misma pregunta: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¿bajo qué condiciones sus miembros sostienen una práctica cooperativa de uso, y bajo cuáles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 abandonan hasta que el recurso colapsa? Hardin (1968) planteó esta pregunta como 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tragedia casi inevitable. En su lectura, actores racionales sobreexplotan un recurso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compartido: el costo de la sobreexplotación se reparte entre todos, pero el beneficio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extraer un poco más lo captura solo quien extrae. Ostrom (1990) mostró lo contrario.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Comunidades reales de pescadores, regantes y usuarios de bosques sostienen sus recursos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uso común durante generaciones, mediante instituciones que ellas mismas diseñan: reglas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acceso, mecanismos de monitoreo y sanción graduada, y fronteras claras sobre quién pertenece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al grupo de usuarios. Ese hallazgo desplazó la pregunta de si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cooperación en torno a un recurso compartido es posible a bajo qué condiciones emerge y se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sostiene, y qué papel cumplen las reglas mismas, a diferencia del recurso, en esa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sostenibilidad. Ostrom (2009) formalizó después esa pregunta en un marco de sistemas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socioecológicos que distingue explícitamente el sistema de recursos (su tamaño, su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productividad, su tasa de renovación) del sistema de gobernanza (las reglas que los usuarios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adoptan), y sostiene que la sostenibilidad del conjunto depende de la interacción entre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ambos subsistemas, no de uno solo.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Un supuesto que suele quedar implícito en gran parte de esa literatura es que las reglas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uso son diseñadas deliberadamente por actores que negocian, se comunican y aprenden de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experiencia colectiva. Ese es el caso en las comunidades humanas que Ostrom documentó. Pero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 pregunta de fondo, si la cooperación en torno a un recurso compartido puede sostenerse y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bajo qué condiciones colapsa, no es exclusiva de sistemas con deliberación. En ecología,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simbiosis micorrícica entre plantas y hongos ofrece un caso extremo del mismo problema sin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ninguna de esas condiciones: la planta entrega carbono fotosintético y el hongo entrega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fósforo extraído del suelo, un intercambio que Simard et al. (2012) describen explícitamente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 términos de mercado, cada socio comercia el recurso que al otro le falta. Ninguno de los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dos socios delibera, negocia ni diseña reglas; el comportamiento de intercambio, si existe,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está codificado genéticamente y solo puede cambiar por mutación y selección a lo largo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generaciones. Van ’t Padje et al. (2021) muestran, mediante experimento y modelamiento, que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los hongos ajustan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“precio”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al que comercian fósforo cuando la disponibilidad del recurso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sufre caídas y auges abruptos, de modo que los términos de intercambio responden a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escasez incluso sin ningún tipo de institución que los fije. Más recientemente, Grasso et al.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(2025) presentan un modelo de coevolución del comercio de recursos entre planta y hongo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micorrícico en el que las estrategias de intercambio coevolucionan y el modelo reproduce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estabilidad de la mutualidad, extinción y parasitismo transitorio a través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retroalimentación de aptitud (fitness feedback). Estos modelos establecen que los términos y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 estabilidad del intercambio dependen del valor relativo de los recursos y de la selección,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pero no preguntan directamente si la cooperación observada está acotada por la capacidad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adaptación conductual de la población o por la dinámica del propio sistema de recursos,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pregunta que en la literatura de gobernanza de recursos de uso común distingue el sistema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gobernanza del sistema de recursos.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Una segunda tradición, en ciencias de la complejidad y ciencias sociales computacionales,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estudia la evolución de la cooperación de manera abstracta, sin referencia a ningún sistema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biológico particular. Axelrod (1984) lo probó con torneos computacionales del dilema del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prisionero iterado. Estrategias condicionales y basadas en reciprocidad, como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“toma y daca”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(tit-for-tat), pueden invadir y sostenerse en una población de estrategias egoístas cuando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las interacciones se repiten. Nowak (2006) sintetizó cinco mecanismos que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literatura posterior identificó como suficientes para que la selección natural favorezca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cooperación en distintos contextos: selección de parentesco, reciprocidad directa,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reciprocidad indirecta, reciprocidad de red y selección de grupo. Estos mecanismos son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formulaciones generales, aplicables en principio tanto a poblaciones de organismos biológicos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como a poblaciones de estrategias artificiales, y han sido la base de una enorme literatura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simulación evolutiva de la cooperación mediante juegos espaciales, en la que las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estrategias se codifican como tablas de decisión o cadenas de bits que mutan y se propagan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por imitación o reproducción. Epstein y Axtell (1996), con su modelo Sugarscape, fundaron 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forma distinta de hacer ciencia social: en lugar de deducir propiedades agregadas a partir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supuestos sobre actores racionales, generan esas propiedades desde abajo hacia arriba, 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partir de agentes simples con reglas de decisión heredables, y leen las regularidades que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emergen, migración, comercio, desigualdad, guerra, como explicaciones candidatas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fenómenos sociales. Ese programa, que Epstein llamó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“ciencia social generativa”</w:t>
      </w:r>
      <w:r>
        <w:rPr>
          <w:rFonts w:ascii="Century Gothic" w:hAnsi="Century Gothic"/>
          <w:sz w:val="20"/>
        </w:rPr>
        <w:t xml:space="preserve">, 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precisamente el que permite tratar un sistema no humano, como una economía de intercambio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entre plantas y hongos, como un caso de estudio legítimo para preguntas de ciencia social: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lo que se generaliza no es el organismo, sino el mecanismo, la estructura mínima de agentes,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reglas heredables y un recurso compartido que basta para que la cooperación emerja, se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sostenga o colapse.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En el ámbito latinoamericano, Vélez Torres (2019) revisa el estado del arte del modelamiento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y la simulación basada en agentes en ciencias sociales y lo presenta como una tercera vía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para hacer ciencia, cuyo potencial no reside en la predicción sino en la comprensión de los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procesos fundamentales de fenómenos complejos: estructuras sociales y comportamientos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grupales que emergen de la interacción de agentes heterogéneos bajo reglas de decisión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simples y racionalidad limitada. Esa caracterización describe con precisión el tipo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modelo que presento aquí, y la propia revista que publicó ese estado del arte es evidencia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que la comunidad de ciencias sociales latinoamericana reconoce la modelación basada en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agentes, incluida la que usa sustratos no humanos para poner a prueba mecanismos generales,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como una herramienta metodológica legítima y no como una curiosidad computacional ajena 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sus preguntas.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Lo que ninguna de estas dos tradiciones, la de los mercados biológicos micorrícicos y la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 evolución computacional de la cooperación, pone a prueba directamente es la pregunta que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Ostrom formalizó para sistemas humanos: si la sostenibilidad de un recurso de uso común está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acotada por la capacidad de adaptación conductual de quienes lo usan, o por la dinámica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biofísica del recurso mismo, independientemente de cuánto varíe el comportamiento. En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sistemas humanos esa pregunta es difícil de aislar porque las instituciones y el recurso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cambian juntos y de manera correlacionada. Un modelo generativo mínimo, donde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“sistema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gobernanza”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 reduce a una tasa de mutación que controla cuánto varía el comportamiento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heredado, y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“sistema de recursos”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 reduce a una tasa de renovación del fósforo del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suelo, permite variar ambos de manera independiente y preguntar directamente cuál de los dos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gobierna el umbral de colapso.</w:t>
      </w:r>
    </w:p>
    <w:bookmarkEnd w:id="10"/>
    <w:bookmarkStart w:id="11" w:name="Xa6d771b0d72e5a7eb65f9bb1d5536860a8387ba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El modelo Symbio-Grid y preguntas de investigación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Este artículo presenta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Symbio-Grid</w:t>
      </w:r>
      <w:r>
        <w:rPr>
          <w:rFonts w:ascii="Century Gothic" w:hAnsi="Century Gothic"/>
          <w:sz w:val="20"/>
        </w:rPr>
        <w:t xml:space="preserve">, un modelo espacial basado en agentes en el que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comportamiento de intercambio de cada agente no está fijo, sino codificado en una tabla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reglas que mapea la percepción local del agente a una acción, y que se hereda con mutación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cuando el agente se reproduce. La cooperación nunca está impuesta: debe evolucionar. Uso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el modelo para responder tres preguntas. Primero, ¿cómo afecta la tasa de mutación, como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aproximación a la capacidad de adaptación conductual de la población, a que emerja o colapse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una economía de intercambio estable, y cambia el nivel de cooperación que evoluciona?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Segundo, ¿cuán robusta es la mutualidad a la disponibilidad del recurso de uso común y, en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particular, a la tasa a la que se renueva? Tercero, ¿está la cooperación efectivamente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seleccionada, y en qué situaciones la expresan los agentes?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Las contribuciones de este artículo son: (i) un modelo espacial basado en agentes, abierto y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reproducible, de una economía de intercambio evolutiva sobre un recurso de uso común,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descrito según el protocolo ODD; (ii) evidencia directa de que el umbral de sostenibilidad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ese recurso está fijado por su propia tasa de renovación y no se desplaza con la capacidad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adaptación conductual de la población, un resultado que dialoga con la distinción de Ostrom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(2009) entre sistema de recursos y sistema de gobernanza; (iii) evidencia de que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cooperación es efectivamente seleccionada a partir de estrategias aleatorias, con mayor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fuerza bajo escasez, en línea con la teoría de mercados biológicos y con los mecanismos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evolución de la cooperación descritos por Nowak (2006); y (iv) una advertencia metodológica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para la simulación social de estrategias evolutivas: la señal de selección solo es visible en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el comportamiento efectivamente expresado, no en el promedio de toda la tabla de reglas.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resto del artículo describe el modelo y el diseño experimental (Métodos), reporta los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resultados (Resultados) y discute su interpretación, sus límites y su relación con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literatura sobre gobernanza de recursos de uso común (Discusión), antes de concluir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(Conclusiones).</w:t>
      </w:r>
    </w:p>
    <w:bookmarkEnd w:id="11"/>
    <w:bookmarkEnd w:id="12"/>
    <w:bookmarkStart w:id="22" w:name="métodos"/>
    <w:p>
      <w:pPr>
        <w:pStyle w:val="Heading2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Métodos</w:t>
      </w:r>
    </w:p>
    <w:bookmarkStart w:id="13" w:name="visión-general-y-propósito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Visión general y propósito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El modelo está implementado sobre el framework Mesa (ter Hoeven et al., 2025; Masad y Kazil,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2015) y se describe aquí siguiendo la convención ODD (Overview, Design concepts, Details;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Grimm et al., 2020). Su propósito es estudiar cuándo una mutualidad de intercambio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recursos, evolutiva y espacialmente explícita entre plantas y hongos, alcanza un equilibrio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estable o colapsa, bajo condiciones variables de mutación y estrés de recursos, y si ese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umbral está determinado por la conducta de la población o por la dinámica del recurso.</w:t>
      </w:r>
    </w:p>
    <w:bookmarkEnd w:id="13"/>
    <w:bookmarkStart w:id="14" w:name="entidades-variables-de-estado-y-escalas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Entidades, variables de estado y escalas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Dos tipos de agentes habitan una grilla toroidal</w:t>
      </w:r>
      <w:r>
        <w:rPr>
          <w:rFonts w:ascii="Century Gothic" w:hAnsi="Century Gothic"/>
          <w:sz w:val="20"/>
        </w:rPr>
        <w:t xml:space="preserve"> </w:t>
      </w:r>
      <w:r>
        <w:rPr>
          <w:rStyle w:val="VerbatimChar"/>
          <w:rFonts w:ascii="Century Gothic" w:hAnsi="Century Gothic"/>
          <w:sz w:val="20"/>
        </w:rPr>
        <w:t xml:space="preserve">MultiGrid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ancho W y alto H. 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b/>
          <w:bCs/>
          <w:sz w:val="20"/>
        </w:rPr>
        <w:t xml:space="preserve">planta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 estacionaria y posee carbono y fósforo (cada uno un número real en [0, 20]). Un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b/>
          <w:bCs/>
          <w:sz w:val="20"/>
        </w:rPr>
        <w:t xml:space="preserve">hongo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 micelial y también posee carbono y fósforo. El entorno mantiene un campo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fósforo del suelo, un escalar por celda en [0, 10]: el recurso de uso común del sistema. Un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paso de tiempo equivale a una generación.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Cada agente posee 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b/>
          <w:bCs/>
          <w:sz w:val="20"/>
        </w:rPr>
        <w:t xml:space="preserve">tabla de reglas</w:t>
      </w:r>
      <w:r>
        <w:rPr>
          <w:rFonts w:ascii="Century Gothic" w:hAnsi="Century Gothic"/>
          <w:sz w:val="20"/>
        </w:rPr>
        <w:t xml:space="preserve">: un arreglo de 64 posiciones sobre las tres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acciones disponibles para su especie (una planta puede INTERCAMBIAR, BROTAR o esperar; un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hongo puede INTERCAMBIAR, EXPANDIRSE o esperar). En cada paso el agente forma un índice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entero entre 0 y 63 a partir de una percepción discretizada de su estado local y lee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acción correspondiente. El índice empaqueta tres campos de dos bits: el nivel propio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carbono, el nivel propio de fósforo (cada uno agrupado en cuatro niveles al dividir por cinco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y limitar en tres), y el número de vecinos relevantes (socios adyacentes de la otra especie,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limitado en tres). Escribiendo estos campos como</w:t>
      </w:r>
      <w:r>
        <w:rPr>
          <w:rFonts w:ascii="Century Gothic" w:hAnsi="Century Gothic"/>
          <w:sz w:val="20"/>
        </w:rPr>
        <w:t xml:space="preserve"> </w:t>
      </w:r>
      <m:oMath>
        <m:r>
          <m:t>c</m:t>
        </m:r>
      </m:oMath>
      <w:r>
        <w:rPr>
          <w:rFonts w:ascii="Century Gothic" w:hAnsi="Century Gothic"/>
          <w:sz w:val="20"/>
        </w:rPr>
        <w:t xml:space="preserve">,</w:t>
      </w:r>
      <w:r>
        <w:rPr>
          <w:rFonts w:ascii="Century Gothic" w:hAnsi="Century Gothic"/>
          <w:sz w:val="20"/>
        </w:rPr>
        <w:t xml:space="preserve"> </w:t>
      </w:r>
      <m:oMath>
        <m:r>
          <m:t>p</m:t>
        </m:r>
      </m:oMath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y</w:t>
      </w:r>
      <w:r>
        <w:rPr>
          <w:rFonts w:ascii="Century Gothic" w:hAnsi="Century Gothic"/>
          <w:sz w:val="20"/>
        </w:rPr>
        <w:t xml:space="preserve"> </w:t>
      </w:r>
      <m:oMath>
        <m:r>
          <m:t>n</m:t>
        </m:r>
      </m:oMath>
      <w:r>
        <w:rPr>
          <w:rFonts w:ascii="Century Gothic" w:hAnsi="Century Gothic"/>
          <w:sz w:val="20"/>
        </w:rPr>
        <w:t xml:space="preserve">, el índice es</w:t>
      </w:r>
      <w:r>
        <w:rPr>
          <w:rFonts w:ascii="Century Gothic" w:hAnsi="Century Gothic"/>
          <w:sz w:val="20"/>
        </w:rP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≪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≪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n</m:t>
        </m:r>
      </m:oMath>
      <w:r>
        <w:rPr>
          <w:rFonts w:ascii="Century Gothic" w:hAnsi="Century Gothic"/>
          <w:sz w:val="20"/>
        </w:rPr>
        <w:t xml:space="preserve">. Debido a que la percepción usa solo estos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rasgos toscos, el número efectivo de estados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distintos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que un agente realmente encuentra 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pequeño, un hecho que resulta relevante para el análisis de Resultados.</w:t>
      </w:r>
    </w:p>
    <w:bookmarkEnd w:id="14"/>
    <w:bookmarkStart w:id="15" w:name="proceso-y-programación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Proceso y programación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En cada paso, todos los agentes actúan en orden aleatorio siguiendo un ciclo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percibir–deliberar–actuar: perciben su vecindario, indexan su tabla de reglas para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seleccionar una acción, y la ejecutan. Luego se remueven los agentes muertos, el fósforo del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suelo se repone, y avanza el contador de generación. Toda la aleatoriedad proviene de un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único generador con semilla, de modo que cada corrida es idéntica byte a byte bajo su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semilla.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Como ilustración concreta, considérese una planta con carbono 11 y fósforo 3 con dos hongos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 su vecindario de Moore. En el paso de percepción registra sus recursos y sus dos socios;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 el paso de deliberación agrupa carbono en el nivel 2, fósforo en el nivel 0 y socios en 2,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formando el índice</w:t>
      </w:r>
      <w:r>
        <w:rPr>
          <w:rFonts w:ascii="Century Gothic" w:hAnsi="Century Gothic"/>
          <w:sz w:val="20"/>
        </w:rP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≪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≪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2</m:t>
        </m:r>
        <m:r>
          <m:rPr>
            <m:sty m:val="p"/>
          </m:rPr>
          <m:t>=</m:t>
        </m:r>
        <m:r>
          <m:t>34</m:t>
        </m:r>
      </m:oMath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y lee la entrada 34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su tabla de reglas, por ejemplo INTERCAMBIAR. En el paso de acción primero fotosintetiza y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paga su costo de fósforo, luego, como hay un socio presente y la acción es INTERCAMBIAR,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entrega carbono a uno de los hongos y recibe fósforo a cambio. Una planta hermana con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misma tabla de reglas pero sin vecino fúngico leería una entrada distinta y, aunque esa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entrada fuera también INTERCAMBIAR, no podría actuar sobre ella. La selección opera entonces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solo sobre las entradas que las circunstancias de cada agente efectivamente lo llevan a leer,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lo cual es el núcleo del problema de medición discutido en la Discusión.</w:t>
      </w:r>
    </w:p>
    <w:bookmarkEnd w:id="15"/>
    <w:bookmarkStart w:id="16" w:name="conceptos-de-diseño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Conceptos de diseño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i/>
          <w:iCs/>
          <w:sz w:val="20"/>
        </w:rPr>
        <w:t xml:space="preserve">Emergencia: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una economía de intercambio persistente (o su colapso) no está programada,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sino que surge de intercambios locales y de la selección.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Adaptación: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 descendencia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hereda la tabla de reglas del progenitor con mutación por locus.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Objetivo: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supervivencia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implícita, ya que los agentes que no consiguen su recurso limitante mueren y no dejan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descendencia.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Percepción: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un agente percibe su propio carbono/fósforo, los agentes vecinos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y, en el caso de los hongos, el fósforo del suelo en su vecindario de Moore.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Interacción: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intercambio bilateral de recursos entre planta y hongo adyacentes.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Estocasticidad: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ubicación, inicialización/mutación de tablas de reglas, y elecciones entre opciones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equivalentes.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Observación: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 recolectan poblaciones y recursos por paso, y las tablas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reglas del estado final.</w:t>
      </w:r>
    </w:p>
    <w:bookmarkEnd w:id="16"/>
    <w:bookmarkStart w:id="17" w:name="inicialización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Inicialización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N_p plantas y N_f hongos se ubican con los hongos sembrados junto a plantas de modo que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intercambio sea posible desde el inicio. El fósforo del suelo se extrae de una distribución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Uniforme(0, 10) escalada por un parámetro de densidad. Las plantas comienzan con carbono 5 y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fósforo 5; los hongos con carbono 3 y fósforo 5. Todas las tablas de reglas se inicializan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manera uniformemente aleatoria.</w:t>
      </w:r>
    </w:p>
    <w:bookmarkEnd w:id="17"/>
    <w:bookmarkStart w:id="18" w:name="submodelos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Submodelos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i/>
          <w:iCs/>
          <w:sz w:val="20"/>
        </w:rPr>
        <w:t xml:space="preserve">Metabolismo.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Una planta fotosintetiza, ganando 1.0 de carbono (con tope 20), y consume</w:t>
      </w:r>
      <w:r>
        <w:rPr>
          <w:rFonts w:ascii="Century Gothic" w:hAnsi="Century Gothic"/>
          <w:sz w:val="20"/>
        </w:rP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fósforo (parámetro</w:t>
      </w:r>
      <w:r>
        <w:rPr>
          <w:rFonts w:ascii="Century Gothic" w:hAnsi="Century Gothic"/>
          <w:sz w:val="20"/>
        </w:rPr>
        <w:t xml:space="preserve"> </w:t>
      </w:r>
      <w:r>
        <w:rPr>
          <w:rStyle w:val="VerbatimChar"/>
          <w:rFonts w:ascii="Century Gothic" w:hAnsi="Century Gothic"/>
          <w:sz w:val="20"/>
        </w:rPr>
        <w:t xml:space="preserve">plant_p_decay</w:t>
      </w:r>
      <w:r>
        <w:rPr>
          <w:rFonts w:ascii="Century Gothic" w:hAnsi="Century Gothic"/>
          <w:sz w:val="20"/>
        </w:rPr>
        <w:t xml:space="preserve">). Un hongo consume</w:t>
      </w:r>
      <w:r>
        <w:rPr>
          <w:rFonts w:ascii="Century Gothic" w:hAnsi="Century Gothic"/>
          <w:sz w:val="20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carbono (parámetro</w:t>
      </w:r>
      <w:r>
        <w:rPr>
          <w:rFonts w:ascii="Century Gothic" w:hAnsi="Century Gothic"/>
          <w:sz w:val="20"/>
        </w:rPr>
        <w:t xml:space="preserve"> </w:t>
      </w:r>
      <w:r>
        <w:rPr>
          <w:rStyle w:val="VerbatimChar"/>
          <w:rFonts w:ascii="Century Gothic" w:hAnsi="Century Gothic"/>
          <w:sz w:val="20"/>
        </w:rPr>
        <w:t xml:space="preserve">fungi_c_decay</w:t>
      </w:r>
      <w:r>
        <w:rPr>
          <w:rFonts w:ascii="Century Gothic" w:hAnsi="Century Gothic"/>
          <w:sz w:val="20"/>
        </w:rPr>
        <w:t xml:space="preserve">) y forrajea fósforo: extrae hasta</w:t>
      </w:r>
      <w:r>
        <w:rPr>
          <w:rFonts w:ascii="Century Gothic" w:hAnsi="Century Gothic"/>
          <w:sz w:val="20"/>
        </w:rPr>
        <w:t xml:space="preserve"> </w:t>
      </w:r>
      <m:oMath>
        <m:r>
          <m:t>u</m:t>
        </m:r>
      </m:oMath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unidades (parámetro</w:t>
      </w:r>
      <w:r>
        <w:rPr>
          <w:rFonts w:ascii="Century Gothic" w:hAnsi="Century Gothic"/>
          <w:sz w:val="20"/>
        </w:rPr>
        <w:t xml:space="preserve"> </w:t>
      </w:r>
      <w:r>
        <w:rPr>
          <w:rStyle w:val="VerbatimChar"/>
          <w:rFonts w:ascii="Century Gothic" w:hAnsi="Century Gothic"/>
          <w:sz w:val="20"/>
        </w:rPr>
        <w:t xml:space="preserve">fungi_uptake</w:t>
      </w:r>
      <w:r>
        <w:rPr>
          <w:rFonts w:ascii="Century Gothic" w:hAnsi="Century Gothic"/>
          <w:sz w:val="20"/>
        </w:rPr>
        <w:t xml:space="preserve">)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las celdas de su vecindario de Moore, incluida la propia, tomando primero de las celdas más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ricas, lo que representa a las hifas alcanzando el suelo circundante. Carbono y fósforo tienen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tope 20.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i/>
          <w:iCs/>
          <w:sz w:val="20"/>
        </w:rPr>
        <w:t xml:space="preserve">Intercambio.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Si la acción elegida por una planta es INTERCAMBIAR y hay al menos un hongo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adyacente, elige uno y el par intercambia cantidades iguales del recurso que a cada uno le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falta: la planta entrega carbono y recibe fósforo, el hongo entrega fósforo y recibe carbono.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 cantidad intercambiada es</w:t>
      </w:r>
      <w:r>
        <w:rPr>
          <w:rFonts w:ascii="Century Gothic" w:hAnsi="Century Gothic"/>
          <w:sz w:val="20"/>
        </w:rP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×</m:t>
        </m:r>
        <m:r>
          <m:rPr>
            <m:nor/>
            <m:sty m:val="p"/>
          </m:rPr>
          <m:t>reserva del dador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)</m:t>
        </m:r>
      </m:oMath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y solo se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ejecuta si quien recibe posee lo suficiente del recurso que debe entregar a cambio, de modo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que un intercambio conserva el carbono total y el fósforo total entre los dos agentes. Los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hongos intercambian simétricamente cuando su acción es INTERCAMBIAR.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i/>
          <w:iCs/>
          <w:sz w:val="20"/>
        </w:rPr>
        <w:t xml:space="preserve">Reproducción.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Una planta cuya acción es BROTAR, o un hongo cuya acción es EXPANDIRSE, se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reproduce si existe una celda vecina vacía y posee recursos suficientes (carbono sobre 12 y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fósforo sobre 6 para plantas; fósforo sobre 6 y carbono sobre 4 para hongos). La cría se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ubica en la celda vacía, hereda una copia de la tabla de reglas del progenitor con cada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entrada re-aleatorizada independientemente con probabilidad igual a la tasa de mutación, y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recibe el 40% de cada recurso del progenitor, que este último pierde.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i/>
          <w:iCs/>
          <w:sz w:val="20"/>
        </w:rPr>
        <w:t xml:space="preserve">Mortalidad.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Un agente muere y se remueve cuando su recurso limitante (fósforo para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plantas, carbono para hongos) llega a cero.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i/>
          <w:iCs/>
          <w:sz w:val="20"/>
        </w:rPr>
        <w:t xml:space="preserve">Entorno.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Después de que todos los agentes actuaron y se removió a los muertos, cada celda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suelo regenera fósforo en</w:t>
      </w:r>
      <w:r>
        <w:rPr>
          <w:rFonts w:ascii="Century Gothic" w:hAnsi="Century Gothic"/>
          <w:sz w:val="20"/>
        </w:rPr>
        <w:t xml:space="preserve"> </w:t>
      </w:r>
      <m:oMath>
        <m:r>
          <m:t>r</m:t>
        </m:r>
      </m:oMath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(parámetro</w:t>
      </w:r>
      <w:r>
        <w:rPr>
          <w:rFonts w:ascii="Century Gothic" w:hAnsi="Century Gothic"/>
          <w:sz w:val="20"/>
        </w:rPr>
        <w:t xml:space="preserve"> </w:t>
      </w:r>
      <w:r>
        <w:rPr>
          <w:rStyle w:val="VerbatimChar"/>
          <w:rFonts w:ascii="Century Gothic" w:hAnsi="Century Gothic"/>
          <w:sz w:val="20"/>
        </w:rPr>
        <w:t xml:space="preserve">phosphorus_regen</w:t>
      </w:r>
      <w:r>
        <w:rPr>
          <w:rFonts w:ascii="Century Gothic" w:hAnsi="Century Gothic"/>
          <w:sz w:val="20"/>
        </w:rPr>
        <w:t xml:space="preserve">), con tope 10.</w:t>
      </w:r>
    </w:p>
    <w:bookmarkEnd w:id="18"/>
    <w:bookmarkStart w:id="19" w:name="parámetros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Parámetros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La Tabla 1 lista los parámetros por defecto, que se mantienen fijos salvo cuando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parámetro es objeto de un barrido.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b/>
          <w:bCs/>
          <w:sz w:val="20"/>
        </w:rPr>
        <w:t xml:space="preserve">Tabla 1.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Parámetros por defecto del modelo.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 × alto de la grilla</w:t>
            </w:r>
          </w:p>
        </w:tc>
        <w:tc>
          <w:tcPr/>
          <w:p>
            <w:pPr>
              <w:pStyle w:val="Compact"/>
            </w:pPr>
            <w:r>
              <w:t xml:space="preserve">W × H</w:t>
            </w:r>
          </w:p>
        </w:tc>
        <w:tc>
          <w:tcPr/>
          <w:p>
            <w:pPr>
              <w:pStyle w:val="Compact"/>
            </w:pPr>
            <w:r>
              <w:t xml:space="preserve">60 × 40</w:t>
            </w:r>
          </w:p>
        </w:tc>
        <w:tc>
          <w:tcPr/>
          <w:p>
            <w:pPr>
              <w:pStyle w:val="Compact"/>
            </w:pPr>
            <w:r>
              <w:t xml:space="preserve">tamaño toroidal de la grilla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Plantas / hongos iniciales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80 / 60</w:t>
            </w:r>
          </w:p>
        </w:tc>
        <w:tc>
          <w:tcPr/>
          <w:p>
            <w:pPr>
              <w:pStyle w:val="Compact"/>
            </w:pPr>
            <w:r>
              <w:t xml:space="preserve">poblaciones de partida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de la tabla de reglas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estados perceptuales por agente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mutación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re-aleatorización por entrada en la reproducción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Densidad de fósforo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escala el fósforo inicial del suelo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Renovación de fósforo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fósforo añadido por celda por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Captación fúngica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fósforo máximo que un hongo forrajea por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Decaimiento de fósforo en planta</w:t>
            </w:r>
          </w:p>
        </w:tc>
        <w:tc>
          <w:tcPr/>
          <w:p>
            <w:pPr>
              <w:pStyle w:val="Compact"/>
            </w:pPr>
            <w:r>
              <w:t xml:space="preserve">d_p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fósforo que una planta consume por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Decaimiento de carbono en hongo</w:t>
            </w:r>
          </w:p>
        </w:tc>
        <w:tc>
          <w:tcPr/>
          <w:p>
            <w:pPr>
              <w:pStyle w:val="Compact"/>
            </w:pPr>
            <w:r>
              <w:t xml:space="preserve">d_c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carbono que un hongo consume por paso</w:t>
            </w:r>
          </w:p>
        </w:tc>
      </w:tr>
    </w:tbl>
    <w:bookmarkEnd w:id="19"/>
    <w:bookmarkStart w:id="20" w:name="implementación-y-reproducibilidad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Implementación y reproducibilidad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El modelo está implementado en Python sobre el framework Mesa (ter Hoeven et al., 2025).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Toda la estocasticidad (ubicación inicial, inicialización de tablas de reglas, mutación y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elección entre opciones empatadas) se extrae de un único generador aleatorio inicializado 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vez por corrida, de modo que una semilla y configuración dadas reproducen una corrida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exactamente, hasta la salida de métricas idéntica byte a byte. Una corrida se ejecuta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manera interactiva, para observación, o en modo headless mediante un ejecutor por lotes que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registra series de población y recursos por paso, una instantánea de la tabla de reglas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cada agente sobreviviente, y un manifiesto que captura la configuración, la semilla y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versión del código. Este determinismo es lo que permite que el mismo modelo sirva tanto para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 exploración como para la experimentación controlada sin que ambas diverjan, y hace que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cada resultado de este artículo sea regenerable desde los scripts que lo acompañan.</w:t>
      </w:r>
    </w:p>
    <w:bookmarkEnd w:id="20"/>
    <w:bookmarkStart w:id="21" w:name="diseño-experimental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Diseño experimental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Todos los experimentos usan la grilla e poblaciones iniciales por defecto y corren durante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300 generaciones con 10 semillas aleatorias cada uno; una corrida se registra como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colapsada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si alguna de las dos especies se extingue. Para cada corrida registro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resultado de colapso y la población final total. Para medir la selección de la cooperación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uso una métrica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expresada</w:t>
      </w:r>
      <w:r>
        <w:rPr>
          <w:rFonts w:ascii="Century Gothic" w:hAnsi="Century Gothic"/>
          <w:sz w:val="20"/>
        </w:rPr>
        <w:t xml:space="preserve">: la fracción de agentes vivos que efectivamente elige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acción INTERCAMBIAR en la situación en la que se encuentra, registrada por paso. Como 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tabla de reglas inicializada al azar selecciona cualquiera de las tres acciones con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probabilidad igual, un valor sobre 1/3 indica que la selección ha enriquecido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comportamiento de intercambio. (Evito deliberadamente promediar INTERCAMBIAR sobre las 64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entradas de la tabla de reglas completa, porque los agentes visitan solo unos pocos estados,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modo que la mayoría de entradas nunca expresadas deriva neutralmente y enmascara la señal;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véase la Discusión.)</w:t>
      </w:r>
    </w:p>
    <w:p>
      <w:pPr>
        <w:pStyle w:val="Compact"/>
        <w:numPr>
          <w:ilvl w:val="0"/>
          <w:numId w:val="1001"/>
        </w:numPr>
        <w:spacing w:line="360" w:lineRule="auto"/>
        <w:jc w:val="both"/>
      </w:pPr>
      <w:r>
        <w:rPr>
          <w:rFonts w:ascii="Century Gothic" w:hAnsi="Century Gothic"/>
          <w:b/>
          <w:bCs/>
          <w:sz w:val="20"/>
        </w:rPr>
        <w:t xml:space="preserve">Experimento A (tasa de mutación):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barrido de la tasa de mutación por locus sobre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{0.0, 0.05, 0.1, 0.2, 0.35, 0.5}.</w:t>
      </w:r>
    </w:p>
    <w:p>
      <w:pPr>
        <w:pStyle w:val="Compact"/>
        <w:numPr>
          <w:ilvl w:val="0"/>
          <w:numId w:val="1001"/>
        </w:numPr>
        <w:spacing w:line="360" w:lineRule="auto"/>
        <w:jc w:val="both"/>
      </w:pPr>
      <w:r>
        <w:rPr>
          <w:rFonts w:ascii="Century Gothic" w:hAnsi="Century Gothic"/>
          <w:b/>
          <w:bCs/>
          <w:sz w:val="20"/>
        </w:rPr>
        <w:t xml:space="preserve">Experimento B (disponibilidad de fósforo):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barrido de la densidad de fósforo del suelo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sobre {0.1, 0.15, 0.2, 0.3, 0.5, 0.7}.</w:t>
      </w:r>
    </w:p>
    <w:p>
      <w:pPr>
        <w:pStyle w:val="Compact"/>
        <w:numPr>
          <w:ilvl w:val="0"/>
          <w:numId w:val="1001"/>
        </w:numPr>
        <w:spacing w:line="360" w:lineRule="auto"/>
        <w:jc w:val="both"/>
      </w:pPr>
      <w:r>
        <w:rPr>
          <w:rFonts w:ascii="Century Gothic" w:hAnsi="Century Gothic"/>
          <w:b/>
          <w:bCs/>
          <w:sz w:val="20"/>
        </w:rPr>
        <w:t xml:space="preserve">Experimento C (renovación de fósforo):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barrido de la tasa de regeneración de fósforo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del suelo sobre {0.0, 0.0025, 0.005, 0.0075, 0.01, 0.02, 0.05} para ubicar el límite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resiliencia.</w:t>
      </w:r>
    </w:p>
    <w:p>
      <w:pPr>
        <w:pStyle w:val="Compact"/>
        <w:numPr>
          <w:ilvl w:val="0"/>
          <w:numId w:val="1001"/>
        </w:numPr>
        <w:spacing w:line="360" w:lineRule="auto"/>
        <w:jc w:val="both"/>
      </w:pPr>
      <w:r>
        <w:rPr>
          <w:rFonts w:ascii="Century Gothic" w:hAnsi="Century Gothic"/>
          <w:b/>
          <w:bCs/>
          <w:sz w:val="20"/>
        </w:rPr>
        <w:t xml:space="preserve">Experimento D (interacción mutación × renovación):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factorial completo de tasa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mutación {0.0, 0.1, 0.35} y tasa de regeneración {0.0, 0.0025, 0.005, 0.0075, 0.01} para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probar si la mutación, como aproximación de la capacidad de adaptación conductual, desplaza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el umbral de resiliencia.</w:t>
      </w:r>
    </w:p>
    <w:p>
      <w:pPr>
        <w:pStyle w:val="Compact"/>
        <w:numPr>
          <w:ilvl w:val="0"/>
          <w:numId w:val="1001"/>
        </w:numPr>
        <w:spacing w:line="360" w:lineRule="auto"/>
        <w:jc w:val="both"/>
      </w:pPr>
      <w:r>
        <w:rPr>
          <w:rFonts w:ascii="Century Gothic" w:hAnsi="Century Gothic"/>
          <w:b/>
          <w:bCs/>
          <w:sz w:val="20"/>
        </w:rPr>
        <w:t xml:space="preserve">Experimento E (robustez a la escala de la grilla):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repetición del barrido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regeneración {0.0, 0.005, 0.02, 0.05} en grillas de 40 × 25, 60 × 40 y 80 × 50 (8 semillas,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200 generaciones) para verificar que el umbral de resiliencia no es un artefacto de 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sola escala.</w:t>
      </w:r>
    </w:p>
    <w:p>
      <w:pPr>
        <w:pStyle w:val="Compact"/>
        <w:numPr>
          <w:ilvl w:val="0"/>
          <w:numId w:val="1001"/>
        </w:numPr>
        <w:spacing w:line="360" w:lineRule="auto"/>
        <w:jc w:val="both"/>
      </w:pPr>
      <w:r>
        <w:rPr>
          <w:rFonts w:ascii="Century Gothic" w:hAnsi="Century Gothic"/>
          <w:b/>
          <w:bCs/>
          <w:sz w:val="20"/>
        </w:rPr>
        <w:t xml:space="preserve">Experimento F (mecanismo de la selección):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para diez corridas en la configuración por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defecto, en la generación 300 se recalcula la acción elegida por cada agente sobreviviente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y se divide la población según si tiene un socio de intercambio actualmente adyacente, para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probar si el comportamiento seleccionado es intercambio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condicional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(intercambiar cuando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hay un socio presente).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Los experimentos A–C son reproducibles mediante</w:t>
      </w:r>
      <w:r>
        <w:rPr>
          <w:rFonts w:ascii="Century Gothic" w:hAnsi="Century Gothic"/>
          <w:sz w:val="20"/>
        </w:rPr>
        <w:t xml:space="preserve"> </w:t>
      </w:r>
      <w:r>
        <w:rPr>
          <w:rStyle w:val="VerbatimChar"/>
          <w:rFonts w:ascii="Century Gothic" w:hAnsi="Century Gothic"/>
          <w:sz w:val="20"/>
        </w:rPr>
        <w:t xml:space="preserve">paper/study/run_study.py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y D–F mediante</w:t>
      </w:r>
      <w:r>
        <w:rPr>
          <w:rFonts w:ascii="Century Gothic" w:hAnsi="Century Gothic"/>
          <w:sz w:val="20"/>
        </w:rPr>
        <w:t xml:space="preserve"> </w:t>
      </w:r>
      <w:r>
        <w:rPr>
          <w:rStyle w:val="VerbatimChar"/>
          <w:rFonts w:ascii="Century Gothic" w:hAnsi="Century Gothic"/>
          <w:sz w:val="20"/>
        </w:rPr>
        <w:t xml:space="preserve">paper/study/run_study_extended.py</w:t>
      </w:r>
      <w:r>
        <w:rPr>
          <w:rFonts w:ascii="Century Gothic" w:hAnsi="Century Gothic"/>
          <w:sz w:val="20"/>
        </w:rPr>
        <w:t xml:space="preserve">; los valores de los parámetros, las semillas y los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recuentos de generaciones quedan registrados allí y en el manifiesto de cada corrida.</w:t>
      </w:r>
    </w:p>
    <w:bookmarkEnd w:id="21"/>
    <w:bookmarkEnd w:id="22"/>
    <w:bookmarkStart w:id="30" w:name="resultados"/>
    <w:p>
      <w:pPr>
        <w:pStyle w:val="Heading2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Resultados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Todos los valores son promedios sobre 10 semillas por punto de parámetro;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“±”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indica 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desviación estándar de la población final total.</w:t>
      </w:r>
    </w:p>
    <w:bookmarkStart w:id="23" w:name="tasa-de-mutación-experimento-a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Tasa de mutación (Experimento A)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Ninguna corrida colapsó en ninguna tasa de mutación entre 0.0 y 0.5. La población final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declinó de manera moderada y monótona con la mutación, de 713 ± 128 individuos a tasa 0.0 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592 ± 72 a tasa 0.5, una carga de mutación que reduce la población sin desestabilizarla.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intercambio expresado subió de alrededor de 0.25 en etapas tempranas (generación 5) 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0.357–0.388 hacia la generación 300, por sobre la línea base aleatoria de 1/3 en todas las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tasas de mutación, lo que indica que la selección enriquece el comportamiento de intercambio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incluso a tasa 0.0 (selección actuando sobre la variación presente en las tablas de reglas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iniciales aleatorias). La fracción de intercambio en generaciones tardías aumentó con la tasa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mutación, alcanzando un máximo de 0.388 a tasa 0.35, de modo que mayor mutación produjo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algo más de cooperación expresada junto con menos individuos.</w:t>
      </w:r>
    </w:p>
    <w:bookmarkEnd w:id="23"/>
    <w:bookmarkStart w:id="24" w:name="disponibilidad-de-fósforo-experimento-b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Disponibilidad de fósforo (Experimento B)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Ninguna corrida colapsó a través de densidades de fósforo del suelo entre 0.1 y 0.7.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población final escaló con la disponibilidad de recursos, de manera aproximadamente lineal,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464 ± 83 a densidad 0.1 a 748 ± 96 a densidad 0.7, de modo que la oferta de fósforo fija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 capacidad de carga. El intercambio expresado se mantuvo moderadamente por sobre la línea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base (alrededor de 0.34–0.38) sin una dependencia fuerte de la densidad.</w:t>
      </w:r>
    </w:p>
    <w:bookmarkEnd w:id="24"/>
    <w:bookmarkStart w:id="25" w:name="umbral-de-resiliencia-experimento-c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Umbral de resiliencia (Experimento C)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La mutualidad colapsó solo cuando el ingreso renovable de fósforo estuvo cerca de cero: 50%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las corridas colapsaron a tasa de regeneración 0.0 y 30% a 0.0025, pero ninguna corrida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colapsó a 0.005 o más. Eso marca un umbral de resiliencia abrupto cerca de 0.005 unidades por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celda por paso. La población final subió abruptamente con la renovación, de 8 ± 3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sobrevivientes a tasa 0.0 a 657 ± 82 a tasa 0.05. Notablemente, el intercambio expresado fue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más alto bajo escasez: los sobrevivientes en el borde de supervivencia (tasas 0.005–0.0075)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intercambiaron a alrededor de 0.64, casi el doble de la línea base, declinando hacia 0.36 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medida que el fósforo se volvió abundante. La escasez del recurso intensificó así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selección de la cooperación entre los sobrevivientes.</w:t>
      </w:r>
    </w:p>
    <w:bookmarkEnd w:id="25"/>
    <w:bookmarkStart w:id="26" w:name="cooperación-en-el-tiempo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Cooperación en el tiempo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Para una corrida representativa, la fracción de agentes que elige intercambiar comenzó bajo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 línea base aleatoria y se estableció moderadamente por sobre ella dentro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aproximadamente cincuenta generaciones, manteniéndose allí después.</w:t>
      </w:r>
    </w:p>
    <w:bookmarkEnd w:id="26"/>
    <w:bookmarkStart w:id="27" w:name="Xdc017d25bde3a5c4772d81259df4e649c7b8459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Interacción mutación × renovación (Experimento D)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El umbral de resiliencia es esencialmente independiente de la tasa de mutación. Bajo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renovación cero, entre aproximadamente la mitad y dos tercios de las corridas colapsaron en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cada tasa de mutación (tasas de colapso de 0.6, 0.5 y 0.7 a tasas 0.0, 0.1 y 0.35), sin un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ordenamiento consistente según la mutación. En la tasa de renovación límite de 0.0025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resultado fue ruidoso y parcial (0 a 0.3 de colapso), y en tasas de renovación de 0.005 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más ninguna corrida colapsó en ninguna tasa de mutación. La mutación, por lo tanto, no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desplaza el límite de colapso, que está gobernado por la renovación del fósforo y no por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tasa de variación conductual. Este es el resultado central para la pregunta de gobernanza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recursos de uso común planteada en la Introducción: variar la capacidad de adaptación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conductual de la población, manteniendo todo lo demás fijo, no cambia el punto en el que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sistema colapsa.</w:t>
      </w:r>
    </w:p>
    <w:bookmarkEnd w:id="27"/>
    <w:bookmarkStart w:id="28" w:name="Xdb17f9b59fbc9e77343a8226120d7c8aec06f41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Robustez a la escala de la grilla (Experimento E)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Corrido hasta 400 generaciones, el umbral de resiliencia aparece en todas las escalas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grilla. Bajo renovación cero, esencialmente todas las corridas colapsaron (tasa de colapso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1.0 en 40 × 25 y 60 × 40, y 0.83 en 80 × 50); a la renovación más alta (0.05) ninguna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colapsó en ninguna escala. La transición se ubica en el rango 0.0025 a 0.005 para las tres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grillas, con grillas más grandes algo más resilientes cerca del límite: a renovación 0.005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tasa de colapso bajó de 0.50 en 40 × 25 a 0.17 en 60 × 40 a 0.00 en 80 × 50. El umbral es,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por lo tanto, un rasgo robusto a través de escalas y no un artefacto de un solo tamaño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grilla, aunque su posición exacta se desplaza levemente con el área. Comparado con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Experimento C, que usó un horizonte de 300 generaciones, esto también muestra que el colapso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bajo renovación cero es progresivo: más corridas han colapsado hacia la generación 400 que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hacia la generación 300, porque la reserva finita de suelo se agota gradualmente.</w:t>
      </w:r>
    </w:p>
    <w:bookmarkEnd w:id="28"/>
    <w:bookmarkStart w:id="29" w:name="Xa9dbfc26f0e1394d1087648f87ec3d66946774c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Mecanismo de la cooperación seleccionada (Experimento F)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Pregunto si el intercambio seleccionado 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condicional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 la presencia de un socio.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Entre los agentes sobrevivientes en la generación 300, la fracción que eligió intercambiar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fue 0.365 cuando un socio de intercambio estaba adyacente (n = 6232) y 0.355 cuando ninguno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lo estaba (n = 335): ambos apenas por sobre el nivel de azar de 1/3, y casi iguales.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Contrario a lo esperado, el aumento seleccionado en el intercambio es entonces leve y en gran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medida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incondicional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bajo condiciones benignas por defecto. La evolución empuja a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población hacia intercambiar algo más que el azar, pero no produce aquí una estrategia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marcadamente condicional al socio. Leído junto con el resultado de escasez del Experimento C,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donde el intercambio expresado alcanzó alrededor de 0.64, esto sugiere que una respuesta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intercambio más pronunciada y más fuertemente seleccionada emerge solo cuando los recursos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escasean.</w:t>
      </w:r>
    </w:p>
    <w:bookmarkEnd w:id="29"/>
    <w:bookmarkEnd w:id="30"/>
    <w:bookmarkStart w:id="35" w:name="discusión"/>
    <w:p>
      <w:pPr>
        <w:pStyle w:val="Heading2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Discusión</w:t>
      </w:r>
    </w:p>
    <w:bookmarkStart w:id="31" w:name="un-umbral-fijado-por-el-recurso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Un umbral fijado por el recurso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Tres observaciones se destacan. Primero, la mutualidad de intercambio es robusta: persiste 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través de un amplio rango de tasas de mutación y disponibilidades de fósforo, y colapsa solo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cuando el ingreso renovable de fósforo cae esencialmente a cero. Esto es intuitivo en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retrospectiva. Sin renovación, el único fósforo del sistema es la reserva finita inicial del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suelo, que los agentes extraen y consumen hasta agotarla. Sin embargo, la transición 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abrupta, y basta 0.005 unidades por paso para sostener el ecosistema indefinidamente.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umbral está gobernado específicamente por la renovación: no se desplaza con la tasa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mutación (Experimento D), y reaparece en una ubicación similar a través de las escalas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grilla que evalúo (Experimento E), con grillas más grandes solo levemente más resilientes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cerca del límite. En otras palabras, si la economía sobrevive lo determina principalmente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capacidad del entorno de reponer el recurso limitante, no la velocidad con que varía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conducta ni, en primer orden, el tamaño del mundo.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Este resultado se lee de manera directa contra el marco de sistemas socioecológicos de Ostrom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(2009), que distingue el sistema de recursos, con su propia dinámica de renovación, del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sistema de gobernanza, las reglas que adoptan quienes lo usan. En este modelo, la tasa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mutación es la aproximación más directa a la capacidad de adaptación conductual de 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población: una tasa alta permite que la población explore más rápido el espacio de posibles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tablas de reglas, de manera análoga, aunque no idéntica, a como una comunidad con reglas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uso más flexibles o mejor información podría ajustar más rápido su comportamiento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extracción. El Experimento D muestra que esa capacidad de adaptación, por sí sola, no basta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para mover el punto de colapso ni un ápice. Si la renovación del recurso cae por debajo del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umbral, ninguna cantidad de variación conductual evita el colapso, y tampoco lo evita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ninguna estrategia de intercambio posible dentro del espacio que el modelo permite explorar.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Esto no contradice a Ostrom, cuyas comunidades de estudio de caso sí lograban ajustar sus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tasas de extracción por debajo de la tasa de renovación del recurso mediante reglas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deliberadas de acceso y sanción; lo que el modelo aísla es que ese ajuste depende de que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tasa de renovación deje margen para alguna regla sostenible, no de la sofisticación de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regla misma. Cuando ese margen no existe, como en la condición de renovación cercana 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cero, ni la deliberación humana ni la selección natural ciega tienen una regla que ofrecer: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el límite es biofísico, no institucional.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La transición abrupta a renovación cero se lee de manera natural como una transición crítica.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El sistema tiene dos regímenes de largo plazo cualitativamente distintos, una economía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intercambio poblada y autosostenida, y una grilla vacía y agotada, y una banda estrecha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tasas de renovación separa ambos. La transición es además dependiente de la trayectoria y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efectivamente irreversible dentro de una corrida: una vez que la reserva finita de suelo se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extrae por debajo de lo que la población necesita, no existe estrategia de intercambio que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pueda recuperarla, porque el recurso mismo desapareció en lugar de estar simplemente mal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distribuido. Esto distingue el colapso de una falla conductual; es un punto de inflexión por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agotamiento del recurso. La naturaleza progresiva del colapso bajo renovación cero, visible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 la diferencia entre los horizontes de 300 y 400 generaciones, es la aproximación lenta 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ese punto de inflexión a medida que la reserva se agota. Este tipo de comportamiento umbral,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 el que un impulsor ambiental que cambia lentamente produce un cambio de régimen abrupto,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 un tema recurrente en el estudio de la resiliencia de sistemas ecológicos y otros sistemas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complejos, y Symbio-Grid lo reproduce a partir de reglas puramente locales.</w:t>
      </w:r>
    </w:p>
    <w:bookmarkEnd w:id="31"/>
    <w:bookmarkStart w:id="32" w:name="X6965b422244cea108954568a2d64816ffdc84ae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La selección genera la cooperación observada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Segundo, la cooperación está seleccionada y no asumida. Partiendo de tablas de reglas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aleatorias, la fracción de agentes que efectivamente elige intercambiar sube por sobre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nivel esperado por azar y se mantiene allí. El efecto es modesto bajo condiciones benignas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pero pronunciado bajo escasez: en el borde de la viabilidad los sobrevivientes son fuertemente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cooperativos, intercambiando a aproximadamente el doble de la tasa de azar. El análisis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mecanismo (Experimento F) matiza este cuadro: bajo condiciones benignas por defecto,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enriquecimiento del intercambio es solo leve y no está fuertemente condicionado a la presencia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un socio, de modo que la población evolucion a una propensión leve y en gran medida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incondicional a intercambiar, en lugar de una regla finamente ajustada y condicional al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socio. La respuesta abrupta, cercana al doble, aparece específicamente bajo escasez. Este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patrón es consistente con la visión de mercado biológico según la cual el recurso de un socio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 vuelve más valioso a medida que escasea (van ’t Padje et al., 2021) y hace eco, en un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entorno evolutivo espacial, del resultado de estabilidad por retroalimentación de aptitud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modelos recientes de coevolución del comercio (Grasso et al., 2025). También dialoga con los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mecanismos de Nowak (2006): aquí no hay reciprocidad indirecta ni selección de grupo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explícitas, pero la estructura espacial de la grilla, que hace que los socios de intercambio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sean vecinos persistentes generación tras generación, opera como una forma de reciprocidad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red, uno de los cinco mecanismos que Nowak identifica como suficientes para que la selección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favorezca la cooperación, y ofrece una explicación candidata de por qué la cooperación emerge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aquí sin que ningún agente reconozca ni recuerde a su socio.</w:t>
      </w:r>
    </w:p>
    <w:bookmarkEnd w:id="32"/>
    <w:bookmarkStart w:id="33" w:name="X539aa39b659c877d8d73e32e9c75ae6f1f7dbcb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Una advertencia metodológica para la simulación social de estrategias evolutivas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Tercero, hay una advertencia metodológica. Promediar la acción INTERCAMBIAR sobre toda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tabla de reglas de 64 entradas da un valor indistinguible de la línea base aleatoria de 1/3,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lo que sugeriría erróneamente que no ocurre selección alguna. La señal aparece solo cuando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intercambio se mide sobre los estados que los agentes efectivamente visitan, porque las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muchas entradas nunca expresadas de la tabla de reglas derivan neutralmente y diluyen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promedio. Quienes analizan modelos basados en agentes con estrategias evolutivas, sea en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ecología, en ciencias de la complejidad o en simulación social, deberían medir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comportamiento expresado y no el promedio del genotipo completo. Esta advertencia 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relevante más allá de este modelo específico: cualquier simulación social en la que las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estrategias se codifiquen como estructuras de decisión ricas, tablas, árboles, redes,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mientras que las circunstancias efectivamente encontradas por los agentes sean un subconjunto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pequeño de todas las posibles, corre el mismo riesgo de subestimar la selección si mide sobre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la estructura completa en lugar de sobre el comportamiento realizado.</w:t>
      </w:r>
    </w:p>
    <w:bookmarkEnd w:id="33"/>
    <w:bookmarkStart w:id="34" w:name="X39d84e28fd1477945e53d9ad8ec47115c33427c"/>
    <w:p>
      <w:pPr>
        <w:pStyle w:val="Heading3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El uso del modelo como caso generativo y sus límites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El carácter del modelo como caso generativo, en el sentido de Epstein y Axtell (1996), también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condiciona cómo deben leerse estos resultados. Symbio-Grid no pretende describir con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precisión la ecología de la simbiosis micorrícica, ni menos aún trasladar sus cifras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literalmente a una comunidad humana que gestiona un recurso de uso común. Lo que ofrece 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una estructura mínima, agentes con reglas heredables, un recurso compartido con una tasa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renovación explícita, e intercambio bilateral, en la que se puede aislar el efecto de variar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independientemente la capacidad de adaptación conductual y la dinámica del recurso, algo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difícil de lograr en los estudios de caso empíricos que fundan la literatura de gobernanza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recursos de uso común, donde ambos factores suelen cambiar de manera correlacionada.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Vélez Torres (2019) describe precisamente esta clase de modelo, agentes heterogéneos con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reglas simples y racionalidad limitada cuya interacción genera estructuras y comportamientos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agregados, como una de las contribuciones distintivas que la simulación basada en agentes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ofrece a las ciencias sociales: no predicción cuantitativa, sino comprensión de mecanismos.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Symbio-Grid además carece, deliberadamente, de todo lo que en la literatura de Ostrom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distingue a una institución de una regla heredada ciegamente: no hay comunicación entre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agentes, no hay monitoreo ni sanción, no hay memoria de interacciones pasadas ni reputación,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y las reglas cambian por mutación aleatoria y no por deliberación. Esa ausencia es, en sí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misma, parte del resultado: incluso sin ningún mecanismo institucional, la selección natural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sobre reglas heredadas basta para producir un enriquecimiento medible de la cooperación,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aunque uno mucho más modesto que el que las instituciones humanas deliberadas logran sostener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en los casos de Ostrom.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Estos hallazgos son exploratorios y varias limitaciones deben moderar su interpretación.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modelo no está calibrado ni validado contra datos empíricos, de modo que los resultados son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propiedades cualitativas del modelo y no predicciones cuantitativas sobre sistemas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micorrícicos reales, y menos aún sobre sistemas humanos de gestión de recursos comunes.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Aunque varié la escala de la grilla, mantuve fija la composición inicial de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población, los topes de recursos y los umbrales de intercambio y reproducción, y cada punto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parámetro descansa en un número modesto de semillas (seis a diez), de modo que el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comportamiento ruidoso en el filo del colapso está estimado solo de manera gruesa. Más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importante aún, la señal de cooperación, aunque consistente y estadísticamente visible, 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pequeña bajo condiciones benignas y se vuelve grande solo bajo escasez; no querría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sobrestimarla. La percepción disponible para cada agente es deliberadamente tosca (tres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rasgos agrupados), lo que a la vez habilita una tabla de reglas interpretable y limita las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estrategias que pueden evolucionar, incluida la posibilidad de que emerjan formas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reciprocidad más ricas que las que aquí observo.</w:t>
      </w:r>
    </w:p>
    <w:p>
      <w:pPr>
        <w:pStyle w:val="BodyText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Varias extensiones se siguen naturalmente. Introducir un mecanismo explícito de elección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socio o de memoria de interacciones pasadas permitiría preguntar si la ausencia casi total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condicionalidad al socio observada aquí (Experimento F) es una limitación de la percepción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más que de la selección, y acercaría el modelo a las condiciones bajo las cuales Ostrom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documenta instituciones deliberadas. Añadir un segundo recurso de uso común, o permitir que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los propios agentes modifiquen la tasa de renovación mediante su comportamiento, tal como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ocurre cuando el manejo humano de un bosque o una pesquería afecta su propia tasa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recuperación, tendería un puente más directo hacia los sistemas socioecológicos que Ostrom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estudió, en los que sistema de recursos y sistema de gobernanza no son independientes sino que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coevolucionan. Finalmente, porque el modelo corre tanto de manera interactiva como headless y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 enteramente reproducible, se presta bien para uso docente y de divulgación, donde los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mismos experimentos aquí reportados pueden ser reproducidos y extendidos por estudiantes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ciencias sociales interesados en simulación de sistemas de cooperación y gobernanza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recursos.</w:t>
      </w:r>
    </w:p>
    <w:bookmarkEnd w:id="34"/>
    <w:bookmarkEnd w:id="35"/>
    <w:bookmarkStart w:id="36" w:name="conclusiones"/>
    <w:p>
      <w:pPr>
        <w:pStyle w:val="Heading2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Conclusiones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Symbio-Grid muestra que una economía de intercambio de recursos, sostenida sobre un recurso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uso común, puede emerger y sostener cooperación seleccionada a partir de estrategias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aleatorias, y cuantifica cómo la mutación, la disponibilidad de fósforo y su renovación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desplazan el balance entre una economía persistente y su colapso. El resultado más claro 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un umbral de resiliencia abrupto en renovación de fósforo cercana a cero que fija el entorno,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con independencia de la población: no se desplaza con la tasa de mutación y reaparece a través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de las escalas de grilla evaluadas. Leído contra el marco de sistemas socioecológicos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Ostrom (2009), este resultado sugiere que la sostenibilidad de un recurso de uso común puede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estar acotada por su propia dinámica biofísica de manera independiente de cuánto varíe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conducta de quienes lo explotan, un límite que ninguna capacidad de adaptación conductual,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biológica o institucional, puede por sí sola superar. La cooperación está genuinamente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seleccionada a partir de estrategias aleatorias, pero el efecto es leve y en gran medida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incondicional bajo condiciones benignas, y se vuelve fuerte solo bajo escasez, un patrón que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dialoga con la teoría de mercados biológicos y con los mecanismos de evolución de la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cooperación descritos por Nowak (2006). Esa señal solo aparece cuando el comportamiento se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mide en su expresión efectiva y no en promedios de genotipo completo, una advertencia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metodológica para la simulación social de estrategias evolutivas. Más allá de los hallazgos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específicos, el modelo se ofrece como un caso generativo abierto, reproducible 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interactivamente explorable para el estudio de la emergencia y evolución de la cooperación en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torno a recursos de uso común, en el que cada resultado aquí puede regenerarse desde 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semilla fija y extenderse. El software y todos los scripts de experimentación están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disponibles abiertamente.</w:t>
      </w:r>
    </w:p>
    <w:bookmarkEnd w:id="36"/>
    <w:bookmarkStart w:id="37" w:name="agradecimientos"/>
    <w:p>
      <w:pPr>
        <w:pStyle w:val="Heading2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Agradecimientos</w:t>
      </w:r>
    </w:p>
    <w:p>
      <w:pPr>
        <w:pStyle w:val="FirstParagraph"/>
        <w:spacing w:line="360" w:lineRule="auto"/>
        <w:jc w:val="both"/>
      </w:pPr>
      <w:r>
        <w:rPr>
          <w:rFonts w:ascii="Century Gothic" w:hAnsi="Century Gothic"/>
          <w:sz w:val="20"/>
        </w:rPr>
        <w:t xml:space="preserve">Este trabajo no recibió financiamiento externo. El autor declara no tener conflictos de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interés. El modelo, los scripts de experimentación y los datos generados están disponibles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abiertamente en el repositorio del proyecto.</w:t>
      </w:r>
    </w:p>
    <w:bookmarkEnd w:id="37"/>
    <w:bookmarkStart w:id="38" w:name="referencias"/>
    <w:p>
      <w:pPr>
        <w:pStyle w:val="Heading2"/>
        <w:spacing w:line="240" w:lineRule="auto"/>
        <w:jc w:val="center"/>
      </w:pPr>
      <w:r>
        <w:rPr>
          <w:rFonts w:ascii="Century Gothic" w:hAnsi="Century Gothic"/>
          <w:b/>
          <w:sz w:val="24"/>
        </w:rPr>
        <w:t xml:space="preserve">Referencias</w:t>
      </w:r>
    </w:p>
    <w:p>
      <w:pPr>
        <w:pStyle w:val="FirstParagraph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Axelrod, R. (1984).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The evolution of cooperation</w:t>
      </w:r>
      <w:r>
        <w:rPr>
          <w:rFonts w:ascii="Century Gothic" w:hAnsi="Century Gothic"/>
          <w:sz w:val="20"/>
        </w:rPr>
        <w:t xml:space="preserve">. Basic Books.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Epstein, J. M., y Axtell, R. (1996).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Growing artificial societies: Social science from the</w:t>
      </w:r>
      <w:r>
        <w:rPr>
          <w:rFonts w:ascii="Century Gothic" w:hAnsi="Century Gothic"/>
          <w:i/>
          <w:iCs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bottom up</w:t>
      </w:r>
      <w:r>
        <w:rPr>
          <w:rFonts w:ascii="Century Gothic" w:hAnsi="Century Gothic"/>
          <w:sz w:val="20"/>
        </w:rPr>
        <w:t xml:space="preserve">. Brookings Institution Press / MIT Press.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Grasso, S. V., Ryan, M. H., Albornoz, F. E., y Renton, M. (2025). A simple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plant–mycorrhizal fungal resource trade co-evolution model explains mutualism stability,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extinction and transitory parasitism via fitness feedback.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New Phytologist</w:t>
      </w:r>
      <w:r>
        <w:rPr>
          <w:rFonts w:ascii="Century Gothic" w:hAnsi="Century Gothic"/>
          <w:sz w:val="20"/>
        </w:rPr>
        <w:t xml:space="preserve">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248</w:t>
      </w:r>
      <w:r>
        <w:rPr>
          <w:rFonts w:ascii="Century Gothic" w:hAnsi="Century Gothic"/>
          <w:sz w:val="20"/>
        </w:rPr>
        <w:t xml:space="preserve">(3),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1429-1441. https://doi.org/10.1111/nph.70540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Grimm, V., Railsback, S. F., Vincenot, C. E., Berger, U., Gallagher, C., DeAngelis, D. L.,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Edmonds, B., Ge, J., Giske, J., Groeneveld, J., Johnston, A. S. A., Milles, A.,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Nabe-Nielsen, J., Polhill, J. G., Radchuk, V., Rohwäder, M.-S., Stillman, R. A., Thiele, J.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C., y Ayllón, D. (2020). The ODD protocol for describing agent-based and other simulation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models: A second update to improve clarity, replication, and structural realism.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Journal of</w:t>
      </w:r>
      <w:r>
        <w:rPr>
          <w:rFonts w:ascii="Century Gothic" w:hAnsi="Century Gothic"/>
          <w:i/>
          <w:iCs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Artificial Societies and Social Simulation</w:t>
      </w:r>
      <w:r>
        <w:rPr>
          <w:rFonts w:ascii="Century Gothic" w:hAnsi="Century Gothic"/>
          <w:sz w:val="20"/>
        </w:rPr>
        <w:t xml:space="preserve">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23</w:t>
      </w:r>
      <w:r>
        <w:rPr>
          <w:rFonts w:ascii="Century Gothic" w:hAnsi="Century Gothic"/>
          <w:sz w:val="20"/>
        </w:rPr>
        <w:t xml:space="preserve">(2), 7. https://doi.org/10.18564/jasss.4259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Hardin, G. (1968). The tragedy of the commons.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Science</w:t>
      </w:r>
      <w:r>
        <w:rPr>
          <w:rFonts w:ascii="Century Gothic" w:hAnsi="Century Gothic"/>
          <w:sz w:val="20"/>
        </w:rPr>
        <w:t xml:space="preserve">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162</w:t>
      </w:r>
      <w:r>
        <w:rPr>
          <w:rFonts w:ascii="Century Gothic" w:hAnsi="Century Gothic"/>
          <w:sz w:val="20"/>
        </w:rPr>
        <w:t xml:space="preserve">(3859), 1243-1248.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https://doi.org/10.1126/science.162.3859.1243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Masad, D., y Kazil, J. (2015). Mesa: An agent-based modeling framework. En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Proceedings of</w:t>
      </w:r>
      <w:r>
        <w:rPr>
          <w:rFonts w:ascii="Century Gothic" w:hAnsi="Century Gothic"/>
          <w:i/>
          <w:iCs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the 14th Python in Science Conference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(pp. 51-58). https://doi.org/10.25080/Majora-7b98e3ed-009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Nowak, M. A. (2006). Five rules for the evolution of cooperation.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Science</w:t>
      </w:r>
      <w:r>
        <w:rPr>
          <w:rFonts w:ascii="Century Gothic" w:hAnsi="Century Gothic"/>
          <w:sz w:val="20"/>
        </w:rPr>
        <w:t xml:space="preserve">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314</w:t>
      </w:r>
      <w:r>
        <w:rPr>
          <w:rFonts w:ascii="Century Gothic" w:hAnsi="Century Gothic"/>
          <w:sz w:val="20"/>
        </w:rPr>
        <w:t xml:space="preserve">(5805),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1560-1563. https://doi.org/10.1126/science.1133755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Ostrom, E. (1990).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Governing the commons: The evolution of institutions for collective</w:t>
      </w:r>
      <w:r>
        <w:rPr>
          <w:rFonts w:ascii="Century Gothic" w:hAnsi="Century Gothic"/>
          <w:i/>
          <w:iCs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action</w:t>
      </w:r>
      <w:r>
        <w:rPr>
          <w:rFonts w:ascii="Century Gothic" w:hAnsi="Century Gothic"/>
          <w:sz w:val="20"/>
        </w:rPr>
        <w:t xml:space="preserve">. Cambridge University Press.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Ostrom, E. (2009). A general framework for analyzing sustainability of social-ecological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systems.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Science</w:t>
      </w:r>
      <w:r>
        <w:rPr>
          <w:rFonts w:ascii="Century Gothic" w:hAnsi="Century Gothic"/>
          <w:sz w:val="20"/>
        </w:rPr>
        <w:t xml:space="preserve">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325</w:t>
      </w:r>
      <w:r>
        <w:rPr>
          <w:rFonts w:ascii="Century Gothic" w:hAnsi="Century Gothic"/>
          <w:sz w:val="20"/>
        </w:rPr>
        <w:t xml:space="preserve">(5939), 419-422. https://doi.org/10.1126/science.1172133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Simard, S. W., Beiler, K. J., Bingham, M. A., Deslippe, J. R., Philip, L. J., y Teste, F. P.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(2012). Mycorrhizal networks: Mechanisms, ecology and modelling.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Fungal Biology Reviews</w:t>
      </w:r>
      <w:r>
        <w:rPr>
          <w:rFonts w:ascii="Century Gothic" w:hAnsi="Century Gothic"/>
          <w:sz w:val="20"/>
        </w:rPr>
        <w:t xml:space="preserve">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26</w:t>
      </w:r>
      <w:r>
        <w:rPr>
          <w:rFonts w:ascii="Century Gothic" w:hAnsi="Century Gothic"/>
          <w:sz w:val="20"/>
        </w:rPr>
        <w:t xml:space="preserve">(1), 39-60. https://doi.org/10.1016/j.fbr.2012.01.001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ter Hoeven, E., Kwakkel, J., Hess, V., Pike, T., Wang, B., rht, y Kazil, J. (2025). Mesa 3: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Agent-based modeling with Python in 2025.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Journal of Open Source Software</w:t>
      </w:r>
      <w:r>
        <w:rPr>
          <w:rFonts w:ascii="Century Gothic" w:hAnsi="Century Gothic"/>
          <w:sz w:val="20"/>
        </w:rPr>
        <w:t xml:space="preserve">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10</w:t>
      </w:r>
      <w:r>
        <w:rPr>
          <w:rFonts w:ascii="Century Gothic" w:hAnsi="Century Gothic"/>
          <w:sz w:val="20"/>
        </w:rPr>
        <w:t xml:space="preserve">(107), 7668.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https://doi.org/10.21105/joss.07668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van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‘t Padje, A., Werner, G. D. A., y Kiers, E. T. (2021). Mycorrhizal fungi control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phosphorus value in trade symbiosis with host roots when exposed to abrupt ’crashes’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and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‘booms’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of resource availability.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New Phytologist</w:t>
      </w:r>
      <w:r>
        <w:rPr>
          <w:rFonts w:ascii="Century Gothic" w:hAnsi="Century Gothic"/>
          <w:sz w:val="20"/>
        </w:rPr>
        <w:t xml:space="preserve">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229</w:t>
      </w:r>
      <w:r>
        <w:rPr>
          <w:rFonts w:ascii="Century Gothic" w:hAnsi="Century Gothic"/>
          <w:sz w:val="20"/>
        </w:rPr>
        <w:t xml:space="preserve">(5), 2933-2944.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https://doi.org/10.1111/nph.17055</w:t>
      </w:r>
    </w:p>
    <w:p>
      <w:pPr>
        <w:pStyle w:val="BodyText"/>
        <w:spacing w:line="240" w:lineRule="auto"/>
        <w:jc w:val="left"/>
      </w:pPr>
      <w:r>
        <w:rPr>
          <w:rFonts w:ascii="Century Gothic" w:hAnsi="Century Gothic"/>
          <w:sz w:val="20"/>
        </w:rPr>
        <w:t xml:space="preserve">Vélez Torres, Á. (2019). Modelación y simulación basada en agentes en ciencias sociales: Una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aproximación al estado del arte.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Polis. Revista Latinoamericana</w:t>
      </w:r>
      <w:r>
        <w:rPr>
          <w:rFonts w:ascii="Century Gothic" w:hAnsi="Century Gothic"/>
          <w:sz w:val="20"/>
        </w:rPr>
        <w:t xml:space="preserve">,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i/>
          <w:iCs/>
          <w:sz w:val="20"/>
        </w:rPr>
        <w:t xml:space="preserve">18</w:t>
      </w:r>
      <w:r>
        <w:rPr>
          <w:rFonts w:ascii="Century Gothic" w:hAnsi="Century Gothic"/>
          <w:sz w:val="20"/>
        </w:rPr>
        <w:t xml:space="preserve">(53), 282-308.</w:t>
      </w:r>
      <w:r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https://doi.org/10.32735/s0718-6568/2019-n53-1392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Century Gothic" w:hAnsi="Century Gothic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jc w:val="center"/>
      <w:outlineLvl w:val="0"/>
    </w:pPr>
    <w:rPr>
      <w:rFonts w:asciiTheme="majorHAnsi" w:cstheme="majorBidi" w:eastAsiaTheme="majorEastAsia" w:hAnsiTheme="majorHAnsi" w:ascii="Century Gothic" w:hAnsi="Century Gothic"/>
      <w:b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jc w:val="center"/>
      <w:outlineLvl w:val="1"/>
    </w:pPr>
    <w:rPr>
      <w:rFonts w:asciiTheme="majorHAnsi" w:cstheme="majorBidi" w:eastAsiaTheme="majorEastAsia" w:hAnsiTheme="majorHAnsi" w:ascii="Century Gothic" w:hAnsi="Century Gothic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center"/>
      <w:outlineLvl w:val="2"/>
    </w:pPr>
    <w:rPr>
      <w:rFonts w:cstheme="majorBidi" w:eastAsiaTheme="majorEastAsia" w:ascii="Century Gothic" w:hAnsi="Century Gothic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2026-07-09T17:39:13Z</dcterms:created>
  <dcterms:modified xsi:type="dcterms:W3CDTF">2026-07-09T17:39:13Z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