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i w:val="false"/>
          <w:iCs w:val="false"/>
          <w:color w:val="000000"/>
          <w:sz w:val="32"/>
          <w:szCs w:val="32"/>
        </w:rPr>
        <w:t xml:space="preserve">SEGWAY CON PATAS</w:t>
      </w:r>
    </w:p>
    <w:p>
      <w:pPr>
        <w:spacing w:after="240"/>
        <w:jc w:val="center"/>
      </w:pPr>
      <w:r>
        <w:rPr>
          <w:rFonts w:ascii="Arial" w:cs="Arial" w:eastAsia="Arial" w:hAnsi="Arial"/>
          <w:b/>
          <w:bCs/>
          <w:i w:val="false"/>
          <w:iCs w:val="false"/>
          <w:color w:val="000000"/>
          <w:sz w:val="24"/>
          <w:szCs w:val="24"/>
        </w:rPr>
        <w:t xml:space="preserve">Módulo de pata: mecanismo de línea recta, flexor y motores</w:t>
      </w:r>
    </w:p>
    <w:p>
      <w:pPr>
        <w:pStyle w:val="Heading1"/>
        <w:spacing w:after="110" w:before="220" w:line="240"/>
      </w:pPr>
      <w:r>
        <w:rPr>
          <w:rFonts w:ascii="Arial" w:cs="Arial" w:eastAsia="Arial" w:hAnsi="Arial"/>
          <w:b/>
          <w:bCs/>
          <w:i w:val="false"/>
          <w:iCs w:val="false"/>
          <w:color w:val="000000"/>
          <w:sz w:val="24"/>
          <w:szCs w:val="24"/>
        </w:rPr>
        <w:t xml:space="preserve">1. Datos de partida</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3200"/>
        <w:gridCol w:w="2259"/>
        <w:gridCol w:w="3952"/>
      </w:tblGrid>
      <w:tr>
        <w:trPr>
          <w:cantSplit/>
          <w:tblHeader/>
        </w:trPr>
        <w:tc>
          <w:tcPr>
            <w:tcW w:type="dxa" w:w="3200"/>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Parámetro</w:t>
            </w:r>
          </w:p>
        </w:tc>
        <w:tc>
          <w:tcPr>
            <w:tcW w:type="dxa" w:w="225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Valor</w:t>
            </w:r>
          </w:p>
        </w:tc>
        <w:tc>
          <w:tcPr>
            <w:tcW w:type="dxa" w:w="395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Origen</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Masa total del robot</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0,80 kg</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Objetivo de diseño</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Altura máxima</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 200 mm</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Restricción de cátedra</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Diámetro de rueda</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80 mm</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Elegido</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Escalón a bajar</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150 a 200 mm</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Misión</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Altura de caída de cálculo</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180 mm</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Caso adoptado</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Motores de rueda</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BLDC gimbal + FOC</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Elegido</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Actuación de la pata</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 motor en el hombro</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Codo pasivo, cuatro barras</w:t>
            </w:r>
          </w:p>
        </w:tc>
      </w:tr>
      <w:tr>
        <w:trPr>
          <w:cantSplit/>
          <w:tblHeader w:val="false"/>
        </w:trPr>
        <w:tc>
          <w:tcPr>
            <w:tcW w:type="dxa" w:w="3200"/>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Amortiguación</w:t>
            </w:r>
          </w:p>
        </w:tc>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La pata misma como flexor</w:t>
            </w:r>
          </w:p>
        </w:tc>
        <w:tc>
          <w:tcPr>
            <w:tcW w:type="dxa" w:w="3952"/>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Elegido</w:t>
            </w:r>
          </w:p>
        </w:tc>
      </w:tr>
    </w:tbl>
    <w:p>
      <w:pPr>
        <w:spacing w:after="130" w:before="60" w:line="240"/>
        <w:jc w:val="center"/>
      </w:pPr>
      <w:r>
        <w:rPr>
          <w:rFonts w:ascii="Arial" w:cs="Arial" w:eastAsia="Arial" w:hAnsi="Arial"/>
          <w:b w:val="false"/>
          <w:bCs w:val="false"/>
          <w:i/>
          <w:iCs/>
          <w:color w:val="404040"/>
          <w:sz w:val="20"/>
          <w:szCs w:val="20"/>
        </w:rPr>
        <w:t xml:space="preserve">Tabla 1. Datos de partida.</w:t>
      </w:r>
    </w:p>
    <w:p>
      <w:pPr>
        <w:spacing w:after="100" w:line="240" w:lineRule="auto"/>
        <w:jc w:val="both"/>
      </w:pPr>
      <w:r>
        <w:rPr>
          <w:rFonts w:ascii="Arial" w:cs="Arial" w:eastAsia="Arial" w:hAnsi="Arial"/>
          <w:b w:val="false"/>
          <w:bCs w:val="false"/>
          <w:i w:val="false"/>
          <w:iCs w:val="false"/>
          <w:color w:val="000000"/>
          <w:sz w:val="22"/>
          <w:szCs w:val="22"/>
        </w:rPr>
        <w:t xml:space="preserve">La pata tiene un solo actuador, en el hombro. El codo va gobernado por un cuatro barras que obliga al eje de la rueda a recorrer una recta vertical. La amortiguación del aterrizaje la da la deformación elástica de la propia pata, sin resorte agregado.</w:t>
      </w:r>
    </w:p>
    <w:p>
      <w:pPr>
        <w:pStyle w:val="Heading1"/>
        <w:spacing w:after="110" w:before="220" w:line="240"/>
      </w:pPr>
      <w:r>
        <w:rPr>
          <w:rFonts w:ascii="Arial" w:cs="Arial" w:eastAsia="Arial" w:hAnsi="Arial"/>
          <w:b/>
          <w:bCs/>
          <w:i w:val="false"/>
          <w:iCs w:val="false"/>
          <w:color w:val="000000"/>
          <w:sz w:val="24"/>
          <w:szCs w:val="24"/>
        </w:rPr>
        <w:t xml:space="preserve">2. Mecanismo de línea recta</w:t>
      </w:r>
    </w:p>
    <w:p>
      <w:pPr>
        <w:pStyle w:val="Heading2"/>
        <w:spacing w:after="90" w:before="180" w:line="240"/>
      </w:pPr>
      <w:r>
        <w:rPr>
          <w:rFonts w:ascii="Arial" w:cs="Arial" w:eastAsia="Arial" w:hAnsi="Arial"/>
          <w:b/>
          <w:bCs/>
          <w:i w:val="false"/>
          <w:iCs w:val="false"/>
          <w:color w:val="000000"/>
          <w:sz w:val="24"/>
          <w:szCs w:val="24"/>
        </w:rPr>
        <w:t xml:space="preserve">2.1. Elección del mecanismo</w:t>
      </w:r>
    </w:p>
    <w:p>
      <w:pPr>
        <w:spacing w:after="100" w:line="240" w:lineRule="auto"/>
        <w:jc w:val="both"/>
      </w:pPr>
      <w:r>
        <w:rPr>
          <w:rFonts w:ascii="Arial" w:cs="Arial" w:eastAsia="Arial" w:hAnsi="Arial"/>
          <w:b w:val="false"/>
          <w:bCs w:val="false"/>
          <w:i w:val="false"/>
          <w:iCs w:val="false"/>
          <w:color w:val="000000"/>
          <w:sz w:val="22"/>
          <w:szCs w:val="22"/>
        </w:rPr>
        <w:t xml:space="preserve">Un paralelogramo no sirve: mantiene la orientación del eslabón pero el punto de salida describe un arco, no una recta. Se compararon cuatro mecanismos de línea recta con el mismo criterio, desvío máximo dividido por la carrera útil:</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2259"/>
        <w:gridCol w:w="3388"/>
        <w:gridCol w:w="1506"/>
        <w:gridCol w:w="2258"/>
      </w:tblGrid>
      <w:tr>
        <w:trPr>
          <w:cantSplit/>
          <w:tblHeader/>
        </w:trPr>
        <w:tc>
          <w:tcPr>
            <w:tcW w:type="dxa" w:w="225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Mecanismo</w:t>
            </w:r>
          </w:p>
        </w:tc>
        <w:tc>
          <w:tcPr>
            <w:tcW w:type="dxa" w:w="3388"/>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Proporciones</w:t>
            </w:r>
          </w:p>
        </w:tc>
        <w:tc>
          <w:tcPr>
            <w:tcW w:type="dxa" w:w="1506"/>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Carrera</w:t>
            </w:r>
          </w:p>
        </w:tc>
        <w:tc>
          <w:tcPr>
            <w:tcW w:type="dxa" w:w="2258"/>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Desvío / carrera</w:t>
            </w:r>
          </w:p>
        </w:tc>
      </w:tr>
      <w:tr>
        <w:trPr>
          <w:cantSplit/>
          <w:tblHeader w:val="false"/>
        </w:trPr>
        <w:tc>
          <w:tcPr>
            <w:tcW w:type="dxa" w:w="225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Hoeken</w:t>
            </w:r>
          </w:p>
        </w:tc>
        <w:tc>
          <w:tcPr>
            <w:tcW w:type="dxa" w:w="3388"/>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2 : 1 : 2,5 : 2,5, trazador a 5a</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3,55 a</w:t>
            </w:r>
          </w:p>
        </w:tc>
        <w:tc>
          <w:tcPr>
            <w:tcW w:type="dxa" w:w="225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0,15 %</w:t>
            </w:r>
          </w:p>
        </w:tc>
      </w:tr>
      <w:tr>
        <w:trPr>
          <w:cantSplit/>
          <w:tblHeader w:val="false"/>
        </w:trPr>
        <w:tc>
          <w:tcPr>
            <w:tcW w:type="dxa" w:w="225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Hoeken alargado</w:t>
            </w:r>
          </w:p>
        </w:tc>
        <w:tc>
          <w:tcPr>
            <w:tcW w:type="dxa" w:w="3388"/>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2 : 1 : 3 : 3, trazador a 6a</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3,75 a</w:t>
            </w:r>
          </w:p>
        </w:tc>
        <w:tc>
          <w:tcPr>
            <w:tcW w:type="dxa" w:w="225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2,18 %</w:t>
            </w:r>
          </w:p>
        </w:tc>
      </w:tr>
      <w:tr>
        <w:trPr>
          <w:cantSplit/>
          <w:tblHeader w:val="false"/>
        </w:trPr>
        <w:tc>
          <w:tcPr>
            <w:tcW w:type="dxa" w:w="225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Watt</w:t>
            </w:r>
          </w:p>
        </w:tc>
        <w:tc>
          <w:tcPr>
            <w:tcW w:type="dxa" w:w="3388"/>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2 : 1 : 2 : 2, trazador a 4a</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2,67 a</w:t>
            </w:r>
          </w:p>
        </w:tc>
        <w:tc>
          <w:tcPr>
            <w:tcW w:type="dxa" w:w="225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6,34 %</w:t>
            </w:r>
          </w:p>
        </w:tc>
      </w:tr>
      <w:tr>
        <w:trPr>
          <w:cantSplit/>
          <w:tblHeader w:val="false"/>
        </w:trPr>
        <w:tc>
          <w:tcPr>
            <w:tcW w:type="dxa" w:w="225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Chebyshev</w:t>
            </w:r>
          </w:p>
        </w:tc>
        <w:tc>
          <w:tcPr>
            <w:tcW w:type="dxa" w:w="3388"/>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2 : 1 : 2,5 : 2,5, trazador medio</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1,84 a</w:t>
            </w:r>
          </w:p>
        </w:tc>
        <w:tc>
          <w:tcPr>
            <w:tcW w:type="dxa" w:w="225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16,72 %</w:t>
            </w:r>
          </w:p>
        </w:tc>
      </w:tr>
    </w:tbl>
    <w:p>
      <w:pPr>
        <w:spacing w:after="130" w:before="60" w:line="240"/>
        <w:jc w:val="center"/>
      </w:pPr>
      <w:r>
        <w:rPr>
          <w:rFonts w:ascii="Arial" w:cs="Arial" w:eastAsia="Arial" w:hAnsi="Arial"/>
          <w:b w:val="false"/>
          <w:bCs w:val="false"/>
          <w:i/>
          <w:iCs/>
          <w:color w:val="404040"/>
          <w:sz w:val="20"/>
          <w:szCs w:val="20"/>
        </w:rPr>
        <w:t xml:space="preserve">Tabla 2. Comparación de mecanismos de línea recta (a = módulo del mecanismo).</w:t>
      </w:r>
    </w:p>
    <w:p>
      <w:pPr>
        <w:spacing w:after="100" w:line="240" w:lineRule="auto"/>
        <w:jc w:val="both"/>
      </w:pPr>
      <w:r>
        <w:rPr>
          <w:rFonts w:ascii="Arial" w:cs="Arial" w:eastAsia="Arial" w:hAnsi="Arial"/>
          <w:b w:val="false"/>
          <w:bCs w:val="false"/>
          <w:i w:val="false"/>
          <w:iCs w:val="false"/>
          <w:color w:val="000000"/>
          <w:sz w:val="22"/>
          <w:szCs w:val="22"/>
        </w:rPr>
        <w:t xml:space="preserve">Se adopta el Hoeken clásico. Es el más recto por un factor de quince respecto del siguiente y además el que más carrera entrega por unidad de tamaño.</w:t>
      </w:r>
    </w:p>
    <w:p>
      <w:pPr>
        <w:pStyle w:val="Heading2"/>
        <w:spacing w:after="90" w:before="180" w:line="240"/>
      </w:pPr>
      <w:r>
        <w:rPr>
          <w:rFonts w:ascii="Arial" w:cs="Arial" w:eastAsia="Arial" w:hAnsi="Arial"/>
          <w:b/>
          <w:bCs/>
          <w:i w:val="false"/>
          <w:iCs w:val="false"/>
          <w:color w:val="000000"/>
          <w:sz w:val="24"/>
          <w:szCs w:val="24"/>
        </w:rPr>
        <w:t xml:space="preserve">2.2. Escalado</w:t>
      </w:r>
    </w:p>
    <w:p>
      <w:pPr>
        <w:spacing w:after="100" w:line="240" w:lineRule="auto"/>
        <w:jc w:val="both"/>
      </w:pPr>
      <w:r>
        <w:rPr>
          <w:rFonts w:ascii="Arial" w:cs="Arial" w:eastAsia="Arial" w:hAnsi="Arial"/>
          <w:b w:val="false"/>
          <w:bCs w:val="false"/>
          <w:i w:val="false"/>
          <w:iCs w:val="false"/>
          <w:color w:val="000000"/>
          <w:sz w:val="22"/>
          <w:szCs w:val="22"/>
        </w:rPr>
        <w:t xml:space="preserve">Para una carrera útil de 45 mm resulta a = 45 / 3,545 = 12,69 mm:</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4329"/>
        <w:gridCol w:w="1506"/>
        <w:gridCol w:w="3576"/>
      </w:tblGrid>
      <w:tr>
        <w:trPr>
          <w:cantSplit/>
          <w:tblHeader/>
        </w:trPr>
        <w:tc>
          <w:tcPr>
            <w:tcW w:type="dxa" w:w="432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Elemento</w:t>
            </w:r>
          </w:p>
        </w:tc>
        <w:tc>
          <w:tcPr>
            <w:tcW w:type="dxa" w:w="1506"/>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Relación</w:t>
            </w:r>
          </w:p>
        </w:tc>
        <w:tc>
          <w:tcPr>
            <w:tcW w:type="dxa" w:w="3576"/>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Cota</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Bancada O₂–O₄</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2a</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25,38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Manivela O₂–A (eje del hombro)</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1a</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12,69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Acoplador A–B</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2,5a</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31,72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Balancín O₄–B</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2,5a</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31,72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Trazador P sobre la recta A–B prolongada</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5a</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63,45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Separación de la recta a la línea de bancada</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50,81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Barrido de manivela para la carrera completa</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w:t>
            </w:r>
          </w:p>
        </w:tc>
        <w:tc>
          <w:tcPr>
            <w:tcW w:type="dxa" w:w="357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162°</w:t>
            </w:r>
          </w:p>
        </w:tc>
      </w:tr>
    </w:tbl>
    <w:p>
      <w:pPr>
        <w:spacing w:after="130" w:before="60" w:line="240"/>
        <w:jc w:val="center"/>
      </w:pPr>
      <w:r>
        <w:rPr>
          <w:rFonts w:ascii="Arial" w:cs="Arial" w:eastAsia="Arial" w:hAnsi="Arial"/>
          <w:b w:val="false"/>
          <w:bCs w:val="false"/>
          <w:i/>
          <w:iCs/>
          <w:color w:val="404040"/>
          <w:sz w:val="20"/>
          <w:szCs w:val="20"/>
        </w:rPr>
        <w:t xml:space="preserve">Tabla 3. Cotas del mecanismo.</w:t>
      </w:r>
    </w:p>
    <w:p>
      <w:pPr>
        <w:spacing w:after="60" w:before="120" w:line="240" w:lineRule="auto"/>
        <w:jc w:val="center"/>
      </w:pPr>
      <w:r>
        <w:drawing>
          <wp:inline distT="0" distB="0" distL="0" distR="0">
            <wp:extent cx="42481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48150" cy="3676650"/>
                    </a:xfrm>
                    <a:prstGeom prst="rect">
                      <a:avLst/>
                    </a:prstGeom>
                  </pic:spPr>
                </pic:pic>
              </a:graphicData>
            </a:graphic>
          </wp:inline>
        </w:drawing>
      </w:r>
    </w:p>
    <w:p>
      <w:pPr>
        <w:spacing w:after="130" w:before="0" w:line="240"/>
        <w:jc w:val="center"/>
      </w:pPr>
      <w:r>
        <w:rPr>
          <w:rFonts w:ascii="Arial" w:cs="Arial" w:eastAsia="Arial" w:hAnsi="Arial"/>
          <w:b w:val="false"/>
          <w:bCs w:val="false"/>
          <w:i/>
          <w:iCs/>
          <w:color w:val="404040"/>
          <w:sz w:val="20"/>
          <w:szCs w:val="20"/>
        </w:rPr>
        <w:t xml:space="preserve">Figura 1. El mecanismo en las tres posiciones extremas. La línea de trazos es el recorrido del eje de rueda.</w:t>
      </w:r>
    </w:p>
    <w:p>
      <w:pPr>
        <w:spacing w:after="60" w:before="120" w:line="240" w:lineRule="auto"/>
        <w:jc w:val="center"/>
      </w:pPr>
      <w:r>
        <w:drawing>
          <wp:inline distT="0" distB="0" distL="0" distR="0">
            <wp:extent cx="57626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200275"/>
                    </a:xfrm>
                    <a:prstGeom prst="rect">
                      <a:avLst/>
                    </a:prstGeom>
                  </pic:spPr>
                </pic:pic>
              </a:graphicData>
            </a:graphic>
          </wp:inline>
        </w:drawing>
      </w:r>
    </w:p>
    <w:p>
      <w:pPr>
        <w:spacing w:after="130" w:before="0" w:line="240"/>
        <w:jc w:val="center"/>
      </w:pPr>
      <w:r>
        <w:rPr>
          <w:rFonts w:ascii="Arial" w:cs="Arial" w:eastAsia="Arial" w:hAnsi="Arial"/>
          <w:b w:val="false"/>
          <w:bCs w:val="false"/>
          <w:i/>
          <w:iCs/>
          <w:color w:val="404040"/>
          <w:sz w:val="20"/>
          <w:szCs w:val="20"/>
        </w:rPr>
        <w:t xml:space="preserve">Figura 2. Izquierda: desvío de la recta. Derecha: relación entre el giro del hombro y el desplazamiento vertical.</w:t>
      </w:r>
    </w:p>
    <w:p>
      <w:pPr>
        <w:spacing w:after="100" w:line="240" w:lineRule="auto"/>
        <w:jc w:val="both"/>
      </w:pPr>
      <w:r>
        <w:rPr>
          <w:rFonts w:ascii="Arial" w:cs="Arial" w:eastAsia="Arial" w:hAnsi="Arial"/>
          <w:b w:val="false"/>
          <w:bCs w:val="false"/>
          <w:i w:val="false"/>
          <w:iCs w:val="false"/>
          <w:color w:val="000000"/>
          <w:sz w:val="22"/>
          <w:szCs w:val="22"/>
        </w:rPr>
        <w:t xml:space="preserve">El desvío máximo es de 66 µm sobre 45 mm de carrera, el 0,15 %. A efectos prácticos el eje de la rueda se mueve sobre una vertical: la reacción del suelo no tiene componente horizontal y no hay deslizamiento de la rueda ni momento de cabeceo por la geometría de la pata.</w:t>
      </w:r>
    </w:p>
    <w:p>
      <w:pPr>
        <w:spacing w:after="100" w:line="240" w:lineRule="auto"/>
        <w:jc w:val="both"/>
      </w:pPr>
      <w:r>
        <w:rPr>
          <w:rFonts w:ascii="Arial" w:cs="Arial" w:eastAsia="Arial" w:hAnsi="Arial"/>
          <w:b w:val="false"/>
          <w:bCs w:val="false"/>
          <w:i w:val="false"/>
          <w:iCs w:val="false"/>
          <w:color w:val="000000"/>
          <w:sz w:val="22"/>
          <w:szCs w:val="22"/>
        </w:rPr>
        <w:t xml:space="preserve">La relación dz/dθ vale 16 mm/rad y se mantiene casi constante sobre toda la carrera útil. Es una ventaja mecánica muy favorable: el hombro ve la carga dividida por 62.</w:t>
      </w:r>
    </w:p>
    <w:p>
      <w:pPr>
        <w:pStyle w:val="Heading1"/>
        <w:spacing w:after="110" w:before="220" w:line="240"/>
      </w:pPr>
      <w:r>
        <w:rPr>
          <w:rFonts w:ascii="Arial" w:cs="Arial" w:eastAsia="Arial" w:hAnsi="Arial"/>
          <w:b/>
          <w:bCs/>
          <w:i w:val="false"/>
          <w:iCs w:val="false"/>
          <w:color w:val="000000"/>
          <w:sz w:val="24"/>
          <w:szCs w:val="24"/>
        </w:rPr>
        <w:t xml:space="preserve">3. La pata como flexor</w:t>
      </w:r>
    </w:p>
    <w:p>
      <w:pPr>
        <w:pStyle w:val="Heading2"/>
        <w:spacing w:after="90" w:before="180" w:line="240"/>
      </w:pPr>
      <w:r>
        <w:rPr>
          <w:rFonts w:ascii="Arial" w:cs="Arial" w:eastAsia="Arial" w:hAnsi="Arial"/>
          <w:b/>
          <w:bCs/>
          <w:i w:val="false"/>
          <w:iCs w:val="false"/>
          <w:color w:val="000000"/>
          <w:sz w:val="24"/>
          <w:szCs w:val="24"/>
        </w:rPr>
        <w:t xml:space="preserve">3.1. Energía a absorber</w:t>
      </w:r>
    </w:p>
    <w:p>
      <w:pPr>
        <w:spacing w:after="100" w:before="80" w:line="240"/>
        <w:jc w:val="center"/>
      </w:pPr>
      <w:r>
        <w:rPr>
          <w:rFonts w:ascii="Arial" w:cs="Arial" w:eastAsia="Arial" w:hAnsi="Arial"/>
          <w:b/>
          <w:bCs/>
          <w:i w:val="false"/>
          <w:iCs w:val="false"/>
          <w:color w:val="000000"/>
          <w:sz w:val="22"/>
          <w:szCs w:val="22"/>
        </w:rPr>
        <w:t xml:space="preserve">E = m · g · h = 0,80 × 9,81 × 0,18 = 1,413 J          v</w:t>
      </w:r>
      <w:r>
        <w:rPr>
          <w:rFonts w:ascii="Arial" w:cs="Arial" w:eastAsia="Arial" w:hAnsi="Arial"/>
          <w:b/>
          <w:bCs/>
          <w:i w:val="false"/>
          <w:iCs w:val="false"/>
          <w:color w:val="000000"/>
          <w:sz w:val="22"/>
          <w:szCs w:val="22"/>
          <w:vertAlign w:val="subscript"/>
        </w:rPr>
        <w:t xml:space="preserve">impacto</w:t>
      </w:r>
      <w:r>
        <w:rPr>
          <w:rFonts w:ascii="Arial" w:cs="Arial" w:eastAsia="Arial" w:hAnsi="Arial"/>
          <w:b/>
          <w:bCs/>
          <w:i w:val="false"/>
          <w:iCs w:val="false"/>
          <w:color w:val="000000"/>
          <w:sz w:val="22"/>
          <w:szCs w:val="22"/>
        </w:rPr>
        <w:t xml:space="preserve"> = √(2gh) = 1,88 m/s</w:t>
      </w:r>
    </w:p>
    <w:p>
      <w:pPr>
        <w:spacing w:after="100" w:line="240" w:lineRule="auto"/>
        <w:jc w:val="both"/>
      </w:pPr>
      <w:r>
        <w:rPr>
          <w:rFonts w:ascii="Arial" w:cs="Arial" w:eastAsia="Arial" w:hAnsi="Arial"/>
          <w:b w:val="false"/>
          <w:bCs w:val="false"/>
          <w:i w:val="false"/>
          <w:iCs w:val="false"/>
          <w:color w:val="000000"/>
          <w:sz w:val="22"/>
          <w:szCs w:val="22"/>
        </w:rPr>
        <w:t xml:space="preserve">Con dos patas, 0,706 J por pata. Un resorte lineal entrega una fuerza pico igual al doble de la media, de modo que:</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1788"/>
        <w:gridCol w:w="1506"/>
        <w:gridCol w:w="1882"/>
        <w:gridCol w:w="1318"/>
        <w:gridCol w:w="1318"/>
        <w:gridCol w:w="1599"/>
      </w:tblGrid>
      <w:tr>
        <w:trPr>
          <w:cantSplit/>
          <w:tblHeader/>
        </w:trPr>
        <w:tc>
          <w:tcPr>
            <w:tcW w:type="dxa" w:w="1788"/>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Carrera elástica</w:t>
            </w:r>
          </w:p>
        </w:tc>
        <w:tc>
          <w:tcPr>
            <w:tcW w:type="dxa" w:w="1506"/>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k total</w:t>
            </w:r>
          </w:p>
        </w:tc>
        <w:tc>
          <w:tcPr>
            <w:tcW w:type="dxa" w:w="188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F pico por pata</w:t>
            </w:r>
          </w:p>
        </w:tc>
        <w:tc>
          <w:tcPr>
            <w:tcW w:type="dxa" w:w="1318"/>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Pico en g</w:t>
            </w:r>
          </w:p>
        </w:tc>
        <w:tc>
          <w:tcPr>
            <w:tcW w:type="dxa" w:w="1318"/>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f natural</w:t>
            </w:r>
          </w:p>
        </w:tc>
        <w:tc>
          <w:tcPr>
            <w:tcW w:type="dxa" w:w="159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Hundimiento estático</w:t>
            </w:r>
          </w:p>
        </w:tc>
      </w:tr>
      <w:tr>
        <w:trPr>
          <w:cantSplit/>
          <w:tblHeader w:val="false"/>
        </w:trPr>
        <w:tc>
          <w:tcPr>
            <w:tcW w:type="dxa" w:w="178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30 mm</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3662 N/m</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54,9 N</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14,0</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10,8 Hz</w:t>
            </w:r>
          </w:p>
        </w:tc>
        <w:tc>
          <w:tcPr>
            <w:tcW w:type="dxa" w:w="159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2,1 mm</w:t>
            </w:r>
          </w:p>
        </w:tc>
      </w:tr>
      <w:tr>
        <w:trPr>
          <w:cantSplit/>
          <w:tblHeader w:val="false"/>
        </w:trPr>
        <w:tc>
          <w:tcPr>
            <w:tcW w:type="dxa" w:w="178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40 mm</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2158 N/m</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43,2 N</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11,0</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8,3 Hz</w:t>
            </w:r>
          </w:p>
        </w:tc>
        <w:tc>
          <w:tcPr>
            <w:tcW w:type="dxa" w:w="159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3,6 mm</w:t>
            </w:r>
          </w:p>
        </w:tc>
      </w:tr>
      <w:tr>
        <w:trPr>
          <w:cantSplit/>
          <w:tblHeader w:val="false"/>
        </w:trPr>
        <w:tc>
          <w:tcPr>
            <w:tcW w:type="dxa" w:w="178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50 mm</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1444 N/m</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36,1 N</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9,2</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6,8 Hz</w:t>
            </w:r>
          </w:p>
        </w:tc>
        <w:tc>
          <w:tcPr>
            <w:tcW w:type="dxa" w:w="159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5,4 mm</w:t>
            </w:r>
          </w:p>
        </w:tc>
      </w:tr>
      <w:tr>
        <w:trPr>
          <w:cantSplit/>
          <w:tblHeader w:val="false"/>
        </w:trPr>
        <w:tc>
          <w:tcPr>
            <w:tcW w:type="dxa" w:w="178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60 mm</w:t>
            </w:r>
          </w:p>
        </w:tc>
        <w:tc>
          <w:tcPr>
            <w:tcW w:type="dxa" w:w="1506"/>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1046 N/m</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31,4 N</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8,0</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5,8 Hz</w:t>
            </w:r>
          </w:p>
        </w:tc>
        <w:tc>
          <w:tcPr>
            <w:tcW w:type="dxa" w:w="159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7,5 mm</w:t>
            </w:r>
          </w:p>
        </w:tc>
      </w:tr>
    </w:tbl>
    <w:p>
      <w:pPr>
        <w:spacing w:after="130" w:before="60" w:line="240"/>
        <w:jc w:val="center"/>
      </w:pPr>
      <w:r>
        <w:rPr>
          <w:rFonts w:ascii="Arial" w:cs="Arial" w:eastAsia="Arial" w:hAnsi="Arial"/>
          <w:b w:val="false"/>
          <w:bCs w:val="false"/>
          <w:i/>
          <w:iCs/>
          <w:color w:val="404040"/>
          <w:sz w:val="20"/>
          <w:szCs w:val="20"/>
        </w:rPr>
        <w:t xml:space="preserve">Tabla 4. Compromiso entre carrera y fuerza de impacto.</w:t>
      </w:r>
    </w:p>
    <w:p>
      <w:pPr>
        <w:spacing w:after="100" w:line="240" w:lineRule="auto"/>
        <w:jc w:val="both"/>
      </w:pPr>
      <w:r>
        <w:rPr>
          <w:rFonts w:ascii="Arial" w:cs="Arial" w:eastAsia="Arial" w:hAnsi="Arial"/>
          <w:b w:val="false"/>
          <w:bCs w:val="false"/>
          <w:i w:val="false"/>
          <w:iCs w:val="false"/>
          <w:color w:val="000000"/>
          <w:sz w:val="22"/>
          <w:szCs w:val="22"/>
        </w:rPr>
        <w:t xml:space="preserve">Se adopta una carrera elástica de 40 mm. El pico de 11 g es admisible para piezas impresas bien dimensionadas, y la frecuencia natural de 8,3 Hz queda holgadamente por encima de la constante del péndulo invertido, que es 1 / √(l/g) ≈ 1,45 Hz. Una pata mucho más blanda acercaría los dos modos y complicaría el control de balanceo.</w:t>
      </w:r>
    </w:p>
    <w:p>
      <w:pPr>
        <w:pStyle w:val="Heading2"/>
        <w:spacing w:after="90" w:before="180" w:line="240"/>
      </w:pPr>
      <w:r>
        <w:rPr>
          <w:rFonts w:ascii="Arial" w:cs="Arial" w:eastAsia="Arial" w:hAnsi="Arial"/>
          <w:b/>
          <w:bCs/>
          <w:i w:val="false"/>
          <w:iCs w:val="false"/>
          <w:color w:val="000000"/>
          <w:sz w:val="24"/>
          <w:szCs w:val="24"/>
        </w:rPr>
        <w:t xml:space="preserve">3.2. El límite físico, y por qué el PLA queda afuera</w:t>
      </w:r>
    </w:p>
    <w:p>
      <w:pPr>
        <w:spacing w:after="100" w:line="240" w:lineRule="auto"/>
        <w:jc w:val="both"/>
      </w:pPr>
      <w:r>
        <w:rPr>
          <w:rFonts w:ascii="Arial" w:cs="Arial" w:eastAsia="Arial" w:hAnsi="Arial"/>
          <w:b w:val="false"/>
          <w:bCs w:val="false"/>
          <w:i w:val="false"/>
          <w:iCs w:val="false"/>
          <w:color w:val="000000"/>
          <w:sz w:val="22"/>
          <w:szCs w:val="22"/>
        </w:rPr>
        <w:t xml:space="preserve">La energía que puede almacenar un resorte de flexión no depende de su forma sino de su volumen y del material:</w:t>
      </w:r>
    </w:p>
    <w:p>
      <w:pPr>
        <w:spacing w:after="100" w:before="80" w:line="240"/>
        <w:jc w:val="center"/>
      </w:pPr>
      <w:r>
        <w:rPr>
          <w:rFonts w:ascii="Arial" w:cs="Arial" w:eastAsia="Arial" w:hAnsi="Arial"/>
          <w:b/>
          <w:bCs/>
          <w:i w:val="false"/>
          <w:iCs w:val="false"/>
          <w:color w:val="000000"/>
          <w:sz w:val="22"/>
          <w:szCs w:val="22"/>
        </w:rPr>
        <w:t xml:space="preserve">U / V = σ</w:t>
      </w:r>
      <w:r>
        <w:rPr>
          <w:rFonts w:ascii="Arial" w:cs="Arial" w:eastAsia="Arial" w:hAnsi="Arial"/>
          <w:b/>
          <w:bCs/>
          <w:i w:val="false"/>
          <w:iCs w:val="false"/>
          <w:color w:val="000000"/>
          <w:sz w:val="22"/>
          <w:szCs w:val="22"/>
          <w:vertAlign w:val="subscript"/>
        </w:rPr>
        <w:t xml:space="preserve">adm</w:t>
      </w:r>
      <w:r>
        <w:rPr>
          <w:rFonts w:ascii="Arial" w:cs="Arial" w:eastAsia="Arial" w:hAnsi="Arial"/>
          <w:b/>
          <w:bCs/>
          <w:i w:val="false"/>
          <w:iCs w:val="false"/>
          <w:color w:val="000000"/>
          <w:sz w:val="22"/>
          <w:szCs w:val="22"/>
          <w:vertAlign w:val="superscript"/>
        </w:rPr>
        <w:t xml:space="preserve">2</w:t>
      </w:r>
      <w:r>
        <w:rPr>
          <w:rFonts w:ascii="Arial" w:cs="Arial" w:eastAsia="Arial" w:hAnsi="Arial"/>
          <w:b/>
          <w:bCs/>
          <w:i w:val="false"/>
          <w:iCs w:val="false"/>
          <w:color w:val="000000"/>
          <w:sz w:val="22"/>
          <w:szCs w:val="22"/>
        </w:rPr>
        <w:t xml:space="preserve"> / (6 E)</w:t>
      </w:r>
    </w:p>
    <w:p>
      <w:pPr>
        <w:spacing w:after="100" w:line="240" w:lineRule="auto"/>
        <w:jc w:val="both"/>
      </w:pPr>
      <w:r>
        <w:rPr>
          <w:rFonts w:ascii="Arial" w:cs="Arial" w:eastAsia="Arial" w:hAnsi="Arial"/>
          <w:b w:val="false"/>
          <w:bCs w:val="false"/>
          <w:i w:val="false"/>
          <w:iCs w:val="false"/>
          <w:color w:val="000000"/>
          <w:sz w:val="22"/>
          <w:szCs w:val="22"/>
        </w:rPr>
        <w:t xml:space="preserve">Una forma real aprovecha una fracción de ese máximo. Una hoja recta en voladizo rinde alrededor del 20 %; una hoja ahusada de tensión uniforme o un perfil en omega con brazo casi constante llegan al 55 a 65 %. Adoptando una eficiencia de forma del 50 %:</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2259"/>
        <w:gridCol w:w="1129"/>
        <w:gridCol w:w="1412"/>
        <w:gridCol w:w="1412"/>
        <w:gridCol w:w="1694"/>
        <w:gridCol w:w="1505"/>
      </w:tblGrid>
      <w:tr>
        <w:trPr>
          <w:cantSplit/>
          <w:tblHeader/>
        </w:trPr>
        <w:tc>
          <w:tcPr>
            <w:tcW w:type="dxa" w:w="225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Material</w:t>
            </w:r>
          </w:p>
        </w:tc>
        <w:tc>
          <w:tcPr>
            <w:tcW w:type="dxa" w:w="112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E</w:t>
            </w:r>
          </w:p>
        </w:tc>
        <w:tc>
          <w:tcPr>
            <w:tcW w:type="dxa" w:w="141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σ admisible</w:t>
            </w:r>
          </w:p>
        </w:tc>
        <w:tc>
          <w:tcPr>
            <w:tcW w:type="dxa" w:w="141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U / V</w:t>
            </w:r>
          </w:p>
        </w:tc>
        <w:tc>
          <w:tcPr>
            <w:tcW w:type="dxa" w:w="1694"/>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Volumen por pata</w:t>
            </w:r>
          </w:p>
        </w:tc>
        <w:tc>
          <w:tcPr>
            <w:tcW w:type="dxa" w:w="1505"/>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Masa por pata</w:t>
            </w:r>
          </w:p>
        </w:tc>
      </w:tr>
      <w:tr>
        <w:trPr>
          <w:cantSplit/>
          <w:tblHeader w:val="false"/>
        </w:trPr>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PLA</w:t>
            </w:r>
          </w:p>
        </w:tc>
        <w:tc>
          <w:tcPr>
            <w:tcW w:type="dxa" w:w="112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3,3 GPa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25 MPa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31,6 kJ/m³</w:t>
            </w:r>
          </w:p>
        </w:tc>
        <w:tc>
          <w:tcPr>
            <w:tcW w:type="dxa" w:w="1694"/>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44,8 cm³</w:t>
            </w:r>
          </w:p>
        </w:tc>
        <w:tc>
          <w:tcPr>
            <w:tcW w:type="dxa" w:w="150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55,5 g</w:t>
            </w:r>
          </w:p>
        </w:tc>
      </w:tr>
      <w:tr>
        <w:trPr>
          <w:cantSplit/>
          <w:tblHeader w:val="false"/>
        </w:trPr>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PETG</w:t>
            </w:r>
          </w:p>
        </w:tc>
        <w:tc>
          <w:tcPr>
            <w:tcW w:type="dxa" w:w="112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2,0 GPa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25 MPa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52,1 kJ/m³</w:t>
            </w:r>
          </w:p>
        </w:tc>
        <w:tc>
          <w:tcPr>
            <w:tcW w:type="dxa" w:w="1694"/>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27,1 cm³</w:t>
            </w:r>
          </w:p>
        </w:tc>
        <w:tc>
          <w:tcPr>
            <w:tcW w:type="dxa" w:w="150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34,4 g</w:t>
            </w:r>
          </w:p>
        </w:tc>
      </w:tr>
      <w:tr>
        <w:trPr>
          <w:cantSplit/>
          <w:tblHeader w:val="false"/>
        </w:trPr>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PA12 (nylon)</w:t>
            </w:r>
          </w:p>
        </w:tc>
        <w:tc>
          <w:tcPr>
            <w:tcW w:type="dxa" w:w="112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1,6 GPa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25 MPa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65,1 kJ/m³</w:t>
            </w:r>
          </w:p>
        </w:tc>
        <w:tc>
          <w:tcPr>
            <w:tcW w:type="dxa" w:w="1694"/>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21,7 cm³</w:t>
            </w:r>
          </w:p>
        </w:tc>
        <w:tc>
          <w:tcPr>
            <w:tcW w:type="dxa" w:w="150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21,9 g</w:t>
            </w:r>
          </w:p>
        </w:tc>
      </w:tr>
      <w:tr>
        <w:trPr>
          <w:cantSplit/>
          <w:tblHeader w:val="false"/>
        </w:trPr>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Policarbonato</w:t>
            </w:r>
          </w:p>
        </w:tc>
        <w:tc>
          <w:tcPr>
            <w:tcW w:type="dxa" w:w="112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2,2 GPa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30 MPa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68,2 kJ/m³</w:t>
            </w:r>
          </w:p>
        </w:tc>
        <w:tc>
          <w:tcPr>
            <w:tcW w:type="dxa" w:w="1694"/>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20,7 cm³</w:t>
            </w:r>
          </w:p>
        </w:tc>
        <w:tc>
          <w:tcPr>
            <w:tcW w:type="dxa" w:w="150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24,9 g</w:t>
            </w:r>
          </w:p>
        </w:tc>
      </w:tr>
      <w:tr>
        <w:trPr>
          <w:cantSplit/>
          <w:tblHeader w:val="false"/>
        </w:trPr>
        <w:tc>
          <w:tcPr>
            <w:tcW w:type="dxa" w:w="225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Fleje de acero de resorte</w:t>
            </w:r>
          </w:p>
        </w:tc>
        <w:tc>
          <w:tcPr>
            <w:tcW w:type="dxa" w:w="1129"/>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200 GPa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700 MPa</w:t>
            </w:r>
          </w:p>
        </w:tc>
        <w:tc>
          <w:tcPr>
            <w:tcW w:type="dxa" w:w="14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408,3 kJ/m³</w:t>
            </w:r>
          </w:p>
        </w:tc>
        <w:tc>
          <w:tcPr>
            <w:tcW w:type="dxa" w:w="1694"/>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3,5 cm³</w:t>
            </w:r>
          </w:p>
        </w:tc>
        <w:tc>
          <w:tcPr>
            <w:tcW w:type="dxa" w:w="150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27,2 g</w:t>
            </w:r>
          </w:p>
        </w:tc>
      </w:tr>
    </w:tbl>
    <w:p>
      <w:pPr>
        <w:spacing w:after="130" w:before="60" w:line="240"/>
        <w:jc w:val="center"/>
      </w:pPr>
      <w:r>
        <w:rPr>
          <w:rFonts w:ascii="Arial" w:cs="Arial" w:eastAsia="Arial" w:hAnsi="Arial"/>
          <w:b w:val="false"/>
          <w:bCs w:val="false"/>
          <w:i/>
          <w:iCs/>
          <w:color w:val="404040"/>
          <w:sz w:val="20"/>
          <w:szCs w:val="20"/>
        </w:rPr>
        <w:t xml:space="preserve">Tabla 5. Volumen de material necesario como resorte.</w:t>
      </w:r>
    </w:p>
    <w:p>
      <w:pPr>
        <w:spacing w:after="100" w:line="240" w:lineRule="auto"/>
        <w:jc w:val="both"/>
      </w:pPr>
      <w:r>
        <w:rPr>
          <w:rFonts w:ascii="Arial" w:cs="Arial" w:eastAsia="Arial" w:hAnsi="Arial"/>
          <w:b w:val="false"/>
          <w:bCs w:val="false"/>
          <w:i w:val="false"/>
          <w:iCs w:val="false"/>
          <w:color w:val="000000"/>
          <w:sz w:val="22"/>
          <w:szCs w:val="22"/>
        </w:rPr>
        <w:t xml:space="preserve">El PLA necesita 45 cm³ y 55 g de material por pata, es decir 111 g entre las dos: el 14 % del presupuesto de masa del robot, sólo en resortes. A eso se suma que el PLA es frágil, sensible a la entalladura y de mala fatiga, y este elemento va a recibir miles de impactos. No sirve para esta función.</w:t>
      </w:r>
    </w:p>
    <w:p>
      <w:pPr>
        <w:spacing w:after="100" w:line="240" w:lineRule="auto"/>
        <w:jc w:val="both"/>
      </w:pPr>
      <w:r>
        <w:rPr>
          <w:rFonts w:ascii="Arial" w:cs="Arial" w:eastAsia="Arial" w:hAnsi="Arial"/>
          <w:b w:val="false"/>
          <w:bCs w:val="false"/>
          <w:i w:val="false"/>
          <w:iCs w:val="false"/>
          <w:color w:val="000000"/>
          <w:sz w:val="22"/>
          <w:szCs w:val="22"/>
        </w:rPr>
        <w:t xml:space="preserve">El PA12 o el policarbonato bajan el volumen a la mitad y son mucho más tenaces. La recomendación es imprimir el flexor como pieza separada en nylon o PC, y dejar el PLA para las piezas rígidas del mecanismo, donde sí es apropiado.</w:t>
      </w:r>
    </w:p>
    <w:p>
      <w:pPr>
        <w:spacing w:after="100" w:line="240" w:lineRule="auto"/>
        <w:jc w:val="both"/>
      </w:pPr>
      <w:r>
        <w:rPr>
          <w:rFonts w:ascii="Arial" w:cs="Arial" w:eastAsia="Arial" w:hAnsi="Arial"/>
          <w:b w:val="false"/>
          <w:bCs w:val="false"/>
          <w:i w:val="false"/>
          <w:iCs w:val="false"/>
          <w:color w:val="000000"/>
          <w:sz w:val="22"/>
          <w:szCs w:val="22"/>
        </w:rPr>
        <w:t xml:space="preserve">El fleje de acero de resorte es un orden de magnitud mejor por volumen y es la salida pragmática si el nylon no imprime bien: una tira de 0,5 mm doblada en U cuesta centavos y no falla por fatiga.</w:t>
      </w:r>
    </w:p>
    <w:p>
      <w:pPr>
        <w:pStyle w:val="Heading2"/>
        <w:spacing w:after="90" w:before="180" w:line="240"/>
      </w:pPr>
      <w:r>
        <w:rPr>
          <w:rFonts w:ascii="Arial" w:cs="Arial" w:eastAsia="Arial" w:hAnsi="Arial"/>
          <w:b/>
          <w:bCs/>
          <w:i w:val="false"/>
          <w:iCs w:val="false"/>
          <w:color w:val="000000"/>
          <w:sz w:val="24"/>
          <w:szCs w:val="24"/>
        </w:rPr>
        <w:t xml:space="preserve">3.3. Geometría adoptada</w:t>
      </w:r>
    </w:p>
    <w:p>
      <w:pPr>
        <w:spacing w:after="100" w:line="240" w:lineRule="auto"/>
        <w:jc w:val="both"/>
      </w:pPr>
      <w:r>
        <w:rPr>
          <w:rFonts w:ascii="Arial" w:cs="Arial" w:eastAsia="Arial" w:hAnsi="Arial"/>
          <w:b w:val="false"/>
          <w:bCs w:val="false"/>
          <w:i w:val="false"/>
          <w:iCs w:val="false"/>
          <w:color w:val="000000"/>
          <w:sz w:val="22"/>
          <w:szCs w:val="22"/>
        </w:rPr>
        <w:t xml:space="preserve">El flexor se resuelve como un arco de 350°, de plano paralelo al de la pata, con el extremo superior amarrado al trazador del cuatro barras y el inferior al porta-rueda. Bajo carga vertical el arco se cierra y el eje baja.</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4329"/>
        <w:gridCol w:w="5082"/>
      </w:tblGrid>
      <w:tr>
        <w:trPr>
          <w:cantSplit/>
          <w:tblHeader/>
        </w:trPr>
        <w:tc>
          <w:tcPr>
            <w:tcW w:type="dxa" w:w="4329"/>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Parámetro</w:t>
            </w:r>
          </w:p>
        </w:tc>
        <w:tc>
          <w:tcPr>
            <w:tcW w:type="dxa" w:w="508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Valor</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Material</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PA12 (nylon) o policarbonato</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Radio medio del arco</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36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Ángulo abarcado</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350°</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Espesor</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3,22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Ancho</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36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Longitud desarrollada</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220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Carrera obtenida</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40,1 mm</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Tensión máxima</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27,2 MPa</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Coeficiente de seguridad</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0,92 (1,23 con la cubierta de TPU)</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Masa (con orejas de amarre)</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33,9 g por pata</w:t>
            </w:r>
          </w:p>
        </w:tc>
      </w:tr>
      <w:tr>
        <w:trPr>
          <w:cantSplit/>
          <w:tblHeader w:val="false"/>
        </w:trPr>
        <w:tc>
          <w:tcPr>
            <w:tcW w:type="dxa" w:w="4329"/>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Envolvente</w:t>
            </w:r>
          </w:p>
        </w:tc>
        <w:tc>
          <w:tcPr>
            <w:tcW w:type="dxa" w:w="50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75 × 80 mm</w:t>
            </w:r>
          </w:p>
        </w:tc>
      </w:tr>
    </w:tbl>
    <w:p>
      <w:pPr>
        <w:spacing w:after="130" w:before="60" w:line="240"/>
        <w:jc w:val="center"/>
      </w:pPr>
      <w:r>
        <w:rPr>
          <w:rFonts w:ascii="Arial" w:cs="Arial" w:eastAsia="Arial" w:hAnsi="Arial"/>
          <w:b w:val="false"/>
          <w:bCs w:val="false"/>
          <w:i/>
          <w:iCs/>
          <w:color w:val="404040"/>
          <w:sz w:val="20"/>
          <w:szCs w:val="20"/>
        </w:rPr>
        <w:t xml:space="preserve">Tabla 6. Flexor adoptado.</w:t>
      </w:r>
    </w:p>
    <w:p>
      <w:pPr>
        <w:spacing w:after="100" w:line="240" w:lineRule="auto"/>
        <w:jc w:val="both"/>
      </w:pPr>
      <w:r>
        <w:rPr>
          <w:rFonts w:ascii="Arial" w:cs="Arial" w:eastAsia="Arial" w:hAnsi="Arial"/>
          <w:b w:val="false"/>
          <w:bCs w:val="false"/>
          <w:i w:val="false"/>
          <w:iCs w:val="false"/>
          <w:color w:val="000000"/>
          <w:sz w:val="22"/>
          <w:szCs w:val="22"/>
        </w:rPr>
        <w:t xml:space="preserve">El coeficiente de seguridad de 0,92 con el flexor solo no es suficiente. Sube a 1,23 si la cubierta de TPU de la rueda se lleva el 25 % de la energía, que es una hipótesis razonable pero hay que medirla. Las opciones para mejorarlo son tres, y conviene decidirlas con la masa real del prototipo en la mano:</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Agrandar el arco. Con radio 48 mm y 44 mm de ancho el coeficiente sube a 1,30, pero la masa pasa a 52 g por pata y la envolvente a 100 mm, que no entra cómoda en un robot de 200 mm.</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Bajar la energía. Es el único camino que reduce el volumen de material: menos altura de caída, o más disipación fuera del flexor.</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Cambiar de material. Un fleje de acero de resorte necesita una décima parte del volumen. Una tira de 0,5 mm doblada en U resuelve el problema y no falla por fatiga.</w:t>
      </w:r>
    </w:p>
    <w:p>
      <w:pPr>
        <w:pStyle w:val="Heading2"/>
        <w:spacing w:after="90" w:before="180" w:line="240"/>
      </w:pPr>
      <w:r>
        <w:rPr>
          <w:rFonts w:ascii="Arial" w:cs="Arial" w:eastAsia="Arial" w:hAnsi="Arial"/>
          <w:b/>
          <w:bCs/>
          <w:i w:val="false"/>
          <w:iCs w:val="false"/>
          <w:color w:val="000000"/>
          <w:sz w:val="24"/>
          <w:szCs w:val="24"/>
        </w:rPr>
        <w:t xml:space="preserve">3.4. Nota sobre la disipación</w:t>
      </w:r>
    </w:p>
    <w:p>
      <w:pPr>
        <w:spacing w:after="100" w:line="240" w:lineRule="auto"/>
        <w:jc w:val="both"/>
      </w:pPr>
      <w:r>
        <w:rPr>
          <w:rFonts w:ascii="Arial" w:cs="Arial" w:eastAsia="Arial" w:hAnsi="Arial"/>
          <w:b w:val="false"/>
          <w:bCs w:val="false"/>
          <w:i w:val="false"/>
          <w:iCs w:val="false"/>
          <w:color w:val="000000"/>
          <w:sz w:val="22"/>
          <w:szCs w:val="22"/>
        </w:rPr>
        <w:t xml:space="preserve">Un flexor puramente elástico devuelve toda la energía: el robot rebota. Hace falta disipación en paralelo. Lo más simple a esta escala es una cubierta de TPU en la rueda, que además reparte el pico de fuerza. Se recomienda dimensionar el flexor para el 100 % de la energía y tomar la disipación del TPU como margen.</w:t>
      </w:r>
    </w:p>
    <w:p>
      <w:pPr>
        <w:pStyle w:val="Heading1"/>
        <w:spacing w:after="110" w:before="220" w:line="240"/>
      </w:pPr>
      <w:r>
        <w:rPr>
          <w:rFonts w:ascii="Arial" w:cs="Arial" w:eastAsia="Arial" w:hAnsi="Arial"/>
          <w:b/>
          <w:bCs/>
          <w:i w:val="false"/>
          <w:iCs w:val="false"/>
          <w:color w:val="000000"/>
          <w:sz w:val="24"/>
          <w:szCs w:val="24"/>
        </w:rPr>
        <w:t xml:space="preserve">4. Motores</w:t>
      </w:r>
    </w:p>
    <w:p>
      <w:pPr>
        <w:pStyle w:val="Heading2"/>
        <w:spacing w:after="90" w:before="180" w:line="240"/>
      </w:pPr>
      <w:r>
        <w:rPr>
          <w:rFonts w:ascii="Arial" w:cs="Arial" w:eastAsia="Arial" w:hAnsi="Arial"/>
          <w:b/>
          <w:bCs/>
          <w:i w:val="false"/>
          <w:iCs w:val="false"/>
          <w:color w:val="000000"/>
          <w:sz w:val="24"/>
          <w:szCs w:val="24"/>
        </w:rPr>
        <w:t xml:space="preserve">4.1. Ruedas</w:t>
      </w:r>
    </w:p>
    <w:p>
      <w:pPr>
        <w:spacing w:after="100" w:line="240" w:lineRule="auto"/>
        <w:jc w:val="both"/>
      </w:pPr>
      <w:r>
        <w:rPr>
          <w:rFonts w:ascii="Arial" w:cs="Arial" w:eastAsia="Arial" w:hAnsi="Arial"/>
          <w:b w:val="false"/>
          <w:bCs w:val="false"/>
          <w:i w:val="false"/>
          <w:iCs w:val="false"/>
          <w:color w:val="000000"/>
          <w:sz w:val="22"/>
          <w:szCs w:val="22"/>
        </w:rPr>
        <w:t xml:space="preserve">El resultado importante es que las ruedas están limitadas por adherencia, no por torque:</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5176"/>
        <w:gridCol w:w="4235"/>
      </w:tblGrid>
      <w:tr>
        <w:trPr>
          <w:cantSplit/>
          <w:tblHeader/>
        </w:trPr>
        <w:tc>
          <w:tcPr>
            <w:tcW w:type="dxa" w:w="5176"/>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Magnitud</w:t>
            </w:r>
          </w:p>
        </w:tc>
        <w:tc>
          <w:tcPr>
            <w:tcW w:type="dxa" w:w="4235"/>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Valor</w:t>
            </w:r>
          </w:p>
        </w:tc>
      </w:tr>
      <w:tr>
        <w:trPr>
          <w:cantSplit/>
          <w:tblHeader w:val="false"/>
        </w:trPr>
        <w:tc>
          <w:tcPr>
            <w:tcW w:type="dxa" w:w="51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Normal por rueda</w:t>
            </w:r>
          </w:p>
        </w:tc>
        <w:tc>
          <w:tcPr>
            <w:tcW w:type="dxa" w:w="423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3,92 N</w:t>
            </w:r>
          </w:p>
        </w:tc>
      </w:tr>
      <w:tr>
        <w:trPr>
          <w:cantSplit/>
          <w:tblHeader w:val="false"/>
        </w:trPr>
        <w:tc>
          <w:tcPr>
            <w:tcW w:type="dxa" w:w="51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Límite de adherencia (µ = 0,7)</w:t>
            </w:r>
          </w:p>
        </w:tc>
        <w:tc>
          <w:tcPr>
            <w:tcW w:type="dxa" w:w="423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2,75 N</w:t>
            </w:r>
          </w:p>
        </w:tc>
      </w:tr>
      <w:tr>
        <w:trPr>
          <w:cantSplit/>
          <w:tblHeader w:val="false"/>
        </w:trPr>
        <w:tc>
          <w:tcPr>
            <w:tcW w:type="dxa" w:w="51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Aceleración máxima</w:t>
            </w:r>
          </w:p>
        </w:tc>
        <w:tc>
          <w:tcPr>
            <w:tcW w:type="dxa" w:w="423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a = µ·g = 6,87 m/s²</w:t>
            </w:r>
          </w:p>
        </w:tc>
      </w:tr>
      <w:tr>
        <w:trPr>
          <w:cantSplit/>
          <w:tblHeader w:val="false"/>
        </w:trPr>
        <w:tc>
          <w:tcPr>
            <w:tcW w:type="dxa" w:w="51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Torque en ese límite</w:t>
            </w:r>
          </w:p>
        </w:tc>
        <w:tc>
          <w:tcPr>
            <w:tcW w:type="dxa" w:w="423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0,110 N·m = 1,12 kg·cm por rueda</w:t>
            </w:r>
          </w:p>
        </w:tc>
      </w:tr>
      <w:tr>
        <w:trPr>
          <w:cantSplit/>
          <w:tblHeader w:val="false"/>
        </w:trPr>
        <w:tc>
          <w:tcPr>
            <w:tcW w:type="dxa" w:w="51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Velocidad para 1,5 m/s</w:t>
            </w:r>
          </w:p>
        </w:tc>
        <w:tc>
          <w:tcPr>
            <w:tcW w:type="dxa" w:w="423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358 rpm</w:t>
            </w:r>
          </w:p>
        </w:tc>
      </w:tr>
      <w:tr>
        <w:trPr>
          <w:cantSplit/>
          <w:tblHeader w:val="false"/>
        </w:trPr>
        <w:tc>
          <w:tcPr>
            <w:tcW w:type="dxa" w:w="51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Velocidad para 2,0 m/s</w:t>
            </w:r>
          </w:p>
        </w:tc>
        <w:tc>
          <w:tcPr>
            <w:tcW w:type="dxa" w:w="4235"/>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477 rpm</w:t>
            </w:r>
          </w:p>
        </w:tc>
      </w:tr>
    </w:tbl>
    <w:p>
      <w:pPr>
        <w:spacing w:after="130" w:before="60" w:line="240"/>
        <w:jc w:val="center"/>
      </w:pPr>
      <w:r>
        <w:rPr>
          <w:rFonts w:ascii="Arial" w:cs="Arial" w:eastAsia="Arial" w:hAnsi="Arial"/>
          <w:b w:val="false"/>
          <w:bCs w:val="false"/>
          <w:i/>
          <w:iCs/>
          <w:color w:val="404040"/>
          <w:sz w:val="20"/>
          <w:szCs w:val="20"/>
        </w:rPr>
        <w:t xml:space="preserve">Tabla 7. Requerimiento de rueda.</w:t>
      </w:r>
    </w:p>
    <w:p>
      <w:pPr>
        <w:spacing w:after="100" w:line="240" w:lineRule="auto"/>
        <w:jc w:val="both"/>
      </w:pPr>
      <w:r>
        <w:rPr>
          <w:rFonts w:ascii="Arial" w:cs="Arial" w:eastAsia="Arial" w:hAnsi="Arial"/>
          <w:b w:val="false"/>
          <w:bCs w:val="false"/>
          <w:i w:val="false"/>
          <w:iCs w:val="false"/>
          <w:color w:val="000000"/>
          <w:sz w:val="22"/>
          <w:szCs w:val="22"/>
        </w:rPr>
        <w:t xml:space="preserve">La rueda patina antes de que falte torque. Especificar 0,15 N·m continuos y 500 rpm deja margen suficiente. Lo que hay que priorizar no es el torque sino la calidad de control: torque comandable, sin juego y con capacidad de ser arrastrado desde la carga. Por eso el gimbal BLDC con FOC, y no un motor con reductora.</w:t>
      </w:r>
    </w:p>
    <w:p>
      <w:pPr>
        <w:pStyle w:val="Heading2"/>
        <w:spacing w:after="90" w:before="180" w:line="240"/>
      </w:pPr>
      <w:r>
        <w:rPr>
          <w:rFonts w:ascii="Arial" w:cs="Arial" w:eastAsia="Arial" w:hAnsi="Arial"/>
          <w:b/>
          <w:bCs/>
          <w:i w:val="false"/>
          <w:iCs w:val="false"/>
          <w:color w:val="000000"/>
          <w:sz w:val="24"/>
          <w:szCs w:val="24"/>
        </w:rPr>
        <w:t xml:space="preserve">4.2. Hombro</w:t>
      </w:r>
    </w:p>
    <w:p>
      <w:pPr>
        <w:spacing w:after="100" w:line="240" w:lineRule="auto"/>
        <w:jc w:val="both"/>
      </w:pPr>
      <w:r>
        <w:rPr>
          <w:rFonts w:ascii="Arial" w:cs="Arial" w:eastAsia="Arial" w:hAnsi="Arial"/>
          <w:b w:val="false"/>
          <w:bCs w:val="false"/>
          <w:i w:val="false"/>
          <w:iCs w:val="false"/>
          <w:color w:val="000000"/>
          <w:sz w:val="22"/>
          <w:szCs w:val="22"/>
        </w:rPr>
        <w:t xml:space="preserve">Con dz/dθ = 16 mm/rad:</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3576"/>
        <w:gridCol w:w="2823"/>
        <w:gridCol w:w="3012"/>
      </w:tblGrid>
      <w:tr>
        <w:trPr>
          <w:cantSplit/>
          <w:tblHeader/>
        </w:trPr>
        <w:tc>
          <w:tcPr>
            <w:tcW w:type="dxa" w:w="3576"/>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Caso</w:t>
            </w:r>
          </w:p>
        </w:tc>
        <w:tc>
          <w:tcPr>
            <w:tcW w:type="dxa" w:w="2823"/>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Fuerza en el eje de rueda</w:t>
            </w:r>
          </w:p>
        </w:tc>
        <w:tc>
          <w:tcPr>
            <w:tcW w:type="dxa" w:w="301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Torque de hombro</w:t>
            </w:r>
          </w:p>
        </w:tc>
      </w:tr>
      <w:tr>
        <w:trPr>
          <w:cantSplit/>
          <w:tblHeader w:val="false"/>
        </w:trPr>
        <w:tc>
          <w:tcPr>
            <w:tcW w:type="dxa" w:w="35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Sostener el robot parado</w:t>
            </w:r>
          </w:p>
        </w:tc>
        <w:tc>
          <w:tcPr>
            <w:tcW w:type="dxa" w:w="2823"/>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3,92 N</w:t>
            </w:r>
          </w:p>
        </w:tc>
        <w:tc>
          <w:tcPr>
            <w:tcW w:type="dxa" w:w="30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0,063 N·m = 0,64 kg·cm</w:t>
            </w:r>
          </w:p>
        </w:tc>
      </w:tr>
      <w:tr>
        <w:trPr>
          <w:cantSplit/>
          <w:tblHeader w:val="false"/>
        </w:trPr>
        <w:tc>
          <w:tcPr>
            <w:tcW w:type="dxa" w:w="35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Comprimir el flexor a fondo (40 mm)</w:t>
            </w:r>
          </w:p>
        </w:tc>
        <w:tc>
          <w:tcPr>
            <w:tcW w:type="dxa" w:w="2823"/>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43,2 N</w:t>
            </w:r>
          </w:p>
        </w:tc>
        <w:tc>
          <w:tcPr>
            <w:tcW w:type="dxa" w:w="30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0,691 N·m = 7,04 kg·cm</w:t>
            </w:r>
          </w:p>
        </w:tc>
      </w:tr>
      <w:tr>
        <w:trPr>
          <w:cantSplit/>
          <w:tblHeader w:val="false"/>
        </w:trPr>
        <w:tc>
          <w:tcPr>
            <w:tcW w:type="dxa" w:w="3576"/>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Barrido necesario</w:t>
            </w:r>
          </w:p>
        </w:tc>
        <w:tc>
          <w:tcPr>
            <w:tcW w:type="dxa" w:w="2823"/>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w:t>
            </w:r>
          </w:p>
        </w:tc>
        <w:tc>
          <w:tcPr>
            <w:tcW w:type="dxa" w:w="301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162°</w:t>
            </w:r>
          </w:p>
        </w:tc>
      </w:tr>
    </w:tbl>
    <w:p>
      <w:pPr>
        <w:spacing w:after="130" w:before="60" w:line="240"/>
        <w:jc w:val="center"/>
      </w:pPr>
      <w:r>
        <w:rPr>
          <w:rFonts w:ascii="Arial" w:cs="Arial" w:eastAsia="Arial" w:hAnsi="Arial"/>
          <w:b w:val="false"/>
          <w:bCs w:val="false"/>
          <w:i/>
          <w:iCs/>
          <w:color w:val="404040"/>
          <w:sz w:val="20"/>
          <w:szCs w:val="20"/>
        </w:rPr>
        <w:t xml:space="preserve">Tabla 8. Requerimiento de hombro.</w:t>
      </w:r>
    </w:p>
    <w:p>
      <w:pPr>
        <w:spacing w:after="100" w:line="240" w:lineRule="auto"/>
        <w:jc w:val="both"/>
      </w:pPr>
      <w:r>
        <w:rPr>
          <w:rFonts w:ascii="Arial" w:cs="Arial" w:eastAsia="Arial" w:hAnsi="Arial"/>
          <w:b w:val="false"/>
          <w:bCs w:val="false"/>
          <w:i w:val="false"/>
          <w:iCs w:val="false"/>
          <w:color w:val="000000"/>
          <w:sz w:val="22"/>
          <w:szCs w:val="22"/>
        </w:rPr>
        <w:t xml:space="preserve">El caso estático pide menos de 1 kg·cm gracias a la ventaja mecánica del Hoeken. El caso exigente es comprimir el flexor a fondo, que pide 7 kg·cm. Un servo de 10 kg·cm cubre los dos con margen y su recorrido de 180° cubre los 162° necesarios. No hace falta la reductora 1:2 que tenían prevista.</w:t>
      </w:r>
    </w:p>
    <w:p>
      <w:pPr>
        <w:spacing w:after="100" w:line="240" w:lineRule="auto"/>
        <w:jc w:val="both"/>
      </w:pPr>
      <w:r>
        <w:rPr>
          <w:rFonts w:ascii="Arial" w:cs="Arial" w:eastAsia="Arial" w:hAnsi="Arial"/>
          <w:b w:val="false"/>
          <w:bCs w:val="false"/>
          <w:i w:val="false"/>
          <w:iCs w:val="false"/>
          <w:color w:val="000000"/>
          <w:sz w:val="22"/>
          <w:szCs w:val="22"/>
        </w:rPr>
        <w:t xml:space="preserve">Importante: el flexor absorbe el impacto en 40 ms y ningún servo reacciona en ese tiempo. El servo no participa del aterrizaje; sólo fija la posición de reposo de la pata. Eso es exactamente lo que hace viable usar un servo de posición en este eje.</w:t>
      </w:r>
    </w:p>
    <w:p>
      <w:pPr>
        <w:pStyle w:val="Heading1"/>
        <w:spacing w:after="110" w:before="220" w:line="240"/>
      </w:pPr>
      <w:r>
        <w:rPr>
          <w:rFonts w:ascii="Arial" w:cs="Arial" w:eastAsia="Arial" w:hAnsi="Arial"/>
          <w:b/>
          <w:bCs/>
          <w:i w:val="false"/>
          <w:iCs w:val="false"/>
          <w:color w:val="000000"/>
          <w:sz w:val="24"/>
          <w:szCs w:val="24"/>
        </w:rPr>
        <w:t xml:space="preserve">5. Piezas y archivos</w:t>
      </w:r>
    </w:p>
    <w:tbl>
      <w:tblPr>
        <w:tblW w:type="dxa" w:w="9411"/>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3764"/>
        <w:gridCol w:w="1882"/>
        <w:gridCol w:w="1318"/>
        <w:gridCol w:w="2447"/>
      </w:tblGrid>
      <w:tr>
        <w:trPr>
          <w:cantSplit/>
          <w:tblHeader/>
        </w:trPr>
        <w:tc>
          <w:tcPr>
            <w:tcW w:type="dxa" w:w="3764"/>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Pieza</w:t>
            </w:r>
          </w:p>
        </w:tc>
        <w:tc>
          <w:tcPr>
            <w:tcW w:type="dxa" w:w="1882"/>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Material</w:t>
            </w:r>
          </w:p>
        </w:tc>
        <w:tc>
          <w:tcPr>
            <w:tcW w:type="dxa" w:w="1318"/>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Masa</w:t>
            </w:r>
          </w:p>
        </w:tc>
        <w:tc>
          <w:tcPr>
            <w:tcW w:type="dxa" w:w="2447"/>
            <w:shd w:fill="D9D9D9" w:color="auto" w:val="clear"/>
            <w:tcMar>
              <w:top w:type="dxa" w:w="40"/>
              <w:left w:type="dxa" w:w="80"/>
              <w:bottom w:type="dxa" w:w="40"/>
              <w:right w:type="dxa" w:w="80"/>
            </w:tcMar>
          </w:tcPr>
          <w:p>
            <w:pPr>
              <w:spacing w:after="40" w:before="40" w:line="240"/>
              <w:jc w:val="center"/>
            </w:pPr>
            <w:r>
              <w:rPr>
                <w:rFonts w:ascii="Arial" w:cs="Arial" w:eastAsia="Arial" w:hAnsi="Arial"/>
                <w:b/>
                <w:bCs/>
                <w:i w:val="false"/>
                <w:iCs w:val="false"/>
                <w:color w:val="000000"/>
                <w:sz w:val="20"/>
                <w:szCs w:val="20"/>
              </w:rPr>
              <w:t xml:space="preserve">Archivo</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Placa lateral (aloja el servo de hombro)</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PLA</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6,3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01_placa_lateral</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Manivela</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PLA</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0,8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02_manivela</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Acoplador con prolongación al trazador</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PLA</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3,0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03_acoplador</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Balancín</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PLA</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1,7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04_balancin</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Flexor</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PA12 / PC</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33,9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05_flexor_omega</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Porta-rueda con brida de motor</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PLA</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11,3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06_porta_rueda</w:t>
            </w:r>
          </w:p>
        </w:tc>
      </w:tr>
      <w:tr>
        <w:trPr>
          <w:cantSplit/>
          <w:tblHeader w:val="false"/>
        </w:trPr>
        <w:tc>
          <w:tcPr>
            <w:tcW w:type="dxa" w:w="3764"/>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Total por pata, sin actuadores</w:t>
            </w:r>
          </w:p>
        </w:tc>
        <w:tc>
          <w:tcPr>
            <w:tcW w:type="dxa" w:w="1882"/>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w:t>
            </w:r>
          </w:p>
        </w:tc>
        <w:tc>
          <w:tcPr>
            <w:tcW w:type="dxa" w:w="1318"/>
            <w:tcMar>
              <w:top w:type="dxa" w:w="40"/>
              <w:left w:type="dxa" w:w="80"/>
              <w:bottom w:type="dxa" w:w="40"/>
              <w:right w:type="dxa" w:w="80"/>
            </w:tcMar>
          </w:tcPr>
          <w:p>
            <w:pPr>
              <w:spacing w:after="40" w:before="40" w:line="240"/>
              <w:jc w:val="center"/>
            </w:pPr>
            <w:r>
              <w:rPr>
                <w:rFonts w:ascii="Arial" w:cs="Arial" w:eastAsia="Arial" w:hAnsi="Arial"/>
                <w:b w:val="false"/>
                <w:bCs w:val="false"/>
                <w:i w:val="false"/>
                <w:iCs w:val="false"/>
                <w:color w:val="000000"/>
                <w:sz w:val="20"/>
                <w:szCs w:val="20"/>
              </w:rPr>
              <w:t xml:space="preserve">56,9 g</w:t>
            </w:r>
          </w:p>
        </w:tc>
        <w:tc>
          <w:tcPr>
            <w:tcW w:type="dxa" w:w="2447"/>
            <w:tcMar>
              <w:top w:type="dxa" w:w="40"/>
              <w:left w:type="dxa" w:w="80"/>
              <w:bottom w:type="dxa" w:w="40"/>
              <w:right w:type="dxa" w:w="80"/>
            </w:tcMar>
          </w:tcPr>
          <w:p>
            <w:pPr>
              <w:spacing w:after="40" w:before="40" w:line="240"/>
              <w:jc w:val="left"/>
            </w:pPr>
            <w:r>
              <w:rPr>
                <w:rFonts w:ascii="Arial" w:cs="Arial" w:eastAsia="Arial" w:hAnsi="Arial"/>
                <w:b w:val="false"/>
                <w:bCs w:val="false"/>
                <w:i w:val="false"/>
                <w:iCs w:val="false"/>
                <w:color w:val="000000"/>
                <w:sz w:val="20"/>
                <w:szCs w:val="20"/>
              </w:rPr>
              <w:t xml:space="preserve">00_ensamble_pata</w:t>
            </w:r>
          </w:p>
        </w:tc>
      </w:tr>
    </w:tbl>
    <w:p>
      <w:pPr>
        <w:spacing w:after="130" w:before="60" w:line="240"/>
        <w:jc w:val="center"/>
      </w:pPr>
      <w:r>
        <w:rPr>
          <w:rFonts w:ascii="Arial" w:cs="Arial" w:eastAsia="Arial" w:hAnsi="Arial"/>
          <w:b w:val="false"/>
          <w:bCs w:val="false"/>
          <w:i/>
          <w:iCs/>
          <w:color w:val="404040"/>
          <w:sz w:val="20"/>
          <w:szCs w:val="20"/>
        </w:rPr>
        <w:t xml:space="preserve">Tabla 9. Lista de piezas. Cada una en STEP (editable) y STL (para imprimir).</w:t>
      </w:r>
    </w:p>
    <w:p>
      <w:pPr>
        <w:spacing w:after="100" w:line="240" w:lineRule="auto"/>
        <w:jc w:val="both"/>
      </w:pPr>
      <w:r>
        <w:rPr>
          <w:rFonts w:ascii="Arial" w:cs="Arial" w:eastAsia="Arial" w:hAnsi="Arial"/>
          <w:b w:val="false"/>
          <w:bCs w:val="false"/>
          <w:i w:val="false"/>
          <w:iCs w:val="false"/>
          <w:color w:val="000000"/>
          <w:sz w:val="22"/>
          <w:szCs w:val="22"/>
        </w:rPr>
        <w:t xml:space="preserve">Presupuesto de masa: dos módulos de pata suman 114 g, más dos servos de hombro (unos 28 g) y dos motores gimbal (unos 140 g) dan 282 g. Quedan alrededor de 518 g para chasis, batería, ruedas y electrónica dentro del objetivo de 800 g. Es alcanzable pero sin holgura.</w:t>
      </w:r>
    </w:p>
    <w:p>
      <w:pPr>
        <w:spacing w:after="100" w:line="240" w:lineRule="auto"/>
        <w:jc w:val="both"/>
      </w:pPr>
      <w:r>
        <w:rPr>
          <w:rFonts w:ascii="Arial" w:cs="Arial" w:eastAsia="Arial" w:hAnsi="Arial"/>
          <w:b w:val="false"/>
          <w:bCs w:val="false"/>
          <w:i w:val="false"/>
          <w:iCs w:val="false"/>
          <w:color w:val="000000"/>
          <w:sz w:val="22"/>
          <w:szCs w:val="22"/>
        </w:rPr>
        <w:t xml:space="preserve">Los pernos son M3. Las capas en altura son: placa de 0 a 3 mm, manivela de 3,6 a 7,6, acoplador de 8,2 a 12,2 y balancín de 12,8 a 16,8, con 0,6 mm de juego entre capas.</w:t>
      </w:r>
    </w:p>
    <w:p>
      <w:pPr>
        <w:pStyle w:val="Heading1"/>
        <w:spacing w:after="110" w:before="220" w:line="240"/>
      </w:pPr>
      <w:r>
        <w:rPr>
          <w:rFonts w:ascii="Arial" w:cs="Arial" w:eastAsia="Arial" w:hAnsi="Arial"/>
          <w:b/>
          <w:bCs/>
          <w:i w:val="false"/>
          <w:iCs w:val="false"/>
          <w:color w:val="000000"/>
          <w:sz w:val="24"/>
          <w:szCs w:val="24"/>
        </w:rPr>
        <w:t xml:space="preserve">6. Lo que falta verificar</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El flexor del CAD está dimensionado por cálculo analítico de viga curva (Castigliano), no por elementos finitos. Antes de imprimir la serie conviene hacer un ensayo simple: colgarle pesos conocidos y medir la flecha, para verificar que k dé 1080 N/m por pata. El PA12 impreso rara vez alcanza el módulo del material macizo.</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Interferencia entre manivela y balancín: el paso más cercano calculado es de 16 mm respecto del eje del hombro, contra un radio de manivela de 12,7 mm. Quedan 3,3 mm. Están en capas distintas, pero conviene verificarlo en el ensamble antes de imprimir.</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La recta trazada queda a 50,8 mm de la línea de bancada. El chasis tiene que ubicarse de modo que el centro de masa caiga sobre esa vertical, o el robot arranca con un desbalance permanente.</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La masa del motor de rueda cuelga del extremo del flexor. Es masa no suspendida y baja la frecuencia natural: hay que recalcular f con la masa real del gimbal una vez elegido el modelo.</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El coeficiente de seguridad del flexor es 0,92 sin contar la cubierta de TPU. Es el punto más ajustado del diseño y el primero a revisar si algo se rompe.</w:t>
      </w:r>
    </w:p>
    <w:p>
      <w:pPr>
        <w:pStyle w:val="ListParagraph"/>
        <w:numPr>
          <w:ilvl w:val="0"/>
          <w:numId w:val="1"/>
        </w:numPr>
        <w:spacing w:after="60" w:line="240"/>
        <w:jc w:val="both"/>
      </w:pPr>
      <w:r>
        <w:rPr>
          <w:rFonts w:ascii="Arial" w:cs="Arial" w:eastAsia="Arial" w:hAnsi="Arial"/>
          <w:b w:val="false"/>
          <w:bCs w:val="false"/>
          <w:i w:val="false"/>
          <w:iCs w:val="false"/>
          <w:color w:val="000000"/>
          <w:sz w:val="22"/>
          <w:szCs w:val="22"/>
        </w:rPr>
        <w:t xml:space="preserve">El presupuesto de 800 g es optimista. Conviene rehacer los números con la masa real una vez armado el primer prototipo, porque todo escala con ella.</w:t>
      </w:r>
    </w:p>
    <w:sectPr>
      <w:headerReference w:type="default" r:id="rId7"/>
      <w:footerReference w:type="default" r:id="rId8"/>
      <w:pgSz w:w="11906" w:h="16838" w:orient="portrait"/>
      <w:pgMar w:top="1134" w:right="1134" w:bottom="1134" w:left="1361"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spacing w:after="60"/>
      <w:jc w:val="right"/>
    </w:pPr>
    <w:r>
      <w:rPr>
        <w:rFonts w:ascii="Arial" w:cs="Arial" w:eastAsia="Arial" w:hAnsi="Arial"/>
        <w:color w:val="595959"/>
        <w:sz w:val="18"/>
        <w:szCs w:val="18"/>
      </w:rPr>
      <w:t xml:space="preserve">Segway con patas — módulo de pata — Grupo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2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e26f951f7a005aa25e03a5752ce9ece39cb3be.png"/><Relationship Id="rId10" Type="http://schemas.openxmlformats.org/officeDocument/2006/relationships/image" Target="media/4683e621bbea269b4a1b49c7579fc5aef9c462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Segway con patas - Dimensionamiento del módulo de pata</dc:title>
  <dc:creator>Grupo 4 - Robótica II</dc:creator>
  <cp:lastModifiedBy>Un-named</cp:lastModifiedBy>
  <cp:revision>1</cp:revision>
  <dcterms:created xsi:type="dcterms:W3CDTF">2026-08-27T13:07:54.182Z</dcterms:created>
  <dcterms:modified xsi:type="dcterms:W3CDTF">2026-08-27T13:07:54.183Z</dcterms:modified>
</cp:coreProperties>
</file>

<file path=docProps/custom.xml><?xml version="1.0" encoding="utf-8"?>
<Properties xmlns="http://schemas.openxmlformats.org/officeDocument/2006/custom-properties" xmlns:vt="http://schemas.openxmlformats.org/officeDocument/2006/docPropsVTypes"/>
</file>