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6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1A40AE" w:rsidRPr="001A40AE" w:rsidRDefault="001A40AE" w:rsidP="001A40AE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0AE">
        <w:rPr>
          <w:rFonts w:ascii="Times New Roman" w:hAnsi="Times New Roman" w:cs="Times New Roman"/>
          <w:sz w:val="28"/>
          <w:szCs w:val="28"/>
          <w:lang w:val="uk-UA"/>
        </w:rPr>
        <w:t>“ Дерева. Видалення елементів з бінарного дерева. Невузлове представлення бінарних дерев, збалансовані бінарні дерева, дерево з випадковим пошуком ”</w:t>
      </w:r>
    </w:p>
    <w:p w:rsidR="00F72084" w:rsidRPr="001A40AE" w:rsidRDefault="00F72084" w:rsidP="00F72084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A40AE"/>
    <w:rsid w:val="001E5A3E"/>
    <w:rsid w:val="002778A9"/>
    <w:rsid w:val="002B697C"/>
    <w:rsid w:val="002D0D81"/>
    <w:rsid w:val="002F3ADA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C3F0-B98C-4733-B8CB-5384D2DA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2017-11-13T19:02:00Z</dcterms:modified>
</cp:coreProperties>
</file>