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6F1" w:rsidRPr="0009458F" w:rsidRDefault="0009458F" w:rsidP="0009458F">
      <w:pPr>
        <w:pStyle w:val="Ttulo"/>
      </w:pPr>
      <w:r w:rsidRPr="0009458F">
        <w:t xml:space="preserve">Análisis de Datos </w:t>
      </w:r>
      <w:proofErr w:type="spellStart"/>
      <w:r w:rsidRPr="0009458F">
        <w:t>Ómicos</w:t>
      </w:r>
      <w:proofErr w:type="spellEnd"/>
      <w:r w:rsidRPr="0009458F">
        <w:t>. PEC 1</w:t>
      </w:r>
    </w:p>
    <w:p w:rsidR="0009458F" w:rsidRPr="0009458F" w:rsidRDefault="0009458F" w:rsidP="0009458F">
      <w:pPr>
        <w:pStyle w:val="Subttulo"/>
      </w:pPr>
      <w:r w:rsidRPr="0009458F">
        <w:t>Francisco Abel Cedrón Santaeufemia</w:t>
      </w:r>
    </w:p>
    <w:p w:rsidR="0009458F" w:rsidRPr="0009458F" w:rsidRDefault="0009458F" w:rsidP="0009458F">
      <w:pPr>
        <w:pStyle w:val="Subttulo"/>
      </w:pPr>
      <w:r w:rsidRPr="0009458F">
        <w:t>3 de mayo de 2020</w:t>
      </w:r>
    </w:p>
    <w:p w:rsidR="0009458F" w:rsidRDefault="0009458F" w:rsidP="0009458F"/>
    <w:p w:rsidR="00B00559" w:rsidRPr="00B00559" w:rsidRDefault="00B00559" w:rsidP="0009458F">
      <w:pPr>
        <w:rPr>
          <w:rStyle w:val="Textoennegrita"/>
        </w:rPr>
      </w:pPr>
      <w:r w:rsidRPr="00B00559">
        <w:rPr>
          <w:rStyle w:val="Textoennegrita"/>
        </w:rPr>
        <w:t>Tabla de contenido</w:t>
      </w:r>
    </w:p>
    <w:p w:rsidR="00B00559" w:rsidRDefault="00B00559">
      <w:pPr>
        <w:pStyle w:val="TDC1"/>
        <w:tabs>
          <w:tab w:val="right" w:leader="underscore" w:pos="8488"/>
        </w:tabs>
        <w:rPr>
          <w:rFonts w:eastAsiaTheme="minorEastAsia"/>
          <w:b w:val="0"/>
          <w:bCs w:val="0"/>
          <w:i w:val="0"/>
          <w:iCs w:val="0"/>
          <w:noProof/>
          <w:lang w:eastAsia="es-ES_trad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458690" w:history="1">
        <w:r w:rsidRPr="00C216CE">
          <w:rPr>
            <w:rStyle w:val="Hipervnculo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0559" w:rsidRDefault="00B00559">
      <w:pPr>
        <w:pStyle w:val="TDC1"/>
        <w:tabs>
          <w:tab w:val="right" w:leader="underscore" w:pos="8488"/>
        </w:tabs>
        <w:rPr>
          <w:rFonts w:eastAsiaTheme="minorEastAsia"/>
          <w:b w:val="0"/>
          <w:bCs w:val="0"/>
          <w:i w:val="0"/>
          <w:iCs w:val="0"/>
          <w:noProof/>
          <w:lang w:eastAsia="es-ES_tradnl"/>
        </w:rPr>
      </w:pPr>
      <w:hyperlink w:anchor="_Toc39458691" w:history="1">
        <w:r w:rsidRPr="00C216CE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0559" w:rsidRDefault="00B00559">
      <w:pPr>
        <w:pStyle w:val="TDC1"/>
        <w:tabs>
          <w:tab w:val="right" w:leader="underscore" w:pos="8488"/>
        </w:tabs>
        <w:rPr>
          <w:rFonts w:eastAsiaTheme="minorEastAsia"/>
          <w:b w:val="0"/>
          <w:bCs w:val="0"/>
          <w:i w:val="0"/>
          <w:iCs w:val="0"/>
          <w:noProof/>
          <w:lang w:eastAsia="es-ES_tradnl"/>
        </w:rPr>
      </w:pPr>
      <w:hyperlink w:anchor="_Toc39458692" w:history="1">
        <w:r w:rsidRPr="00C216CE">
          <w:rPr>
            <w:rStyle w:val="Hipervnculo"/>
            <w:noProof/>
          </w:rPr>
          <w:t>Materiales y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0559" w:rsidRDefault="00B00559">
      <w:pPr>
        <w:pStyle w:val="TDC2"/>
        <w:tabs>
          <w:tab w:val="right" w:leader="underscore" w:pos="8488"/>
        </w:tabs>
        <w:rPr>
          <w:rFonts w:eastAsiaTheme="minorEastAsia"/>
          <w:b w:val="0"/>
          <w:bCs w:val="0"/>
          <w:noProof/>
          <w:sz w:val="24"/>
          <w:szCs w:val="24"/>
          <w:lang w:eastAsia="es-ES_tradnl"/>
        </w:rPr>
      </w:pPr>
      <w:hyperlink w:anchor="_Toc39458693" w:history="1">
        <w:r w:rsidRPr="00C216CE">
          <w:rPr>
            <w:rStyle w:val="Hipervnculo"/>
            <w:noProof/>
          </w:rPr>
          <w:t>Naturaleza de los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0559" w:rsidRDefault="00B00559">
      <w:pPr>
        <w:pStyle w:val="TDC2"/>
        <w:tabs>
          <w:tab w:val="right" w:leader="underscore" w:pos="8488"/>
        </w:tabs>
        <w:rPr>
          <w:rFonts w:eastAsiaTheme="minorEastAsia"/>
          <w:b w:val="0"/>
          <w:bCs w:val="0"/>
          <w:noProof/>
          <w:sz w:val="24"/>
          <w:szCs w:val="24"/>
          <w:lang w:eastAsia="es-ES_tradnl"/>
        </w:rPr>
      </w:pPr>
      <w:hyperlink w:anchor="_Toc39458694" w:history="1">
        <w:r w:rsidRPr="00C216CE">
          <w:rPr>
            <w:rStyle w:val="Hipervnculo"/>
            <w:noProof/>
          </w:rPr>
          <w:t>Métodos utilizados durante el procedimiento de análisis.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0559" w:rsidRDefault="00B00559">
      <w:pPr>
        <w:pStyle w:val="TDC1"/>
        <w:tabs>
          <w:tab w:val="right" w:leader="underscore" w:pos="8488"/>
        </w:tabs>
        <w:rPr>
          <w:rFonts w:eastAsiaTheme="minorEastAsia"/>
          <w:b w:val="0"/>
          <w:bCs w:val="0"/>
          <w:i w:val="0"/>
          <w:iCs w:val="0"/>
          <w:noProof/>
          <w:lang w:eastAsia="es-ES_tradnl"/>
        </w:rPr>
      </w:pPr>
      <w:hyperlink w:anchor="_Toc39458695" w:history="1">
        <w:r w:rsidRPr="00C216CE">
          <w:rPr>
            <w:rStyle w:val="Hipervncul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0559" w:rsidRDefault="00B00559">
      <w:pPr>
        <w:pStyle w:val="TDC1"/>
        <w:tabs>
          <w:tab w:val="right" w:leader="underscore" w:pos="8488"/>
        </w:tabs>
        <w:rPr>
          <w:rFonts w:eastAsiaTheme="minorEastAsia"/>
          <w:b w:val="0"/>
          <w:bCs w:val="0"/>
          <w:i w:val="0"/>
          <w:iCs w:val="0"/>
          <w:noProof/>
          <w:lang w:eastAsia="es-ES_tradnl"/>
        </w:rPr>
      </w:pPr>
      <w:hyperlink w:anchor="_Toc39458696" w:history="1">
        <w:r w:rsidRPr="00C216CE">
          <w:rPr>
            <w:rStyle w:val="Hipervnculo"/>
            <w:noProof/>
          </w:rPr>
          <w:t>Discusión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458F" w:rsidRDefault="00B00559" w:rsidP="0009458F">
      <w:r>
        <w:fldChar w:fldCharType="end"/>
      </w:r>
    </w:p>
    <w:p w:rsidR="006942A0" w:rsidRDefault="006942A0" w:rsidP="0009458F"/>
    <w:p w:rsidR="0009458F" w:rsidRPr="0009458F" w:rsidRDefault="0009458F" w:rsidP="0009458F">
      <w:pPr>
        <w:rPr>
          <w:lang w:eastAsia="es-ES_tradnl"/>
        </w:rPr>
      </w:pPr>
      <w:r>
        <w:t xml:space="preserve">Repositorio de GitHub: </w:t>
      </w:r>
      <w:hyperlink r:id="rId7" w:history="1">
        <w:r w:rsidRPr="0009458F">
          <w:rPr>
            <w:color w:val="0000FF"/>
            <w:u w:val="single"/>
            <w:lang w:eastAsia="es-ES_tradnl"/>
          </w:rPr>
          <w:t>https://github.com/fcedron-ouc/ADO_PEC1</w:t>
        </w:r>
      </w:hyperlink>
    </w:p>
    <w:p w:rsidR="0009458F" w:rsidRDefault="0009458F" w:rsidP="0009458F"/>
    <w:p w:rsidR="0009458F" w:rsidRDefault="0009458F" w:rsidP="0009458F"/>
    <w:p w:rsidR="0009458F" w:rsidRDefault="0009458F" w:rsidP="0009458F">
      <w:pPr>
        <w:pStyle w:val="Ttulo1"/>
      </w:pPr>
      <w:bookmarkStart w:id="0" w:name="_Toc39458690"/>
      <w:proofErr w:type="spellStart"/>
      <w:r>
        <w:t>Abstract</w:t>
      </w:r>
      <w:bookmarkEnd w:id="0"/>
      <w:proofErr w:type="spellEnd"/>
    </w:p>
    <w:p w:rsidR="0009458F" w:rsidRDefault="0009458F" w:rsidP="0009458F">
      <w:r>
        <w:t>Este estudio muestra la r</w:t>
      </w:r>
      <w:r w:rsidRPr="0009458F">
        <w:t xml:space="preserve">eprogramación </w:t>
      </w:r>
      <w:proofErr w:type="spellStart"/>
      <w:r w:rsidRPr="0009458F">
        <w:t>transcripcional</w:t>
      </w:r>
      <w:proofErr w:type="spellEnd"/>
      <w:r w:rsidRPr="0009458F">
        <w:t xml:space="preserve"> dependiente de TLR de LXRα </w:t>
      </w:r>
      <w:proofErr w:type="spellStart"/>
      <w:r w:rsidRPr="0009458F">
        <w:t>cistrome</w:t>
      </w:r>
      <w:proofErr w:type="spellEnd"/>
      <w:r w:rsidRPr="0009458F">
        <w:t xml:space="preserve"> en macrófagos derivados de la médula ósea</w:t>
      </w:r>
    </w:p>
    <w:p w:rsidR="0009458F" w:rsidRDefault="0009458F" w:rsidP="0009458F">
      <w:pPr>
        <w:pStyle w:val="Ttulo1"/>
      </w:pPr>
      <w:bookmarkStart w:id="1" w:name="_Toc39458691"/>
      <w:r>
        <w:t>Objetivos</w:t>
      </w:r>
      <w:bookmarkEnd w:id="1"/>
    </w:p>
    <w:p w:rsidR="0009458F" w:rsidRPr="0009458F" w:rsidRDefault="0009458F" w:rsidP="0009458F">
      <w:r>
        <w:t>El estudio de</w:t>
      </w:r>
      <w:r w:rsidRPr="0009458F">
        <w:t xml:space="preserve"> la diferenciación celular de los macrófagos derivados de la médula ósea (BMDM), se aislaron médulas óseas de fémures y tibias</w:t>
      </w:r>
      <w:r w:rsidR="00B410CE">
        <w:t xml:space="preserve"> </w:t>
      </w:r>
      <w:r w:rsidRPr="0009458F">
        <w:t>de 8-10 semanas de edad del TW o LXRα-/- se aislaron ratones y se cultivaron durante 7 días en DMEM complementados con un 10% de medios acondicionados de células L-929 que expresan M-CSF y un 1% de antibióticos (penicilina y estreptomicina).</w:t>
      </w:r>
    </w:p>
    <w:p w:rsidR="0009458F" w:rsidRDefault="0009458F" w:rsidP="0009458F">
      <w:pPr>
        <w:pStyle w:val="Ttulo1"/>
      </w:pPr>
      <w:bookmarkStart w:id="2" w:name="_Toc39458692"/>
      <w:r>
        <w:t>Materiales y métodos</w:t>
      </w:r>
      <w:bookmarkEnd w:id="2"/>
    </w:p>
    <w:p w:rsidR="002172A4" w:rsidRPr="002172A4" w:rsidRDefault="002172A4" w:rsidP="002172A4">
      <w:pPr>
        <w:pStyle w:val="Ttulo2"/>
      </w:pPr>
      <w:bookmarkStart w:id="3" w:name="_Toc39458693"/>
      <w:r>
        <w:t>Naturaleza de los datos</w:t>
      </w:r>
      <w:bookmarkEnd w:id="3"/>
    </w:p>
    <w:p w:rsidR="00B410CE" w:rsidRDefault="00B410CE" w:rsidP="00B410CE">
      <w:r>
        <w:t xml:space="preserve">Los datos para este estudio se han obtenido desde la base de datos GEO cuyo identificador es </w:t>
      </w:r>
      <w:r w:rsidRPr="00B410CE">
        <w:t>GSE130586</w:t>
      </w:r>
      <w:r>
        <w:rPr>
          <w:rStyle w:val="Refdenotaalpie"/>
        </w:rPr>
        <w:footnoteReference w:id="1"/>
      </w:r>
      <w:r>
        <w:t xml:space="preserve">. La base de datos está </w:t>
      </w:r>
      <w:proofErr w:type="gramStart"/>
      <w:r>
        <w:t>formado</w:t>
      </w:r>
      <w:proofErr w:type="gramEnd"/>
      <w:r>
        <w:t xml:space="preserve"> por archivos en formato CEL que contienen 8 muestras y que son derivados de experimentos realizados con </w:t>
      </w:r>
      <w:proofErr w:type="spellStart"/>
      <w:r>
        <w:t>arrays</w:t>
      </w:r>
      <w:proofErr w:type="spellEnd"/>
      <w:r>
        <w:t xml:space="preserve"> de la marca </w:t>
      </w:r>
      <w:proofErr w:type="spellStart"/>
      <w:r>
        <w:t>Affymetrix</w:t>
      </w:r>
      <w:proofErr w:type="spellEnd"/>
      <w:r>
        <w:t>.</w:t>
      </w:r>
    </w:p>
    <w:p w:rsidR="00B410CE" w:rsidRDefault="00B410CE" w:rsidP="00B410CE">
      <w:pPr>
        <w:pStyle w:val="Ttulo2"/>
      </w:pPr>
      <w:bookmarkStart w:id="4" w:name="_Toc39458694"/>
      <w:r>
        <w:t>Métodos utilizados durante el procedimiento de análisis.</w:t>
      </w:r>
      <w:bookmarkEnd w:id="4"/>
    </w:p>
    <w:p w:rsidR="00B410CE" w:rsidRDefault="00B410CE" w:rsidP="002172A4">
      <w:r>
        <w:t>Este estudio está basado en el pipeline que se ha suge</w:t>
      </w:r>
      <w:r w:rsidR="002172A4">
        <w:t>rido en el enunciado de la PEC1 para el estudio de los 4 grupos que existen</w:t>
      </w:r>
      <w:r>
        <w:t>:</w:t>
      </w:r>
    </w:p>
    <w:tbl>
      <w:tblPr>
        <w:tblStyle w:val="Tablaconcuadrcula"/>
        <w:tblW w:w="8469" w:type="dxa"/>
        <w:tblLook w:val="04A0" w:firstRow="1" w:lastRow="0" w:firstColumn="1" w:lastColumn="0" w:noHBand="0" w:noVBand="1"/>
      </w:tblPr>
      <w:tblGrid>
        <w:gridCol w:w="3189"/>
        <w:gridCol w:w="2640"/>
        <w:gridCol w:w="2640"/>
      </w:tblGrid>
      <w:tr w:rsidR="002172A4" w:rsidRPr="00B410CE" w:rsidTr="002172A4">
        <w:trPr>
          <w:trHeight w:val="320"/>
        </w:trPr>
        <w:tc>
          <w:tcPr>
            <w:tcW w:w="3189" w:type="dxa"/>
            <w:shd w:val="clear" w:color="auto" w:fill="E7E6E6" w:themeFill="background2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b/>
                <w:lang w:eastAsia="es-ES_tradnl"/>
              </w:rPr>
            </w:pPr>
            <w:proofErr w:type="spellStart"/>
            <w:r w:rsidRPr="00B410CE">
              <w:rPr>
                <w:rFonts w:ascii="Calibri" w:eastAsia="Times New Roman" w:hAnsi="Calibri" w:cs="Calibri"/>
                <w:b/>
                <w:lang w:eastAsia="es-ES_tradnl"/>
              </w:rPr>
              <w:t>FileName</w:t>
            </w:r>
            <w:proofErr w:type="spellEnd"/>
          </w:p>
        </w:tc>
        <w:tc>
          <w:tcPr>
            <w:tcW w:w="2640" w:type="dxa"/>
            <w:shd w:val="clear" w:color="auto" w:fill="E7E6E6" w:themeFill="background2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b/>
                <w:lang w:eastAsia="es-ES_tradnl"/>
              </w:rPr>
            </w:pPr>
            <w:proofErr w:type="spellStart"/>
            <w:r w:rsidRPr="00B410CE">
              <w:rPr>
                <w:rFonts w:ascii="Calibri" w:eastAsia="Times New Roman" w:hAnsi="Calibri" w:cs="Calibri"/>
                <w:b/>
                <w:lang w:eastAsia="es-ES_tradnl"/>
              </w:rPr>
              <w:t>Group</w:t>
            </w:r>
            <w:proofErr w:type="spellEnd"/>
          </w:p>
        </w:tc>
        <w:tc>
          <w:tcPr>
            <w:tcW w:w="2640" w:type="dxa"/>
            <w:shd w:val="clear" w:color="auto" w:fill="E7E6E6" w:themeFill="background2"/>
          </w:tcPr>
          <w:p w:rsidR="002172A4" w:rsidRPr="002172A4" w:rsidRDefault="002172A4" w:rsidP="00B410CE">
            <w:pPr>
              <w:jc w:val="left"/>
              <w:rPr>
                <w:rFonts w:ascii="Calibri" w:eastAsia="Times New Roman" w:hAnsi="Calibri" w:cs="Calibri"/>
                <w:b/>
                <w:lang w:eastAsia="es-ES_tradnl"/>
              </w:rPr>
            </w:pPr>
            <w:r w:rsidRPr="002172A4">
              <w:rPr>
                <w:rFonts w:ascii="Calibri" w:eastAsia="Times New Roman" w:hAnsi="Calibri" w:cs="Calibri"/>
                <w:b/>
                <w:lang w:eastAsia="es-ES_tradnl"/>
              </w:rPr>
              <w:t>Significado</w:t>
            </w:r>
          </w:p>
        </w:tc>
      </w:tr>
      <w:tr w:rsidR="002172A4" w:rsidRPr="00B410CE" w:rsidTr="002172A4">
        <w:trPr>
          <w:trHeight w:val="320"/>
        </w:trPr>
        <w:tc>
          <w:tcPr>
            <w:tcW w:w="3189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lastRenderedPageBreak/>
              <w:t>GSM3744179_WT_1.CEL</w:t>
            </w:r>
          </w:p>
        </w:tc>
        <w:tc>
          <w:tcPr>
            <w:tcW w:w="2640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WT_ntBmdms</w:t>
            </w:r>
            <w:proofErr w:type="spellEnd"/>
          </w:p>
        </w:tc>
        <w:tc>
          <w:tcPr>
            <w:tcW w:w="2640" w:type="dxa"/>
            <w:vMerge w:val="restart"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Ratón salvaje no tratado</w:t>
            </w:r>
          </w:p>
        </w:tc>
      </w:tr>
      <w:tr w:rsidR="002172A4" w:rsidRPr="00B410CE" w:rsidTr="002172A4">
        <w:trPr>
          <w:trHeight w:val="320"/>
        </w:trPr>
        <w:tc>
          <w:tcPr>
            <w:tcW w:w="3189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GSM3744180_WT_2.CEL</w:t>
            </w:r>
          </w:p>
        </w:tc>
        <w:tc>
          <w:tcPr>
            <w:tcW w:w="2640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WT_ntBmdms</w:t>
            </w:r>
            <w:proofErr w:type="spellEnd"/>
          </w:p>
        </w:tc>
        <w:tc>
          <w:tcPr>
            <w:tcW w:w="2640" w:type="dxa"/>
            <w:vMerge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  <w:tr w:rsidR="002172A4" w:rsidRPr="00B410CE" w:rsidTr="002172A4">
        <w:trPr>
          <w:trHeight w:val="320"/>
        </w:trPr>
        <w:tc>
          <w:tcPr>
            <w:tcW w:w="3189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GSM3744181_WT_LPS_1.CEL</w:t>
            </w:r>
          </w:p>
        </w:tc>
        <w:tc>
          <w:tcPr>
            <w:tcW w:w="2640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WT_Bmdms</w:t>
            </w:r>
            <w:proofErr w:type="spellEnd"/>
          </w:p>
        </w:tc>
        <w:tc>
          <w:tcPr>
            <w:tcW w:w="2640" w:type="dxa"/>
            <w:vMerge w:val="restart"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Ratón salvaje tratado</w:t>
            </w:r>
          </w:p>
        </w:tc>
      </w:tr>
      <w:tr w:rsidR="002172A4" w:rsidRPr="00B410CE" w:rsidTr="002172A4">
        <w:trPr>
          <w:trHeight w:val="320"/>
        </w:trPr>
        <w:tc>
          <w:tcPr>
            <w:tcW w:w="3189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GSM3744182_WT_LPS_2.CEL</w:t>
            </w:r>
          </w:p>
        </w:tc>
        <w:tc>
          <w:tcPr>
            <w:tcW w:w="2640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WT_Bmdms</w:t>
            </w:r>
            <w:proofErr w:type="spellEnd"/>
          </w:p>
        </w:tc>
        <w:tc>
          <w:tcPr>
            <w:tcW w:w="2640" w:type="dxa"/>
            <w:vMerge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  <w:tr w:rsidR="002172A4" w:rsidRPr="00B410CE" w:rsidTr="002172A4">
        <w:trPr>
          <w:trHeight w:val="320"/>
        </w:trPr>
        <w:tc>
          <w:tcPr>
            <w:tcW w:w="3189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GSM3744183_aKO_1.CEL</w:t>
            </w:r>
          </w:p>
        </w:tc>
        <w:tc>
          <w:tcPr>
            <w:tcW w:w="2640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aKO_ntBmdms</w:t>
            </w:r>
            <w:proofErr w:type="spellEnd"/>
          </w:p>
        </w:tc>
        <w:tc>
          <w:tcPr>
            <w:tcW w:w="2640" w:type="dxa"/>
            <w:vMerge w:val="restart"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Ratón de laboratorio no tratado</w:t>
            </w:r>
          </w:p>
        </w:tc>
      </w:tr>
      <w:tr w:rsidR="002172A4" w:rsidRPr="00B410CE" w:rsidTr="002172A4">
        <w:trPr>
          <w:trHeight w:val="320"/>
        </w:trPr>
        <w:tc>
          <w:tcPr>
            <w:tcW w:w="3189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GSM3744184_aKO_2.CEL</w:t>
            </w:r>
          </w:p>
        </w:tc>
        <w:tc>
          <w:tcPr>
            <w:tcW w:w="2640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aKO_ntBmdms</w:t>
            </w:r>
            <w:proofErr w:type="spellEnd"/>
          </w:p>
        </w:tc>
        <w:tc>
          <w:tcPr>
            <w:tcW w:w="2640" w:type="dxa"/>
            <w:vMerge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  <w:tr w:rsidR="002172A4" w:rsidRPr="00B410CE" w:rsidTr="002172A4">
        <w:trPr>
          <w:trHeight w:val="320"/>
        </w:trPr>
        <w:tc>
          <w:tcPr>
            <w:tcW w:w="3189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GSM3744185_aKO_LPS_1.CEL</w:t>
            </w:r>
          </w:p>
        </w:tc>
        <w:tc>
          <w:tcPr>
            <w:tcW w:w="2640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aKO_Bmdms</w:t>
            </w:r>
            <w:proofErr w:type="spellEnd"/>
          </w:p>
        </w:tc>
        <w:tc>
          <w:tcPr>
            <w:tcW w:w="2640" w:type="dxa"/>
            <w:vMerge w:val="restart"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Ratón de laboratorio tratado</w:t>
            </w:r>
          </w:p>
        </w:tc>
      </w:tr>
      <w:tr w:rsidR="002172A4" w:rsidRPr="00B410CE" w:rsidTr="002172A4">
        <w:trPr>
          <w:trHeight w:val="320"/>
        </w:trPr>
        <w:tc>
          <w:tcPr>
            <w:tcW w:w="3189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GSM3744186_aKO_LPS_2.CEL</w:t>
            </w:r>
          </w:p>
        </w:tc>
        <w:tc>
          <w:tcPr>
            <w:tcW w:w="2640" w:type="dxa"/>
            <w:noWrap/>
            <w:hideMark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B410CE">
              <w:rPr>
                <w:rFonts w:ascii="Calibri" w:eastAsia="Times New Roman" w:hAnsi="Calibri" w:cs="Calibri"/>
                <w:color w:val="000000"/>
                <w:lang w:eastAsia="es-ES_tradnl"/>
              </w:rPr>
              <w:t>aKO_Bmdms</w:t>
            </w:r>
            <w:proofErr w:type="spellEnd"/>
          </w:p>
        </w:tc>
        <w:tc>
          <w:tcPr>
            <w:tcW w:w="2640" w:type="dxa"/>
            <w:vMerge/>
          </w:tcPr>
          <w:p w:rsidR="002172A4" w:rsidRPr="00B410CE" w:rsidRDefault="002172A4" w:rsidP="00B410CE">
            <w:pPr>
              <w:jc w:val="lef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</w:tbl>
    <w:p w:rsidR="00B410CE" w:rsidRDefault="002172A4" w:rsidP="002172A4">
      <w:pPr>
        <w:pStyle w:val="Ttulo1"/>
      </w:pPr>
      <w:bookmarkStart w:id="5" w:name="_Toc39458695"/>
      <w:r>
        <w:t>Resultados</w:t>
      </w:r>
      <w:bookmarkEnd w:id="5"/>
    </w:p>
    <w:p w:rsidR="00D903EF" w:rsidRDefault="00D903EF" w:rsidP="00B00559">
      <w:r>
        <w:t xml:space="preserve">La función </w:t>
      </w:r>
      <w:proofErr w:type="spellStart"/>
      <w:r>
        <w:t>arrayQualityMetrics</w:t>
      </w:r>
      <w:proofErr w:type="spellEnd"/>
      <w:r>
        <w:t xml:space="preserve"> proporciona una tabla resumen con los nombres de los </w:t>
      </w:r>
      <w:proofErr w:type="spellStart"/>
      <w:r>
        <w:t>arrays</w:t>
      </w:r>
      <w:proofErr w:type="spellEnd"/>
      <w:r>
        <w:t>.</w:t>
      </w:r>
    </w:p>
    <w:p w:rsidR="00D8550B" w:rsidRDefault="00D8550B" w:rsidP="00B00559">
      <w:r>
        <w:rPr>
          <w:noProof/>
        </w:rPr>
        <w:drawing>
          <wp:inline distT="0" distB="0" distL="0" distR="0">
            <wp:extent cx="3276600" cy="113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5-04 a las 4.16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0B" w:rsidRDefault="00D8550B" w:rsidP="00B00559">
      <w:r>
        <w:t xml:space="preserve">Esta función también proporciona un </w:t>
      </w:r>
      <w:proofErr w:type="spellStart"/>
      <w:r>
        <w:t>heatmap</w:t>
      </w:r>
      <w:proofErr w:type="spellEnd"/>
      <w:r>
        <w:t xml:space="preserve"> con las distancias entre los diferentes </w:t>
      </w:r>
      <w:proofErr w:type="spellStart"/>
      <w:r>
        <w:t>arrays</w:t>
      </w:r>
      <w:proofErr w:type="spellEnd"/>
      <w:r>
        <w:t>.</w:t>
      </w:r>
    </w:p>
    <w:p w:rsidR="00D8550B" w:rsidRDefault="00B44175" w:rsidP="00B00559">
      <w:r>
        <w:rPr>
          <w:noProof/>
        </w:rPr>
        <w:drawing>
          <wp:inline distT="0" distB="0" distL="0" distR="0">
            <wp:extent cx="2552700" cy="163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0B" w:rsidRDefault="00B44175" w:rsidP="00B00559">
      <w:r>
        <w:t xml:space="preserve">Otro de los gráficos que nos proporciona está función es la de </w:t>
      </w:r>
      <w:proofErr w:type="spellStart"/>
      <w:r>
        <w:t>boxplot</w:t>
      </w:r>
      <w:proofErr w:type="spellEnd"/>
      <w:r>
        <w:t xml:space="preserve"> de los </w:t>
      </w:r>
      <w:proofErr w:type="spellStart"/>
      <w:r>
        <w:t>arrays</w:t>
      </w:r>
      <w:proofErr w:type="spellEnd"/>
      <w:r>
        <w:t xml:space="preserve"> normalizados, donde se puede ver que </w:t>
      </w:r>
      <w:r w:rsidR="00F865BC">
        <w:t>coloca los valores entre el mismo rango de valores.</w:t>
      </w:r>
    </w:p>
    <w:p w:rsidR="00F865BC" w:rsidRDefault="00F865BC" w:rsidP="00B00559">
      <w:r>
        <w:rPr>
          <w:noProof/>
        </w:rPr>
        <w:drawing>
          <wp:inline distT="0" distB="0" distL="0" distR="0">
            <wp:extent cx="2743200" cy="1562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BC" w:rsidRPr="00D903EF" w:rsidRDefault="00F865BC" w:rsidP="00B00559">
      <w:r>
        <w:t xml:space="preserve">Otro de los gráficos que se muestran son los MA </w:t>
      </w:r>
      <w:proofErr w:type="spellStart"/>
      <w:r>
        <w:t>plot</w:t>
      </w:r>
      <w:proofErr w:type="spellEnd"/>
      <w:r>
        <w:t xml:space="preserve">, donde se puede ver que los ocho </w:t>
      </w:r>
      <w:proofErr w:type="spellStart"/>
      <w:r>
        <w:t>arrays</w:t>
      </w:r>
      <w:proofErr w:type="spellEnd"/>
      <w:r>
        <w:t xml:space="preserve"> tienen una dispersión muy parecida.</w:t>
      </w:r>
    </w:p>
    <w:p w:rsidR="00F865BC" w:rsidRDefault="00F865BC" w:rsidP="00B00559">
      <w:r>
        <w:rPr>
          <w:noProof/>
        </w:rPr>
        <w:lastRenderedPageBreak/>
        <w:drawing>
          <wp:inline distT="0" distB="0" distL="0" distR="0">
            <wp:extent cx="5396230" cy="224853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BC" w:rsidRDefault="00F321E2" w:rsidP="00B00559">
      <w:r>
        <w:t xml:space="preserve">El resto de valores y gráficos se pueden consultar en el repositorio </w:t>
      </w:r>
      <w:hyperlink r:id="rId12" w:history="1">
        <w:r w:rsidRPr="0009458F">
          <w:rPr>
            <w:color w:val="0000FF"/>
            <w:u w:val="single"/>
            <w:lang w:eastAsia="es-ES_tradnl"/>
          </w:rPr>
          <w:t>https://github.com/fcedron-ouc/ADO_PEC1</w:t>
        </w:r>
      </w:hyperlink>
    </w:p>
    <w:p w:rsidR="002172A4" w:rsidRDefault="002172A4" w:rsidP="002172A4">
      <w:pPr>
        <w:pStyle w:val="Ttulo1"/>
      </w:pPr>
      <w:bookmarkStart w:id="6" w:name="_Toc39458696"/>
      <w:r>
        <w:t>Discusión</w:t>
      </w:r>
      <w:bookmarkEnd w:id="6"/>
    </w:p>
    <w:p w:rsidR="002172A4" w:rsidRDefault="002172A4" w:rsidP="002172A4">
      <w:r>
        <w:t xml:space="preserve">El objetivo de seleccionar este estudio, es que aún no estaba publicado y poder enfrentarme a ciegas a un </w:t>
      </w:r>
      <w:proofErr w:type="spellStart"/>
      <w:r>
        <w:t>dataset</w:t>
      </w:r>
      <w:proofErr w:type="spellEnd"/>
      <w:r>
        <w:t xml:space="preserve"> para después, cuando salga publicado poder comparar los resultados obtenidos por el autor del artículo.</w:t>
      </w:r>
    </w:p>
    <w:p w:rsidR="002172A4" w:rsidRPr="002172A4" w:rsidRDefault="002172A4" w:rsidP="002172A4">
      <w:r>
        <w:t xml:space="preserve">La limitación que existe, es que ha día de hoy solo se puede saber cual es el título del artículo y su </w:t>
      </w:r>
      <w:proofErr w:type="spellStart"/>
      <w:r>
        <w:t>abstract</w:t>
      </w:r>
      <w:proofErr w:type="spellEnd"/>
      <w:r>
        <w:t>.</w:t>
      </w:r>
      <w:bookmarkStart w:id="7" w:name="_GoBack"/>
      <w:bookmarkEnd w:id="7"/>
    </w:p>
    <w:sectPr w:rsidR="002172A4" w:rsidRPr="002172A4" w:rsidSect="00845A2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6E5" w:rsidRDefault="000956E5" w:rsidP="00B410CE">
      <w:r>
        <w:separator/>
      </w:r>
    </w:p>
  </w:endnote>
  <w:endnote w:type="continuationSeparator" w:id="0">
    <w:p w:rsidR="000956E5" w:rsidRDefault="000956E5" w:rsidP="00B4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6E5" w:rsidRDefault="000956E5" w:rsidP="00B410CE">
      <w:r>
        <w:separator/>
      </w:r>
    </w:p>
  </w:footnote>
  <w:footnote w:type="continuationSeparator" w:id="0">
    <w:p w:rsidR="000956E5" w:rsidRDefault="000956E5" w:rsidP="00B410CE">
      <w:r>
        <w:continuationSeparator/>
      </w:r>
    </w:p>
  </w:footnote>
  <w:footnote w:id="1">
    <w:p w:rsidR="00B410CE" w:rsidRPr="00B410CE" w:rsidRDefault="00B410CE">
      <w:pPr>
        <w:pStyle w:val="Textonotapie"/>
        <w:rPr>
          <w:lang w:val="en-GB"/>
        </w:rPr>
      </w:pPr>
      <w:r>
        <w:rPr>
          <w:rStyle w:val="Refdenotaalpie"/>
        </w:rPr>
        <w:footnoteRef/>
      </w:r>
      <w:r>
        <w:t xml:space="preserve"> </w:t>
      </w:r>
      <w:r w:rsidRPr="00B410CE">
        <w:t>https://www.ncbi.nlm.nih.gov/geo/query/acc.cgi?acc=GSE130586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6B"/>
    <w:rsid w:val="0009458F"/>
    <w:rsid w:val="000956E5"/>
    <w:rsid w:val="002172A4"/>
    <w:rsid w:val="0025766B"/>
    <w:rsid w:val="00451A54"/>
    <w:rsid w:val="004F39CA"/>
    <w:rsid w:val="00517E58"/>
    <w:rsid w:val="00687B89"/>
    <w:rsid w:val="006942A0"/>
    <w:rsid w:val="007E5246"/>
    <w:rsid w:val="00845A2C"/>
    <w:rsid w:val="00B00559"/>
    <w:rsid w:val="00B410CE"/>
    <w:rsid w:val="00B44175"/>
    <w:rsid w:val="00D8550B"/>
    <w:rsid w:val="00D903EF"/>
    <w:rsid w:val="00DF35E1"/>
    <w:rsid w:val="00EF2395"/>
    <w:rsid w:val="00F321E2"/>
    <w:rsid w:val="00F8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6E6AA"/>
  <w15:chartTrackingRefBased/>
  <w15:docId w15:val="{BE504BBD-7D2E-9E44-992B-E9A42B7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58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945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0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458F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58F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9458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9458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94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10C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410C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410CE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41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delista3-nfasis1">
    <w:name w:val="List Table 3 Accent 1"/>
    <w:basedOn w:val="Tablanormal"/>
    <w:uiPriority w:val="48"/>
    <w:rsid w:val="00B410CE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217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942A0"/>
    <w:pPr>
      <w:spacing w:before="480" w:line="276" w:lineRule="auto"/>
      <w:jc w:val="left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6942A0"/>
    <w:pPr>
      <w:spacing w:before="120"/>
      <w:jc w:val="left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6942A0"/>
    <w:pPr>
      <w:spacing w:before="120"/>
      <w:ind w:left="240"/>
      <w:jc w:val="left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6942A0"/>
    <w:pPr>
      <w:ind w:left="48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942A0"/>
    <w:pPr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942A0"/>
    <w:pPr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942A0"/>
    <w:pPr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942A0"/>
    <w:pPr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942A0"/>
    <w:pPr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942A0"/>
    <w:pPr>
      <w:ind w:left="1920"/>
      <w:jc w:val="left"/>
    </w:pPr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00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cedron-ouc/ADO_PEC1" TargetMode="External"/><Relationship Id="rId12" Type="http://schemas.openxmlformats.org/officeDocument/2006/relationships/hyperlink" Target="https://github.com/fcedron-ouc/ADO_PEC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32D09B-1A92-F142-80F9-F94FA624E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Abel Cedrón Santaeufemia</dc:creator>
  <cp:keywords/>
  <dc:description/>
  <cp:lastModifiedBy>Francisco Abel Cedrón Santaeufemia</cp:lastModifiedBy>
  <cp:revision>8</cp:revision>
  <dcterms:created xsi:type="dcterms:W3CDTF">2020-05-04T01:44:00Z</dcterms:created>
  <dcterms:modified xsi:type="dcterms:W3CDTF">2020-05-04T02:24:00Z</dcterms:modified>
</cp:coreProperties>
</file>