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32.30769230769226" w:lineRule="auto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z9wzip13y0hw" w:id="0"/>
      <w:bookmarkEnd w:id="0"/>
      <w:r w:rsidDel="00000000" w:rsidR="00000000" w:rsidRPr="00000000">
        <w:rPr>
          <w:b w:val="1"/>
          <w:color w:val="0095d3"/>
          <w:sz w:val="36"/>
          <w:szCs w:val="36"/>
          <w:highlight w:val="white"/>
          <w:rtl w:val="0"/>
        </w:rPr>
        <w:t xml:space="preserve">Setting Up a Certification Authority</w:t>
      </w:r>
      <w:r w:rsidDel="00000000" w:rsidR="00000000" w:rsidRPr="00000000">
        <w:rPr>
          <w:b w:val="1"/>
          <w:color w:val="0095d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Open Server Manager,click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 Add Roles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, click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 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,and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Active Directory Certificate Services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two times.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Select Role Services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Certification Authority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Specify Setup Type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Enterprise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Specify CA Type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 page,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Root CA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For more information, see </w:t>
      </w:r>
      <w:hyperlink r:id="rId6">
        <w:r w:rsidDel="00000000" w:rsidR="00000000" w:rsidRPr="00000000">
          <w:rPr>
            <w:rFonts w:ascii="Verdana" w:cs="Verdana" w:eastAsia="Verdana" w:hAnsi="Verdana"/>
            <w:color w:val="00709f"/>
            <w:sz w:val="20"/>
            <w:szCs w:val="20"/>
            <w:rtl w:val="0"/>
          </w:rPr>
          <w:t xml:space="preserve">Types of Certification Authorities</w:t>
        </w:r>
      </w:hyperlink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Set Up Private Key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Create a new private key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Configure Cryptography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select a cryptographic service provider, key length, and hash algorithm.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For more information, see </w:t>
      </w:r>
      <w:hyperlink r:id="rId7">
        <w:r w:rsidDel="00000000" w:rsidR="00000000" w:rsidRPr="00000000">
          <w:rPr>
            <w:rFonts w:ascii="Verdana" w:cs="Verdana" w:eastAsia="Verdana" w:hAnsi="Verdana"/>
            <w:color w:val="00709f"/>
            <w:sz w:val="20"/>
            <w:szCs w:val="20"/>
            <w:rtl w:val="0"/>
          </w:rPr>
          <w:t xml:space="preserve">Cryptographic Options for CAs</w:t>
        </w:r>
      </w:hyperlink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Configure CA Name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create a unique name to identify the CA.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For more information, see </w:t>
      </w:r>
      <w:hyperlink r:id="rId8">
        <w:r w:rsidDel="00000000" w:rsidR="00000000" w:rsidRPr="00000000">
          <w:rPr>
            <w:rFonts w:ascii="Verdana" w:cs="Verdana" w:eastAsia="Verdana" w:hAnsi="Verdana"/>
            <w:color w:val="00709f"/>
            <w:sz w:val="20"/>
            <w:szCs w:val="20"/>
            <w:rtl w:val="0"/>
          </w:rPr>
          <w:t xml:space="preserve">Certification Authority Naming</w:t>
        </w:r>
      </w:hyperlink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Set Validity Period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specify the number of years or months that the root CA certificate will be valid.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Configure Certificate Database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accept the default locations unless you want to specify a custom location for the certificate database and certificate database log.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For more information, see </w:t>
      </w:r>
      <w:hyperlink r:id="rId9">
        <w:r w:rsidDel="00000000" w:rsidR="00000000" w:rsidRPr="00000000">
          <w:rPr>
            <w:rFonts w:ascii="Verdana" w:cs="Verdana" w:eastAsia="Verdana" w:hAnsi="Verdana"/>
            <w:color w:val="00709f"/>
            <w:sz w:val="20"/>
            <w:szCs w:val="20"/>
            <w:rtl w:val="0"/>
          </w:rPr>
          <w:t xml:space="preserve">Certificates Database</w:t>
        </w:r>
      </w:hyperlink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On the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Confirm Installation Options 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page, review all of the configuration settings that you have selected. If you want to accept all of these options, click </w:t>
      </w:r>
      <w:r w:rsidDel="00000000" w:rsidR="00000000" w:rsidRPr="00000000">
        <w:rPr>
          <w:rFonts w:ascii="Verdana" w:cs="Verdana" w:eastAsia="Verdana" w:hAnsi="Verdana"/>
          <w:b w:val="1"/>
          <w:color w:val="2a2a2a"/>
          <w:sz w:val="20"/>
          <w:szCs w:val="20"/>
          <w:rtl w:val="0"/>
        </w:rPr>
        <w:t xml:space="preserve">Install</w:t>
      </w:r>
      <w:r w:rsidDel="00000000" w:rsidR="00000000" w:rsidRPr="00000000">
        <w:rPr>
          <w:rFonts w:ascii="Verdana" w:cs="Verdana" w:eastAsia="Verdana" w:hAnsi="Verdana"/>
          <w:color w:val="2a2a2a"/>
          <w:sz w:val="20"/>
          <w:szCs w:val="20"/>
          <w:rtl w:val="0"/>
        </w:rPr>
        <w:t xml:space="preserve"> and wait until the setup process has finished.</w:t>
      </w:r>
    </w:p>
    <w:p w:rsidR="00000000" w:rsidDel="00000000" w:rsidP="00000000" w:rsidRDefault="00000000" w:rsidRPr="00000000" w14:paraId="0000001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net.microsoft.com/en-us/library/cc770463(v=ws.11)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technet.microsoft.com/en-us/library/cc732368(v=ws.11).aspx" TargetMode="External"/><Relationship Id="rId7" Type="http://schemas.openxmlformats.org/officeDocument/2006/relationships/hyperlink" Target="https://technet.microsoft.com/en-us/library/cc731828(v=ws.11).aspx" TargetMode="External"/><Relationship Id="rId8" Type="http://schemas.openxmlformats.org/officeDocument/2006/relationships/hyperlink" Target="https://technet.microsoft.com/en-us/library/cc770402(v=ws.1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