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300"/>
      </w:pPr>
      <w:r>
        <w:rPr>
          <w:rFonts w:ascii="Calibri" w:cs="Calibri" w:eastAsia="Calibri" w:hAnsi="Calibri"/>
        </w:rPr>
        <w:t xml:space="preserve">Task 1: Summarize Key Learning Outcomes</w:t>
      </w:r>
    </w:p>
    <w:p>
      <w:pPr>
        <w:spacing w:after="200" w:line="276"/>
      </w:pPr>
      <w:r>
        <w:rPr>
          <w:rFonts w:ascii="Calibri" w:cs="Calibri" w:eastAsia="Calibri" w:hAnsi="Calibri"/>
          <w:sz w:val="22"/>
          <w:szCs w:val="22"/>
        </w:rPr>
        <w:t xml:space="preserve">This module's three core learning objectives, secure coding practice, advanced object-oriented principles, and design patterns for reusable and maintainable code, were not learned in isolation. Each showed up repeatedly across units in ways that connected back to a decades-long background in network and systems administration, while also exposing genuine gaps that required real, ground-up learning. Full artefacts supporting every claim below are available at </w:t>
      </w:r>
      <w:hyperlink w:history="1" r:id="rIdcprtuuhlyetfuxqa0ogji">
        <w:r>
          <w:rPr>
            <w:rStyle w:val="Hyperlink"/>
            <w:rFonts w:ascii="Calibri" w:cs="Calibri" w:eastAsia="Calibri" w:hAnsi="Calibri"/>
            <w:color w:val="0563C1"/>
            <w:sz w:val="22"/>
            <w:szCs w:val="22"/>
            <w:u w:val="single"/>
          </w:rPr>
          <w:t xml:space="preserve">the project GitHub repository</w:t>
        </w:r>
      </w:hyperlink>
      <w:r>
        <w:rPr>
          <w:rFonts w:ascii="Calibri" w:cs="Calibri" w:eastAsia="Calibri" w:hAnsi="Calibri"/>
          <w:sz w:val="22"/>
          <w:szCs w:val="22"/>
        </w:rPr>
        <w:t xml:space="preserve">.</w:t>
      </w:r>
    </w:p>
    <w:p>
      <w:pPr>
        <w:spacing w:after="200" w:line="276"/>
      </w:pPr>
      <w:r>
        <w:rPr>
          <w:rFonts w:ascii="Calibri" w:cs="Calibri" w:eastAsia="Calibri" w:hAnsi="Calibri"/>
          <w:b/>
          <w:bCs/>
          <w:sz w:val="22"/>
          <w:szCs w:val="22"/>
        </w:rPr>
        <w:t xml:space="preserve">Secure coding practices </w:t>
      </w:r>
      <w:r>
        <w:rPr>
          <w:rFonts w:ascii="Calibri" w:cs="Calibri" w:eastAsia="Calibri" w:hAnsi="Calibri"/>
          <w:sz w:val="22"/>
          <w:szCs w:val="22"/>
        </w:rPr>
        <w:t xml:space="preserve">were the area where prior professional experience translated most directly into code. The Unit 7 authentication system applied bcrypt password hashing, a NIST SP 800-63B-aligned password policy, and exponential-backoff rate limiting, translating knowledge already held from years of practical familiarity with NIST and OWASP guidance into working Python rather than acquiring new concepts. The same security thinking carried into Unit 9's ShopEase architecture, where payment data is never touched by the application's own code at all; PaymentGateway.charge(amount) and RefundHandler.refund(amount) accept only a monetary amount, keeping card capture and validation entirely inside the payment provider's own systems by design, not as an afterthought.</w:t>
      </w:r>
    </w:p>
    <w:p>
      <w:pPr>
        <w:spacing w:after="200" w:line="276"/>
      </w:pPr>
      <w:r>
        <w:rPr>
          <w:rFonts w:ascii="Calibri" w:cs="Calibri" w:eastAsia="Calibri" w:hAnsi="Calibri"/>
          <w:b/>
          <w:bCs/>
          <w:sz w:val="22"/>
          <w:szCs w:val="22"/>
        </w:rPr>
        <w:t xml:space="preserve">Advanced object-oriented principles, </w:t>
      </w:r>
      <w:r>
        <w:rPr>
          <w:rFonts w:ascii="Calibri" w:cs="Calibri" w:eastAsia="Calibri" w:hAnsi="Calibri"/>
          <w:sz w:val="22"/>
          <w:szCs w:val="22"/>
        </w:rPr>
        <w:t xml:space="preserve">SOLID in particular, were familiar in outline from an undergraduate degree in the early 2000s and years of object-oriented Perl, but required real relearning once formal design patterns entered the picture. The Unit 2 refactor of a payment system worked through all five SOLID principles explicitly: separating payment logic out of an Order class (SRP), isolating each payment method into its own extensible class (OCP), ensuring every payment class honoured its contract without exception (LSP), keeping the PaymentMethod interface narrow enough that no child class was forced into a dishonest implementation (ISP), and having Order depend on that abstraction rather than any concrete payment class (DIP). Unit 6's thread-safe banking system extended this into concurrency specifically: encapsulating a private lock inside BankAccount, and using constructor-injected dependencies in TransactionSimulator so it could be tested against accounts with known starting balances rather than ones it created internally.</w:t>
      </w:r>
    </w:p>
    <w:p>
      <w:pPr>
        <w:spacing w:after="200" w:line="276"/>
      </w:pPr>
      <w:r>
        <w:rPr>
          <w:rFonts w:ascii="Calibri" w:cs="Calibri" w:eastAsia="Calibri" w:hAnsi="Calibri"/>
          <w:b/>
          <w:bCs/>
          <w:sz w:val="22"/>
          <w:szCs w:val="22"/>
        </w:rPr>
        <w:t xml:space="preserve">Design patterns for reusable, maintainable, and flexible code </w:t>
      </w:r>
      <w:r>
        <w:rPr>
          <w:rFonts w:ascii="Calibri" w:cs="Calibri" w:eastAsia="Calibri" w:hAnsi="Calibri"/>
          <w:sz w:val="22"/>
          <w:szCs w:val="22"/>
        </w:rPr>
        <w:t xml:space="preserve">ran throughout, most consistently through the Strategy pattern, applied twice in genuinely different contexts: a payment-processing refactor in Unit 5, and a discount-calculation refactor in Unit 8. Working through both surfaced a real inconsistency worth naming honestly here: a Unit 5 peer review argued that a classmate's dictionary-based strategy lookup still violated the Open/Closed Principle, since adding a new type meant editing the map, yet the Unit 8 refactor used the identical structure without noticing the contradiction until the two units were compared side by side. That gap, and recognizing it, is addressed further in Task 2 and in the accompanying skill development reflection.</w:t>
      </w:r>
    </w:p>
    <w:p>
      <w:pPr>
        <w:spacing w:after="200" w:line="276"/>
      </w:pPr>
      <w:r>
        <w:rPr>
          <w:rFonts w:ascii="Calibri" w:cs="Calibri" w:eastAsia="Calibri" w:hAnsi="Calibri"/>
          <w:b/>
          <w:bCs/>
          <w:sz w:val="22"/>
          <w:szCs w:val="22"/>
        </w:rPr>
        <w:t xml:space="preserve">Advanced design patterns, practical application. </w:t>
      </w:r>
      <w:r>
        <w:rPr>
          <w:rFonts w:ascii="Calibri" w:cs="Calibri" w:eastAsia="Calibri" w:hAnsi="Calibri"/>
          <w:sz w:val="22"/>
          <w:szCs w:val="22"/>
        </w:rPr>
        <w:t xml:space="preserve">Strategy is demonstrated with full working code and tests in Units 5 and 8. Decorator, Visitor, and Abstract Factory are addressed in Task 2 below; Visitor and Abstract Factory currently exist as fully reasoned architectural design (Unit 9), with implementation of the remaining classes in progress, and Decorator's implementation is being completed as part of Unit 10's secure e-learning platform, where it wraps course and user actions with logging and security checks. Each pattern is linked explicitly, in its own section, to runtime behavioral flexibility, separation of concerns, and scalability, since the brief asks for that connection to be made rather than assumed.</w:t>
      </w:r>
    </w:p>
    <w:p>
      <w:pPr>
        <w:spacing w:after="200" w:line="276"/>
      </w:pPr>
      <w:r>
        <w:rPr>
          <w:rFonts w:ascii="Calibri" w:cs="Calibri" w:eastAsia="Calibri" w:hAnsi="Calibri"/>
          <w:b/>
          <w:bCs/>
          <w:sz w:val="22"/>
          <w:szCs w:val="22"/>
        </w:rPr>
        <w:t xml:space="preserve">AI-oriented OO patterns, conceptual awareness. </w:t>
      </w:r>
      <w:r>
        <w:rPr>
          <w:rFonts w:ascii="Calibri" w:cs="Calibri" w:eastAsia="Calibri" w:hAnsi="Calibri"/>
          <w:sz w:val="22"/>
          <w:szCs w:val="22"/>
        </w:rPr>
        <w:t xml:space="preserve">Unit 9's ShopEase architecture was deliberately designed so that a Feature Store and Model Registry could be introduced later without restructuring the system, the same extensibility reasoning already used for its Abstract Factory design. This is developed further, and grounded in a concrete, personal use case, in Unit 10's work on the GPS tracking platform discussed in Task 4.</w:t>
      </w:r>
    </w:p>
    <w:p>
      <w:pPr>
        <w:spacing w:after="200" w:line="276"/>
      </w:pPr>
      <w:r>
        <w:rPr>
          <w:rFonts w:ascii="Calibri" w:cs="Calibri" w:eastAsia="Calibri" w:hAnsi="Calibri"/>
          <w:b/>
          <w:bCs/>
          <w:sz w:val="22"/>
          <w:szCs w:val="22"/>
        </w:rPr>
        <w:t xml:space="preserve">Designing software architectures for large-scale systems, ensuring security and robustness, </w:t>
      </w:r>
      <w:r>
        <w:rPr>
          <w:rFonts w:ascii="Calibri" w:cs="Calibri" w:eastAsia="Calibri" w:hAnsi="Calibri"/>
          <w:sz w:val="22"/>
          <w:szCs w:val="22"/>
        </w:rPr>
        <w:t xml:space="preserve">and developing software solutions adaptable for AI models and efficient for data science tasks, both center on Unit 9's ShopEase system: a layered architecture separating Data Access, Business Logic, and the boundary with external systems, built around a single underlying principle, decoupling, applied four separate ways (Repository, a composition root, Abstract Factory, Observer) so that changing one part of the system never ripples into another.</w:t>
      </w:r>
    </w:p>
    <w:p>
      <w:pPr>
        <w:pStyle w:val="Heading1"/>
        <w:spacing w:after="150" w:before="300"/>
      </w:pPr>
      <w:r>
        <w:rPr>
          <w:rFonts w:ascii="Calibri" w:cs="Calibri" w:eastAsia="Calibri" w:hAnsi="Calibri"/>
        </w:rPr>
        <w:t xml:space="preserve">Task 2: Showcase Artefacts</w:t>
      </w:r>
    </w:p>
    <w:p>
      <w:pPr>
        <w:spacing w:after="200" w:line="276"/>
      </w:pPr>
      <w:r>
        <w:rPr>
          <w:rFonts w:ascii="Calibri" w:cs="Calibri" w:eastAsia="Calibri" w:hAnsi="Calibri"/>
          <w:sz w:val="22"/>
          <w:szCs w:val="22"/>
        </w:rPr>
        <w:t xml:space="preserve">Full source for every artefact below is available at </w:t>
      </w:r>
      <w:hyperlink w:history="1" r:id="rId1apg7bkwh-mipmyenlyvf">
        <w:r>
          <w:rPr>
            <w:rStyle w:val="Hyperlink"/>
            <w:rFonts w:ascii="Calibri" w:cs="Calibri" w:eastAsia="Calibri" w:hAnsi="Calibri"/>
            <w:color w:val="0563C1"/>
            <w:sz w:val="22"/>
            <w:szCs w:val="22"/>
            <w:u w:val="single"/>
          </w:rPr>
          <w:t xml:space="preserve">the project GitHub repository</w:t>
        </w:r>
      </w:hyperlink>
      <w:r>
        <w:rPr>
          <w:rFonts w:ascii="Calibri" w:cs="Calibri" w:eastAsia="Calibri" w:hAnsi="Calibri"/>
          <w:sz w:val="22"/>
          <w:szCs w:val="22"/>
        </w:rPr>
        <w:t xml:space="preserve">, organized by unit, each with its own README describing the design decisions and reflection in full.</w:t>
      </w:r>
    </w:p>
    <w:p>
      <w:pPr>
        <w:pStyle w:val="Heading2"/>
        <w:spacing w:after="150" w:before="300"/>
      </w:pPr>
      <w:r>
        <w:rPr>
          <w:rFonts w:ascii="Calibri" w:cs="Calibri" w:eastAsia="Calibri" w:hAnsi="Calibri"/>
        </w:rPr>
        <w:t xml:space="preserve">Coding Exercises</w:t>
      </w:r>
    </w:p>
    <w:p>
      <w:pPr>
        <w:spacing w:after="200" w:line="276"/>
      </w:pPr>
      <w:r>
        <w:rPr>
          <w:rFonts w:ascii="Calibri" w:cs="Calibri" w:eastAsia="Calibri" w:hAnsi="Calibri"/>
          <w:sz w:val="22"/>
          <w:szCs w:val="22"/>
        </w:rPr>
        <w:t xml:space="preserve">Unit 1 covers the five foundational OOP exercises (inheritance, polymorphism, encapsulation, abstraction, constructors/destructors), and Unit 6 is the most substantial coding exercise in the portfolio: a thread-safe banking system graded at 70% (Distinction), covering threading.Lock, deadlock prevention via resource ordering, and the Template Method pattern. A representative excerpt from BankAccount.transfer(), the method carrying the most significant design decisions:</w:t>
      </w:r>
    </w:p>
    <w:p>
      <w:pPr>
        <w:pBdr>
          <w:top w:val="single" w:color="CCCCCC" w:sz="4"/>
          <w:bottom w:val="single" w:color="CCCCCC" w:sz="4"/>
          <w:left w:val="single" w:color="CCCCCC" w:sz="4"/>
          <w:right w:val="single" w:color="CCCCCC" w:sz="4"/>
        </w:pBdr>
        <w:shd w:fill="F2F2F2"/>
        <w:spacing w:after="200" w:before="100"/>
      </w:pPr>
      <w:r>
        <w:rPr>
          <w:rFonts w:ascii="Consolas" w:cs="Consolas" w:eastAsia="Consolas" w:hAnsi="Consolas"/>
          <w:sz w:val="19"/>
          <w:szCs w:val="19"/>
        </w:rPr>
        <w:t xml:space="preserve">if id(self) &lt; id(target_account):</w:t>
      </w:r>
      <w:r>
        <w:br/>
      </w:r>
      <w:r>
        <w:rPr>
          <w:rFonts w:ascii="Consolas" w:cs="Consolas" w:eastAsia="Consolas" w:hAnsi="Consolas"/>
          <w:sz w:val="19"/>
          <w:szCs w:val="19"/>
        </w:rPr>
        <w:t xml:space="preserve">    lock_a = self._lock</w:t>
      </w:r>
      <w:r>
        <w:br/>
      </w:r>
      <w:r>
        <w:rPr>
          <w:rFonts w:ascii="Consolas" w:cs="Consolas" w:eastAsia="Consolas" w:hAnsi="Consolas"/>
          <w:sz w:val="19"/>
          <w:szCs w:val="19"/>
        </w:rPr>
        <w:t xml:space="preserve">    lock_b = target_account._lock</w:t>
      </w:r>
      <w:r>
        <w:br/>
      </w:r>
      <w:r>
        <w:rPr>
          <w:rFonts w:ascii="Consolas" w:cs="Consolas" w:eastAsia="Consolas" w:hAnsi="Consolas"/>
          <w:sz w:val="19"/>
          <w:szCs w:val="19"/>
        </w:rPr>
        <w:t xml:space="preserve">else:</w:t>
      </w:r>
      <w:r>
        <w:br/>
      </w:r>
      <w:r>
        <w:rPr>
          <w:rFonts w:ascii="Consolas" w:cs="Consolas" w:eastAsia="Consolas" w:hAnsi="Consolas"/>
          <w:sz w:val="19"/>
          <w:szCs w:val="19"/>
        </w:rPr>
        <w:t xml:space="preserve">    lock_a = target_account._lock</w:t>
      </w:r>
      <w:r>
        <w:br/>
      </w:r>
      <w:r>
        <w:rPr>
          <w:rFonts w:ascii="Consolas" w:cs="Consolas" w:eastAsia="Consolas" w:hAnsi="Consolas"/>
          <w:sz w:val="19"/>
          <w:szCs w:val="19"/>
        </w:rPr>
        <w:t xml:space="preserve">    lock_b = self._lock</w:t>
      </w:r>
      <w:r>
        <w:br/>
      </w:r>
      <w:r>
        <w:rPr>
          <w:rFonts w:ascii="Consolas" w:cs="Consolas" w:eastAsia="Consolas" w:hAnsi="Consolas"/>
          <w:sz w:val="19"/>
          <w:szCs w:val="19"/>
        </w:rPr>
        <w:t xml:space="preserve"/>
      </w:r>
      <w:r>
        <w:br/>
      </w:r>
      <w:r>
        <w:rPr>
          <w:rFonts w:ascii="Consolas" w:cs="Consolas" w:eastAsia="Consolas" w:hAnsi="Consolas"/>
          <w:sz w:val="19"/>
          <w:szCs w:val="19"/>
        </w:rPr>
        <w:t xml:space="preserve">with lock_a, lock_b:</w:t>
      </w:r>
      <w:r>
        <w:br/>
      </w:r>
      <w:r>
        <w:rPr>
          <w:rFonts w:ascii="Consolas" w:cs="Consolas" w:eastAsia="Consolas" w:hAnsi="Consolas"/>
          <w:sz w:val="19"/>
          <w:szCs w:val="19"/>
        </w:rPr>
        <w:t xml:space="preserve">    if self._balance &gt;= amount:</w:t>
      </w:r>
      <w:r>
        <w:br/>
      </w:r>
      <w:r>
        <w:rPr>
          <w:rFonts w:ascii="Consolas" w:cs="Consolas" w:eastAsia="Consolas" w:hAnsi="Consolas"/>
          <w:sz w:val="19"/>
          <w:szCs w:val="19"/>
        </w:rPr>
        <w:t xml:space="preserve">        self._balance -= amount</w:t>
      </w:r>
      <w:r>
        <w:br/>
      </w:r>
      <w:r>
        <w:rPr>
          <w:rFonts w:ascii="Consolas" w:cs="Consolas" w:eastAsia="Consolas" w:hAnsi="Consolas"/>
          <w:sz w:val="19"/>
          <w:szCs w:val="19"/>
        </w:rPr>
        <w:t xml:space="preserve">        target_account._balance += amount</w:t>
      </w:r>
      <w:r>
        <w:br/>
      </w:r>
      <w:r>
        <w:rPr>
          <w:rFonts w:ascii="Consolas" w:cs="Consolas" w:eastAsia="Consolas" w:hAnsi="Consolas"/>
          <w:sz w:val="19"/>
          <w:szCs w:val="19"/>
        </w:rPr>
        <w:t xml:space="preserve">        return True</w:t>
      </w:r>
      <w:r>
        <w:br/>
      </w:r>
      <w:r>
        <w:rPr>
          <w:rFonts w:ascii="Consolas" w:cs="Consolas" w:eastAsia="Consolas" w:hAnsi="Consolas"/>
          <w:sz w:val="19"/>
          <w:szCs w:val="19"/>
        </w:rPr>
        <w:t xml:space="preserve">    else:</w:t>
      </w:r>
      <w:r>
        <w:br/>
      </w:r>
      <w:r>
        <w:rPr>
          <w:rFonts w:ascii="Consolas" w:cs="Consolas" w:eastAsia="Consolas" w:hAnsi="Consolas"/>
          <w:sz w:val="19"/>
          <w:szCs w:val="19"/>
        </w:rPr>
        <w:t xml:space="preserve">        raise ValueError("Insufficient funds")</w:t>
      </w:r>
    </w:p>
    <w:p>
      <w:pPr>
        <w:spacing w:after="200" w:line="276"/>
      </w:pPr>
      <w:r>
        <w:rPr>
          <w:rFonts w:ascii="Calibri" w:cs="Calibri" w:eastAsia="Calibri" w:hAnsi="Calibri"/>
          <w:sz w:val="22"/>
          <w:szCs w:val="22"/>
        </w:rPr>
        <w:t xml:space="preserve">Locks are always acquired in ascending order of object identity, which eliminates Coffman's circular wait condition regardless of transfer direction (Quan, 2022), the specific mechanism that prevents two concurrent transfers in opposite directions from deadlocking each other.</w:t>
      </w:r>
    </w:p>
    <w:p>
      <w:pPr>
        <w:pStyle w:val="Heading2"/>
        <w:spacing w:after="150" w:before="300"/>
      </w:pPr>
      <w:r>
        <w:rPr>
          <w:rFonts w:ascii="Calibri" w:cs="Calibri" w:eastAsia="Calibri" w:hAnsi="Calibri"/>
        </w:rPr>
        <w:t xml:space="preserve">Advanced Design Patterns (Practical)</w:t>
      </w:r>
    </w:p>
    <w:p>
      <w:pPr>
        <w:spacing w:after="200" w:line="276"/>
      </w:pPr>
      <w:r>
        <w:rPr>
          <w:rFonts w:ascii="Calibri" w:cs="Calibri" w:eastAsia="Calibri" w:hAnsi="Calibri"/>
          <w:b/>
          <w:bCs/>
          <w:sz w:val="22"/>
          <w:szCs w:val="22"/>
        </w:rPr>
        <w:t xml:space="preserve">Strategy. </w:t>
      </w:r>
      <w:r>
        <w:rPr>
          <w:rFonts w:ascii="Calibri" w:cs="Calibri" w:eastAsia="Calibri" w:hAnsi="Calibri"/>
          <w:sz w:val="22"/>
          <w:szCs w:val="22"/>
        </w:rPr>
        <w:t xml:space="preserve">Implemented twice, in different problem domains. Unit 5 refactors a payment processor's if/elif chain into interchangeable CreditCardPayment, PayPalPayment, and CryptoPayment classes behind a shared PaymentStrategy interface, injected into PaymentProcessor at construction. Unit 8 applies the same pattern to a discount calculation, replacing a similar conditional chain with BookDiscount and ElectronicsDiscount classes selected via dictionary lookup. Strategy was chosen in both cases because the underlying problem was runtime-interchangeable behavior: which algorithm applies depends on a runtime value (payment type, item type), and the calling code should not need to change every time a new option is added.</w:t>
      </w:r>
    </w:p>
    <w:p>
      <w:pPr>
        <w:spacing w:after="200" w:line="276"/>
      </w:pPr>
      <w:r>
        <w:rPr>
          <w:rFonts w:ascii="Calibri" w:cs="Calibri" w:eastAsia="Calibri" w:hAnsi="Calibri"/>
          <w:sz w:val="22"/>
          <w:szCs w:val="22"/>
        </w:rPr>
        <w:t xml:space="preserve">Pattern selection trade-off, stated honestly: Unit 8's dictionary lookup (DISCOUNTS.get(item['type'], NoDiscount())) is structurally the same design flagged as a partial OCP violation in a Unit 5 peer review of a classmate's implementation, since the lookup map itself still needs a new entry for every new type. For a small, stable set of item types, this is a reasonable, pragmatic trade-off rather than a rigorous one; constructor injection (as used in Unit 5's own PaymentProcessor) avoids the registry entirely but only suits contexts where the caller already knows which strategy it wants. Recognizing this inconsistency between two units, rather than treating both as equally correct, is addressed further in the accompanying skill development reflection.</w:t>
      </w:r>
    </w:p>
    <w:p>
      <w:pPr>
        <w:spacing w:after="200" w:line="276"/>
      </w:pPr>
      <w:r>
        <w:rPr>
          <w:rFonts w:ascii="Calibri" w:cs="Calibri" w:eastAsia="Calibri" w:hAnsi="Calibri"/>
          <w:b/>
          <w:bCs/>
          <w:sz w:val="22"/>
          <w:szCs w:val="22"/>
        </w:rPr>
        <w:t xml:space="preserve">Decorator, Visitor, and Abstract Factory. </w:t>
      </w:r>
      <w:r>
        <w:rPr>
          <w:rFonts w:ascii="Calibri" w:cs="Calibri" w:eastAsia="Calibri" w:hAnsi="Calibri"/>
          <w:sz w:val="22"/>
          <w:szCs w:val="22"/>
        </w:rPr>
        <w:t xml:space="preserve">Visitor and Abstract Factory are fully designed for Unit 9's ShopEase e-commerce architecture: SalesReportVisitor and InventoryReportVisitor separate reporting logic from the Product and Order classes entirely, so that adding a new report type never requires modifying either domain class, while StripeProviderFactory and PayPalProviderFactory each produce a matched payment gateway and refund handler from the same provider, preventing a structurally impossible mismatch (a Stripe charge paired with a PayPal refund, for instance) by construction rather than by convention. Implementation of the remaining ShopEase classes is in progress. Decorator's implementation is being completed in Unit 10, wrapping course and user actions in a secure e-learning platform with logging and authorization checks, a natural fit given the brief's own security requirement for that unit.</w:t>
      </w:r>
    </w:p>
    <w:p>
      <w:pPr>
        <w:pStyle w:val="Heading2"/>
        <w:spacing w:after="150" w:before="300"/>
      </w:pPr>
      <w:r>
        <w:rPr>
          <w:rFonts w:ascii="Calibri" w:cs="Calibri" w:eastAsia="Calibri" w:hAnsi="Calibri"/>
        </w:rPr>
        <w:t xml:space="preserve">Testing: Mocking and AI-Driven Testing</w:t>
      </w:r>
    </w:p>
    <w:p>
      <w:pPr>
        <w:spacing w:after="200" w:line="276"/>
      </w:pPr>
      <w:r>
        <w:rPr>
          <w:rFonts w:ascii="Calibri" w:cs="Calibri" w:eastAsia="Calibri" w:hAnsi="Calibri"/>
          <w:sz w:val="22"/>
          <w:szCs w:val="22"/>
        </w:rPr>
        <w:t xml:space="preserve">Unit 6's test suite is the strongest testing evidence in the portfolio: nine automated unit tests split between functional correctness and concurrency-specific behavior, including a deterministic concurrent deposit test and a five-second-timeout deadlock test. The groundwork for mocking is already present in the portfolio's dependency injection choices, TransactionSimulator receiving a BankAccount via constructor rather than creating one internally, and every Unit 9 business logic class receiving its repository, factory, or observer list the same way, since this is precisely what makes a class replaceable with a test double. Mocking frameworks specifically are being applied in Unit 11's dependency injection and inversion of control work, still in progress at the time of writing.</w:t>
      </w:r>
    </w:p>
    <w:p>
      <w:pPr>
        <w:spacing w:after="200" w:line="276"/>
      </w:pPr>
      <w:r>
        <w:rPr>
          <w:rFonts w:ascii="Calibri" w:cs="Calibri" w:eastAsia="Calibri" w:hAnsi="Calibri"/>
          <w:sz w:val="22"/>
          <w:szCs w:val="22"/>
        </w:rPr>
        <w:t xml:space="preserve">On AI-driven testing specifically: this module's own working method involved a large language model (Claude) throughout, not as a code generator but as a Socratic reviewer, one that asked questions rather than supplying answers, and that was deliberately tasked with catching reasoning errors rather than producing code outright. That arrangement surfaced real mistakes worth naming honestly: a misattribution of one unit's design principle to a different, unrelated unit was caught and corrected mid-conversation, and a logic reversal in an early draft of this document's own Professional Development Plan ("this ensured I would fall back into bad habits," rather than "would not") was caught only on review. Both examples support the brief's framing directly: AI-assisted tools can meaningfully support test-case generation and review, but they do not replace engineering judgement, they still require a human to verify outputs, catch contradictions, and decide what is actually true.</w:t>
      </w:r>
    </w:p>
    <w:p>
      <w:pPr>
        <w:pStyle w:val="Heading2"/>
        <w:spacing w:after="150" w:before="300"/>
      </w:pPr>
      <w:r>
        <w:rPr>
          <w:rFonts w:ascii="Calibri" w:cs="Calibri" w:eastAsia="Calibri" w:hAnsi="Calibri"/>
        </w:rPr>
        <w:t xml:space="preserve">Case Study: ShopEase (Unit 9)</w:t>
      </w:r>
    </w:p>
    <w:p>
      <w:pPr>
        <w:spacing w:after="200" w:line="276"/>
      </w:pPr>
      <w:r>
        <w:rPr>
          <w:rFonts w:ascii="Calibri" w:cs="Calibri" w:eastAsia="Calibri" w:hAnsi="Calibri"/>
          <w:sz w:val="22"/>
          <w:szCs w:val="22"/>
        </w:rPr>
        <w:t xml:space="preserve">ShopEase is the portfolio's most complete architectural artefact: a layered e-commerce system addressing scalability (Repository pattern, swappable storage behind an interface), modularity (independent business logic classes wired together only by a composition root), security (hashed credentials; payment data never touched by the application's own code), and extensibility (Abstract Factory for payment providers, Observer for notifications). Every mechanism in the design traces back to a single underlying principle, decoupling, applied consistently rather than pattern-matched superficially. AI-readiness was considered at the design level without inventing components that do not exist: the same extensibility reasoning that justifies Abstract Factory would also support introducing a Feature Store or Model Registry later, a case developed further, and grounded in a real, current project, in the accompanying Professional Development Plan.</w:t>
      </w:r>
    </w:p>
    <w:p>
      <w:pPr>
        <w:pStyle w:val="Heading2"/>
        <w:spacing w:after="150" w:before="300"/>
      </w:pPr>
      <w:r>
        <w:rPr>
          <w:rFonts w:ascii="Calibri" w:cs="Calibri" w:eastAsia="Calibri" w:hAnsi="Calibri"/>
        </w:rPr>
        <w:t xml:space="preserve">Managing Abstraction versus Over-Engineering</w:t>
      </w:r>
    </w:p>
    <w:p>
      <w:pPr>
        <w:spacing w:after="200" w:line="276"/>
      </w:pPr>
      <w:r>
        <w:rPr>
          <w:rFonts w:ascii="Calibri" w:cs="Calibri" w:eastAsia="Calibri" w:hAnsi="Calibri"/>
          <w:sz w:val="22"/>
          <w:szCs w:val="22"/>
        </w:rPr>
        <w:t xml:space="preserve">Two moments in this portfolio speak directly to this tension. Unit 6's BankAccount deliberately excludes persistent storage, transaction logging, rollback, and audit trails, a conscious choice to keep the concurrency mechanisms examinable without production-grade noise, made explicit in the accompanying reflection rather than left as an unstated limitation (a gap noted directly in tutor feedback on that submission). Conversely, Unit 8's Strategy refactor is, by its own admission, closer to over-engineering than under-engineering for a stable set of two item types; the pattern earns its complexity only once the set of types is expected to grow, a judgement worth stating explicitly rather than treating Strategy as automatically superior to a simpler conditional.</w:t>
      </w:r>
    </w:p>
    <w:p>
      <w:pPr>
        <w:pStyle w:val="Heading1"/>
        <w:spacing w:after="150" w:before="300"/>
      </w:pPr>
      <w:r>
        <w:rPr>
          <w:rFonts w:ascii="Calibri" w:cs="Calibri" w:eastAsia="Calibri" w:hAnsi="Calibri"/>
        </w:rPr>
        <w:t xml:space="preserve">References</w:t>
      </w:r>
    </w:p>
    <w:p>
      <w:pPr>
        <w:spacing w:after="200" w:line="276"/>
      </w:pPr>
      <w:r>
        <w:rPr>
          <w:rFonts w:ascii="Calibri" w:cs="Calibri" w:eastAsia="Calibri" w:hAnsi="Calibri"/>
          <w:sz w:val="22"/>
          <w:szCs w:val="22"/>
        </w:rPr>
        <w:t xml:space="preserve">Quan, Nguyen (2022) Advanced Python Programming. 2nd edn. Birmingham: Packt Publishing.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prtuuhlyetfuxqa0ogji" Type="http://schemas.openxmlformats.org/officeDocument/2006/relationships/hyperlink" Target="https://github.com/fchagnon/essex-eportfolio/tree/main" TargetMode="External"/><Relationship Id="rId1apg7bkwh-mipmyenlyvf" Type="http://schemas.openxmlformats.org/officeDocument/2006/relationships/hyperlink" Target="https://github.com/fchagnon/essex-eportfolio/tree/main"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2026-07-16T02:52:24.110Z</dcterms:created>
  <dcterms:modified xsi:type="dcterms:W3CDTF">2026-07-16T02:52:24.111Z</dcterms:modified>
</cp:coreProperties>
</file>

<file path=docProps/custom.xml><?xml version="1.0" encoding="utf-8"?>
<Properties xmlns="http://schemas.openxmlformats.org/officeDocument/2006/custom-properties" xmlns:vt="http://schemas.openxmlformats.org/officeDocument/2006/docPropsVTypes"/>
</file>