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Calibri" w:cs="Calibri" w:eastAsia="Calibri" w:hAnsi="Calibri"/>
        </w:rPr>
        <w:t xml:space="preserve">Task 3: Reflect on Skill Development</w:t>
      </w:r>
    </w:p>
    <w:p>
      <w:pPr>
        <w:pStyle w:val="Heading2"/>
        <w:spacing w:after="150" w:before="300"/>
      </w:pPr>
      <w:r>
        <w:rPr>
          <w:rFonts w:ascii="Calibri" w:cs="Calibri" w:eastAsia="Calibri" w:hAnsi="Calibri"/>
        </w:rPr>
        <w:t xml:space="preserve">Academic Skills</w:t>
      </w:r>
    </w:p>
    <w:p>
      <w:pPr>
        <w:spacing w:after="200" w:line="276"/>
      </w:pPr>
      <w:r>
        <w:rPr>
          <w:rFonts w:ascii="Calibri" w:cs="Calibri" w:eastAsia="Calibri" w:hAnsi="Calibri"/>
          <w:sz w:val="22"/>
          <w:szCs w:val="22"/>
        </w:rPr>
        <w:t xml:space="preserve">Critical thinking showed up most clearly when I caught an inconsistency in my own reasoning rather than someone else's. In a Unit 5 peer reply, I argued that a classmate's strategy_map dictionary quietly violated the Open/Closed Principle, since adding a new type still meant editing the map. In Unit 8, under time pressure, I used the identical pattern in my own refactor without noticing the contradiction until reviewing the two units side by side. Simply put: a dictionary lookup is a pragmatic violation rather than a reckless one, it centralizes object creation in one visible place and avoids a sprawling conditional chain, but it still couples the calling code to a static registry that must be edited by hand for every new type. Recognizing that distinction pushed me to see structural polymorphism (each type resolving its own behavior through a shared interface) and lookup-based dispatch as two genuinely valid strategies suited to different situations, rather than one being simply correct and the other wrong.</w:t>
      </w:r>
    </w:p>
    <w:p>
      <w:pPr>
        <w:spacing w:after="200" w:line="276"/>
      </w:pPr>
      <w:r>
        <w:rPr>
          <w:rFonts w:ascii="Calibri" w:cs="Calibri" w:eastAsia="Calibri" w:hAnsi="Calibri"/>
          <w:sz w:val="22"/>
          <w:szCs w:val="22"/>
        </w:rPr>
        <w:t xml:space="preserve">Ethical considerations surfaced directly in Unit 4, where I applied the Bridge pattern to an autonomous security operations scenario. Separating an AI agent's decision-making from its execution authority addresses several concerns named directly in this module's learning outcomes: it avoids black-box coupling, since the action taken and the system that carries it out are never the same object; it supports transparency and explainability, since a policy check sits at an identifiable seam rather than being buried inside a single opaque class; and it creates a point where inputs, outputs, and human overrides could be logged and audited, rather than disappearing silently inside a monolithic decision-and-execution step. None of this prevents bias from entering the model that informs the decision in the first place, but keeping that decision structurally separate from execution at least stops a biased or mistaken output from propagating unexamined into an irreversible action, consistent with the argument that automating security operations requires rules of engagement and a degree of certainty before execution (Srinivas et al., 2025).</w:t>
      </w:r>
    </w:p>
    <w:p>
      <w:pPr>
        <w:spacing w:after="200" w:line="276"/>
      </w:pPr>
      <w:r>
        <w:rPr>
          <w:rFonts w:ascii="Calibri" w:cs="Calibri" w:eastAsia="Calibri" w:hAnsi="Calibri"/>
          <w:sz w:val="22"/>
          <w:szCs w:val="22"/>
        </w:rPr>
        <w:t xml:space="preserve">Problem-solving was most concrete in Unit 6's deadlock prevention: recognizing that two concurrent transfers in opposite directions satisfy Coffman's circular wait condition (Quan, 2022), and that resource ordering (always acquiring locks in a fixed order) eliminates it, made safe even under exception via Python's context manager protocol (McDonald, 2023). The same unit's use of constructor injection, letting TransactionSimulator operate against any BankAccount rather than one it created internally (Sarcar, 2023), extended into Unit 9's architecture the same way, deriving Repository, Dependency Injection, and Abstract Factory myself from the brief's own requirements rather than being handed the pattern names.</w:t>
      </w:r>
    </w:p>
    <w:p>
      <w:pPr>
        <w:spacing w:after="200" w:line="276"/>
      </w:pPr>
      <w:r>
        <w:rPr>
          <w:rFonts w:ascii="Calibri" w:cs="Calibri" w:eastAsia="Calibri" w:hAnsi="Calibri"/>
          <w:sz w:val="22"/>
          <w:szCs w:val="22"/>
        </w:rPr>
        <w:t xml:space="preserve">Research and self-study ran throughout: NIST SP 800-63B (NIST, 2024) and OWASP's Authentication Cheat Sheet (OWASP, 2025) for authentication design, Gamma et al.'s (1994) original Design Patterns text for structural patterns, and current peer-reviewed and preprint sources (Srinivas et al., 2025; Feuerriegel et al., 2025) for AI-augmented security operations specifically, since that domain moves faster than any textbook.</w:t>
      </w:r>
    </w:p>
    <w:p>
      <w:pPr>
        <w:pStyle w:val="Heading2"/>
        <w:spacing w:after="150" w:before="300"/>
      </w:pPr>
      <w:r>
        <w:rPr>
          <w:rFonts w:ascii="Calibri" w:cs="Calibri" w:eastAsia="Calibri" w:hAnsi="Calibri"/>
        </w:rPr>
        <w:t xml:space="preserve">Employability Skills</w:t>
      </w:r>
    </w:p>
    <w:p>
      <w:pPr>
        <w:spacing w:after="200" w:line="276"/>
      </w:pPr>
      <w:r>
        <w:rPr>
          <w:rFonts w:ascii="Calibri" w:cs="Calibri" w:eastAsia="Calibri" w:hAnsi="Calibri"/>
          <w:sz w:val="22"/>
          <w:szCs w:val="22"/>
        </w:rPr>
        <w:t xml:space="preserve">Time management meant prioritizing which artefacts needed real depth against a genuinely fixed deadline, a self-imposed submission date ahead of a personal athletic commitment (a 1200km cycling brevet) that could not move. That forced honest triage: some units warranted full implementation, others were better served by a thorough design document.</w:t>
      </w:r>
    </w:p>
    <w:p>
      <w:pPr>
        <w:spacing w:after="200" w:line="276"/>
      </w:pPr>
      <w:r>
        <w:rPr>
          <w:rFonts w:ascii="Calibri" w:cs="Calibri" w:eastAsia="Calibri" w:hAnsi="Calibri"/>
          <w:sz w:val="22"/>
          <w:szCs w:val="22"/>
        </w:rPr>
        <w:t xml:space="preserve">Communication and literacy showed up in peer engagement across Units 4 and 5, and in the discipline of adjusting tone deliberately, catching myself, for instance, before a critique of a classmate's design choice came across as dismissive rather than constructive.</w:t>
      </w:r>
    </w:p>
    <w:p>
      <w:pPr>
        <w:spacing w:after="200" w:line="276"/>
      </w:pPr>
      <w:r>
        <w:rPr>
          <w:rFonts w:ascii="Calibri" w:cs="Calibri" w:eastAsia="Calibri" w:hAnsi="Calibri"/>
          <w:sz w:val="22"/>
          <w:szCs w:val="22"/>
        </w:rPr>
        <w:t xml:space="preserve">Resilience showed most in Unit 3, where abstract, pattern-based design thinking ran against the grain of my infrastructure background. That discomfort was still present by Unit 9, but by then I was deriving a full layered architecture from first principles with real confidence, evidence that the discomfort was worth pushing through rather than a sign I was in the wrong field.</w:t>
      </w:r>
    </w:p>
    <w:p>
      <w:pPr>
        <w:spacing w:after="300" w:before="150"/>
        <w:jc w:val="center"/>
      </w:pPr>
      <w:r>
        <w:drawing>
          <wp:inline distT="0" distB="0" distL="0" distR="0">
            <wp:extent cx="5943600" cy="12435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243584"/>
                    </a:xfrm>
                    <a:prstGeom prst="rect">
                      <a:avLst/>
                    </a:prstGeom>
                  </pic:spPr>
                </pic:pic>
              </a:graphicData>
            </a:graphic>
          </wp:inline>
        </w:drawing>
      </w:r>
    </w:p>
    <w:p>
      <w:pPr>
        <w:spacing w:after="300"/>
        <w:jc w:val="center"/>
      </w:pPr>
      <w:r>
        <w:rPr>
          <w:rFonts w:ascii="Calibri" w:cs="Calibri" w:eastAsia="Calibri" w:hAnsi="Calibri"/>
          <w:i/>
          <w:iCs/>
          <w:sz w:val="18"/>
          <w:szCs w:val="18"/>
        </w:rPr>
        <w:t xml:space="preserve">Figure: ShopEase layered architecture (Unit 9), showing the Repository, Abstract Factory, and Observer patterns referenced above.</w:t>
      </w:r>
    </w:p>
    <w:p>
      <w:pPr>
        <w:pStyle w:val="Heading1"/>
        <w:spacing w:after="150" w:before="300"/>
      </w:pPr>
      <w:r>
        <w:rPr>
          <w:rFonts w:ascii="Calibri" w:cs="Calibri" w:eastAsia="Calibri" w:hAnsi="Calibri"/>
        </w:rPr>
        <w:t xml:space="preserve">Task 4: Professional Development Plan</w:t>
      </w:r>
    </w:p>
    <w:p>
      <w:pPr>
        <w:spacing w:after="300" w:before="150"/>
        <w:jc w:val="center"/>
      </w:pPr>
      <w:r>
        <w:drawing>
          <wp:inline distT="0" distB="0" distL="0" distR="0">
            <wp:extent cx="5943600" cy="502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02920"/>
                    </a:xfrm>
                    <a:prstGeom prst="rect">
                      <a:avLst/>
                    </a:prstGeom>
                  </pic:spPr>
                </pic:pic>
              </a:graphicData>
            </a:graphic>
          </wp:inline>
        </w:drawing>
      </w:r>
    </w:p>
    <w:p>
      <w:pPr>
        <w:spacing w:after="200" w:line="276"/>
      </w:pPr>
      <w:r>
        <w:rPr>
          <w:rFonts w:ascii="Calibri" w:cs="Calibri" w:eastAsia="Calibri" w:hAnsi="Calibri"/>
          <w:sz w:val="22"/>
          <w:szCs w:val="22"/>
        </w:rPr>
        <w:t xml:space="preserve">This reflection is structured using Kolb's (1984) four-stage Experiential Learning Cycle: Concrete Experience, Reflective Observation, Abstract Conceptualization, and Active Experimentation.</w:t>
      </w:r>
    </w:p>
    <w:p>
      <w:pPr>
        <w:spacing w:after="120" w:before="200"/>
      </w:pPr>
      <w:r>
        <w:rPr>
          <w:rFonts w:ascii="Calibri" w:cs="Calibri" w:eastAsia="Calibri" w:hAnsi="Calibri"/>
          <w:b/>
          <w:bCs/>
          <w:i/>
          <w:iCs/>
          <w:sz w:val="22"/>
          <w:szCs w:val="22"/>
        </w:rPr>
        <w:t xml:space="preserve">Concrete Experience</w:t>
      </w:r>
    </w:p>
    <w:p>
      <w:pPr>
        <w:spacing w:after="200" w:line="276"/>
      </w:pPr>
      <w:r>
        <w:rPr>
          <w:rFonts w:ascii="Calibri" w:cs="Calibri" w:eastAsia="Calibri" w:hAnsi="Calibri"/>
          <w:sz w:val="22"/>
          <w:szCs w:val="22"/>
        </w:rPr>
        <w:t xml:space="preserve">My software background is grounded in decades of network and systems administration rather than formal software engineering. My exposure to object-oriented programming came from Java and C++ in an undergraduate degree in the early 2000s, when SOLID and formal design patterns were still comparatively immature as a discipline. Years of scripting in bash and Perl made Python's syntax straightforward to pick up, but that background is procedural, not object-oriented, so applying Python's OO features idiomatically was less immediate than the language itself. Layered architecture and patterns such as Decorator, Visitor, and Abstract Factory were genuinely new territory.</w:t>
      </w:r>
    </w:p>
    <w:p>
      <w:pPr>
        <w:spacing w:after="120" w:before="200"/>
      </w:pPr>
      <w:r>
        <w:rPr>
          <w:rFonts w:ascii="Calibri" w:cs="Calibri" w:eastAsia="Calibri" w:hAnsi="Calibri"/>
          <w:b/>
          <w:bCs/>
          <w:i/>
          <w:iCs/>
          <w:sz w:val="22"/>
          <w:szCs w:val="22"/>
        </w:rPr>
        <w:t xml:space="preserve">Reflective Observation</w:t>
      </w:r>
    </w:p>
    <w:p>
      <w:pPr>
        <w:spacing w:after="200" w:line="276"/>
      </w:pPr>
      <w:r>
        <w:rPr>
          <w:rFonts w:ascii="Calibri" w:cs="Calibri" w:eastAsia="Calibri" w:hAnsi="Calibri"/>
          <w:sz w:val="22"/>
          <w:szCs w:val="22"/>
        </w:rPr>
        <w:t xml:space="preserve">My progress across the module was uneven, but not always for the reason it first appeared. Where a unit intersected with security, I moved quickly, drawing on years of practical familiarity with NIST and OWASP; Unit 7 required translating knowledge I already held into code, not acquiring new concepts. Unit 8's code smells looked unfamiliar at first, but infrastructure work has long had its own vocabulary for the same problems, most commonly technical debt. What was genuinely new was the term, not the underlying concept. Distinguishing an Abstract Factory from a plain Factory Method, by contrast, required real ground-up learning, since I had no infrastructure equivalent to map it onto.</w:t>
      </w:r>
    </w:p>
    <w:p>
      <w:pPr>
        <w:spacing w:after="120" w:before="200"/>
      </w:pPr>
      <w:r>
        <w:rPr>
          <w:rFonts w:ascii="Calibri" w:cs="Calibri" w:eastAsia="Calibri" w:hAnsi="Calibri"/>
          <w:b/>
          <w:bCs/>
          <w:i/>
          <w:iCs/>
          <w:sz w:val="22"/>
          <w:szCs w:val="22"/>
        </w:rPr>
        <w:t xml:space="preserve">Abstract Conceptualization</w:t>
      </w:r>
    </w:p>
    <w:p>
      <w:pPr>
        <w:spacing w:after="200" w:line="276"/>
      </w:pPr>
      <w:r>
        <w:rPr>
          <w:rFonts w:ascii="Calibri" w:cs="Calibri" w:eastAsia="Calibri" w:hAnsi="Calibri"/>
          <w:sz w:val="22"/>
          <w:szCs w:val="22"/>
        </w:rPr>
        <w:t xml:space="preserve">My strongest asset is deep domain knowledge in security and systems reliability, which transfers readily once mapped onto formal OO structures; the actual gap is fluency in software design's own vocabulary, not the underlying logic. Strategy as a behavioral pattern, for instance, reads to me more naturally as a Method. Decorator is a precise term for something I would instinctively call a Wrapper. Code smell was the sharpest example: no network engineer I have worked with would describe a flat, unsegmented VLAN architecture as having a bad smell, yet the equivalent concept, a design that functions but quietly degrades maintainability over time, is something both disciplines clearly recognize. None of this reflects a flaw in the discipline's chosen language; these are simply not the words I would reach for first, and reaching for parallels from a related field is itself a signal that, despite a strong foundation next door, I am genuinely outside my comfort zone here. A related but distinct gap sits at the language level: I can write correct Python quickly, but my instinct is still procedural, reaching for functions before considering whether a class deserves to exist. Relying on UML diagrams to map classes and dependencies before writing code became the habit that kept me from falling back into monolithic procedures that violated SOLID principles.</w:t>
      </w:r>
    </w:p>
    <w:p>
      <w:pPr>
        <w:spacing w:after="120" w:before="200"/>
      </w:pPr>
      <w:r>
        <w:rPr>
          <w:rFonts w:ascii="Calibri" w:cs="Calibri" w:eastAsia="Calibri" w:hAnsi="Calibri"/>
          <w:b/>
          <w:bCs/>
          <w:i/>
          <w:iCs/>
          <w:sz w:val="22"/>
          <w:szCs w:val="22"/>
        </w:rPr>
        <w:t xml:space="preserve">Active Experimentation</w:t>
      </w:r>
    </w:p>
    <w:p>
      <w:pPr>
        <w:spacing w:after="200" w:line="276"/>
      </w:pPr>
      <w:r>
        <w:rPr>
          <w:rFonts w:ascii="Calibri" w:cs="Calibri" w:eastAsia="Calibri" w:hAnsi="Calibri"/>
          <w:sz w:val="22"/>
          <w:szCs w:val="22"/>
        </w:rPr>
        <w:t xml:space="preserve">Rather than further formal study, my intention is to apply what this module covered to a personal project: a GPS location tracking platform, built as an improvement on Spotwalla, a tool widely used in randonneuring and ultra-endurance cycling. My interest is not abstract; I participate in these events myself, and existing tools in this space are functional but dated. Repository, Strategy, and Observer all have a natural home here: separating how location data is stored from the logic that processes it, supporting interchangeable route analysis such as detecting whether a rider has stopped at a checkpoint, and alerting organizers when a rider enters or leaves a geofence or fails to check in within a set window.</w:t>
      </w:r>
    </w:p>
    <w:p>
      <w:pPr>
        <w:spacing w:after="200" w:line="276"/>
      </w:pPr>
      <w:r>
        <w:rPr>
          <w:rFonts w:ascii="Calibri" w:cs="Calibri" w:eastAsia="Calibri" w:hAnsi="Calibri"/>
          <w:sz w:val="22"/>
          <w:szCs w:val="22"/>
        </w:rPr>
        <w:t xml:space="preserve">A further, more recent goal has emerged directly from lived experience rather than the assignment brief. My own 1200km brevet was delayed twenty-four hours this morning, after wildfire smoke pushed the regional air quality index above the threshold organizers permit for a start. That event surfaced a genuine architectural extension beyond live tracking: a forecast-based simulation layer, answering whether starting a given route at five tomorrow morning would expose riders to poor air quality, heat, or wind, hour by hour along the course. This is newly formed, not a long-standing plan, and no predictive component exists yet; scoping what exposure risk would even mean quantitatively is separate work in its own right. That scoping decision matters on its own terms: a simple rules-based scoring approach (thresholds against forecast air quality, temperature, and wind) may be entirely sufficient, and choosing that deliberately over a trained model, rather than assuming machine learning is required by default, would itself be a piece of AI-aware architectural judgment worth exercising. What makes this relevant here is that it is architecturally distinct from live tracking, which consumes what has already happened, while this would consume forecast data against a hypothetical timeline. That distinction is what would give a Feature Store, centralizing environmental and telemetry signals for reuse across both live monitoring and future simulation, and a Model Registry, versioning whatever model eventually powers the risk projection, a genuine purpose, rather than being included only to satisfy this module's mention of AI-aware architecture.</w:t>
      </w:r>
    </w:p>
    <w:p>
      <w:pPr>
        <w:spacing w:after="200" w:line="276"/>
      </w:pPr>
      <w:r>
        <w:rPr>
          <w:rFonts w:ascii="Calibri" w:cs="Calibri" w:eastAsia="Calibri" w:hAnsi="Calibri"/>
          <w:sz w:val="22"/>
          <w:szCs w:val="22"/>
        </w:rPr>
        <w:t xml:space="preserve">Building either piece deliberately, on a system I intend to actually use, is a more honest test of whether these concepts became working knowledge than further reading would be, and a more realistic commitment given my current focus is advisory work rather than hands-on development.</w:t>
      </w:r>
    </w:p>
    <w:p>
      <w:pPr>
        <w:pStyle w:val="Heading1"/>
        <w:spacing w:after="150" w:before="300"/>
      </w:pPr>
      <w:r>
        <w:rPr>
          <w:rFonts w:ascii="Calibri" w:cs="Calibri" w:eastAsia="Calibri" w:hAnsi="Calibri"/>
        </w:rPr>
        <w:t xml:space="preserve">References</w:t>
      </w:r>
    </w:p>
    <w:p>
      <w:pPr>
        <w:spacing w:after="200" w:line="276"/>
      </w:pPr>
      <w:r>
        <w:rPr>
          <w:rFonts w:ascii="Calibri" w:cs="Calibri" w:eastAsia="Calibri" w:hAnsi="Calibri"/>
          <w:sz w:val="22"/>
          <w:szCs w:val="22"/>
        </w:rPr>
        <w:t xml:space="preserve">Feuerriegel, S., Shrestha, Y.R., von Krogh, G. and Zhang, C. (2025) 'A survey of agentic AI and cybersecurity: Challenges, opportunities and use-case prototypes', arXiv preprint, arXiv:2601.05293.</w:t>
      </w:r>
    </w:p>
    <w:p>
      <w:pPr>
        <w:spacing w:after="200" w:line="276"/>
      </w:pPr>
      <w:r>
        <w:rPr>
          <w:rFonts w:ascii="Calibri" w:cs="Calibri" w:eastAsia="Calibri" w:hAnsi="Calibri"/>
          <w:sz w:val="22"/>
          <w:szCs w:val="22"/>
        </w:rPr>
        <w:t xml:space="preserve">Gamma, E., Helm, R., Johnson, R. and Vlissides, J. (1994) Design Patterns: Elements of Reusable Object-Oriented Software. Boston: Addison-Wesley.</w:t>
      </w:r>
    </w:p>
    <w:p>
      <w:pPr>
        <w:spacing w:after="200" w:line="276"/>
      </w:pPr>
      <w:r>
        <w:rPr>
          <w:rFonts w:ascii="Calibri" w:cs="Calibri" w:eastAsia="Calibri" w:hAnsi="Calibri"/>
          <w:sz w:val="22"/>
          <w:szCs w:val="22"/>
        </w:rPr>
        <w:t xml:space="preserve">Kolb, D.A. (1984) Experiential Learning: Experience as the Source of Learning and Development. Englewood Cliffs, NJ: Prentice-Hall.</w:t>
      </w:r>
    </w:p>
    <w:p>
      <w:pPr>
        <w:spacing w:after="200" w:line="276"/>
      </w:pPr>
      <w:r>
        <w:rPr>
          <w:rFonts w:ascii="Calibri" w:cs="Calibri" w:eastAsia="Calibri" w:hAnsi="Calibri"/>
          <w:sz w:val="22"/>
          <w:szCs w:val="22"/>
        </w:rPr>
        <w:t xml:space="preserve">McDonald, J.C. (2023) Dead Simple Python: Idiomatic Python for the Impatient Programmer. 1st edn. New York: No Starch Press.</w:t>
      </w:r>
    </w:p>
    <w:p>
      <w:pPr>
        <w:spacing w:after="200" w:line="276"/>
      </w:pPr>
      <w:r>
        <w:rPr>
          <w:rFonts w:ascii="Calibri" w:cs="Calibri" w:eastAsia="Calibri" w:hAnsi="Calibri"/>
          <w:sz w:val="22"/>
          <w:szCs w:val="22"/>
        </w:rPr>
        <w:t xml:space="preserve">National Institute of Standards and Technology (2024) Digital Identity Guidelines: Authentication and Lifecycle Management. NIST Special Publication 800-63B-4.</w:t>
      </w:r>
    </w:p>
    <w:p>
      <w:pPr>
        <w:spacing w:after="200" w:line="276"/>
      </w:pPr>
      <w:r>
        <w:rPr>
          <w:rFonts w:ascii="Calibri" w:cs="Calibri" w:eastAsia="Calibri" w:hAnsi="Calibri"/>
          <w:sz w:val="22"/>
          <w:szCs w:val="22"/>
        </w:rPr>
        <w:t xml:space="preserve">OWASP (2025) Authentication Cheat Sheet.</w:t>
      </w:r>
    </w:p>
    <w:p>
      <w:pPr>
        <w:spacing w:after="200" w:line="276"/>
      </w:pPr>
      <w:r>
        <w:rPr>
          <w:rFonts w:ascii="Calibri" w:cs="Calibri" w:eastAsia="Calibri" w:hAnsi="Calibri"/>
          <w:sz w:val="22"/>
          <w:szCs w:val="22"/>
        </w:rPr>
        <w:t xml:space="preserve">Quan, Nguyen (2022) Advanced Python Programming. 2nd edn. Birmingham: Packt Publishing.</w:t>
      </w:r>
    </w:p>
    <w:p>
      <w:pPr>
        <w:spacing w:after="200" w:line="276"/>
      </w:pPr>
      <w:r>
        <w:rPr>
          <w:rFonts w:ascii="Calibri" w:cs="Calibri" w:eastAsia="Calibri" w:hAnsi="Calibri"/>
          <w:sz w:val="22"/>
          <w:szCs w:val="22"/>
        </w:rPr>
        <w:t xml:space="preserve">Sarcar, V. (2023) Java Design Patterns: A Hands-On Experience with Real-World Examples. 3rd edn. Berkeley, CA: Apress.</w:t>
      </w:r>
    </w:p>
    <w:p>
      <w:pPr>
        <w:spacing w:after="200" w:line="276"/>
      </w:pPr>
      <w:r>
        <w:rPr>
          <w:rFonts w:ascii="Calibri" w:cs="Calibri" w:eastAsia="Calibri" w:hAnsi="Calibri"/>
          <w:sz w:val="22"/>
          <w:szCs w:val="22"/>
        </w:rPr>
        <w:t xml:space="preserve">Srinivas, S., Kirk, B., Zendejas, J., Espino, M., Boskovich, M., Bari, A., Dajani, K. and Alzahrani, N. (2025) 'AI-augmented SOC: A survey of LLMs and agents for security automation', Journal of Cybersecurity and Privacy, 5(4), p. 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8d507c71c90af9b02e416461a319cd02cd35ff.png"/><Relationship Id="rId8" Type="http://schemas.openxmlformats.org/officeDocument/2006/relationships/image" Target="media/967961657249f8775c62ca4edaa4892cb831d4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2026-07-16T03:34:26.946Z</dcterms:created>
  <dcterms:modified xsi:type="dcterms:W3CDTF">2026-07-16T03:34:26.959Z</dcterms:modified>
</cp:coreProperties>
</file>

<file path=docProps/custom.xml><?xml version="1.0" encoding="utf-8"?>
<Properties xmlns="http://schemas.openxmlformats.org/officeDocument/2006/custom-properties" xmlns:vt="http://schemas.openxmlformats.org/officeDocument/2006/docPropsVTypes"/>
</file>