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EC" w:rsidRDefault="000C24EC" w:rsidP="000C24EC">
      <w:pPr>
        <w:pStyle w:val="Ttulo1"/>
        <w:numPr>
          <w:ilvl w:val="0"/>
          <w:numId w:val="1"/>
        </w:numPr>
      </w:pPr>
      <w:bookmarkStart w:id="0" w:name="_Toc446676958"/>
      <w:r>
        <w:t>Cómo usar este libro</w:t>
      </w:r>
      <w:bookmarkEnd w:id="0"/>
    </w:p>
    <w:p w:rsidR="000C24EC" w:rsidRDefault="000C24EC" w:rsidP="00F04282">
      <w:r>
        <w:t>El bloqueo de subdocumentos</w:t>
      </w:r>
      <w:r>
        <w:fldChar w:fldCharType="begin"/>
      </w:r>
      <w:r>
        <w:instrText xml:space="preserve"> XE "</w:instrText>
      </w:r>
      <w:r w:rsidRPr="004D4031">
        <w:instrText>subdocumentos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543CA9">
        <w:instrText>subdocumentos</w:instrText>
      </w:r>
      <w:r>
        <w:instrText xml:space="preserve">" </w:instrText>
      </w:r>
      <w:r>
        <w:fldChar w:fldCharType="end"/>
      </w:r>
      <w:r>
        <w:t xml:space="preserve"> es efectivo mientras trabajamos en el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maestro, pero no impide que puedan editarse los subdocumentos de manera individual.</w:t>
      </w:r>
    </w:p>
    <w:p w:rsidR="000C24EC" w:rsidRDefault="000C24EC" w:rsidP="00F04282">
      <w:r>
        <w:t>En la ventana de formato</w:t>
      </w:r>
      <w:r>
        <w:fldChar w:fldCharType="begin"/>
      </w:r>
      <w:r>
        <w:instrText xml:space="preserve"> XE "Formato" </w:instrText>
      </w:r>
      <w:r>
        <w:fldChar w:fldCharType="end"/>
      </w:r>
      <w:r>
        <w:t xml:space="preserve"> podrá establecer toda la configuración de formato de carácter, párrafo, tabla</w:t>
      </w:r>
      <w:r>
        <w:fldChar w:fldCharType="begin"/>
      </w:r>
      <w:r>
        <w:instrText xml:space="preserve"> XE "Tabla" </w:instrText>
      </w:r>
      <w:r>
        <w:fldChar w:fldCharType="end"/>
      </w:r>
      <w:r>
        <w:t xml:space="preserve"> y lista. Aplicar sangría</w:t>
      </w:r>
      <w:r>
        <w:fldChar w:fldCharType="begin"/>
      </w:r>
      <w:r>
        <w:instrText xml:space="preserve"> XE "Formato:Párrafo" </w:instrText>
      </w:r>
      <w:r>
        <w:fldChar w:fldCharType="end"/>
      </w:r>
      <w:r>
        <w:t>.</w:t>
      </w:r>
    </w:p>
    <w:p w:rsidR="000C24EC" w:rsidRPr="00F04282" w:rsidRDefault="000C24EC" w:rsidP="00F04282">
      <w:pPr>
        <w:rPr>
          <w:lang w:eastAsia="en-US"/>
        </w:rPr>
      </w:pPr>
    </w:p>
    <w:p w:rsidR="000C24EC" w:rsidRDefault="000C24EC" w:rsidP="007E4565">
      <w:pPr>
        <w:sectPr w:rsidR="000C24E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C23EC" w:rsidRDefault="009C23EC"/>
    <w:sectPr w:rsidR="009C23EC" w:rsidSect="001D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multilevel"/>
    <w:tmpl w:val="807EC2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tulo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F2"/>
    <w:rsid w:val="000C24EC"/>
    <w:rsid w:val="001811F2"/>
    <w:rsid w:val="001C3163"/>
    <w:rsid w:val="001D2EE7"/>
    <w:rsid w:val="005C1B5B"/>
    <w:rsid w:val="007B6CEC"/>
    <w:rsid w:val="009C23EC"/>
    <w:rsid w:val="00E216DD"/>
    <w:rsid w:val="00F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F1272E-0477-47E2-96DE-B65AD0D9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24EC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24EC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EC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EC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EC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EC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EC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E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C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2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5212-FD19-4197-972A-7528A43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