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零售分析项目阶段发现</w:t>
      </w:r>
    </w:p>
    <w:p>
      <w:r>
        <w:t>Retail Analytics Portfolio  |  结论整理  |  2026年10月6日</w:t>
      </w:r>
    </w:p>
    <w:p>
      <w:r>
        <w:t>本项目通过交易明细审计、指标定义及异常订单追查，分析销售、取消、商品购买广度和客户集中度。核心发现是：销售规模、购买广度与取消后的净贡献应分别衡量；少数超大订单会显著影响排名和取消比例。</w:t>
      </w:r>
    </w:p>
    <w:p>
      <w:pPr>
        <w:pStyle w:val="Heading1"/>
      </w:pPr>
      <w:r>
        <w:t>1 数据范围与质量</w:t>
      </w:r>
    </w:p>
    <w:p>
      <w:r>
        <w:t>数据为项目使用的 UCI Online Retail 文件。共 541,909 行、8 个原始字段；时间范围为 2010年12月1日 08:26 至 2011年12月9日 12:50。金额按对话中的英镑口径展示。</w:t>
      </w:r>
    </w:p>
    <w:tbl>
      <w:tblPr>
        <w:tblStyle w:val="LightShading-Accent1"/>
        <w:tblW w:type="auto" w:w="0"/>
        <w:tblLook w:firstColumn="1" w:firstRow="1" w:lastColumn="0" w:lastRow="0" w:noHBand="0" w:noVBand="1" w:val="04A0"/>
      </w:tblPr>
      <w:tblGrid>
        <w:gridCol w:w="3298"/>
        <w:gridCol w:w="3298"/>
        <w:gridCol w:w="3298"/>
      </w:tblGrid>
      <w:tr>
        <w:trPr>
          <w:tblHeader/>
        </w:trPr>
        <w:tc>
          <w:tcPr>
            <w:tcW w:type="dxa" w:w="3298"/>
          </w:tcPr>
          <w:p>
            <w:pPr>
              <w:spacing w:after="60"/>
            </w:pPr>
            <w:r>
              <w:rPr>
                <w:sz w:val="18"/>
              </w:rPr>
              <w:t>审计项目</w:t>
            </w:r>
          </w:p>
        </w:tc>
        <w:tc>
          <w:tcPr>
            <w:tcW w:type="dxa" w:w="3298"/>
          </w:tcPr>
          <w:p>
            <w:pPr>
              <w:spacing w:after="60"/>
            </w:pPr>
            <w:r>
              <w:rPr>
                <w:sz w:val="18"/>
              </w:rPr>
              <w:t>已确认结果</w:t>
            </w:r>
          </w:p>
        </w:tc>
        <w:tc>
          <w:tcPr>
            <w:tcW w:type="dxa" w:w="3298"/>
          </w:tcPr>
          <w:p>
            <w:pPr>
              <w:spacing w:after="60"/>
            </w:pPr>
            <w:r>
              <w:rPr>
                <w:sz w:val="18"/>
              </w:rPr>
              <w:t>分析处理</w:t>
            </w:r>
          </w:p>
        </w:tc>
      </w:tr>
      <w:tr>
        <w:trPr>
          <w:cantSplit/>
        </w:trPr>
        <w:tc>
          <w:tcPr>
            <w:tcW w:type="dxa" w:w="3298"/>
          </w:tcPr>
          <w:p>
            <w:pPr>
              <w:spacing w:after="60"/>
            </w:pPr>
            <w:r>
              <w:rPr>
                <w:sz w:val="18"/>
              </w:rPr>
              <w:t>Description 缺失</w:t>
            </w:r>
          </w:p>
        </w:tc>
        <w:tc>
          <w:tcPr>
            <w:tcW w:type="dxa" w:w="3298"/>
          </w:tcPr>
          <w:p>
            <w:pPr>
              <w:spacing w:after="60"/>
            </w:pPr>
            <w:r>
              <w:rPr>
                <w:sz w:val="18"/>
              </w:rPr>
              <w:t>1,454 行</w:t>
            </w:r>
          </w:p>
        </w:tc>
        <w:tc>
          <w:tcPr>
            <w:tcW w:type="dxa" w:w="3298"/>
          </w:tcPr>
          <w:p>
            <w:pPr>
              <w:spacing w:after="60"/>
            </w:pPr>
            <w:r>
              <w:rPr>
                <w:sz w:val="18"/>
              </w:rPr>
              <w:t>保留编码；名称不能作唯一键</w:t>
            </w:r>
          </w:p>
        </w:tc>
      </w:tr>
      <w:tr>
        <w:trPr>
          <w:cantSplit/>
        </w:trPr>
        <w:tc>
          <w:tcPr>
            <w:tcW w:type="dxa" w:w="3298"/>
          </w:tcPr>
          <w:p>
            <w:pPr>
              <w:spacing w:after="60"/>
            </w:pPr>
            <w:r>
              <w:rPr>
                <w:sz w:val="18"/>
              </w:rPr>
              <w:t>CustomerID 缺失</w:t>
            </w:r>
          </w:p>
        </w:tc>
        <w:tc>
          <w:tcPr>
            <w:tcW w:type="dxa" w:w="3298"/>
          </w:tcPr>
          <w:p>
            <w:pPr>
              <w:spacing w:after="60"/>
            </w:pPr>
            <w:r>
              <w:rPr>
                <w:sz w:val="18"/>
              </w:rPr>
              <w:t>135,080 行，约四分之一</w:t>
            </w:r>
          </w:p>
        </w:tc>
        <w:tc>
          <w:tcPr>
            <w:tcW w:type="dxa" w:w="3298"/>
          </w:tcPr>
          <w:p>
            <w:pPr>
              <w:spacing w:after="60"/>
            </w:pPr>
            <w:r>
              <w:rPr>
                <w:sz w:val="18"/>
              </w:rPr>
              <w:t>客户分析排除；其他分析按记录类型使用</w:t>
            </w:r>
          </w:p>
        </w:tc>
      </w:tr>
      <w:tr>
        <w:trPr>
          <w:cantSplit/>
        </w:trPr>
        <w:tc>
          <w:tcPr>
            <w:tcW w:type="dxa" w:w="3298"/>
          </w:tcPr>
          <w:p>
            <w:pPr>
              <w:spacing w:after="60"/>
            </w:pPr>
            <w:r>
              <w:rPr>
                <w:sz w:val="18"/>
              </w:rPr>
              <w:t>其余六个字段缺失</w:t>
            </w:r>
          </w:p>
        </w:tc>
        <w:tc>
          <w:tcPr>
            <w:tcW w:type="dxa" w:w="3298"/>
          </w:tcPr>
          <w:p>
            <w:pPr>
              <w:spacing w:after="60"/>
            </w:pPr>
            <w:r>
              <w:rPr>
                <w:sz w:val="18"/>
              </w:rPr>
              <w:t>均为 0</w:t>
            </w:r>
          </w:p>
        </w:tc>
        <w:tc>
          <w:tcPr>
            <w:tcW w:type="dxa" w:w="3298"/>
          </w:tcPr>
          <w:p>
            <w:pPr>
              <w:spacing w:after="60"/>
            </w:pPr>
            <w:r>
              <w:rPr>
                <w:sz w:val="18"/>
              </w:rPr>
              <w:t>完整性不等于业务内容完全正确</w:t>
            </w:r>
          </w:p>
        </w:tc>
      </w:tr>
      <w:tr>
        <w:trPr>
          <w:cantSplit/>
        </w:trPr>
        <w:tc>
          <w:tcPr>
            <w:tcW w:type="dxa" w:w="3298"/>
          </w:tcPr>
          <w:p>
            <w:pPr>
              <w:spacing w:after="60"/>
            </w:pPr>
            <w:r>
              <w:rPr>
                <w:sz w:val="18"/>
              </w:rPr>
              <w:t>类型转换</w:t>
            </w:r>
          </w:p>
        </w:tc>
        <w:tc>
          <w:tcPr>
            <w:tcW w:type="dxa" w:w="3298"/>
          </w:tcPr>
          <w:p>
            <w:pPr>
              <w:spacing w:after="60"/>
            </w:pPr>
            <w:r>
              <w:rPr>
                <w:sz w:val="18"/>
              </w:rPr>
              <w:t>Quantity、UnitPrice、日期序列检查通过</w:t>
            </w:r>
          </w:p>
        </w:tc>
        <w:tc>
          <w:tcPr>
            <w:tcW w:type="dxa" w:w="3298"/>
          </w:tcPr>
          <w:p>
            <w:pPr>
              <w:spacing w:after="60"/>
            </w:pPr>
            <w:r>
              <w:rPr>
                <w:sz w:val="18"/>
              </w:rPr>
              <w:t>编号用文本；数量用整数；价格用 DECIMAL</w:t>
            </w:r>
          </w:p>
        </w:tc>
      </w:tr>
      <w:tr>
        <w:trPr>
          <w:cantSplit/>
        </w:trPr>
        <w:tc>
          <w:tcPr>
            <w:tcW w:type="dxa" w:w="3298"/>
          </w:tcPr>
          <w:p>
            <w:pPr>
              <w:spacing w:after="60"/>
            </w:pPr>
            <w:r>
              <w:rPr>
                <w:sz w:val="18"/>
              </w:rPr>
              <w:t>日期与时间</w:t>
            </w:r>
          </w:p>
        </w:tc>
        <w:tc>
          <w:tcPr>
            <w:tcW w:type="dxa" w:w="3298"/>
          </w:tcPr>
          <w:p>
            <w:pPr>
              <w:spacing w:after="60"/>
            </w:pPr>
            <w:r>
              <w:rPr>
                <w:sz w:val="18"/>
              </w:rPr>
              <w:t>曾发现转换丢失时间，后已修正</w:t>
            </w:r>
          </w:p>
        </w:tc>
        <w:tc>
          <w:tcPr>
            <w:tcW w:type="dxa" w:w="3298"/>
          </w:tcPr>
          <w:p>
            <w:pPr>
              <w:spacing w:after="60"/>
            </w:pPr>
            <w:r>
              <w:rPr>
                <w:sz w:val="18"/>
              </w:rPr>
              <w:t>Excel 序列小数部分必须保留</w:t>
            </w:r>
          </w:p>
        </w:tc>
      </w:tr>
    </w:tbl>
    <w:p>
      <w:r>
        <w:t>建立 raw_online_retail → typed_online_retail → analysis_online_retail 流程，保留原始数据；分析层增加 line_amount 和 record_type。dim_product 以 StockCode 关联交易表。</w:t>
      </w:r>
    </w:p>
    <w:p>
      <w:pPr>
        <w:pStyle w:val="Heading1"/>
      </w:pPr>
      <w:r>
        <w:t>2 重复与交易粒度</w:t>
      </w:r>
    </w:p>
    <w:p>
      <w:r>
        <w:t>八字段完全相同的重复组合有 4,879 组；每组只留一行会移除 5,268 行，约占总行数 0.97%。这证明存在相同记录，尚不能证明它们都是错误重复。</w:t>
      </w:r>
    </w:p>
    <w:p>
      <w:r>
        <w:t>Invoice 555524 中，商品 22698 有 20 行，每行数量 1，合计 20 件；22697 有 12 行，合计 12 件。同一 InvoiceNo 与 StockCode 可对应多行，二者组合不能视为明细唯一键。</w:t>
      </w:r>
    </w:p>
    <w:p>
      <w:r>
        <w:t>当前保留原始行并按业务维度汇总。直接 DISTINCT 会把上述记录数量降为 1；缺少行级唯一标识或独立业务凭证，不能确认所有重复行是否合理。</w:t>
      </w:r>
    </w:p>
    <w:p>
      <w:r>
        <w:t>Portfolio: “Retained repeated transaction lines because identical field values alone did not establish erroneous duplication.”</w:t>
      </w:r>
    </w:p>
    <w:p>
      <w:r>
        <w:br w:type="page"/>
      </w:r>
    </w:p>
    <w:p>
      <w:pPr>
        <w:pStyle w:val="Heading1"/>
      </w:pPr>
      <w:r>
        <w:t>3 记录分类与指标口径</w:t>
      </w:r>
    </w:p>
    <w:p>
      <w:r>
        <w:t>分类按以下顺序执行，C 前缀优先。类别是项目规则，其中调整类名称不代表每行原因已获业务确认。五类合计 541,909 行，无 Other。</w:t>
      </w:r>
    </w:p>
    <w:tbl>
      <w:tblPr>
        <w:tblStyle w:val="LightShading-Accent1"/>
        <w:tblW w:type="auto" w:w="0"/>
        <w:tblLook w:firstColumn="1" w:firstRow="1" w:lastColumn="0" w:lastRow="0" w:noHBand="0" w:noVBand="1" w:val="04A0"/>
      </w:tblPr>
      <w:tblGrid>
        <w:gridCol w:w="3298"/>
        <w:gridCol w:w="3298"/>
        <w:gridCol w:w="3298"/>
      </w:tblGrid>
      <w:tr>
        <w:trPr>
          <w:tblHeader/>
        </w:trPr>
        <w:tc>
          <w:tcPr>
            <w:tcW w:type="dxa" w:w="3298"/>
          </w:tcPr>
          <w:p>
            <w:pPr>
              <w:spacing w:after="60"/>
            </w:pPr>
            <w:r>
              <w:rPr>
                <w:sz w:val="18"/>
              </w:rPr>
              <w:t>record_type</w:t>
            </w:r>
          </w:p>
        </w:tc>
        <w:tc>
          <w:tcPr>
            <w:tcW w:type="dxa" w:w="3298"/>
          </w:tcPr>
          <w:p>
            <w:pPr>
              <w:spacing w:after="60"/>
            </w:pPr>
            <w:r>
              <w:rPr>
                <w:sz w:val="18"/>
              </w:rPr>
              <w:t>判定规则</w:t>
            </w:r>
          </w:p>
        </w:tc>
        <w:tc>
          <w:tcPr>
            <w:tcW w:type="dxa" w:w="3298"/>
          </w:tcPr>
          <w:p>
            <w:pPr>
              <w:spacing w:after="60"/>
            </w:pPr>
            <w:r>
              <w:rPr>
                <w:sz w:val="18"/>
              </w:rPr>
              <w:t>行数</w:t>
            </w:r>
          </w:p>
        </w:tc>
      </w:tr>
      <w:tr>
        <w:trPr>
          <w:cantSplit/>
        </w:trPr>
        <w:tc>
          <w:tcPr>
            <w:tcW w:type="dxa" w:w="3298"/>
          </w:tcPr>
          <w:p>
            <w:pPr>
              <w:spacing w:after="60"/>
            </w:pPr>
            <w:r>
              <w:rPr>
                <w:sz w:val="18"/>
              </w:rPr>
              <w:t>Cancellation</w:t>
            </w:r>
          </w:p>
        </w:tc>
        <w:tc>
          <w:tcPr>
            <w:tcW w:type="dxa" w:w="3298"/>
          </w:tcPr>
          <w:p>
            <w:pPr>
              <w:spacing w:after="60"/>
            </w:pPr>
            <w:r>
              <w:rPr>
                <w:sz w:val="18"/>
              </w:rPr>
              <w:t>InvoiceNo 以 C 开头</w:t>
            </w:r>
          </w:p>
        </w:tc>
        <w:tc>
          <w:tcPr>
            <w:tcW w:type="dxa" w:w="3298"/>
          </w:tcPr>
          <w:p>
            <w:pPr>
              <w:spacing w:after="60"/>
            </w:pPr>
            <w:r>
              <w:rPr>
                <w:sz w:val="18"/>
              </w:rPr>
              <w:t>9,288</w:t>
            </w:r>
          </w:p>
        </w:tc>
      </w:tr>
      <w:tr>
        <w:trPr>
          <w:cantSplit/>
        </w:trPr>
        <w:tc>
          <w:tcPr>
            <w:tcW w:type="dxa" w:w="3298"/>
          </w:tcPr>
          <w:p>
            <w:pPr>
              <w:spacing w:after="60"/>
            </w:pPr>
            <w:r>
              <w:rPr>
                <w:sz w:val="18"/>
              </w:rPr>
              <w:t>Sale</w:t>
            </w:r>
          </w:p>
        </w:tc>
        <w:tc>
          <w:tcPr>
            <w:tcW w:type="dxa" w:w="3298"/>
          </w:tcPr>
          <w:p>
            <w:pPr>
              <w:spacing w:after="60"/>
            </w:pPr>
            <w:r>
              <w:rPr>
                <w:sz w:val="18"/>
              </w:rPr>
              <w:t>非 C，Quantity &gt; 0 且 UnitPrice &gt; 0</w:t>
            </w:r>
          </w:p>
        </w:tc>
        <w:tc>
          <w:tcPr>
            <w:tcW w:type="dxa" w:w="3298"/>
          </w:tcPr>
          <w:p>
            <w:pPr>
              <w:spacing w:after="60"/>
            </w:pPr>
            <w:r>
              <w:rPr>
                <w:sz w:val="18"/>
              </w:rPr>
              <w:t>530,100</w:t>
            </w:r>
          </w:p>
        </w:tc>
      </w:tr>
      <w:tr>
        <w:trPr>
          <w:cantSplit/>
        </w:trPr>
        <w:tc>
          <w:tcPr>
            <w:tcW w:type="dxa" w:w="3298"/>
          </w:tcPr>
          <w:p>
            <w:pPr>
              <w:spacing w:after="60"/>
            </w:pPr>
            <w:r>
              <w:rPr>
                <w:sz w:val="18"/>
              </w:rPr>
              <w:t>Inventory adjustment</w:t>
            </w:r>
          </w:p>
        </w:tc>
        <w:tc>
          <w:tcPr>
            <w:tcW w:type="dxa" w:w="3298"/>
          </w:tcPr>
          <w:p>
            <w:pPr>
              <w:spacing w:after="60"/>
            </w:pPr>
            <w:r>
              <w:rPr>
                <w:sz w:val="18"/>
              </w:rPr>
              <w:t>非 C，Quantity &lt; 0 且 UnitPrice = 0</w:t>
            </w:r>
          </w:p>
        </w:tc>
        <w:tc>
          <w:tcPr>
            <w:tcW w:type="dxa" w:w="3298"/>
          </w:tcPr>
          <w:p>
            <w:pPr>
              <w:spacing w:after="60"/>
            </w:pPr>
            <w:r>
              <w:rPr>
                <w:sz w:val="18"/>
              </w:rPr>
              <w:t>1,336</w:t>
            </w:r>
          </w:p>
        </w:tc>
      </w:tr>
      <w:tr>
        <w:trPr>
          <w:cantSplit/>
        </w:trPr>
        <w:tc>
          <w:tcPr>
            <w:tcW w:type="dxa" w:w="3298"/>
          </w:tcPr>
          <w:p>
            <w:pPr>
              <w:spacing w:after="60"/>
            </w:pPr>
            <w:r>
              <w:rPr>
                <w:sz w:val="18"/>
              </w:rPr>
              <w:t>Zero-price item</w:t>
            </w:r>
          </w:p>
        </w:tc>
        <w:tc>
          <w:tcPr>
            <w:tcW w:type="dxa" w:w="3298"/>
          </w:tcPr>
          <w:p>
            <w:pPr>
              <w:spacing w:after="60"/>
            </w:pPr>
            <w:r>
              <w:rPr>
                <w:sz w:val="18"/>
              </w:rPr>
              <w:t>非 C，Quantity &gt; 0 且 UnitPrice = 0</w:t>
            </w:r>
          </w:p>
        </w:tc>
        <w:tc>
          <w:tcPr>
            <w:tcW w:type="dxa" w:w="3298"/>
          </w:tcPr>
          <w:p>
            <w:pPr>
              <w:spacing w:after="60"/>
            </w:pPr>
            <w:r>
              <w:rPr>
                <w:sz w:val="18"/>
              </w:rPr>
              <w:t>1,183</w:t>
            </w:r>
          </w:p>
        </w:tc>
      </w:tr>
      <w:tr>
        <w:trPr>
          <w:cantSplit/>
        </w:trPr>
        <w:tc>
          <w:tcPr>
            <w:tcW w:type="dxa" w:w="3298"/>
          </w:tcPr>
          <w:p>
            <w:pPr>
              <w:spacing w:after="60"/>
            </w:pPr>
            <w:r>
              <w:rPr>
                <w:sz w:val="18"/>
              </w:rPr>
              <w:t>Accounting adjustment</w:t>
            </w:r>
          </w:p>
        </w:tc>
        <w:tc>
          <w:tcPr>
            <w:tcW w:type="dxa" w:w="3298"/>
          </w:tcPr>
          <w:p>
            <w:pPr>
              <w:spacing w:after="60"/>
            </w:pPr>
            <w:r>
              <w:rPr>
                <w:sz w:val="18"/>
              </w:rPr>
              <w:t>剩余记录中 UnitPrice &lt; 0</w:t>
            </w:r>
          </w:p>
        </w:tc>
        <w:tc>
          <w:tcPr>
            <w:tcW w:type="dxa" w:w="3298"/>
          </w:tcPr>
          <w:p>
            <w:pPr>
              <w:spacing w:after="60"/>
            </w:pPr>
            <w:r>
              <w:rPr>
                <w:sz w:val="18"/>
              </w:rPr>
              <w:t>2</w:t>
            </w:r>
          </w:p>
        </w:tc>
      </w:tr>
    </w:tbl>
    <w:p>
      <w:r>
        <w:t>非 C 的负数量合计 −206,957 件、金额 £0；描述包括 check、damages、destroyed、thrown away 等，主要支持库存检查或报损解释，但 862 行描述缺失，不能逐行定因。</w:t>
      </w:r>
    </w:p>
    <w:p>
      <w:r>
        <w:t>正数量零价记录共 72,607 件，其中 44 行有客户 ID、1,139 行没有。Invoice 540372 同时含付费商品和两条零价商品，支持“可能赠品或促销品”，不能断言。两条负价格记录 A563186、A563187 均为 Adjust bad debt，单价 −£11,062.06，单独归类。</w:t>
      </w:r>
    </w:p>
    <w:tbl>
      <w:tblPr>
        <w:tblStyle w:val="LightShading-Accent1"/>
        <w:tblW w:type="auto" w:w="0"/>
        <w:tblLook w:firstColumn="1" w:firstRow="1" w:lastColumn="0" w:lastRow="0" w:noHBand="0" w:noVBand="1" w:val="04A0"/>
      </w:tblPr>
      <w:tblGrid>
        <w:gridCol w:w="4946"/>
        <w:gridCol w:w="4946"/>
      </w:tblGrid>
      <w:tr>
        <w:trPr>
          <w:tblHeader/>
        </w:trPr>
        <w:tc>
          <w:tcPr>
            <w:tcW w:type="dxa" w:w="4946"/>
          </w:tcPr>
          <w:p>
            <w:pPr>
              <w:spacing w:after="60"/>
            </w:pPr>
            <w:r>
              <w:rPr>
                <w:sz w:val="18"/>
              </w:rPr>
              <w:t>指标</w:t>
            </w:r>
          </w:p>
        </w:tc>
        <w:tc>
          <w:tcPr>
            <w:tcW w:type="dxa" w:w="4946"/>
          </w:tcPr>
          <w:p>
            <w:pPr>
              <w:spacing w:after="60"/>
            </w:pPr>
            <w:r>
              <w:rPr>
                <w:sz w:val="18"/>
              </w:rPr>
              <w:t>定义与已确认数值</w:t>
            </w:r>
          </w:p>
        </w:tc>
      </w:tr>
      <w:tr>
        <w:trPr>
          <w:cantSplit/>
        </w:trPr>
        <w:tc>
          <w:tcPr>
            <w:tcW w:type="dxa" w:w="4946"/>
          </w:tcPr>
          <w:p>
            <w:pPr>
              <w:spacing w:after="60"/>
            </w:pPr>
            <w:r>
              <w:rPr>
                <w:sz w:val="18"/>
              </w:rPr>
              <w:t>Line amount</w:t>
            </w:r>
          </w:p>
        </w:tc>
        <w:tc>
          <w:tcPr>
            <w:tcW w:type="dxa" w:w="4946"/>
          </w:tcPr>
          <w:p>
            <w:pPr>
              <w:spacing w:after="60"/>
            </w:pPr>
            <w:r>
              <w:rPr>
                <w:sz w:val="18"/>
              </w:rPr>
              <w:t>Quantity × UnitPrice，保留符号</w:t>
            </w:r>
          </w:p>
        </w:tc>
      </w:tr>
      <w:tr>
        <w:trPr>
          <w:cantSplit/>
        </w:trPr>
        <w:tc>
          <w:tcPr>
            <w:tcW w:type="dxa" w:w="4946"/>
          </w:tcPr>
          <w:p>
            <w:pPr>
              <w:spacing w:after="60"/>
            </w:pPr>
            <w:r>
              <w:rPr>
                <w:sz w:val="18"/>
              </w:rPr>
              <w:t>Gross Sales</w:t>
            </w:r>
          </w:p>
        </w:tc>
        <w:tc>
          <w:tcPr>
            <w:tcW w:type="dxa" w:w="4946"/>
          </w:tcPr>
          <w:p>
            <w:pPr>
              <w:spacing w:after="60"/>
            </w:pPr>
            <w:r>
              <w:rPr>
                <w:sz w:val="18"/>
              </w:rPr>
              <w:t>Sale 金额之和：£10,666,684.54；包含符合 Sale 条件的邮费及 Manual 项</w:t>
            </w:r>
          </w:p>
        </w:tc>
      </w:tr>
      <w:tr>
        <w:trPr>
          <w:cantSplit/>
        </w:trPr>
        <w:tc>
          <w:tcPr>
            <w:tcW w:type="dxa" w:w="4946"/>
          </w:tcPr>
          <w:p>
            <w:pPr>
              <w:spacing w:after="60"/>
            </w:pPr>
            <w:r>
              <w:rPr>
                <w:sz w:val="18"/>
              </w:rPr>
              <w:t>Cancellation Value</w:t>
            </w:r>
          </w:p>
        </w:tc>
        <w:tc>
          <w:tcPr>
            <w:tcW w:type="dxa" w:w="4946"/>
          </w:tcPr>
          <w:p>
            <w:pPr>
              <w:spacing w:after="60"/>
            </w:pPr>
            <w:r>
              <w:rPr>
                <w:sz w:val="18"/>
              </w:rPr>
              <w:t>C 单金额有符号合计 −£896,812.49；展示其绝对值 £896,812.49</w:t>
            </w:r>
          </w:p>
        </w:tc>
      </w:tr>
      <w:tr>
        <w:trPr>
          <w:cantSplit/>
        </w:trPr>
        <w:tc>
          <w:tcPr>
            <w:tcW w:type="dxa" w:w="4946"/>
          </w:tcPr>
          <w:p>
            <w:pPr>
              <w:spacing w:after="60"/>
            </w:pPr>
            <w:r>
              <w:rPr>
                <w:sz w:val="18"/>
              </w:rPr>
              <w:t>Net Sales</w:t>
            </w:r>
          </w:p>
        </w:tc>
        <w:tc>
          <w:tcPr>
            <w:tcW w:type="dxa" w:w="4946"/>
          </w:tcPr>
          <w:p>
            <w:pPr>
              <w:spacing w:after="60"/>
            </w:pPr>
            <w:r>
              <w:rPr>
                <w:sz w:val="18"/>
              </w:rPr>
              <w:t>项目定义：Sale + Cancellation 有符号金额之和；排除其他类别。非利润或完整会计净收入</w:t>
            </w:r>
          </w:p>
        </w:tc>
      </w:tr>
      <w:tr>
        <w:trPr>
          <w:cantSplit/>
        </w:trPr>
        <w:tc>
          <w:tcPr>
            <w:tcW w:type="dxa" w:w="4946"/>
          </w:tcPr>
          <w:p>
            <w:pPr>
              <w:spacing w:after="60"/>
            </w:pPr>
            <w:r>
              <w:rPr>
                <w:sz w:val="18"/>
              </w:rPr>
              <w:t>Sales Order Count</w:t>
            </w:r>
          </w:p>
        </w:tc>
        <w:tc>
          <w:tcPr>
            <w:tcW w:type="dxa" w:w="4946"/>
          </w:tcPr>
          <w:p>
            <w:pPr>
              <w:spacing w:after="60"/>
            </w:pPr>
            <w:r>
              <w:rPr>
                <w:sz w:val="18"/>
              </w:rPr>
              <w:t>Sale 中 COUNT(DISTINCT InvoiceNo)：19,960</w:t>
            </w:r>
          </w:p>
        </w:tc>
      </w:tr>
      <w:tr>
        <w:trPr>
          <w:cantSplit/>
        </w:trPr>
        <w:tc>
          <w:tcPr>
            <w:tcW w:type="dxa" w:w="4946"/>
          </w:tcPr>
          <w:p>
            <w:pPr>
              <w:spacing w:after="60"/>
            </w:pPr>
            <w:r>
              <w:rPr>
                <w:sz w:val="18"/>
              </w:rPr>
              <w:t>Cancellation Invoice Count</w:t>
            </w:r>
          </w:p>
        </w:tc>
        <w:tc>
          <w:tcPr>
            <w:tcW w:type="dxa" w:w="4946"/>
          </w:tcPr>
          <w:p>
            <w:pPr>
              <w:spacing w:after="60"/>
            </w:pPr>
            <w:r>
              <w:rPr>
                <w:sz w:val="18"/>
              </w:rPr>
              <w:t>Cancellation 中不同 InvoiceNo：3,836</w:t>
            </w:r>
          </w:p>
        </w:tc>
      </w:tr>
      <w:tr>
        <w:trPr>
          <w:cantSplit/>
        </w:trPr>
        <w:tc>
          <w:tcPr>
            <w:tcW w:type="dxa" w:w="4946"/>
          </w:tcPr>
          <w:p>
            <w:pPr>
              <w:spacing w:after="60"/>
            </w:pPr>
            <w:r>
              <w:rPr>
                <w:sz w:val="18"/>
              </w:rPr>
              <w:t>Cancellation Invoice Share</w:t>
            </w:r>
          </w:p>
        </w:tc>
        <w:tc>
          <w:tcPr>
            <w:tcW w:type="dxa" w:w="4946"/>
          </w:tcPr>
          <w:p>
            <w:pPr>
              <w:spacing w:after="60"/>
            </w:pPr>
            <w:r>
              <w:rPr>
                <w:sz w:val="18"/>
              </w:rPr>
              <w:t>3,836 ÷ (19,960 + 3,836) = 16.12%，不是原始订单被取消率</w:t>
            </w:r>
          </w:p>
        </w:tc>
      </w:tr>
      <w:tr>
        <w:trPr>
          <w:cantSplit/>
        </w:trPr>
        <w:tc>
          <w:tcPr>
            <w:tcW w:type="dxa" w:w="4946"/>
          </w:tcPr>
          <w:p>
            <w:pPr>
              <w:spacing w:after="60"/>
            </w:pPr>
            <w:r>
              <w:rPr>
                <w:sz w:val="18"/>
              </w:rPr>
              <w:t>Cancellation Share</w:t>
            </w:r>
          </w:p>
        </w:tc>
        <w:tc>
          <w:tcPr>
            <w:tcW w:type="dxa" w:w="4946"/>
          </w:tcPr>
          <w:p>
            <w:pPr>
              <w:spacing w:after="60"/>
            </w:pPr>
            <w:r>
              <w:rPr>
                <w:sz w:val="18"/>
              </w:rPr>
              <w:t>取消金额绝对值 ÷ Gross Sales × 100 = 8.41%，不是已核实损失率</w:t>
            </w:r>
          </w:p>
        </w:tc>
      </w:tr>
      <w:tr>
        <w:trPr>
          <w:cantSplit/>
        </w:trPr>
        <w:tc>
          <w:tcPr>
            <w:tcW w:type="dxa" w:w="4946"/>
          </w:tcPr>
          <w:p>
            <w:pPr>
              <w:spacing w:after="60"/>
            </w:pPr>
            <w:r>
              <w:rPr>
                <w:sz w:val="18"/>
              </w:rPr>
              <w:t>AOV</w:t>
            </w:r>
          </w:p>
        </w:tc>
        <w:tc>
          <w:tcPr>
            <w:tcW w:type="dxa" w:w="4946"/>
          </w:tcPr>
          <w:p>
            <w:pPr>
              <w:spacing w:after="60"/>
            </w:pPr>
            <w:r>
              <w:rPr>
                <w:sz w:val="18"/>
              </w:rPr>
              <w:t>Gross Sales ÷ Sales Order Count；不可与净销售每单均额混用</w:t>
            </w:r>
          </w:p>
        </w:tc>
      </w:tr>
      <w:tr>
        <w:trPr>
          <w:cantSplit/>
        </w:trPr>
        <w:tc>
          <w:tcPr>
            <w:tcW w:type="dxa" w:w="4946"/>
          </w:tcPr>
          <w:p>
            <w:pPr>
              <w:spacing w:after="60"/>
            </w:pPr>
            <w:r>
              <w:rPr>
                <w:sz w:val="18"/>
              </w:rPr>
              <w:t>客户净销售每单均额</w:t>
            </w:r>
          </w:p>
        </w:tc>
        <w:tc>
          <w:tcPr>
            <w:tcW w:type="dxa" w:w="4946"/>
          </w:tcPr>
          <w:p>
            <w:pPr>
              <w:spacing w:after="60"/>
            </w:pPr>
            <w:r>
              <w:rPr>
                <w:sz w:val="18"/>
              </w:rPr>
              <w:t>客户 Net Sales ÷ 该客户销售订单数；并非逐单匹配退款后的 AOV</w:t>
            </w:r>
          </w:p>
        </w:tc>
      </w:tr>
      <w:tr>
        <w:trPr>
          <w:cantSplit/>
        </w:trPr>
        <w:tc>
          <w:tcPr>
            <w:tcW w:type="dxa" w:w="4946"/>
          </w:tcPr>
          <w:p>
            <w:pPr>
              <w:spacing w:after="60"/>
            </w:pPr>
            <w:r>
              <w:rPr>
                <w:sz w:val="18"/>
              </w:rPr>
              <w:t>Units 与购买广度</w:t>
            </w:r>
          </w:p>
        </w:tc>
        <w:tc>
          <w:tcPr>
            <w:tcW w:type="dxa" w:w="4946"/>
          </w:tcPr>
          <w:p>
            <w:pPr>
              <w:spacing w:after="60"/>
            </w:pPr>
            <w:r>
              <w:rPr>
                <w:sz w:val="18"/>
              </w:rPr>
              <w:t>Sale 数量之和；广度用不同销售订单数和非空客户 ID 数</w:t>
            </w:r>
          </w:p>
        </w:tc>
      </w:tr>
    </w:tbl>
    <w:p>
      <w:r>
        <w:t>客户分析限定 CustomerID 非空；国家、产品和时间的 Sale 汇总保留匿名记录。所有分子与分母必须注明同一筛选范围。Description &lt;&gt; 某值会同时排除 NULL；此前正常销售行数因此误少 1 行，已修正。</w:t>
      </w:r>
    </w:p>
    <w:p>
      <w:r>
        <w:br w:type="page"/>
      </w:r>
    </w:p>
    <w:p>
      <w:pPr>
        <w:pStyle w:val="Heading1"/>
      </w:pPr>
      <w:r>
        <w:t>4 取消行为与月度趋势</w:t>
      </w:r>
    </w:p>
    <w:tbl>
      <w:tblPr>
        <w:tblStyle w:val="LightShading-Accent1"/>
        <w:tblW w:type="auto" w:w="0"/>
        <w:tblLook w:firstColumn="1" w:firstRow="1" w:lastColumn="0" w:lastRow="0" w:noHBand="0" w:noVBand="1" w:val="04A0"/>
      </w:tblPr>
      <w:tblGrid>
        <w:gridCol w:w="3298"/>
        <w:gridCol w:w="3298"/>
        <w:gridCol w:w="3298"/>
      </w:tblGrid>
      <w:tr>
        <w:trPr>
          <w:tblHeader/>
        </w:trPr>
        <w:tc>
          <w:tcPr>
            <w:tcW w:type="dxa" w:w="3298"/>
          </w:tcPr>
          <w:p>
            <w:pPr>
              <w:spacing w:after="60"/>
            </w:pPr>
            <w:r>
              <w:rPr>
                <w:sz w:val="18"/>
              </w:rPr>
              <w:t>已匹配案例</w:t>
            </w:r>
          </w:p>
        </w:tc>
        <w:tc>
          <w:tcPr>
            <w:tcW w:type="dxa" w:w="3298"/>
          </w:tcPr>
          <w:p>
            <w:pPr>
              <w:spacing w:after="60"/>
            </w:pPr>
            <w:r>
              <w:rPr>
                <w:sz w:val="18"/>
              </w:rPr>
              <w:t>原始销售与取消</w:t>
            </w:r>
          </w:p>
        </w:tc>
        <w:tc>
          <w:tcPr>
            <w:tcW w:type="dxa" w:w="3298"/>
          </w:tcPr>
          <w:p>
            <w:pPr>
              <w:spacing w:after="60"/>
            </w:pPr>
            <w:r>
              <w:rPr>
                <w:sz w:val="18"/>
              </w:rPr>
              <w:t>含义</w:t>
            </w:r>
          </w:p>
        </w:tc>
      </w:tr>
      <w:tr>
        <w:trPr>
          <w:cantSplit/>
        </w:trPr>
        <w:tc>
          <w:tcPr>
            <w:tcW w:type="dxa" w:w="3298"/>
          </w:tcPr>
          <w:p>
            <w:pPr>
              <w:spacing w:after="60"/>
            </w:pPr>
            <w:r>
              <w:rPr>
                <w:sz w:val="18"/>
              </w:rPr>
              <w:t>Customer 12346 / 商品 23166</w:t>
            </w:r>
          </w:p>
        </w:tc>
        <w:tc>
          <w:tcPr>
            <w:tcW w:type="dxa" w:w="3298"/>
          </w:tcPr>
          <w:p>
            <w:pPr>
              <w:spacing w:after="60"/>
            </w:pPr>
            <w:r>
              <w:rPr>
                <w:sz w:val="18"/>
              </w:rPr>
              <w:t>541431 → C541433；74,215 件；£77,183.60；16 分钟后完整取消</w:t>
            </w:r>
          </w:p>
        </w:tc>
        <w:tc>
          <w:tcPr>
            <w:tcW w:type="dxa" w:w="3298"/>
          </w:tcPr>
          <w:p>
            <w:pPr>
              <w:spacing w:after="60"/>
            </w:pPr>
            <w:r>
              <w:rPr>
                <w:sz w:val="18"/>
              </w:rPr>
              <w:t>客户净贡献 £0</w:t>
            </w:r>
          </w:p>
        </w:tc>
      </w:tr>
      <w:tr>
        <w:trPr>
          <w:cantSplit/>
        </w:trPr>
        <w:tc>
          <w:tcPr>
            <w:tcW w:type="dxa" w:w="3298"/>
          </w:tcPr>
          <w:p>
            <w:pPr>
              <w:spacing w:after="60"/>
            </w:pPr>
            <w:r>
              <w:rPr>
                <w:sz w:val="18"/>
              </w:rPr>
              <w:t>Customer 16446 / 商品 23843</w:t>
            </w:r>
          </w:p>
        </w:tc>
        <w:tc>
          <w:tcPr>
            <w:tcW w:type="dxa" w:w="3298"/>
          </w:tcPr>
          <w:p>
            <w:pPr>
              <w:spacing w:after="60"/>
            </w:pPr>
            <w:r>
              <w:rPr>
                <w:sz w:val="18"/>
              </w:rPr>
              <w:t>581483 → C581484；80,995 件；£168,469.60；12 分钟后完整取消</w:t>
            </w:r>
          </w:p>
        </w:tc>
        <w:tc>
          <w:tcPr>
            <w:tcW w:type="dxa" w:w="3298"/>
          </w:tcPr>
          <w:p>
            <w:pPr>
              <w:spacing w:after="60"/>
            </w:pPr>
            <w:r>
              <w:rPr>
                <w:sz w:val="18"/>
              </w:rPr>
              <w:t>另有 £2.90 小额购买；客户净贡献 £2.90</w:t>
            </w:r>
          </w:p>
        </w:tc>
      </w:tr>
    </w:tbl>
    <w:p>
      <w:r>
        <w:t>两例具有相同客户、商品、数量绝对值及单价，且金额完全抵消。支持具体订单的完整取消，不支持所有 C 单均已一一匹配，也不能推断欺诈、误下单或产品质量问题。</w:t>
      </w:r>
    </w:p>
    <w:tbl>
      <w:tblPr>
        <w:tblStyle w:val="LightShading-Accent1"/>
        <w:tblW w:type="auto" w:w="0"/>
        <w:tblLook w:firstColumn="1" w:firstRow="1" w:lastColumn="0" w:lastRow="0" w:noHBand="0" w:noVBand="1" w:val="04A0"/>
      </w:tblPr>
      <w:tblGrid>
        <w:gridCol w:w="3298"/>
        <w:gridCol w:w="3298"/>
        <w:gridCol w:w="3298"/>
      </w:tblGrid>
      <w:tr>
        <w:trPr>
          <w:tblHeader/>
        </w:trPr>
        <w:tc>
          <w:tcPr>
            <w:tcW w:type="dxa" w:w="3298"/>
          </w:tcPr>
          <w:p>
            <w:pPr>
              <w:spacing w:after="60"/>
            </w:pPr>
            <w:r>
              <w:rPr>
                <w:sz w:val="18"/>
              </w:rPr>
              <w:t>月份</w:t>
            </w:r>
          </w:p>
        </w:tc>
        <w:tc>
          <w:tcPr>
            <w:tcW w:type="dxa" w:w="3298"/>
          </w:tcPr>
          <w:p>
            <w:pPr>
              <w:spacing w:after="60"/>
            </w:pPr>
            <w:r>
              <w:rPr>
                <w:sz w:val="18"/>
              </w:rPr>
              <w:t>Gross Sales £</w:t>
            </w:r>
          </w:p>
        </w:tc>
        <w:tc>
          <w:tcPr>
            <w:tcW w:type="dxa" w:w="3298"/>
          </w:tcPr>
          <w:p>
            <w:pPr>
              <w:spacing w:after="60"/>
            </w:pPr>
            <w:r>
              <w:rPr>
                <w:sz w:val="18"/>
              </w:rPr>
              <w:t>Cancellation Share</w:t>
            </w:r>
          </w:p>
        </w:tc>
      </w:tr>
      <w:tr>
        <w:trPr>
          <w:cantSplit/>
        </w:trPr>
        <w:tc>
          <w:tcPr>
            <w:tcW w:type="dxa" w:w="3298"/>
          </w:tcPr>
          <w:p>
            <w:pPr>
              <w:spacing w:after="60"/>
            </w:pPr>
            <w:r>
              <w:rPr>
                <w:sz w:val="18"/>
              </w:rPr>
              <w:t>2010年12月</w:t>
            </w:r>
          </w:p>
        </w:tc>
        <w:tc>
          <w:tcPr>
            <w:tcW w:type="dxa" w:w="3298"/>
          </w:tcPr>
          <w:p>
            <w:pPr>
              <w:spacing w:after="60"/>
            </w:pPr>
            <w:r>
              <w:rPr>
                <w:sz w:val="18"/>
              </w:rPr>
              <w:t>823,746.14</w:t>
            </w:r>
          </w:p>
        </w:tc>
        <w:tc>
          <w:tcPr>
            <w:tcW w:type="dxa" w:w="3298"/>
          </w:tcPr>
          <w:p>
            <w:pPr>
              <w:spacing w:after="60"/>
            </w:pPr>
            <w:r>
              <w:rPr>
                <w:sz w:val="18"/>
              </w:rPr>
              <w:t>未在该月比例结果中报告</w:t>
            </w:r>
          </w:p>
        </w:tc>
      </w:tr>
      <w:tr>
        <w:trPr>
          <w:cantSplit/>
        </w:trPr>
        <w:tc>
          <w:tcPr>
            <w:tcW w:type="dxa" w:w="3298"/>
          </w:tcPr>
          <w:p>
            <w:pPr>
              <w:spacing w:after="60"/>
            </w:pPr>
            <w:r>
              <w:rPr>
                <w:sz w:val="18"/>
              </w:rPr>
              <w:t>2011年1月</w:t>
            </w:r>
          </w:p>
        </w:tc>
        <w:tc>
          <w:tcPr>
            <w:tcW w:type="dxa" w:w="3298"/>
          </w:tcPr>
          <w:p>
            <w:pPr>
              <w:spacing w:after="60"/>
            </w:pPr>
            <w:r>
              <w:rPr>
                <w:sz w:val="18"/>
              </w:rPr>
              <w:t>691,364.56</w:t>
            </w:r>
          </w:p>
        </w:tc>
        <w:tc>
          <w:tcPr>
            <w:tcW w:type="dxa" w:w="3298"/>
          </w:tcPr>
          <w:p>
            <w:pPr>
              <w:spacing w:after="60"/>
            </w:pPr>
            <w:r>
              <w:rPr>
                <w:sz w:val="18"/>
              </w:rPr>
              <w:t>19.00%</w:t>
            </w:r>
          </w:p>
        </w:tc>
      </w:tr>
      <w:tr>
        <w:trPr>
          <w:cantSplit/>
        </w:trPr>
        <w:tc>
          <w:tcPr>
            <w:tcW w:type="dxa" w:w="3298"/>
          </w:tcPr>
          <w:p>
            <w:pPr>
              <w:spacing w:after="60"/>
            </w:pPr>
            <w:r>
              <w:rPr>
                <w:sz w:val="18"/>
              </w:rPr>
              <w:t>2月</w:t>
            </w:r>
          </w:p>
        </w:tc>
        <w:tc>
          <w:tcPr>
            <w:tcW w:type="dxa" w:w="3298"/>
          </w:tcPr>
          <w:p>
            <w:pPr>
              <w:spacing w:after="60"/>
            </w:pPr>
            <w:r>
              <w:rPr>
                <w:sz w:val="18"/>
              </w:rPr>
              <w:t>523,631.89</w:t>
            </w:r>
          </w:p>
        </w:tc>
        <w:tc>
          <w:tcPr>
            <w:tcW w:type="dxa" w:w="3298"/>
          </w:tcPr>
          <w:p>
            <w:pPr>
              <w:spacing w:after="60"/>
            </w:pPr>
            <w:r>
              <w:rPr>
                <w:sz w:val="18"/>
              </w:rPr>
              <w:t>4.88%</w:t>
            </w:r>
          </w:p>
        </w:tc>
      </w:tr>
      <w:tr>
        <w:trPr>
          <w:cantSplit/>
        </w:trPr>
        <w:tc>
          <w:tcPr>
            <w:tcW w:type="dxa" w:w="3298"/>
          </w:tcPr>
          <w:p>
            <w:pPr>
              <w:spacing w:after="60"/>
            </w:pPr>
            <w:r>
              <w:rPr>
                <w:sz w:val="18"/>
              </w:rPr>
              <w:t>3月</w:t>
            </w:r>
          </w:p>
        </w:tc>
        <w:tc>
          <w:tcPr>
            <w:tcW w:type="dxa" w:w="3298"/>
          </w:tcPr>
          <w:p>
            <w:pPr>
              <w:spacing w:after="60"/>
            </w:pPr>
            <w:r>
              <w:rPr>
                <w:sz w:val="18"/>
              </w:rPr>
              <w:t>717,639.36</w:t>
            </w:r>
          </w:p>
        </w:tc>
        <w:tc>
          <w:tcPr>
            <w:tcW w:type="dxa" w:w="3298"/>
          </w:tcPr>
          <w:p>
            <w:pPr>
              <w:spacing w:after="60"/>
            </w:pPr>
            <w:r>
              <w:rPr>
                <w:sz w:val="18"/>
              </w:rPr>
              <w:t>4.79%</w:t>
            </w:r>
          </w:p>
        </w:tc>
      </w:tr>
      <w:tr>
        <w:trPr>
          <w:cantSplit/>
        </w:trPr>
        <w:tc>
          <w:tcPr>
            <w:tcW w:type="dxa" w:w="3298"/>
          </w:tcPr>
          <w:p>
            <w:pPr>
              <w:spacing w:after="60"/>
            </w:pPr>
            <w:r>
              <w:rPr>
                <w:sz w:val="18"/>
              </w:rPr>
              <w:t>4月</w:t>
            </w:r>
          </w:p>
        </w:tc>
        <w:tc>
          <w:tcPr>
            <w:tcW w:type="dxa" w:w="3298"/>
          </w:tcPr>
          <w:p>
            <w:pPr>
              <w:spacing w:after="60"/>
            </w:pPr>
            <w:r>
              <w:rPr>
                <w:sz w:val="18"/>
              </w:rPr>
              <w:t>537,808.62</w:t>
            </w:r>
          </w:p>
        </w:tc>
        <w:tc>
          <w:tcPr>
            <w:tcW w:type="dxa" w:w="3298"/>
          </w:tcPr>
          <w:p>
            <w:pPr>
              <w:spacing w:after="60"/>
            </w:pPr>
            <w:r>
              <w:rPr>
                <w:sz w:val="18"/>
              </w:rPr>
              <w:t>8.29%</w:t>
            </w:r>
          </w:p>
        </w:tc>
      </w:tr>
      <w:tr>
        <w:trPr>
          <w:cantSplit/>
        </w:trPr>
        <w:tc>
          <w:tcPr>
            <w:tcW w:type="dxa" w:w="3298"/>
          </w:tcPr>
          <w:p>
            <w:pPr>
              <w:spacing w:after="60"/>
            </w:pPr>
            <w:r>
              <w:rPr>
                <w:sz w:val="18"/>
              </w:rPr>
              <w:t>5月</w:t>
            </w:r>
          </w:p>
        </w:tc>
        <w:tc>
          <w:tcPr>
            <w:tcW w:type="dxa" w:w="3298"/>
          </w:tcPr>
          <w:p>
            <w:pPr>
              <w:spacing w:after="60"/>
            </w:pPr>
            <w:r>
              <w:rPr>
                <w:sz w:val="18"/>
              </w:rPr>
              <w:t>770,536.02</w:t>
            </w:r>
          </w:p>
        </w:tc>
        <w:tc>
          <w:tcPr>
            <w:tcW w:type="dxa" w:w="3298"/>
          </w:tcPr>
          <w:p>
            <w:pPr>
              <w:spacing w:after="60"/>
            </w:pPr>
            <w:r>
              <w:rPr>
                <w:sz w:val="18"/>
              </w:rPr>
              <w:t>6.13%</w:t>
            </w:r>
          </w:p>
        </w:tc>
      </w:tr>
      <w:tr>
        <w:trPr>
          <w:cantSplit/>
        </w:trPr>
        <w:tc>
          <w:tcPr>
            <w:tcW w:type="dxa" w:w="3298"/>
          </w:tcPr>
          <w:p>
            <w:pPr>
              <w:spacing w:after="60"/>
            </w:pPr>
            <w:r>
              <w:rPr>
                <w:sz w:val="18"/>
              </w:rPr>
              <w:t>6月</w:t>
            </w:r>
          </w:p>
        </w:tc>
        <w:tc>
          <w:tcPr>
            <w:tcW w:type="dxa" w:w="3298"/>
          </w:tcPr>
          <w:p>
            <w:pPr>
              <w:spacing w:after="60"/>
            </w:pPr>
            <w:r>
              <w:rPr>
                <w:sz w:val="18"/>
              </w:rPr>
              <w:t>761,739.90</w:t>
            </w:r>
          </w:p>
        </w:tc>
        <w:tc>
          <w:tcPr>
            <w:tcW w:type="dxa" w:w="3298"/>
          </w:tcPr>
          <w:p>
            <w:pPr>
              <w:spacing w:after="60"/>
            </w:pPr>
            <w:r>
              <w:rPr>
                <w:sz w:val="18"/>
              </w:rPr>
              <w:t>9.27%</w:t>
            </w:r>
          </w:p>
        </w:tc>
      </w:tr>
      <w:tr>
        <w:trPr>
          <w:cantSplit/>
        </w:trPr>
        <w:tc>
          <w:tcPr>
            <w:tcW w:type="dxa" w:w="3298"/>
          </w:tcPr>
          <w:p>
            <w:pPr>
              <w:spacing w:after="60"/>
            </w:pPr>
            <w:r>
              <w:rPr>
                <w:sz w:val="18"/>
              </w:rPr>
              <w:t>7月</w:t>
            </w:r>
          </w:p>
        </w:tc>
        <w:tc>
          <w:tcPr>
            <w:tcW w:type="dxa" w:w="3298"/>
          </w:tcPr>
          <w:p>
            <w:pPr>
              <w:spacing w:after="60"/>
            </w:pPr>
            <w:r>
              <w:rPr>
                <w:sz w:val="18"/>
              </w:rPr>
              <w:t>719,221.19</w:t>
            </w:r>
          </w:p>
        </w:tc>
        <w:tc>
          <w:tcPr>
            <w:tcW w:type="dxa" w:w="3298"/>
          </w:tcPr>
          <w:p>
            <w:pPr>
              <w:spacing w:after="60"/>
            </w:pPr>
            <w:r>
              <w:rPr>
                <w:sz w:val="18"/>
              </w:rPr>
              <w:t>5.27%</w:t>
            </w:r>
          </w:p>
        </w:tc>
      </w:tr>
      <w:tr>
        <w:trPr>
          <w:cantSplit/>
        </w:trPr>
        <w:tc>
          <w:tcPr>
            <w:tcW w:type="dxa" w:w="3298"/>
          </w:tcPr>
          <w:p>
            <w:pPr>
              <w:spacing w:after="60"/>
            </w:pPr>
            <w:r>
              <w:rPr>
                <w:sz w:val="18"/>
              </w:rPr>
              <w:t>8月</w:t>
            </w:r>
          </w:p>
        </w:tc>
        <w:tc>
          <w:tcPr>
            <w:tcW w:type="dxa" w:w="3298"/>
          </w:tcPr>
          <w:p>
            <w:pPr>
              <w:spacing w:after="60"/>
            </w:pPr>
            <w:r>
              <w:rPr>
                <w:sz w:val="18"/>
              </w:rPr>
              <w:t>759,138.38</w:t>
            </w:r>
          </w:p>
        </w:tc>
        <w:tc>
          <w:tcPr>
            <w:tcW w:type="dxa" w:w="3298"/>
          </w:tcPr>
          <w:p>
            <w:pPr>
              <w:spacing w:after="60"/>
            </w:pPr>
            <w:r>
              <w:rPr>
                <w:sz w:val="18"/>
              </w:rPr>
              <w:t>7.16%</w:t>
            </w:r>
          </w:p>
        </w:tc>
      </w:tr>
      <w:tr>
        <w:trPr>
          <w:cantSplit/>
        </w:trPr>
        <w:tc>
          <w:tcPr>
            <w:tcW w:type="dxa" w:w="3298"/>
          </w:tcPr>
          <w:p>
            <w:pPr>
              <w:spacing w:after="60"/>
            </w:pPr>
            <w:r>
              <w:rPr>
                <w:sz w:val="18"/>
              </w:rPr>
              <w:t>9月</w:t>
            </w:r>
          </w:p>
        </w:tc>
        <w:tc>
          <w:tcPr>
            <w:tcW w:type="dxa" w:w="3298"/>
          </w:tcPr>
          <w:p>
            <w:pPr>
              <w:spacing w:after="60"/>
            </w:pPr>
            <w:r>
              <w:rPr>
                <w:sz w:val="18"/>
              </w:rPr>
              <w:t>1,058,590.17</w:t>
            </w:r>
          </w:p>
        </w:tc>
        <w:tc>
          <w:tcPr>
            <w:tcW w:type="dxa" w:w="3298"/>
          </w:tcPr>
          <w:p>
            <w:pPr>
              <w:spacing w:after="60"/>
            </w:pPr>
            <w:r>
              <w:rPr>
                <w:sz w:val="18"/>
              </w:rPr>
              <w:t>3.67%</w:t>
            </w:r>
          </w:p>
        </w:tc>
      </w:tr>
      <w:tr>
        <w:trPr>
          <w:cantSplit/>
        </w:trPr>
        <w:tc>
          <w:tcPr>
            <w:tcW w:type="dxa" w:w="3298"/>
          </w:tcPr>
          <w:p>
            <w:pPr>
              <w:spacing w:after="60"/>
            </w:pPr>
            <w:r>
              <w:rPr>
                <w:sz w:val="18"/>
              </w:rPr>
              <w:t>10月</w:t>
            </w:r>
          </w:p>
        </w:tc>
        <w:tc>
          <w:tcPr>
            <w:tcW w:type="dxa" w:w="3298"/>
          </w:tcPr>
          <w:p>
            <w:pPr>
              <w:spacing w:after="60"/>
            </w:pPr>
            <w:r>
              <w:rPr>
                <w:sz w:val="18"/>
              </w:rPr>
              <w:t>1,154,979.30</w:t>
            </w:r>
          </w:p>
        </w:tc>
        <w:tc>
          <w:tcPr>
            <w:tcW w:type="dxa" w:w="3298"/>
          </w:tcPr>
          <w:p>
            <w:pPr>
              <w:spacing w:after="60"/>
            </w:pPr>
            <w:r>
              <w:rPr>
                <w:sz w:val="18"/>
              </w:rPr>
              <w:t>7.30%</w:t>
            </w:r>
          </w:p>
        </w:tc>
      </w:tr>
      <w:tr>
        <w:trPr>
          <w:cantSplit/>
        </w:trPr>
        <w:tc>
          <w:tcPr>
            <w:tcW w:type="dxa" w:w="3298"/>
          </w:tcPr>
          <w:p>
            <w:pPr>
              <w:spacing w:after="60"/>
            </w:pPr>
            <w:r>
              <w:rPr>
                <w:sz w:val="18"/>
              </w:rPr>
              <w:t>11月</w:t>
            </w:r>
          </w:p>
        </w:tc>
        <w:tc>
          <w:tcPr>
            <w:tcW w:type="dxa" w:w="3298"/>
          </w:tcPr>
          <w:p>
            <w:pPr>
              <w:spacing w:after="60"/>
            </w:pPr>
            <w:r>
              <w:rPr>
                <w:sz w:val="18"/>
              </w:rPr>
              <w:t>1,509,496.33</w:t>
            </w:r>
          </w:p>
        </w:tc>
        <w:tc>
          <w:tcPr>
            <w:tcW w:type="dxa" w:w="3298"/>
          </w:tcPr>
          <w:p>
            <w:pPr>
              <w:spacing w:after="60"/>
            </w:pPr>
            <w:r>
              <w:rPr>
                <w:sz w:val="18"/>
              </w:rPr>
              <w:t>3.16%</w:t>
            </w:r>
          </w:p>
        </w:tc>
      </w:tr>
      <w:tr>
        <w:trPr>
          <w:cantSplit/>
        </w:trPr>
        <w:tc>
          <w:tcPr>
            <w:tcW w:type="dxa" w:w="3298"/>
          </w:tcPr>
          <w:p>
            <w:pPr>
              <w:spacing w:after="60"/>
            </w:pPr>
            <w:r>
              <w:rPr>
                <w:sz w:val="18"/>
              </w:rPr>
              <w:t>12月1日至9日</w:t>
            </w:r>
          </w:p>
        </w:tc>
        <w:tc>
          <w:tcPr>
            <w:tcW w:type="dxa" w:w="3298"/>
          </w:tcPr>
          <w:p>
            <w:pPr>
              <w:spacing w:after="60"/>
            </w:pPr>
            <w:r>
              <w:rPr>
                <w:sz w:val="18"/>
              </w:rPr>
              <w:t>638,792.68</w:t>
            </w:r>
          </w:p>
        </w:tc>
        <w:tc>
          <w:tcPr>
            <w:tcW w:type="dxa" w:w="3298"/>
          </w:tcPr>
          <w:p>
            <w:pPr>
              <w:spacing w:after="60"/>
            </w:pPr>
            <w:r>
              <w:rPr>
                <w:sz w:val="18"/>
              </w:rPr>
              <w:t>不完整期间</w:t>
            </w:r>
          </w:p>
        </w:tc>
      </w:tr>
    </w:tbl>
    <w:p>
      <w:r>
        <w:t>2011年9至11月 Gross Sales 连续走高，11月最高。主趋势可使用2011年1至11月完整月份；2010年12月可单独保留。2011年12月不能与完整11月直接比较并宣称销售崩跌。</w:t>
      </w:r>
    </w:p>
    <w:p>
      <w:r>
        <w:t>1月取消金额 £131,364.30，其中 C541433 一单占 58.76%，解释了该月高比例的重要来源。不能据此声称所有客户取消行为普遍恶化。</w:t>
      </w:r>
    </w:p>
    <w:p>
      <w:r>
        <w:t>Portfolio: “Gross sales strengthened from September to November 2011, peaking in November. January’s 19.0% cancellation-to-gross-sales ratio was heavily influenced by one large cancellation, which accounted for 58.8% of January cancellation value.”</w:t>
      </w:r>
    </w:p>
    <w:p>
      <w:r>
        <w:br w:type="page"/>
      </w:r>
    </w:p>
    <w:p>
      <w:pPr>
        <w:pStyle w:val="Heading1"/>
      </w:pPr>
      <w:r>
        <w:t>5 产品表现与名称标准化</w:t>
      </w:r>
    </w:p>
    <w:p>
      <w:r>
        <w:t>4,070 个 StockCode 中，650 个有多个非空 Description，占 15.97%。85123A 曾出现 WHITE、CREAM、? 和 wrongly marked 等描述，因此原始名称分组会拆分同一编码。</w:t>
      </w:r>
    </w:p>
    <w:p>
      <w:r>
        <w:t>按最常见非空描述选 canonical description。初版维表仅有 3,958 个编码；112 个编码所有描述为空，后已补齐至 4,070 个，避免关联丢失。代表名称只用于展示，不证明产品属性或名称历史已完全核实。</w:t>
      </w:r>
    </w:p>
    <w:p>
      <w:r>
        <w:t>以下为最终按 StockCode 汇总并关联统一名称的 Gross Sales Top 10；排除 DOT、M、POST。该排除清单针对已识别项，不能声称所有非商品项均已审计。</w:t>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pPr>
              <w:spacing w:after="60"/>
            </w:pPr>
            <w:r>
              <w:rPr>
                <w:sz w:val="18"/>
              </w:rPr>
              <w:t>编码及商品</w:t>
            </w:r>
          </w:p>
        </w:tc>
        <w:tc>
          <w:tcPr>
            <w:tcW w:type="dxa" w:w="1979"/>
          </w:tcPr>
          <w:p>
            <w:pPr>
              <w:spacing w:after="60"/>
            </w:pPr>
            <w:r>
              <w:rPr>
                <w:sz w:val="18"/>
              </w:rPr>
              <w:t>销量</w:t>
            </w:r>
          </w:p>
        </w:tc>
        <w:tc>
          <w:tcPr>
            <w:tcW w:type="dxa" w:w="1979"/>
          </w:tcPr>
          <w:p>
            <w:pPr>
              <w:spacing w:after="60"/>
            </w:pPr>
            <w:r>
              <w:rPr>
                <w:sz w:val="18"/>
              </w:rPr>
              <w:t>Gross £</w:t>
            </w:r>
          </w:p>
        </w:tc>
        <w:tc>
          <w:tcPr>
            <w:tcW w:type="dxa" w:w="1979"/>
          </w:tcPr>
          <w:p>
            <w:pPr>
              <w:spacing w:after="60"/>
            </w:pPr>
            <w:r>
              <w:rPr>
                <w:sz w:val="18"/>
              </w:rPr>
              <w:t>订单</w:t>
            </w:r>
          </w:p>
        </w:tc>
        <w:tc>
          <w:tcPr>
            <w:tcW w:type="dxa" w:w="1979"/>
          </w:tcPr>
          <w:p>
            <w:pPr>
              <w:spacing w:after="60"/>
            </w:pPr>
            <w:r>
              <w:rPr>
                <w:sz w:val="18"/>
              </w:rPr>
              <w:t>客户</w:t>
            </w:r>
          </w:p>
        </w:tc>
      </w:tr>
      <w:tr>
        <w:trPr>
          <w:cantSplit/>
        </w:trPr>
        <w:tc>
          <w:tcPr>
            <w:tcW w:type="dxa" w:w="1979"/>
          </w:tcPr>
          <w:p>
            <w:pPr>
              <w:spacing w:after="60"/>
            </w:pPr>
            <w:r>
              <w:rPr>
                <w:sz w:val="18"/>
              </w:rPr>
              <w:t>22423 REGENCY CAKESTAND 3 TIER</w:t>
            </w:r>
          </w:p>
        </w:tc>
        <w:tc>
          <w:tcPr>
            <w:tcW w:type="dxa" w:w="1979"/>
          </w:tcPr>
          <w:p>
            <w:pPr>
              <w:spacing w:after="60"/>
            </w:pPr>
            <w:r>
              <w:rPr>
                <w:sz w:val="18"/>
              </w:rPr>
              <w:t>13,879</w:t>
            </w:r>
          </w:p>
        </w:tc>
        <w:tc>
          <w:tcPr>
            <w:tcW w:type="dxa" w:w="1979"/>
          </w:tcPr>
          <w:p>
            <w:pPr>
              <w:spacing w:after="60"/>
            </w:pPr>
            <w:r>
              <w:rPr>
                <w:sz w:val="18"/>
              </w:rPr>
              <w:t>174,484.74</w:t>
            </w:r>
          </w:p>
        </w:tc>
        <w:tc>
          <w:tcPr>
            <w:tcW w:type="dxa" w:w="1979"/>
          </w:tcPr>
          <w:p>
            <w:pPr>
              <w:spacing w:after="60"/>
            </w:pPr>
            <w:r>
              <w:rPr>
                <w:sz w:val="18"/>
              </w:rPr>
              <w:t>1,988</w:t>
            </w:r>
          </w:p>
        </w:tc>
        <w:tc>
          <w:tcPr>
            <w:tcW w:type="dxa" w:w="1979"/>
          </w:tcPr>
          <w:p>
            <w:pPr>
              <w:spacing w:after="60"/>
            </w:pPr>
            <w:r>
              <w:rPr>
                <w:sz w:val="18"/>
              </w:rPr>
              <w:t>881</w:t>
            </w:r>
          </w:p>
        </w:tc>
      </w:tr>
      <w:tr>
        <w:trPr>
          <w:cantSplit/>
        </w:trPr>
        <w:tc>
          <w:tcPr>
            <w:tcW w:type="dxa" w:w="1979"/>
          </w:tcPr>
          <w:p>
            <w:pPr>
              <w:spacing w:after="60"/>
            </w:pPr>
            <w:r>
              <w:rPr>
                <w:sz w:val="18"/>
              </w:rPr>
              <w:t>23843 PAPER CRAFT LITTLE BIRDIE</w:t>
            </w:r>
          </w:p>
        </w:tc>
        <w:tc>
          <w:tcPr>
            <w:tcW w:type="dxa" w:w="1979"/>
          </w:tcPr>
          <w:p>
            <w:pPr>
              <w:spacing w:after="60"/>
            </w:pPr>
            <w:r>
              <w:rPr>
                <w:sz w:val="18"/>
              </w:rPr>
              <w:t>80,995</w:t>
            </w:r>
          </w:p>
        </w:tc>
        <w:tc>
          <w:tcPr>
            <w:tcW w:type="dxa" w:w="1979"/>
          </w:tcPr>
          <w:p>
            <w:pPr>
              <w:spacing w:after="60"/>
            </w:pPr>
            <w:r>
              <w:rPr>
                <w:sz w:val="18"/>
              </w:rPr>
              <w:t>168,469.60</w:t>
            </w:r>
          </w:p>
        </w:tc>
        <w:tc>
          <w:tcPr>
            <w:tcW w:type="dxa" w:w="1979"/>
          </w:tcPr>
          <w:p>
            <w:pPr>
              <w:spacing w:after="60"/>
            </w:pPr>
            <w:r>
              <w:rPr>
                <w:sz w:val="18"/>
              </w:rPr>
              <w:t>1</w:t>
            </w:r>
          </w:p>
        </w:tc>
        <w:tc>
          <w:tcPr>
            <w:tcW w:type="dxa" w:w="1979"/>
          </w:tcPr>
          <w:p>
            <w:pPr>
              <w:spacing w:after="60"/>
            </w:pPr>
            <w:r>
              <w:rPr>
                <w:sz w:val="18"/>
              </w:rPr>
              <w:t>1</w:t>
            </w:r>
          </w:p>
        </w:tc>
      </w:tr>
      <w:tr>
        <w:trPr>
          <w:cantSplit/>
        </w:trPr>
        <w:tc>
          <w:tcPr>
            <w:tcW w:type="dxa" w:w="1979"/>
          </w:tcPr>
          <w:p>
            <w:pPr>
              <w:spacing w:after="60"/>
            </w:pPr>
            <w:r>
              <w:rPr>
                <w:sz w:val="18"/>
              </w:rPr>
              <w:t>85123A WHITE HANGING HEART T LIGHT HOLDER</w:t>
            </w:r>
          </w:p>
        </w:tc>
        <w:tc>
          <w:tcPr>
            <w:tcW w:type="dxa" w:w="1979"/>
          </w:tcPr>
          <w:p>
            <w:pPr>
              <w:spacing w:after="60"/>
            </w:pPr>
            <w:r>
              <w:rPr>
                <w:sz w:val="18"/>
              </w:rPr>
              <w:t>37,660</w:t>
            </w:r>
          </w:p>
        </w:tc>
        <w:tc>
          <w:tcPr>
            <w:tcW w:type="dxa" w:w="1979"/>
          </w:tcPr>
          <w:p>
            <w:pPr>
              <w:spacing w:after="60"/>
            </w:pPr>
            <w:r>
              <w:rPr>
                <w:sz w:val="18"/>
              </w:rPr>
              <w:t>104,518.80</w:t>
            </w:r>
          </w:p>
        </w:tc>
        <w:tc>
          <w:tcPr>
            <w:tcW w:type="dxa" w:w="1979"/>
          </w:tcPr>
          <w:p>
            <w:pPr>
              <w:spacing w:after="60"/>
            </w:pPr>
            <w:r>
              <w:rPr>
                <w:sz w:val="18"/>
              </w:rPr>
              <w:t>2,198</w:t>
            </w:r>
          </w:p>
        </w:tc>
        <w:tc>
          <w:tcPr>
            <w:tcW w:type="dxa" w:w="1979"/>
          </w:tcPr>
          <w:p>
            <w:pPr>
              <w:spacing w:after="60"/>
            </w:pPr>
            <w:r>
              <w:rPr>
                <w:sz w:val="18"/>
              </w:rPr>
              <w:t>856</w:t>
            </w:r>
          </w:p>
        </w:tc>
      </w:tr>
      <w:tr>
        <w:trPr>
          <w:cantSplit/>
        </w:trPr>
        <w:tc>
          <w:tcPr>
            <w:tcW w:type="dxa" w:w="1979"/>
          </w:tcPr>
          <w:p>
            <w:pPr>
              <w:spacing w:after="60"/>
            </w:pPr>
            <w:r>
              <w:rPr>
                <w:sz w:val="18"/>
              </w:rPr>
              <w:t>47566 PARTY BUNTING</w:t>
            </w:r>
          </w:p>
        </w:tc>
        <w:tc>
          <w:tcPr>
            <w:tcW w:type="dxa" w:w="1979"/>
          </w:tcPr>
          <w:p>
            <w:pPr>
              <w:spacing w:after="60"/>
            </w:pPr>
            <w:r>
              <w:rPr>
                <w:sz w:val="18"/>
              </w:rPr>
              <w:t>18,295</w:t>
            </w:r>
          </w:p>
        </w:tc>
        <w:tc>
          <w:tcPr>
            <w:tcW w:type="dxa" w:w="1979"/>
          </w:tcPr>
          <w:p>
            <w:pPr>
              <w:spacing w:after="60"/>
            </w:pPr>
            <w:r>
              <w:rPr>
                <w:sz w:val="18"/>
              </w:rPr>
              <w:t>99,504.33</w:t>
            </w:r>
          </w:p>
        </w:tc>
        <w:tc>
          <w:tcPr>
            <w:tcW w:type="dxa" w:w="1979"/>
          </w:tcPr>
          <w:p>
            <w:pPr>
              <w:spacing w:after="60"/>
            </w:pPr>
            <w:r>
              <w:rPr>
                <w:sz w:val="18"/>
              </w:rPr>
              <w:t>1,685</w:t>
            </w:r>
          </w:p>
        </w:tc>
        <w:tc>
          <w:tcPr>
            <w:tcW w:type="dxa" w:w="1979"/>
          </w:tcPr>
          <w:p>
            <w:pPr>
              <w:spacing w:after="60"/>
            </w:pPr>
            <w:r>
              <w:rPr>
                <w:sz w:val="18"/>
              </w:rPr>
              <w:t>708</w:t>
            </w:r>
          </w:p>
        </w:tc>
      </w:tr>
      <w:tr>
        <w:trPr>
          <w:cantSplit/>
        </w:trPr>
        <w:tc>
          <w:tcPr>
            <w:tcW w:type="dxa" w:w="1979"/>
          </w:tcPr>
          <w:p>
            <w:pPr>
              <w:spacing w:after="60"/>
            </w:pPr>
            <w:r>
              <w:rPr>
                <w:sz w:val="18"/>
              </w:rPr>
              <w:t>85099B JUMBO BAG RED RETROSPOT</w:t>
            </w:r>
          </w:p>
        </w:tc>
        <w:tc>
          <w:tcPr>
            <w:tcW w:type="dxa" w:w="1979"/>
          </w:tcPr>
          <w:p>
            <w:pPr>
              <w:spacing w:after="60"/>
            </w:pPr>
            <w:r>
              <w:rPr>
                <w:sz w:val="18"/>
              </w:rPr>
              <w:t>48,474</w:t>
            </w:r>
          </w:p>
        </w:tc>
        <w:tc>
          <w:tcPr>
            <w:tcW w:type="dxa" w:w="1979"/>
          </w:tcPr>
          <w:p>
            <w:pPr>
              <w:spacing w:after="60"/>
            </w:pPr>
            <w:r>
              <w:rPr>
                <w:sz w:val="18"/>
              </w:rPr>
              <w:t>94,340.05</w:t>
            </w:r>
          </w:p>
        </w:tc>
        <w:tc>
          <w:tcPr>
            <w:tcW w:type="dxa" w:w="1979"/>
          </w:tcPr>
          <w:p>
            <w:pPr>
              <w:spacing w:after="60"/>
            </w:pPr>
            <w:r>
              <w:rPr>
                <w:sz w:val="18"/>
              </w:rPr>
              <w:t>2,089</w:t>
            </w:r>
          </w:p>
        </w:tc>
        <w:tc>
          <w:tcPr>
            <w:tcW w:type="dxa" w:w="1979"/>
          </w:tcPr>
          <w:p>
            <w:pPr>
              <w:spacing w:after="60"/>
            </w:pPr>
            <w:r>
              <w:rPr>
                <w:sz w:val="18"/>
              </w:rPr>
              <w:t>635</w:t>
            </w:r>
          </w:p>
        </w:tc>
      </w:tr>
      <w:tr>
        <w:trPr>
          <w:cantSplit/>
        </w:trPr>
        <w:tc>
          <w:tcPr>
            <w:tcW w:type="dxa" w:w="1979"/>
          </w:tcPr>
          <w:p>
            <w:pPr>
              <w:spacing w:after="60"/>
            </w:pPr>
            <w:r>
              <w:rPr>
                <w:sz w:val="18"/>
              </w:rPr>
              <w:t>23166 MEDIUM CERAMIC TOP STORAGE JAR</w:t>
            </w:r>
          </w:p>
        </w:tc>
        <w:tc>
          <w:tcPr>
            <w:tcW w:type="dxa" w:w="1979"/>
          </w:tcPr>
          <w:p>
            <w:pPr>
              <w:spacing w:after="60"/>
            </w:pPr>
            <w:r>
              <w:rPr>
                <w:sz w:val="18"/>
              </w:rPr>
              <w:t>78,033</w:t>
            </w:r>
          </w:p>
        </w:tc>
        <w:tc>
          <w:tcPr>
            <w:tcW w:type="dxa" w:w="1979"/>
          </w:tcPr>
          <w:p>
            <w:pPr>
              <w:spacing w:after="60"/>
            </w:pPr>
            <w:r>
              <w:rPr>
                <w:sz w:val="18"/>
              </w:rPr>
              <w:t>81,700.92</w:t>
            </w:r>
          </w:p>
        </w:tc>
        <w:tc>
          <w:tcPr>
            <w:tcW w:type="dxa" w:w="1979"/>
          </w:tcPr>
          <w:p>
            <w:pPr>
              <w:spacing w:after="60"/>
            </w:pPr>
            <w:r>
              <w:rPr>
                <w:sz w:val="18"/>
              </w:rPr>
              <w:t>247</w:t>
            </w:r>
          </w:p>
        </w:tc>
        <w:tc>
          <w:tcPr>
            <w:tcW w:type="dxa" w:w="1979"/>
          </w:tcPr>
          <w:p>
            <w:pPr>
              <w:spacing w:after="60"/>
            </w:pPr>
            <w:r>
              <w:rPr>
                <w:sz w:val="18"/>
              </w:rPr>
              <w:t>138</w:t>
            </w:r>
          </w:p>
        </w:tc>
      </w:tr>
      <w:tr>
        <w:trPr>
          <w:cantSplit/>
        </w:trPr>
        <w:tc>
          <w:tcPr>
            <w:tcW w:type="dxa" w:w="1979"/>
          </w:tcPr>
          <w:p>
            <w:pPr>
              <w:spacing w:after="60"/>
            </w:pPr>
            <w:r>
              <w:rPr>
                <w:sz w:val="18"/>
              </w:rPr>
              <w:t>23084 RABBIT NIGHT LIGHT</w:t>
            </w:r>
          </w:p>
        </w:tc>
        <w:tc>
          <w:tcPr>
            <w:tcW w:type="dxa" w:w="1979"/>
          </w:tcPr>
          <w:p>
            <w:pPr>
              <w:spacing w:after="60"/>
            </w:pPr>
            <w:r>
              <w:rPr>
                <w:sz w:val="18"/>
              </w:rPr>
              <w:t>30,788</w:t>
            </w:r>
          </w:p>
        </w:tc>
        <w:tc>
          <w:tcPr>
            <w:tcW w:type="dxa" w:w="1979"/>
          </w:tcPr>
          <w:p>
            <w:pPr>
              <w:spacing w:after="60"/>
            </w:pPr>
            <w:r>
              <w:rPr>
                <w:sz w:val="18"/>
              </w:rPr>
              <w:t>66,964.99</w:t>
            </w:r>
          </w:p>
        </w:tc>
        <w:tc>
          <w:tcPr>
            <w:tcW w:type="dxa" w:w="1979"/>
          </w:tcPr>
          <w:p>
            <w:pPr>
              <w:spacing w:after="60"/>
            </w:pPr>
            <w:r>
              <w:rPr>
                <w:sz w:val="18"/>
              </w:rPr>
              <w:t>994</w:t>
            </w:r>
          </w:p>
        </w:tc>
        <w:tc>
          <w:tcPr>
            <w:tcW w:type="dxa" w:w="1979"/>
          </w:tcPr>
          <w:p>
            <w:pPr>
              <w:spacing w:after="60"/>
            </w:pPr>
            <w:r>
              <w:rPr>
                <w:sz w:val="18"/>
              </w:rPr>
              <w:t>450</w:t>
            </w:r>
          </w:p>
        </w:tc>
      </w:tr>
      <w:tr>
        <w:trPr>
          <w:cantSplit/>
        </w:trPr>
        <w:tc>
          <w:tcPr>
            <w:tcW w:type="dxa" w:w="1979"/>
          </w:tcPr>
          <w:p>
            <w:pPr>
              <w:spacing w:after="60"/>
            </w:pPr>
            <w:r>
              <w:rPr>
                <w:sz w:val="18"/>
              </w:rPr>
              <w:t>22086 PAPER CHAIN KIT</w:t>
            </w:r>
          </w:p>
        </w:tc>
        <w:tc>
          <w:tcPr>
            <w:tcW w:type="dxa" w:w="1979"/>
          </w:tcPr>
          <w:p>
            <w:pPr>
              <w:spacing w:after="60"/>
            </w:pPr>
            <w:r>
              <w:rPr>
                <w:sz w:val="18"/>
              </w:rPr>
              <w:t>19,355</w:t>
            </w:r>
          </w:p>
        </w:tc>
        <w:tc>
          <w:tcPr>
            <w:tcW w:type="dxa" w:w="1979"/>
          </w:tcPr>
          <w:p>
            <w:pPr>
              <w:spacing w:after="60"/>
            </w:pPr>
            <w:r>
              <w:rPr>
                <w:sz w:val="18"/>
              </w:rPr>
              <w:t>64,952.29</w:t>
            </w:r>
          </w:p>
        </w:tc>
        <w:tc>
          <w:tcPr>
            <w:tcW w:type="dxa" w:w="1979"/>
          </w:tcPr>
          <w:p>
            <w:pPr>
              <w:spacing w:after="60"/>
            </w:pPr>
            <w:r>
              <w:rPr>
                <w:sz w:val="18"/>
              </w:rPr>
              <w:t>1,160</w:t>
            </w:r>
          </w:p>
        </w:tc>
        <w:tc>
          <w:tcPr>
            <w:tcW w:type="dxa" w:w="1979"/>
          </w:tcPr>
          <w:p>
            <w:pPr>
              <w:spacing w:after="60"/>
            </w:pPr>
            <w:r>
              <w:rPr>
                <w:sz w:val="18"/>
              </w:rPr>
              <w:t>613</w:t>
            </w:r>
          </w:p>
        </w:tc>
      </w:tr>
      <w:tr>
        <w:trPr>
          <w:cantSplit/>
        </w:trPr>
        <w:tc>
          <w:tcPr>
            <w:tcW w:type="dxa" w:w="1979"/>
          </w:tcPr>
          <w:p>
            <w:pPr>
              <w:spacing w:after="60"/>
            </w:pPr>
            <w:r>
              <w:rPr>
                <w:sz w:val="18"/>
              </w:rPr>
              <w:t>84879 BIRD ORNAMENT</w:t>
            </w:r>
          </w:p>
        </w:tc>
        <w:tc>
          <w:tcPr>
            <w:tcW w:type="dxa" w:w="1979"/>
          </w:tcPr>
          <w:p>
            <w:pPr>
              <w:spacing w:after="60"/>
            </w:pPr>
            <w:r>
              <w:rPr>
                <w:sz w:val="18"/>
              </w:rPr>
              <w:t>36,461</w:t>
            </w:r>
          </w:p>
        </w:tc>
        <w:tc>
          <w:tcPr>
            <w:tcW w:type="dxa" w:w="1979"/>
          </w:tcPr>
          <w:p>
            <w:pPr>
              <w:spacing w:after="60"/>
            </w:pPr>
            <w:r>
              <w:rPr>
                <w:sz w:val="18"/>
              </w:rPr>
              <w:t>59,094.93</w:t>
            </w:r>
          </w:p>
        </w:tc>
        <w:tc>
          <w:tcPr>
            <w:tcW w:type="dxa" w:w="1979"/>
          </w:tcPr>
          <w:p>
            <w:pPr>
              <w:spacing w:after="60"/>
            </w:pPr>
            <w:r>
              <w:rPr>
                <w:sz w:val="18"/>
              </w:rPr>
              <w:t>1,455</w:t>
            </w:r>
          </w:p>
        </w:tc>
        <w:tc>
          <w:tcPr>
            <w:tcW w:type="dxa" w:w="1979"/>
          </w:tcPr>
          <w:p>
            <w:pPr>
              <w:spacing w:after="60"/>
            </w:pPr>
            <w:r>
              <w:rPr>
                <w:sz w:val="18"/>
              </w:rPr>
              <w:t>678</w:t>
            </w:r>
          </w:p>
        </w:tc>
      </w:tr>
      <w:tr>
        <w:trPr>
          <w:cantSplit/>
        </w:trPr>
        <w:tc>
          <w:tcPr>
            <w:tcW w:type="dxa" w:w="1979"/>
          </w:tcPr>
          <w:p>
            <w:pPr>
              <w:spacing w:after="60"/>
            </w:pPr>
            <w:r>
              <w:rPr>
                <w:sz w:val="18"/>
              </w:rPr>
              <w:t>79321 CHILLI LIGHTS</w:t>
            </w:r>
          </w:p>
        </w:tc>
        <w:tc>
          <w:tcPr>
            <w:tcW w:type="dxa" w:w="1979"/>
          </w:tcPr>
          <w:p>
            <w:pPr>
              <w:spacing w:after="60"/>
            </w:pPr>
            <w:r>
              <w:rPr>
                <w:sz w:val="18"/>
              </w:rPr>
              <w:t>10,306</w:t>
            </w:r>
          </w:p>
        </w:tc>
        <w:tc>
          <w:tcPr>
            <w:tcW w:type="dxa" w:w="1979"/>
          </w:tcPr>
          <w:p>
            <w:pPr>
              <w:spacing w:after="60"/>
            </w:pPr>
            <w:r>
              <w:rPr>
                <w:sz w:val="18"/>
              </w:rPr>
              <w:t>54,117.76</w:t>
            </w:r>
          </w:p>
        </w:tc>
        <w:tc>
          <w:tcPr>
            <w:tcW w:type="dxa" w:w="1979"/>
          </w:tcPr>
          <w:p>
            <w:pPr>
              <w:spacing w:after="60"/>
            </w:pPr>
            <w:r>
              <w:rPr>
                <w:sz w:val="18"/>
              </w:rPr>
              <w:t>661</w:t>
            </w:r>
          </w:p>
        </w:tc>
        <w:tc>
          <w:tcPr>
            <w:tcW w:type="dxa" w:w="1979"/>
          </w:tcPr>
          <w:p>
            <w:pPr>
              <w:spacing w:after="60"/>
            </w:pPr>
            <w:r>
              <w:rPr>
                <w:sz w:val="18"/>
              </w:rPr>
              <w:t>205</w:t>
            </w:r>
          </w:p>
        </w:tc>
      </w:tr>
    </w:tbl>
    <w:p>
      <w:r>
        <w:t>22423 在所示商品销售额排名中第一，并有较广客户覆盖。85123A 的最终订单数为 2,198，旧版 WHITE 描述组的 2,189 不是最终编码汇总值。23843 的 80,995 件全部来自一张单、一名客户，随后全额取消；它仍是该 Gross 口径的销量表现，但不代表广泛购买或保留销售。23166 的大额取消案例也会影响 Gross 排名。</w:t>
      </w:r>
    </w:p>
    <w:p>
      <w:r>
        <w:t>DOT 为 DOTCOM POSTAGE，POST 为 POSTAGE，M 为 Manual；应与普通商品排名区分。销量、金额、订单覆盖及客户覆盖各代表不同表现，“销量高”不自动等于“最受欢迎”。订单数 ÷ 客户数若包含匿名订单，不能直接当已识别客户的复购率。</w:t>
      </w:r>
    </w:p>
    <w:p>
      <w:r>
        <w:t>Portfolio: “Product 22423 led the displayed merchandise revenue ranking, while product 23843’s gross sales came from a single order that was subsequently fully cancelled.”</w:t>
      </w:r>
    </w:p>
    <w:p>
      <w:r>
        <w:br w:type="page"/>
      </w:r>
    </w:p>
    <w:p>
      <w:pPr>
        <w:pStyle w:val="Heading1"/>
      </w:pPr>
      <w:r>
        <w:t>6 客户价值与取消集中度</w:t>
      </w:r>
    </w:p>
    <w:p>
      <w:r>
        <w:t>客户价值应同时看 Net Sales、销售频次、取消绝对金额和取消占比。高 Gross 不一定代表高净贡献；低取消占比只描述观察期结果，不保证未来稳定性。</w:t>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pPr>
              <w:spacing w:after="60"/>
            </w:pPr>
            <w:r>
              <w:rPr>
                <w:sz w:val="18"/>
              </w:rPr>
              <w:t>客户 ID</w:t>
            </w:r>
          </w:p>
        </w:tc>
        <w:tc>
          <w:tcPr>
            <w:tcW w:type="dxa" w:w="1979"/>
          </w:tcPr>
          <w:p>
            <w:pPr>
              <w:spacing w:after="60"/>
            </w:pPr>
            <w:r>
              <w:rPr>
                <w:sz w:val="18"/>
              </w:rPr>
              <w:t>Gross £</w:t>
            </w:r>
          </w:p>
        </w:tc>
        <w:tc>
          <w:tcPr>
            <w:tcW w:type="dxa" w:w="1979"/>
          </w:tcPr>
          <w:p>
            <w:pPr>
              <w:spacing w:after="60"/>
            </w:pPr>
            <w:r>
              <w:rPr>
                <w:sz w:val="18"/>
              </w:rPr>
              <w:t>取消金额 £</w:t>
            </w:r>
          </w:p>
        </w:tc>
        <w:tc>
          <w:tcPr>
            <w:tcW w:type="dxa" w:w="1979"/>
          </w:tcPr>
          <w:p>
            <w:pPr>
              <w:spacing w:after="60"/>
            </w:pPr>
            <w:r>
              <w:rPr>
                <w:sz w:val="18"/>
              </w:rPr>
              <w:t>Net £</w:t>
            </w:r>
          </w:p>
        </w:tc>
        <w:tc>
          <w:tcPr>
            <w:tcW w:type="dxa" w:w="1979"/>
          </w:tcPr>
          <w:p>
            <w:pPr>
              <w:spacing w:after="60"/>
            </w:pPr>
            <w:r>
              <w:rPr>
                <w:sz w:val="18"/>
              </w:rPr>
              <w:t>取消占比</w:t>
            </w:r>
          </w:p>
        </w:tc>
      </w:tr>
      <w:tr>
        <w:trPr>
          <w:cantSplit/>
        </w:trPr>
        <w:tc>
          <w:tcPr>
            <w:tcW w:type="dxa" w:w="1979"/>
          </w:tcPr>
          <w:p>
            <w:pPr>
              <w:spacing w:after="60"/>
            </w:pPr>
            <w:r>
              <w:rPr>
                <w:sz w:val="18"/>
              </w:rPr>
              <w:t>14646</w:t>
            </w:r>
          </w:p>
        </w:tc>
        <w:tc>
          <w:tcPr>
            <w:tcW w:type="dxa" w:w="1979"/>
          </w:tcPr>
          <w:p>
            <w:pPr>
              <w:spacing w:after="60"/>
            </w:pPr>
            <w:r>
              <w:rPr>
                <w:sz w:val="18"/>
              </w:rPr>
              <w:t>280,206.02</w:t>
            </w:r>
          </w:p>
        </w:tc>
        <w:tc>
          <w:tcPr>
            <w:tcW w:type="dxa" w:w="1979"/>
          </w:tcPr>
          <w:p>
            <w:pPr>
              <w:spacing w:after="60"/>
            </w:pPr>
            <w:r>
              <w:rPr>
                <w:sz w:val="18"/>
              </w:rPr>
              <w:t>717.00</w:t>
            </w:r>
          </w:p>
        </w:tc>
        <w:tc>
          <w:tcPr>
            <w:tcW w:type="dxa" w:w="1979"/>
          </w:tcPr>
          <w:p>
            <w:pPr>
              <w:spacing w:after="60"/>
            </w:pPr>
            <w:r>
              <w:rPr>
                <w:sz w:val="18"/>
              </w:rPr>
              <w:t>279,489.02</w:t>
            </w:r>
          </w:p>
        </w:tc>
        <w:tc>
          <w:tcPr>
            <w:tcW w:type="dxa" w:w="1979"/>
          </w:tcPr>
          <w:p>
            <w:pPr>
              <w:spacing w:after="60"/>
            </w:pPr>
            <w:r>
              <w:rPr>
                <w:sz w:val="18"/>
              </w:rPr>
              <w:t>0.26%</w:t>
            </w:r>
          </w:p>
        </w:tc>
      </w:tr>
      <w:tr>
        <w:trPr>
          <w:cantSplit/>
        </w:trPr>
        <w:tc>
          <w:tcPr>
            <w:tcW w:type="dxa" w:w="1979"/>
          </w:tcPr>
          <w:p>
            <w:pPr>
              <w:spacing w:after="60"/>
            </w:pPr>
            <w:r>
              <w:rPr>
                <w:sz w:val="18"/>
              </w:rPr>
              <w:t>18102</w:t>
            </w:r>
          </w:p>
        </w:tc>
        <w:tc>
          <w:tcPr>
            <w:tcW w:type="dxa" w:w="1979"/>
          </w:tcPr>
          <w:p>
            <w:pPr>
              <w:spacing w:after="60"/>
            </w:pPr>
            <w:r>
              <w:rPr>
                <w:sz w:val="18"/>
              </w:rPr>
              <w:t>259,657.30</w:t>
            </w:r>
          </w:p>
        </w:tc>
        <w:tc>
          <w:tcPr>
            <w:tcW w:type="dxa" w:w="1979"/>
          </w:tcPr>
          <w:p>
            <w:pPr>
              <w:spacing w:after="60"/>
            </w:pPr>
            <w:r>
              <w:rPr>
                <w:sz w:val="18"/>
              </w:rPr>
              <w:t>3,218.81</w:t>
            </w:r>
          </w:p>
        </w:tc>
        <w:tc>
          <w:tcPr>
            <w:tcW w:type="dxa" w:w="1979"/>
          </w:tcPr>
          <w:p>
            <w:pPr>
              <w:spacing w:after="60"/>
            </w:pPr>
            <w:r>
              <w:rPr>
                <w:sz w:val="18"/>
              </w:rPr>
              <w:t>256,438.49</w:t>
            </w:r>
          </w:p>
        </w:tc>
        <w:tc>
          <w:tcPr>
            <w:tcW w:type="dxa" w:w="1979"/>
          </w:tcPr>
          <w:p>
            <w:pPr>
              <w:spacing w:after="60"/>
            </w:pPr>
            <w:r>
              <w:rPr>
                <w:sz w:val="18"/>
              </w:rPr>
              <w:t>1.24%</w:t>
            </w:r>
          </w:p>
        </w:tc>
      </w:tr>
      <w:tr>
        <w:trPr>
          <w:cantSplit/>
        </w:trPr>
        <w:tc>
          <w:tcPr>
            <w:tcW w:type="dxa" w:w="1979"/>
          </w:tcPr>
          <w:p>
            <w:pPr>
              <w:spacing w:after="60"/>
            </w:pPr>
            <w:r>
              <w:rPr>
                <w:sz w:val="18"/>
              </w:rPr>
              <w:t>17450</w:t>
            </w:r>
          </w:p>
        </w:tc>
        <w:tc>
          <w:tcPr>
            <w:tcW w:type="dxa" w:w="1979"/>
          </w:tcPr>
          <w:p>
            <w:pPr>
              <w:spacing w:after="60"/>
            </w:pPr>
            <w:r>
              <w:rPr>
                <w:sz w:val="18"/>
              </w:rPr>
              <w:t>194,550.79</w:t>
            </w:r>
          </w:p>
        </w:tc>
        <w:tc>
          <w:tcPr>
            <w:tcW w:type="dxa" w:w="1979"/>
          </w:tcPr>
          <w:p>
            <w:pPr>
              <w:spacing w:after="60"/>
            </w:pPr>
            <w:r>
              <w:rPr>
                <w:sz w:val="18"/>
              </w:rPr>
              <w:t>7,068.62</w:t>
            </w:r>
          </w:p>
        </w:tc>
        <w:tc>
          <w:tcPr>
            <w:tcW w:type="dxa" w:w="1979"/>
          </w:tcPr>
          <w:p>
            <w:pPr>
              <w:spacing w:after="60"/>
            </w:pPr>
            <w:r>
              <w:rPr>
                <w:sz w:val="18"/>
              </w:rPr>
              <w:t>187,482.17</w:t>
            </w:r>
          </w:p>
        </w:tc>
        <w:tc>
          <w:tcPr>
            <w:tcW w:type="dxa" w:w="1979"/>
          </w:tcPr>
          <w:p>
            <w:pPr>
              <w:spacing w:after="60"/>
            </w:pPr>
            <w:r>
              <w:rPr>
                <w:sz w:val="18"/>
              </w:rPr>
              <w:t>3.63%</w:t>
            </w:r>
          </w:p>
        </w:tc>
      </w:tr>
      <w:tr>
        <w:trPr>
          <w:cantSplit/>
        </w:trPr>
        <w:tc>
          <w:tcPr>
            <w:tcW w:type="dxa" w:w="1979"/>
          </w:tcPr>
          <w:p>
            <w:pPr>
              <w:spacing w:after="60"/>
            </w:pPr>
            <w:r>
              <w:rPr>
                <w:sz w:val="18"/>
              </w:rPr>
              <w:t>14911</w:t>
            </w:r>
          </w:p>
        </w:tc>
        <w:tc>
          <w:tcPr>
            <w:tcW w:type="dxa" w:w="1979"/>
          </w:tcPr>
          <w:p>
            <w:pPr>
              <w:spacing w:after="60"/>
            </w:pPr>
            <w:r>
              <w:rPr>
                <w:sz w:val="18"/>
              </w:rPr>
              <w:t>143,825.06</w:t>
            </w:r>
          </w:p>
        </w:tc>
        <w:tc>
          <w:tcPr>
            <w:tcW w:type="dxa" w:w="1979"/>
          </w:tcPr>
          <w:p>
            <w:pPr>
              <w:spacing w:after="60"/>
            </w:pPr>
            <w:r>
              <w:rPr>
                <w:sz w:val="18"/>
              </w:rPr>
              <w:t>11,252.44</w:t>
            </w:r>
          </w:p>
        </w:tc>
        <w:tc>
          <w:tcPr>
            <w:tcW w:type="dxa" w:w="1979"/>
          </w:tcPr>
          <w:p>
            <w:pPr>
              <w:spacing w:after="60"/>
            </w:pPr>
            <w:r>
              <w:rPr>
                <w:sz w:val="18"/>
              </w:rPr>
              <w:t>132,572.62</w:t>
            </w:r>
          </w:p>
        </w:tc>
        <w:tc>
          <w:tcPr>
            <w:tcW w:type="dxa" w:w="1979"/>
          </w:tcPr>
          <w:p>
            <w:pPr>
              <w:spacing w:after="60"/>
            </w:pPr>
            <w:r>
              <w:rPr>
                <w:sz w:val="18"/>
              </w:rPr>
              <w:t>7.82%</w:t>
            </w:r>
          </w:p>
        </w:tc>
      </w:tr>
      <w:tr>
        <w:trPr>
          <w:cantSplit/>
        </w:trPr>
        <w:tc>
          <w:tcPr>
            <w:tcW w:type="dxa" w:w="1979"/>
          </w:tcPr>
          <w:p>
            <w:pPr>
              <w:spacing w:after="60"/>
            </w:pPr>
            <w:r>
              <w:rPr>
                <w:sz w:val="18"/>
              </w:rPr>
              <w:t>16446</w:t>
            </w:r>
          </w:p>
        </w:tc>
        <w:tc>
          <w:tcPr>
            <w:tcW w:type="dxa" w:w="1979"/>
          </w:tcPr>
          <w:p>
            <w:pPr>
              <w:spacing w:after="60"/>
            </w:pPr>
            <w:r>
              <w:rPr>
                <w:sz w:val="18"/>
              </w:rPr>
              <w:t>168,472.50</w:t>
            </w:r>
          </w:p>
        </w:tc>
        <w:tc>
          <w:tcPr>
            <w:tcW w:type="dxa" w:w="1979"/>
          </w:tcPr>
          <w:p>
            <w:pPr>
              <w:spacing w:after="60"/>
            </w:pPr>
            <w:r>
              <w:rPr>
                <w:sz w:val="18"/>
              </w:rPr>
              <w:t>168,469.60</w:t>
            </w:r>
          </w:p>
        </w:tc>
        <w:tc>
          <w:tcPr>
            <w:tcW w:type="dxa" w:w="1979"/>
          </w:tcPr>
          <w:p>
            <w:pPr>
              <w:spacing w:after="60"/>
            </w:pPr>
            <w:r>
              <w:rPr>
                <w:sz w:val="18"/>
              </w:rPr>
              <w:t>2.90</w:t>
            </w:r>
          </w:p>
        </w:tc>
        <w:tc>
          <w:tcPr>
            <w:tcW w:type="dxa" w:w="1979"/>
          </w:tcPr>
          <w:p>
            <w:pPr>
              <w:spacing w:after="60"/>
            </w:pPr>
            <w:r>
              <w:rPr>
                <w:sz w:val="18"/>
              </w:rPr>
              <w:t>99.998%</w:t>
            </w:r>
          </w:p>
        </w:tc>
      </w:tr>
      <w:tr>
        <w:trPr>
          <w:cantSplit/>
        </w:trPr>
        <w:tc>
          <w:tcPr>
            <w:tcW w:type="dxa" w:w="1979"/>
          </w:tcPr>
          <w:p>
            <w:pPr>
              <w:spacing w:after="60"/>
            </w:pPr>
            <w:r>
              <w:rPr>
                <w:sz w:val="18"/>
              </w:rPr>
              <w:t>12346</w:t>
            </w:r>
          </w:p>
        </w:tc>
        <w:tc>
          <w:tcPr>
            <w:tcW w:type="dxa" w:w="1979"/>
          </w:tcPr>
          <w:p>
            <w:pPr>
              <w:spacing w:after="60"/>
            </w:pPr>
            <w:r>
              <w:rPr>
                <w:sz w:val="18"/>
              </w:rPr>
              <w:t>77,183.60</w:t>
            </w:r>
          </w:p>
        </w:tc>
        <w:tc>
          <w:tcPr>
            <w:tcW w:type="dxa" w:w="1979"/>
          </w:tcPr>
          <w:p>
            <w:pPr>
              <w:spacing w:after="60"/>
            </w:pPr>
            <w:r>
              <w:rPr>
                <w:sz w:val="18"/>
              </w:rPr>
              <w:t>77,183.60</w:t>
            </w:r>
          </w:p>
        </w:tc>
        <w:tc>
          <w:tcPr>
            <w:tcW w:type="dxa" w:w="1979"/>
          </w:tcPr>
          <w:p>
            <w:pPr>
              <w:spacing w:after="60"/>
            </w:pPr>
            <w:r>
              <w:rPr>
                <w:sz w:val="18"/>
              </w:rPr>
              <w:t>0.00</w:t>
            </w:r>
          </w:p>
        </w:tc>
        <w:tc>
          <w:tcPr>
            <w:tcW w:type="dxa" w:w="1979"/>
          </w:tcPr>
          <w:p>
            <w:pPr>
              <w:spacing w:after="60"/>
            </w:pPr>
            <w:r>
              <w:rPr>
                <w:sz w:val="18"/>
              </w:rPr>
              <w:t>100.00%</w:t>
            </w:r>
          </w:p>
        </w:tc>
      </w:tr>
      <w:tr>
        <w:trPr>
          <w:cantSplit/>
        </w:trPr>
        <w:tc>
          <w:tcPr>
            <w:tcW w:type="dxa" w:w="1979"/>
          </w:tcPr>
          <w:p>
            <w:pPr>
              <w:spacing w:after="60"/>
            </w:pPr>
            <w:r>
              <w:rPr>
                <w:sz w:val="18"/>
              </w:rPr>
              <w:t>15098</w:t>
            </w:r>
          </w:p>
        </w:tc>
        <w:tc>
          <w:tcPr>
            <w:tcW w:type="dxa" w:w="1979"/>
          </w:tcPr>
          <w:p>
            <w:pPr>
              <w:spacing w:after="60"/>
            </w:pPr>
            <w:r>
              <w:rPr>
                <w:sz w:val="18"/>
              </w:rPr>
              <w:t>39,916.50</w:t>
            </w:r>
          </w:p>
        </w:tc>
        <w:tc>
          <w:tcPr>
            <w:tcW w:type="dxa" w:w="1979"/>
          </w:tcPr>
          <w:p>
            <w:pPr>
              <w:spacing w:after="60"/>
            </w:pPr>
            <w:r>
              <w:rPr>
                <w:sz w:val="18"/>
              </w:rPr>
              <w:t>39,267.00</w:t>
            </w:r>
          </w:p>
        </w:tc>
        <w:tc>
          <w:tcPr>
            <w:tcW w:type="dxa" w:w="1979"/>
          </w:tcPr>
          <w:p>
            <w:pPr>
              <w:spacing w:after="60"/>
            </w:pPr>
            <w:r>
              <w:rPr>
                <w:sz w:val="18"/>
              </w:rPr>
              <w:t>649.50</w:t>
            </w:r>
          </w:p>
        </w:tc>
        <w:tc>
          <w:tcPr>
            <w:tcW w:type="dxa" w:w="1979"/>
          </w:tcPr>
          <w:p>
            <w:pPr>
              <w:spacing w:after="60"/>
            </w:pPr>
            <w:r>
              <w:rPr>
                <w:sz w:val="18"/>
              </w:rPr>
              <w:t>98.37%</w:t>
            </w:r>
          </w:p>
        </w:tc>
      </w:tr>
      <w:tr>
        <w:trPr>
          <w:cantSplit/>
        </w:trPr>
        <w:tc>
          <w:tcPr>
            <w:tcW w:type="dxa" w:w="1979"/>
          </w:tcPr>
          <w:p>
            <w:pPr>
              <w:spacing w:after="60"/>
            </w:pPr>
            <w:r>
              <w:rPr>
                <w:sz w:val="18"/>
              </w:rPr>
              <w:t>16029</w:t>
            </w:r>
          </w:p>
        </w:tc>
        <w:tc>
          <w:tcPr>
            <w:tcW w:type="dxa" w:w="1979"/>
          </w:tcPr>
          <w:p>
            <w:pPr>
              <w:spacing w:after="60"/>
            </w:pPr>
            <w:r>
              <w:rPr>
                <w:sz w:val="18"/>
              </w:rPr>
              <w:t>81,024.84</w:t>
            </w:r>
          </w:p>
        </w:tc>
        <w:tc>
          <w:tcPr>
            <w:tcW w:type="dxa" w:w="1979"/>
          </w:tcPr>
          <w:p>
            <w:pPr>
              <w:spacing w:after="60"/>
            </w:pPr>
            <w:r>
              <w:rPr>
                <w:sz w:val="18"/>
              </w:rPr>
              <w:t>30,032.23</w:t>
            </w:r>
          </w:p>
        </w:tc>
        <w:tc>
          <w:tcPr>
            <w:tcW w:type="dxa" w:w="1979"/>
          </w:tcPr>
          <w:p>
            <w:pPr>
              <w:spacing w:after="60"/>
            </w:pPr>
            <w:r>
              <w:rPr>
                <w:sz w:val="18"/>
              </w:rPr>
              <w:t>50,992.61</w:t>
            </w:r>
          </w:p>
        </w:tc>
        <w:tc>
          <w:tcPr>
            <w:tcW w:type="dxa" w:w="1979"/>
          </w:tcPr>
          <w:p>
            <w:pPr>
              <w:spacing w:after="60"/>
            </w:pPr>
            <w:r>
              <w:rPr>
                <w:sz w:val="18"/>
              </w:rPr>
              <w:t>37.07%</w:t>
            </w:r>
          </w:p>
        </w:tc>
      </w:tr>
    </w:tbl>
    <w:p>
      <w:r>
        <w:t>Net Sales Top 10 顺序为 14646、18102、17450、14911、12415、14156、17511、16684、13694、15311。12346 因净贡献为零不在此排名中。</w:t>
      </w:r>
    </w:p>
    <w:p>
      <w:r>
        <w:t>14646 有 73 张销售单，净销售每单均额 £3,828.62；18102 有 60 单，均额 £4,273.97；14911 有 201 单，均额 £659.57。前两者均额较高，14911 频次较高，说明价值与频次应分别衡量。</w:t>
      </w:r>
    </w:p>
    <w:p>
      <w:pPr>
        <w:pStyle w:val="Heading2"/>
      </w:pPr>
      <w:r>
        <w:t>探索性取消分档</w:t>
      </w:r>
    </w:p>
    <w:p>
      <w:r>
        <w:t>限定非空客户 ID 且 Gross Sales &gt; £10,000。取消占比 ≥50% 为 High，≥20% 且 &lt;50% 为 Medium，&lt;20% 为 Low。结果：High 6 人、Medium 5 人、Low 93 人，共 104 人。阈值为人为探索规则，不是业务确认风险标签或预测模型。</w:t>
      </w:r>
    </w:p>
    <w:p>
      <w:r>
        <w:t>High 六人是 12346、16446、15098、12536、12744、15749；取消金额合计 £328,572.51，占全表取消金额 £896,812.49 的 36.64%。这里分母包含无法识别客户的取消记录。</w:t>
      </w:r>
    </w:p>
    <w:p>
      <w:r>
        <w:t>绝对取消金额衡量规模影响，取消占比衡量相对 Gross 的抵消程度。不能把分档解释成客户一定存在问题，也不能把取消金额称为已证实经济损失。</w:t>
      </w:r>
    </w:p>
    <w:p>
      <w:r>
        <w:t>Portfolio: “Among customers with gross sales above £10,000, six customers with cancellation-to-gross-sales ratios of at least 50% accounted for 36.6% of total cancellation value.”</w:t>
      </w:r>
    </w:p>
    <w:p>
      <w:r>
        <w:br w:type="page"/>
      </w:r>
    </w:p>
    <w:p>
      <w:pPr>
        <w:pStyle w:val="Heading1"/>
      </w:pPr>
      <w:r>
        <w:t>7 时段与星期表现</w:t>
      </w:r>
    </w:p>
    <w:p>
      <w:r>
        <w:t>10至15点是主要销售时段。10点 Gross £1,446,742.70，2,361 单，AOV £612.77；12点 Gross £1,444,245.88，3,220 单，AOV £448.52。10点金额略高、均额更高；12点订单最多。15点 Gross £1,352,972.18、2,336 单、AOV £579.18。</w:t>
      </w:r>
    </w:p>
    <w:p>
      <w:r>
        <w:t>7点 AOV £1,071.01 但仅29单；20点 £1,051.82 但仅18单。限定小时订单数 ≥100 后，18点 AOV 最高 £754.23，但只有192单、Gross £144,813.05。样本量门槛是探索性筛选，不能据此确定“最佳投放时段”或高价值客户出现时间。</w:t>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pPr>
              <w:spacing w:after="60"/>
            </w:pPr>
            <w:r>
              <w:rPr>
                <w:sz w:val="18"/>
              </w:rPr>
              <w:t>星期</w:t>
            </w:r>
          </w:p>
        </w:tc>
        <w:tc>
          <w:tcPr>
            <w:tcW w:type="dxa" w:w="1979"/>
          </w:tcPr>
          <w:p>
            <w:pPr>
              <w:spacing w:after="60"/>
            </w:pPr>
            <w:r>
              <w:rPr>
                <w:sz w:val="18"/>
              </w:rPr>
              <w:t>Gross Sales £</w:t>
            </w:r>
          </w:p>
        </w:tc>
        <w:tc>
          <w:tcPr>
            <w:tcW w:type="dxa" w:w="1979"/>
          </w:tcPr>
          <w:p>
            <w:pPr>
              <w:spacing w:after="60"/>
            </w:pPr>
            <w:r>
              <w:rPr>
                <w:sz w:val="18"/>
              </w:rPr>
              <w:t>销售单数</w:t>
            </w:r>
          </w:p>
        </w:tc>
        <w:tc>
          <w:tcPr>
            <w:tcW w:type="dxa" w:w="1979"/>
          </w:tcPr>
          <w:p>
            <w:pPr>
              <w:spacing w:after="60"/>
            </w:pPr>
            <w:r>
              <w:rPr>
                <w:sz w:val="18"/>
              </w:rPr>
              <w:t>AOV £</w:t>
            </w:r>
          </w:p>
        </w:tc>
        <w:tc>
          <w:tcPr>
            <w:tcW w:type="dxa" w:w="1979"/>
          </w:tcPr>
          <w:p>
            <w:pPr>
              <w:spacing w:after="60"/>
            </w:pPr>
            <w:r>
              <w:rPr>
                <w:sz w:val="18"/>
              </w:rPr>
              <w:t>取消占比</w:t>
            </w:r>
          </w:p>
        </w:tc>
      </w:tr>
      <w:tr>
        <w:trPr>
          <w:cantSplit/>
        </w:trPr>
        <w:tc>
          <w:tcPr>
            <w:tcW w:type="dxa" w:w="1979"/>
          </w:tcPr>
          <w:p>
            <w:pPr>
              <w:spacing w:after="60"/>
            </w:pPr>
            <w:r>
              <w:rPr>
                <w:sz w:val="18"/>
              </w:rPr>
              <w:t>Thursday</w:t>
            </w:r>
          </w:p>
        </w:tc>
        <w:tc>
          <w:tcPr>
            <w:tcW w:type="dxa" w:w="1979"/>
          </w:tcPr>
          <w:p>
            <w:pPr>
              <w:spacing w:after="60"/>
            </w:pPr>
            <w:r>
              <w:rPr>
                <w:sz w:val="18"/>
              </w:rPr>
              <w:t>2,203,161.24</w:t>
            </w:r>
          </w:p>
        </w:tc>
        <w:tc>
          <w:tcPr>
            <w:tcW w:type="dxa" w:w="1979"/>
          </w:tcPr>
          <w:p>
            <w:pPr>
              <w:spacing w:after="60"/>
            </w:pPr>
            <w:r>
              <w:rPr>
                <w:sz w:val="18"/>
              </w:rPr>
              <w:t>4,246</w:t>
            </w:r>
          </w:p>
        </w:tc>
        <w:tc>
          <w:tcPr>
            <w:tcW w:type="dxa" w:w="1979"/>
          </w:tcPr>
          <w:p>
            <w:pPr>
              <w:spacing w:after="60"/>
            </w:pPr>
            <w:r>
              <w:rPr>
                <w:sz w:val="18"/>
              </w:rPr>
              <w:t>518.88</w:t>
            </w:r>
          </w:p>
        </w:tc>
        <w:tc>
          <w:tcPr>
            <w:tcW w:type="dxa" w:w="1979"/>
          </w:tcPr>
          <w:p>
            <w:pPr>
              <w:spacing w:after="60"/>
            </w:pPr>
            <w:r>
              <w:rPr>
                <w:sz w:val="18"/>
              </w:rPr>
              <w:t>4.11%</w:t>
            </w:r>
          </w:p>
        </w:tc>
      </w:tr>
      <w:tr>
        <w:trPr>
          <w:cantSplit/>
        </w:trPr>
        <w:tc>
          <w:tcPr>
            <w:tcW w:type="dxa" w:w="1979"/>
          </w:tcPr>
          <w:p>
            <w:pPr>
              <w:spacing w:after="60"/>
            </w:pPr>
            <w:r>
              <w:rPr>
                <w:sz w:val="18"/>
              </w:rPr>
              <w:t>Tuesday</w:t>
            </w:r>
          </w:p>
        </w:tc>
        <w:tc>
          <w:tcPr>
            <w:tcW w:type="dxa" w:w="1979"/>
          </w:tcPr>
          <w:p>
            <w:pPr>
              <w:spacing w:after="60"/>
            </w:pPr>
            <w:r>
              <w:rPr>
                <w:sz w:val="18"/>
              </w:rPr>
              <w:t>2,178,632.61</w:t>
            </w:r>
          </w:p>
        </w:tc>
        <w:tc>
          <w:tcPr>
            <w:tcW w:type="dxa" w:w="1979"/>
          </w:tcPr>
          <w:p>
            <w:pPr>
              <w:spacing w:after="60"/>
            </w:pPr>
            <w:r>
              <w:rPr>
                <w:sz w:val="18"/>
              </w:rPr>
              <w:t>3,554</w:t>
            </w:r>
          </w:p>
        </w:tc>
        <w:tc>
          <w:tcPr>
            <w:tcW w:type="dxa" w:w="1979"/>
          </w:tcPr>
          <w:p>
            <w:pPr>
              <w:spacing w:after="60"/>
            </w:pPr>
            <w:r>
              <w:rPr>
                <w:sz w:val="18"/>
              </w:rPr>
              <w:t>613.01</w:t>
            </w:r>
          </w:p>
        </w:tc>
        <w:tc>
          <w:tcPr>
            <w:tcW w:type="dxa" w:w="1979"/>
          </w:tcPr>
          <w:p>
            <w:pPr>
              <w:spacing w:after="60"/>
            </w:pPr>
            <w:r>
              <w:rPr>
                <w:sz w:val="18"/>
              </w:rPr>
              <w:t>9.75%</w:t>
            </w:r>
          </w:p>
        </w:tc>
      </w:tr>
      <w:tr>
        <w:trPr>
          <w:cantSplit/>
        </w:trPr>
        <w:tc>
          <w:tcPr>
            <w:tcW w:type="dxa" w:w="1979"/>
          </w:tcPr>
          <w:p>
            <w:pPr>
              <w:spacing w:after="60"/>
            </w:pPr>
            <w:r>
              <w:rPr>
                <w:sz w:val="18"/>
              </w:rPr>
              <w:t>Wednesday</w:t>
            </w:r>
          </w:p>
        </w:tc>
        <w:tc>
          <w:tcPr>
            <w:tcW w:type="dxa" w:w="1979"/>
          </w:tcPr>
          <w:p>
            <w:pPr>
              <w:spacing w:after="60"/>
            </w:pPr>
            <w:r>
              <w:rPr>
                <w:sz w:val="18"/>
              </w:rPr>
              <w:t>1,851,147.81</w:t>
            </w:r>
          </w:p>
        </w:tc>
        <w:tc>
          <w:tcPr>
            <w:tcW w:type="dxa" w:w="1979"/>
          </w:tcPr>
          <w:p>
            <w:pPr>
              <w:spacing w:after="60"/>
            </w:pPr>
            <w:r>
              <w:rPr>
                <w:sz w:val="18"/>
              </w:rPr>
              <w:t>3,690</w:t>
            </w:r>
          </w:p>
        </w:tc>
        <w:tc>
          <w:tcPr>
            <w:tcW w:type="dxa" w:w="1979"/>
          </w:tcPr>
          <w:p>
            <w:pPr>
              <w:spacing w:after="60"/>
            </w:pPr>
            <w:r>
              <w:rPr>
                <w:sz w:val="18"/>
              </w:rPr>
              <w:t>501.67</w:t>
            </w:r>
          </w:p>
        </w:tc>
        <w:tc>
          <w:tcPr>
            <w:tcW w:type="dxa" w:w="1979"/>
          </w:tcPr>
          <w:p>
            <w:pPr>
              <w:spacing w:after="60"/>
            </w:pPr>
            <w:r>
              <w:rPr>
                <w:sz w:val="18"/>
              </w:rPr>
              <w:t>6.32%</w:t>
            </w:r>
          </w:p>
        </w:tc>
      </w:tr>
      <w:tr>
        <w:trPr>
          <w:cantSplit/>
        </w:trPr>
        <w:tc>
          <w:tcPr>
            <w:tcW w:type="dxa" w:w="1979"/>
          </w:tcPr>
          <w:p>
            <w:pPr>
              <w:spacing w:after="60"/>
            </w:pPr>
            <w:r>
              <w:rPr>
                <w:sz w:val="18"/>
              </w:rPr>
              <w:t>Friday</w:t>
            </w:r>
          </w:p>
        </w:tc>
        <w:tc>
          <w:tcPr>
            <w:tcW w:type="dxa" w:w="1979"/>
          </w:tcPr>
          <w:p>
            <w:pPr>
              <w:spacing w:after="60"/>
            </w:pPr>
            <w:r>
              <w:rPr>
                <w:sz w:val="18"/>
              </w:rPr>
              <w:t>1,840,340.23</w:t>
            </w:r>
          </w:p>
        </w:tc>
        <w:tc>
          <w:tcPr>
            <w:tcW w:type="dxa" w:w="1979"/>
          </w:tcPr>
          <w:p>
            <w:pPr>
              <w:spacing w:after="60"/>
            </w:pPr>
            <w:r>
              <w:rPr>
                <w:sz w:val="18"/>
              </w:rPr>
              <w:t>3,140</w:t>
            </w:r>
          </w:p>
        </w:tc>
        <w:tc>
          <w:tcPr>
            <w:tcW w:type="dxa" w:w="1979"/>
          </w:tcPr>
          <w:p>
            <w:pPr>
              <w:spacing w:after="60"/>
            </w:pPr>
            <w:r>
              <w:rPr>
                <w:sz w:val="18"/>
              </w:rPr>
              <w:t>586.10</w:t>
            </w:r>
          </w:p>
        </w:tc>
        <w:tc>
          <w:tcPr>
            <w:tcW w:type="dxa" w:w="1979"/>
          </w:tcPr>
          <w:p>
            <w:pPr>
              <w:spacing w:after="60"/>
            </w:pPr>
            <w:r>
              <w:rPr>
                <w:sz w:val="18"/>
              </w:rPr>
              <w:t>15.08%</w:t>
            </w:r>
          </w:p>
        </w:tc>
      </w:tr>
      <w:tr>
        <w:trPr>
          <w:cantSplit/>
        </w:trPr>
        <w:tc>
          <w:tcPr>
            <w:tcW w:type="dxa" w:w="1979"/>
          </w:tcPr>
          <w:p>
            <w:pPr>
              <w:spacing w:after="60"/>
            </w:pPr>
            <w:r>
              <w:rPr>
                <w:sz w:val="18"/>
              </w:rPr>
              <w:t>Monday</w:t>
            </w:r>
          </w:p>
        </w:tc>
        <w:tc>
          <w:tcPr>
            <w:tcW w:type="dxa" w:w="1979"/>
          </w:tcPr>
          <w:p>
            <w:pPr>
              <w:spacing w:after="60"/>
            </w:pPr>
            <w:r>
              <w:rPr>
                <w:sz w:val="18"/>
              </w:rPr>
              <w:t>1,779,575.04</w:t>
            </w:r>
          </w:p>
        </w:tc>
        <w:tc>
          <w:tcPr>
            <w:tcW w:type="dxa" w:w="1979"/>
          </w:tcPr>
          <w:p>
            <w:pPr>
              <w:spacing w:after="60"/>
            </w:pPr>
            <w:r>
              <w:rPr>
                <w:sz w:val="18"/>
              </w:rPr>
              <w:t>3,126</w:t>
            </w:r>
          </w:p>
        </w:tc>
        <w:tc>
          <w:tcPr>
            <w:tcW w:type="dxa" w:w="1979"/>
          </w:tcPr>
          <w:p>
            <w:pPr>
              <w:spacing w:after="60"/>
            </w:pPr>
            <w:r>
              <w:rPr>
                <w:sz w:val="18"/>
              </w:rPr>
              <w:t>569.28</w:t>
            </w:r>
          </w:p>
        </w:tc>
        <w:tc>
          <w:tcPr>
            <w:tcW w:type="dxa" w:w="1979"/>
          </w:tcPr>
          <w:p>
            <w:pPr>
              <w:spacing w:after="60"/>
            </w:pPr>
            <w:r>
              <w:rPr>
                <w:sz w:val="18"/>
              </w:rPr>
              <w:t>10.73%</w:t>
            </w:r>
          </w:p>
        </w:tc>
      </w:tr>
      <w:tr>
        <w:trPr>
          <w:cantSplit/>
        </w:trPr>
        <w:tc>
          <w:tcPr>
            <w:tcW w:type="dxa" w:w="1979"/>
          </w:tcPr>
          <w:p>
            <w:pPr>
              <w:spacing w:after="60"/>
            </w:pPr>
            <w:r>
              <w:rPr>
                <w:sz w:val="18"/>
              </w:rPr>
              <w:t>Sunday</w:t>
            </w:r>
          </w:p>
        </w:tc>
        <w:tc>
          <w:tcPr>
            <w:tcW w:type="dxa" w:w="1979"/>
          </w:tcPr>
          <w:p>
            <w:pPr>
              <w:spacing w:after="60"/>
            </w:pPr>
            <w:r>
              <w:rPr>
                <w:sz w:val="18"/>
              </w:rPr>
              <w:t>813,827.61</w:t>
            </w:r>
          </w:p>
        </w:tc>
        <w:tc>
          <w:tcPr>
            <w:tcW w:type="dxa" w:w="1979"/>
          </w:tcPr>
          <w:p>
            <w:pPr>
              <w:spacing w:after="60"/>
            </w:pPr>
            <w:r>
              <w:rPr>
                <w:sz w:val="18"/>
              </w:rPr>
              <w:t>2,204</w:t>
            </w:r>
          </w:p>
        </w:tc>
        <w:tc>
          <w:tcPr>
            <w:tcW w:type="dxa" w:w="1979"/>
          </w:tcPr>
          <w:p>
            <w:pPr>
              <w:spacing w:after="60"/>
            </w:pPr>
            <w:r>
              <w:rPr>
                <w:sz w:val="18"/>
              </w:rPr>
              <w:t>369.25</w:t>
            </w:r>
          </w:p>
        </w:tc>
        <w:tc>
          <w:tcPr>
            <w:tcW w:type="dxa" w:w="1979"/>
          </w:tcPr>
          <w:p>
            <w:pPr>
              <w:spacing w:after="60"/>
            </w:pPr>
            <w:r>
              <w:rPr>
                <w:sz w:val="18"/>
              </w:rPr>
              <w:t>1.00%</w:t>
            </w:r>
          </w:p>
        </w:tc>
      </w:tr>
    </w:tbl>
    <w:p>
      <w:r>
        <w:t>Thursday 累计销售额及订单数最高；Tuesday AOV 最高；Sunday 的销售额、订单数和 AOV 均最低，且取消占比最低，其低销售规模并非高取消占比驱动。全表没有 Saturday 记录，不能直接推断商家周六不营业。</w:t>
      </w:r>
    </w:p>
    <w:p>
      <w:r>
        <w:t>Friday 取消金额 £277,605.30，其中 C581484 £168,469.60 与 C556445 £38,970.00 合计占 74.72%。周五高比例高度受这两单影响；不是周五销售额最高，也不能解释成普遍周五更易取消或库存整理。</w:t>
      </w:r>
    </w:p>
    <w:p>
      <w:r>
        <w:t>星期和小时结果是整个观察期的累计量，未按各星期出现次数、营业小时或活跃天数标准化。记录时间也不能自动等同于消费者实际购买决策时间。</w:t>
      </w:r>
    </w:p>
    <w:p>
      <w:r>
        <w:t>Portfolio: “Friday had the highest cancellation-to-gross-sales ratio, but 74.7% of Friday cancellation value came from just two unusually large cancellation invoices.”</w:t>
      </w:r>
    </w:p>
    <w:p>
      <w:r>
        <w:br w:type="page"/>
      </w:r>
    </w:p>
    <w:p>
      <w:pPr>
        <w:pStyle w:val="Heading1"/>
      </w:pPr>
      <w:r>
        <w:t>8 国家与客户集中度</w:t>
      </w:r>
    </w:p>
    <w:p>
      <w:r>
        <w:t>UK Gross Sales £9,025,222.08，占全表 84.61%；销售单数18,019，可识别销售客户3,920。数据中的业务销售高度集中在 UK；这不是各国市场总需求或市场份额。</w:t>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pPr>
              <w:spacing w:after="60"/>
            </w:pPr>
            <w:r>
              <w:rPr>
                <w:sz w:val="18"/>
              </w:rPr>
              <w:t>海外国家</w:t>
            </w:r>
          </w:p>
        </w:tc>
        <w:tc>
          <w:tcPr>
            <w:tcW w:type="dxa" w:w="1979"/>
          </w:tcPr>
          <w:p>
            <w:pPr>
              <w:spacing w:after="60"/>
            </w:pPr>
            <w:r>
              <w:rPr>
                <w:sz w:val="18"/>
              </w:rPr>
              <w:t>Gross £</w:t>
            </w:r>
          </w:p>
        </w:tc>
        <w:tc>
          <w:tcPr>
            <w:tcW w:type="dxa" w:w="1979"/>
          </w:tcPr>
          <w:p>
            <w:pPr>
              <w:spacing w:after="60"/>
            </w:pPr>
            <w:r>
              <w:rPr>
                <w:sz w:val="18"/>
              </w:rPr>
              <w:t>订单</w:t>
            </w:r>
          </w:p>
        </w:tc>
        <w:tc>
          <w:tcPr>
            <w:tcW w:type="dxa" w:w="1979"/>
          </w:tcPr>
          <w:p>
            <w:pPr>
              <w:spacing w:after="60"/>
            </w:pPr>
            <w:r>
              <w:rPr>
                <w:sz w:val="18"/>
              </w:rPr>
              <w:t>客户</w:t>
            </w:r>
          </w:p>
        </w:tc>
        <w:tc>
          <w:tcPr>
            <w:tcW w:type="dxa" w:w="1979"/>
          </w:tcPr>
          <w:p>
            <w:pPr>
              <w:spacing w:after="60"/>
            </w:pPr>
            <w:r>
              <w:rPr>
                <w:sz w:val="18"/>
              </w:rPr>
              <w:t>AOV £</w:t>
            </w:r>
          </w:p>
        </w:tc>
      </w:tr>
      <w:tr>
        <w:trPr>
          <w:cantSplit/>
        </w:trPr>
        <w:tc>
          <w:tcPr>
            <w:tcW w:type="dxa" w:w="1979"/>
          </w:tcPr>
          <w:p>
            <w:pPr>
              <w:spacing w:after="60"/>
            </w:pPr>
            <w:r>
              <w:rPr>
                <w:sz w:val="18"/>
              </w:rPr>
              <w:t>Netherlands</w:t>
            </w:r>
          </w:p>
        </w:tc>
        <w:tc>
          <w:tcPr>
            <w:tcW w:type="dxa" w:w="1979"/>
          </w:tcPr>
          <w:p>
            <w:pPr>
              <w:spacing w:after="60"/>
            </w:pPr>
            <w:r>
              <w:rPr>
                <w:sz w:val="18"/>
              </w:rPr>
              <w:t>285,446.34</w:t>
            </w:r>
          </w:p>
        </w:tc>
        <w:tc>
          <w:tcPr>
            <w:tcW w:type="dxa" w:w="1979"/>
          </w:tcPr>
          <w:p>
            <w:pPr>
              <w:spacing w:after="60"/>
            </w:pPr>
            <w:r>
              <w:rPr>
                <w:sz w:val="18"/>
              </w:rPr>
              <w:t>94</w:t>
            </w:r>
          </w:p>
        </w:tc>
        <w:tc>
          <w:tcPr>
            <w:tcW w:type="dxa" w:w="1979"/>
          </w:tcPr>
          <w:p>
            <w:pPr>
              <w:spacing w:after="60"/>
            </w:pPr>
            <w:r>
              <w:rPr>
                <w:sz w:val="18"/>
              </w:rPr>
              <w:t>9</w:t>
            </w:r>
          </w:p>
        </w:tc>
        <w:tc>
          <w:tcPr>
            <w:tcW w:type="dxa" w:w="1979"/>
          </w:tcPr>
          <w:p>
            <w:pPr>
              <w:spacing w:after="60"/>
            </w:pPr>
            <w:r>
              <w:rPr>
                <w:sz w:val="18"/>
              </w:rPr>
              <w:t>3,036.66</w:t>
            </w:r>
          </w:p>
        </w:tc>
      </w:tr>
      <w:tr>
        <w:trPr>
          <w:cantSplit/>
        </w:trPr>
        <w:tc>
          <w:tcPr>
            <w:tcW w:type="dxa" w:w="1979"/>
          </w:tcPr>
          <w:p>
            <w:pPr>
              <w:spacing w:after="60"/>
            </w:pPr>
            <w:r>
              <w:rPr>
                <w:sz w:val="18"/>
              </w:rPr>
              <w:t>EIRE</w:t>
            </w:r>
          </w:p>
        </w:tc>
        <w:tc>
          <w:tcPr>
            <w:tcW w:type="dxa" w:w="1979"/>
          </w:tcPr>
          <w:p>
            <w:pPr>
              <w:spacing w:after="60"/>
            </w:pPr>
            <w:r>
              <w:rPr>
                <w:sz w:val="18"/>
              </w:rPr>
              <w:t>283,453.96</w:t>
            </w:r>
          </w:p>
        </w:tc>
        <w:tc>
          <w:tcPr>
            <w:tcW w:type="dxa" w:w="1979"/>
          </w:tcPr>
          <w:p>
            <w:pPr>
              <w:spacing w:after="60"/>
            </w:pPr>
            <w:r>
              <w:rPr>
                <w:sz w:val="18"/>
              </w:rPr>
              <w:t>288</w:t>
            </w:r>
          </w:p>
        </w:tc>
        <w:tc>
          <w:tcPr>
            <w:tcW w:type="dxa" w:w="1979"/>
          </w:tcPr>
          <w:p>
            <w:pPr>
              <w:spacing w:after="60"/>
            </w:pPr>
            <w:r>
              <w:rPr>
                <w:sz w:val="18"/>
              </w:rPr>
              <w:t>3</w:t>
            </w:r>
          </w:p>
        </w:tc>
        <w:tc>
          <w:tcPr>
            <w:tcW w:type="dxa" w:w="1979"/>
          </w:tcPr>
          <w:p>
            <w:pPr>
              <w:spacing w:after="60"/>
            </w:pPr>
            <w:r>
              <w:rPr>
                <w:sz w:val="18"/>
              </w:rPr>
              <w:t>984.22</w:t>
            </w:r>
          </w:p>
        </w:tc>
      </w:tr>
      <w:tr>
        <w:trPr>
          <w:cantSplit/>
        </w:trPr>
        <w:tc>
          <w:tcPr>
            <w:tcW w:type="dxa" w:w="1979"/>
          </w:tcPr>
          <w:p>
            <w:pPr>
              <w:spacing w:after="60"/>
            </w:pPr>
            <w:r>
              <w:rPr>
                <w:sz w:val="18"/>
              </w:rPr>
              <w:t>Germany</w:t>
            </w:r>
          </w:p>
        </w:tc>
        <w:tc>
          <w:tcPr>
            <w:tcW w:type="dxa" w:w="1979"/>
          </w:tcPr>
          <w:p>
            <w:pPr>
              <w:spacing w:after="60"/>
            </w:pPr>
            <w:r>
              <w:rPr>
                <w:sz w:val="18"/>
              </w:rPr>
              <w:t>228,867.14</w:t>
            </w:r>
          </w:p>
        </w:tc>
        <w:tc>
          <w:tcPr>
            <w:tcW w:type="dxa" w:w="1979"/>
          </w:tcPr>
          <w:p>
            <w:pPr>
              <w:spacing w:after="60"/>
            </w:pPr>
            <w:r>
              <w:rPr>
                <w:sz w:val="18"/>
              </w:rPr>
              <w:t>457</w:t>
            </w:r>
          </w:p>
        </w:tc>
        <w:tc>
          <w:tcPr>
            <w:tcW w:type="dxa" w:w="1979"/>
          </w:tcPr>
          <w:p>
            <w:pPr>
              <w:spacing w:after="60"/>
            </w:pPr>
            <w:r>
              <w:rPr>
                <w:sz w:val="18"/>
              </w:rPr>
              <w:t>94</w:t>
            </w:r>
          </w:p>
        </w:tc>
        <w:tc>
          <w:tcPr>
            <w:tcW w:type="dxa" w:w="1979"/>
          </w:tcPr>
          <w:p>
            <w:pPr>
              <w:spacing w:after="60"/>
            </w:pPr>
            <w:r>
              <w:rPr>
                <w:sz w:val="18"/>
              </w:rPr>
              <w:t>500.80</w:t>
            </w:r>
          </w:p>
        </w:tc>
      </w:tr>
      <w:tr>
        <w:trPr>
          <w:cantSplit/>
        </w:trPr>
        <w:tc>
          <w:tcPr>
            <w:tcW w:type="dxa" w:w="1979"/>
          </w:tcPr>
          <w:p>
            <w:pPr>
              <w:spacing w:after="60"/>
            </w:pPr>
            <w:r>
              <w:rPr>
                <w:sz w:val="18"/>
              </w:rPr>
              <w:t>France</w:t>
            </w:r>
          </w:p>
        </w:tc>
        <w:tc>
          <w:tcPr>
            <w:tcW w:type="dxa" w:w="1979"/>
          </w:tcPr>
          <w:p>
            <w:pPr>
              <w:spacing w:after="60"/>
            </w:pPr>
            <w:r>
              <w:rPr>
                <w:sz w:val="18"/>
              </w:rPr>
              <w:t>209,715.11</w:t>
            </w:r>
          </w:p>
        </w:tc>
        <w:tc>
          <w:tcPr>
            <w:tcW w:type="dxa" w:w="1979"/>
          </w:tcPr>
          <w:p>
            <w:pPr>
              <w:spacing w:after="60"/>
            </w:pPr>
            <w:r>
              <w:rPr>
                <w:sz w:val="18"/>
              </w:rPr>
              <w:t>392</w:t>
            </w:r>
          </w:p>
        </w:tc>
        <w:tc>
          <w:tcPr>
            <w:tcW w:type="dxa" w:w="1979"/>
          </w:tcPr>
          <w:p>
            <w:pPr>
              <w:spacing w:after="60"/>
            </w:pPr>
            <w:r>
              <w:rPr>
                <w:sz w:val="18"/>
              </w:rPr>
              <w:t>87</w:t>
            </w:r>
          </w:p>
        </w:tc>
        <w:tc>
          <w:tcPr>
            <w:tcW w:type="dxa" w:w="1979"/>
          </w:tcPr>
          <w:p>
            <w:pPr>
              <w:spacing w:after="60"/>
            </w:pPr>
            <w:r>
              <w:rPr>
                <w:sz w:val="18"/>
              </w:rPr>
              <w:t>534.99</w:t>
            </w:r>
          </w:p>
        </w:tc>
      </w:tr>
      <w:tr>
        <w:trPr>
          <w:cantSplit/>
        </w:trPr>
        <w:tc>
          <w:tcPr>
            <w:tcW w:type="dxa" w:w="1979"/>
          </w:tcPr>
          <w:p>
            <w:pPr>
              <w:spacing w:after="60"/>
            </w:pPr>
            <w:r>
              <w:rPr>
                <w:sz w:val="18"/>
              </w:rPr>
              <w:t>Australia</w:t>
            </w:r>
          </w:p>
        </w:tc>
        <w:tc>
          <w:tcPr>
            <w:tcW w:type="dxa" w:w="1979"/>
          </w:tcPr>
          <w:p>
            <w:pPr>
              <w:spacing w:after="60"/>
            </w:pPr>
            <w:r>
              <w:rPr>
                <w:sz w:val="18"/>
              </w:rPr>
              <w:t>138,521.31</w:t>
            </w:r>
          </w:p>
        </w:tc>
        <w:tc>
          <w:tcPr>
            <w:tcW w:type="dxa" w:w="1979"/>
          </w:tcPr>
          <w:p>
            <w:pPr>
              <w:spacing w:after="60"/>
            </w:pPr>
            <w:r>
              <w:rPr>
                <w:sz w:val="18"/>
              </w:rPr>
              <w:t>57</w:t>
            </w:r>
          </w:p>
        </w:tc>
        <w:tc>
          <w:tcPr>
            <w:tcW w:type="dxa" w:w="1979"/>
          </w:tcPr>
          <w:p>
            <w:pPr>
              <w:spacing w:after="60"/>
            </w:pPr>
            <w:r>
              <w:rPr>
                <w:sz w:val="18"/>
              </w:rPr>
              <w:t>9</w:t>
            </w:r>
          </w:p>
        </w:tc>
        <w:tc>
          <w:tcPr>
            <w:tcW w:type="dxa" w:w="1979"/>
          </w:tcPr>
          <w:p>
            <w:pPr>
              <w:spacing w:after="60"/>
            </w:pPr>
            <w:r>
              <w:rPr>
                <w:sz w:val="18"/>
              </w:rPr>
              <w:t>2,430.20</w:t>
            </w:r>
          </w:p>
        </w:tc>
      </w:tr>
      <w:tr>
        <w:trPr>
          <w:cantSplit/>
        </w:trPr>
        <w:tc>
          <w:tcPr>
            <w:tcW w:type="dxa" w:w="1979"/>
          </w:tcPr>
          <w:p>
            <w:pPr>
              <w:spacing w:after="60"/>
            </w:pPr>
            <w:r>
              <w:rPr>
                <w:sz w:val="18"/>
              </w:rPr>
              <w:t>Spain</w:t>
            </w:r>
          </w:p>
        </w:tc>
        <w:tc>
          <w:tcPr>
            <w:tcW w:type="dxa" w:w="1979"/>
          </w:tcPr>
          <w:p>
            <w:pPr>
              <w:spacing w:after="60"/>
            </w:pPr>
            <w:r>
              <w:rPr>
                <w:sz w:val="18"/>
              </w:rPr>
              <w:t>61,577.11</w:t>
            </w:r>
          </w:p>
        </w:tc>
        <w:tc>
          <w:tcPr>
            <w:tcW w:type="dxa" w:w="1979"/>
          </w:tcPr>
          <w:p>
            <w:pPr>
              <w:spacing w:after="60"/>
            </w:pPr>
            <w:r>
              <w:rPr>
                <w:sz w:val="18"/>
              </w:rPr>
              <w:t>90</w:t>
            </w:r>
          </w:p>
        </w:tc>
        <w:tc>
          <w:tcPr>
            <w:tcW w:type="dxa" w:w="1979"/>
          </w:tcPr>
          <w:p>
            <w:pPr>
              <w:spacing w:after="60"/>
            </w:pPr>
            <w:r>
              <w:rPr>
                <w:sz w:val="18"/>
              </w:rPr>
              <w:t>30</w:t>
            </w:r>
          </w:p>
        </w:tc>
        <w:tc>
          <w:tcPr>
            <w:tcW w:type="dxa" w:w="1979"/>
          </w:tcPr>
          <w:p>
            <w:pPr>
              <w:spacing w:after="60"/>
            </w:pPr>
            <w:r>
              <w:rPr>
                <w:sz w:val="18"/>
              </w:rPr>
              <w:t>684.19</w:t>
            </w:r>
          </w:p>
        </w:tc>
      </w:tr>
      <w:tr>
        <w:trPr>
          <w:cantSplit/>
        </w:trPr>
        <w:tc>
          <w:tcPr>
            <w:tcW w:type="dxa" w:w="1979"/>
          </w:tcPr>
          <w:p>
            <w:pPr>
              <w:spacing w:after="60"/>
            </w:pPr>
            <w:r>
              <w:rPr>
                <w:sz w:val="18"/>
              </w:rPr>
              <w:t>Switzerland</w:t>
            </w:r>
          </w:p>
        </w:tc>
        <w:tc>
          <w:tcPr>
            <w:tcW w:type="dxa" w:w="1979"/>
          </w:tcPr>
          <w:p>
            <w:pPr>
              <w:spacing w:after="60"/>
            </w:pPr>
            <w:r>
              <w:rPr>
                <w:sz w:val="18"/>
              </w:rPr>
              <w:t>57,089.90</w:t>
            </w:r>
          </w:p>
        </w:tc>
        <w:tc>
          <w:tcPr>
            <w:tcW w:type="dxa" w:w="1979"/>
          </w:tcPr>
          <w:p>
            <w:pPr>
              <w:spacing w:after="60"/>
            </w:pPr>
            <w:r>
              <w:rPr>
                <w:sz w:val="18"/>
              </w:rPr>
              <w:t>54</w:t>
            </w:r>
          </w:p>
        </w:tc>
        <w:tc>
          <w:tcPr>
            <w:tcW w:type="dxa" w:w="1979"/>
          </w:tcPr>
          <w:p>
            <w:pPr>
              <w:spacing w:after="60"/>
            </w:pPr>
            <w:r>
              <w:rPr>
                <w:sz w:val="18"/>
              </w:rPr>
              <w:t>21</w:t>
            </w:r>
          </w:p>
        </w:tc>
        <w:tc>
          <w:tcPr>
            <w:tcW w:type="dxa" w:w="1979"/>
          </w:tcPr>
          <w:p>
            <w:pPr>
              <w:spacing w:after="60"/>
            </w:pPr>
            <w:r>
              <w:rPr>
                <w:sz w:val="18"/>
              </w:rPr>
              <w:t>1,057.22</w:t>
            </w:r>
          </w:p>
        </w:tc>
      </w:tr>
      <w:tr>
        <w:trPr>
          <w:cantSplit/>
        </w:trPr>
        <w:tc>
          <w:tcPr>
            <w:tcW w:type="dxa" w:w="1979"/>
          </w:tcPr>
          <w:p>
            <w:pPr>
              <w:spacing w:after="60"/>
            </w:pPr>
            <w:r>
              <w:rPr>
                <w:sz w:val="18"/>
              </w:rPr>
              <w:t>Belgium</w:t>
            </w:r>
          </w:p>
        </w:tc>
        <w:tc>
          <w:tcPr>
            <w:tcW w:type="dxa" w:w="1979"/>
          </w:tcPr>
          <w:p>
            <w:pPr>
              <w:spacing w:after="60"/>
            </w:pPr>
            <w:r>
              <w:rPr>
                <w:sz w:val="18"/>
              </w:rPr>
              <w:t>41,196.34</w:t>
            </w:r>
          </w:p>
        </w:tc>
        <w:tc>
          <w:tcPr>
            <w:tcW w:type="dxa" w:w="1979"/>
          </w:tcPr>
          <w:p>
            <w:pPr>
              <w:spacing w:after="60"/>
            </w:pPr>
            <w:r>
              <w:rPr>
                <w:sz w:val="18"/>
              </w:rPr>
              <w:t>98</w:t>
            </w:r>
          </w:p>
        </w:tc>
        <w:tc>
          <w:tcPr>
            <w:tcW w:type="dxa" w:w="1979"/>
          </w:tcPr>
          <w:p>
            <w:pPr>
              <w:spacing w:after="60"/>
            </w:pPr>
            <w:r>
              <w:rPr>
                <w:sz w:val="18"/>
              </w:rPr>
              <w:t>25</w:t>
            </w:r>
          </w:p>
        </w:tc>
        <w:tc>
          <w:tcPr>
            <w:tcW w:type="dxa" w:w="1979"/>
          </w:tcPr>
          <w:p>
            <w:pPr>
              <w:spacing w:after="60"/>
            </w:pPr>
            <w:r>
              <w:rPr>
                <w:sz w:val="18"/>
              </w:rPr>
              <w:t>420.37</w:t>
            </w:r>
          </w:p>
        </w:tc>
      </w:tr>
      <w:tr>
        <w:trPr>
          <w:cantSplit/>
        </w:trPr>
        <w:tc>
          <w:tcPr>
            <w:tcW w:type="dxa" w:w="1979"/>
          </w:tcPr>
          <w:p>
            <w:pPr>
              <w:spacing w:after="60"/>
            </w:pPr>
            <w:r>
              <w:rPr>
                <w:sz w:val="18"/>
              </w:rPr>
              <w:t>Sweden</w:t>
            </w:r>
          </w:p>
        </w:tc>
        <w:tc>
          <w:tcPr>
            <w:tcW w:type="dxa" w:w="1979"/>
          </w:tcPr>
          <w:p>
            <w:pPr>
              <w:spacing w:after="60"/>
            </w:pPr>
            <w:r>
              <w:rPr>
                <w:sz w:val="18"/>
              </w:rPr>
              <w:t>38,378.33</w:t>
            </w:r>
          </w:p>
        </w:tc>
        <w:tc>
          <w:tcPr>
            <w:tcW w:type="dxa" w:w="1979"/>
          </w:tcPr>
          <w:p>
            <w:pPr>
              <w:spacing w:after="60"/>
            </w:pPr>
            <w:r>
              <w:rPr>
                <w:sz w:val="18"/>
              </w:rPr>
              <w:t>36</w:t>
            </w:r>
          </w:p>
        </w:tc>
        <w:tc>
          <w:tcPr>
            <w:tcW w:type="dxa" w:w="1979"/>
          </w:tcPr>
          <w:p>
            <w:pPr>
              <w:spacing w:after="60"/>
            </w:pPr>
            <w:r>
              <w:rPr>
                <w:sz w:val="18"/>
              </w:rPr>
              <w:t>8</w:t>
            </w:r>
          </w:p>
        </w:tc>
        <w:tc>
          <w:tcPr>
            <w:tcW w:type="dxa" w:w="1979"/>
          </w:tcPr>
          <w:p>
            <w:pPr>
              <w:spacing w:after="60"/>
            </w:pPr>
            <w:r>
              <w:rPr>
                <w:sz w:val="18"/>
              </w:rPr>
              <w:t>1,066.06</w:t>
            </w:r>
          </w:p>
        </w:tc>
      </w:tr>
      <w:tr>
        <w:trPr>
          <w:cantSplit/>
        </w:trPr>
        <w:tc>
          <w:tcPr>
            <w:tcW w:type="dxa" w:w="1979"/>
          </w:tcPr>
          <w:p>
            <w:pPr>
              <w:spacing w:after="60"/>
            </w:pPr>
            <w:r>
              <w:rPr>
                <w:sz w:val="18"/>
              </w:rPr>
              <w:t>Japan</w:t>
            </w:r>
          </w:p>
        </w:tc>
        <w:tc>
          <w:tcPr>
            <w:tcW w:type="dxa" w:w="1979"/>
          </w:tcPr>
          <w:p>
            <w:pPr>
              <w:spacing w:after="60"/>
            </w:pPr>
            <w:r>
              <w:rPr>
                <w:sz w:val="18"/>
              </w:rPr>
              <w:t>37,416.37</w:t>
            </w:r>
          </w:p>
        </w:tc>
        <w:tc>
          <w:tcPr>
            <w:tcW w:type="dxa" w:w="1979"/>
          </w:tcPr>
          <w:p>
            <w:pPr>
              <w:spacing w:after="60"/>
            </w:pPr>
            <w:r>
              <w:rPr>
                <w:sz w:val="18"/>
              </w:rPr>
              <w:t>19</w:t>
            </w:r>
          </w:p>
        </w:tc>
        <w:tc>
          <w:tcPr>
            <w:tcW w:type="dxa" w:w="1979"/>
          </w:tcPr>
          <w:p>
            <w:pPr>
              <w:spacing w:after="60"/>
            </w:pPr>
            <w:r>
              <w:rPr>
                <w:sz w:val="18"/>
              </w:rPr>
              <w:t>8</w:t>
            </w:r>
          </w:p>
        </w:tc>
        <w:tc>
          <w:tcPr>
            <w:tcW w:type="dxa" w:w="1979"/>
          </w:tcPr>
          <w:p>
            <w:pPr>
              <w:spacing w:after="60"/>
            </w:pPr>
            <w:r>
              <w:rPr>
                <w:sz w:val="18"/>
              </w:rPr>
              <w:t>1,969.28</w:t>
            </w:r>
          </w:p>
        </w:tc>
      </w:tr>
    </w:tbl>
    <w:p>
      <w:r>
        <w:t>客户数为 Sale 中不同非空 CustomerID；国家销售额和订单数不限定客户 ID 非空。EIRE 保留原始国家标签。</w:t>
      </w:r>
    </w:p>
    <w:tbl>
      <w:tblPr>
        <w:tblStyle w:val="LightShading-Accent1"/>
        <w:tblW w:type="auto" w:w="0"/>
        <w:tblLook w:firstColumn="1" w:firstRow="1" w:lastColumn="0" w:lastRow="0" w:noHBand="0" w:noVBand="1" w:val="04A0"/>
      </w:tblPr>
      <w:tblGrid>
        <w:gridCol w:w="4946"/>
        <w:gridCol w:w="4946"/>
      </w:tblGrid>
      <w:tr>
        <w:trPr>
          <w:tblHeader/>
        </w:trPr>
        <w:tc>
          <w:tcPr>
            <w:tcW w:type="dxa" w:w="4946"/>
          </w:tcPr>
          <w:p>
            <w:pPr>
              <w:spacing w:after="60"/>
            </w:pPr>
            <w:r>
              <w:rPr>
                <w:sz w:val="18"/>
              </w:rPr>
              <w:t>集中度核对</w:t>
            </w:r>
          </w:p>
        </w:tc>
        <w:tc>
          <w:tcPr>
            <w:tcW w:type="dxa" w:w="4946"/>
          </w:tcPr>
          <w:p>
            <w:pPr>
              <w:spacing w:after="60"/>
            </w:pPr>
            <w:r>
              <w:rPr>
                <w:sz w:val="18"/>
              </w:rPr>
              <w:t>结果</w:t>
            </w:r>
          </w:p>
        </w:tc>
      </w:tr>
      <w:tr>
        <w:trPr>
          <w:cantSplit/>
        </w:trPr>
        <w:tc>
          <w:tcPr>
            <w:tcW w:type="dxa" w:w="4946"/>
          </w:tcPr>
          <w:p>
            <w:pPr>
              <w:spacing w:after="60"/>
            </w:pPr>
            <w:r>
              <w:rPr>
                <w:sz w:val="18"/>
              </w:rPr>
              <w:t>Netherlands</w:t>
            </w:r>
          </w:p>
        </w:tc>
        <w:tc>
          <w:tcPr>
            <w:tcW w:type="dxa" w:w="4946"/>
          </w:tcPr>
          <w:p>
            <w:pPr>
              <w:spacing w:after="60"/>
            </w:pPr>
            <w:r>
              <w:rPr>
                <w:sz w:val="18"/>
              </w:rPr>
              <w:t>14646 Gross £280,206.02，占该国 Gross 98.16%</w:t>
            </w:r>
          </w:p>
        </w:tc>
      </w:tr>
      <w:tr>
        <w:trPr>
          <w:cantSplit/>
        </w:trPr>
        <w:tc>
          <w:tcPr>
            <w:tcW w:type="dxa" w:w="4946"/>
          </w:tcPr>
          <w:p>
            <w:pPr>
              <w:spacing w:after="60"/>
            </w:pPr>
            <w:r>
              <w:rPr>
                <w:sz w:val="18"/>
              </w:rPr>
              <w:t>EIRE</w:t>
            </w:r>
          </w:p>
        </w:tc>
        <w:tc>
          <w:tcPr>
            <w:tcW w:type="dxa" w:w="4946"/>
          </w:tcPr>
          <w:p>
            <w:pPr>
              <w:spacing w:after="60"/>
            </w:pPr>
            <w:r>
              <w:rPr>
                <w:sz w:val="18"/>
              </w:rPr>
              <w:t>14911 £143,825.06 与 14156 £117,379.63 合计占92.15%；第三名14016 £4,341.21</w:t>
            </w:r>
          </w:p>
        </w:tc>
      </w:tr>
      <w:tr>
        <w:trPr>
          <w:cantSplit/>
        </w:trPr>
        <w:tc>
          <w:tcPr>
            <w:tcW w:type="dxa" w:w="4946"/>
          </w:tcPr>
          <w:p>
            <w:pPr>
              <w:spacing w:after="60"/>
            </w:pPr>
            <w:r>
              <w:rPr>
                <w:sz w:val="18"/>
              </w:rPr>
              <w:t>Germany</w:t>
            </w:r>
          </w:p>
        </w:tc>
        <w:tc>
          <w:tcPr>
            <w:tcW w:type="dxa" w:w="4946"/>
          </w:tcPr>
          <w:p>
            <w:pPr>
              <w:spacing w:after="60"/>
            </w:pPr>
            <w:r>
              <w:rPr>
                <w:sz w:val="18"/>
              </w:rPr>
              <w:t>第一名12471 £19,824.05，占该国 Gross 8.66%；前10名合计 £100,587.33，占43.95%</w:t>
            </w:r>
          </w:p>
        </w:tc>
      </w:tr>
    </w:tbl>
    <w:p>
      <w:r>
        <w:t>这家公司销往 Netherlands 的销售高度集中于一个客户账户，EIRE 的销售集中于两个账户。Germany 的第一大客户占该国 Gross Sales 8.66%，前10名合计占43.95%，相较 Netherlands 显示出明显更分散的客户结构。France 有87名可识别客户，但尚未验证其 Top 1 或 Top 10 金额集中度。Australia 少客户且 AOV 高，也不能直接断言这些账户都是批发商。</w:t>
      </w:r>
    </w:p>
    <w:p>
      <w:r>
        <w:t>客户或渠道集中不等于当地终端需求弱：一个账户可能向很多当地消费者供货，但本数据没有验证客户角色或下游销售。可以讨论这家公司在各国的账户依赖，不能把国家排名当市场广度或最终需求排名。</w:t>
      </w:r>
    </w:p>
    <w:p>
      <w:r>
        <w:t>Portfolio: “Sales to the Netherlands were highly concentrated in one customer account, which contributed 98.16% of country gross sales. Germany showed a substantially more diversified customer base than the Netherlands: its largest customer contributed 8.66% of country gross sales, while the top 10 customers together contributed 43.95%. EIRE’s top two customers contributed 92.15%.”</w:t>
      </w:r>
    </w:p>
    <w:p>
      <w:r>
        <w:br w:type="page"/>
      </w:r>
    </w:p>
    <w:p>
      <w:pPr>
        <w:pStyle w:val="Heading1"/>
      </w:pPr>
      <w:r>
        <w:t>9 结论边界与作品集表述</w:t>
      </w:r>
    </w:p>
    <w:tbl>
      <w:tblPr>
        <w:tblStyle w:val="LightShading-Accent1"/>
        <w:tblW w:type="auto" w:w="0"/>
        <w:tblLook w:firstColumn="1" w:firstRow="1" w:lastColumn="0" w:lastRow="0" w:noHBand="0" w:noVBand="1" w:val="04A0"/>
      </w:tblPr>
      <w:tblGrid>
        <w:gridCol w:w="4946"/>
        <w:gridCol w:w="4946"/>
      </w:tblGrid>
      <w:tr>
        <w:trPr>
          <w:tblHeader/>
        </w:trPr>
        <w:tc>
          <w:tcPr>
            <w:tcW w:type="dxa" w:w="4946"/>
          </w:tcPr>
          <w:p>
            <w:pPr>
              <w:spacing w:after="60"/>
            </w:pPr>
            <w:r>
              <w:rPr>
                <w:sz w:val="18"/>
              </w:rPr>
              <w:t>可写的结论</w:t>
            </w:r>
          </w:p>
        </w:tc>
        <w:tc>
          <w:tcPr>
            <w:tcW w:type="dxa" w:w="4946"/>
          </w:tcPr>
          <w:p>
            <w:pPr>
              <w:spacing w:after="60"/>
            </w:pPr>
            <w:r>
              <w:rPr>
                <w:sz w:val="18"/>
              </w:rPr>
              <w:t>避免的表述</w:t>
            </w:r>
          </w:p>
        </w:tc>
      </w:tr>
      <w:tr>
        <w:trPr>
          <w:cantSplit/>
        </w:trPr>
        <w:tc>
          <w:tcPr>
            <w:tcW w:type="dxa" w:w="4946"/>
          </w:tcPr>
          <w:p>
            <w:pPr>
              <w:spacing w:after="60"/>
            </w:pPr>
            <w:r>
              <w:rPr>
                <w:sz w:val="18"/>
              </w:rPr>
              <w:t>取消金额相对 Gross 的比例为8.41%</w:t>
            </w:r>
          </w:p>
        </w:tc>
        <w:tc>
          <w:tcPr>
            <w:tcW w:type="dxa" w:w="4946"/>
          </w:tcPr>
          <w:p>
            <w:pPr>
              <w:spacing w:after="60"/>
            </w:pPr>
            <w:r>
              <w:rPr>
                <w:sz w:val="18"/>
              </w:rPr>
              <w:t>销售损失8.41% / 已匹配退款率8.41%</w:t>
            </w:r>
          </w:p>
        </w:tc>
      </w:tr>
      <w:tr>
        <w:trPr>
          <w:cantSplit/>
        </w:trPr>
        <w:tc>
          <w:tcPr>
            <w:tcW w:type="dxa" w:w="4946"/>
          </w:tcPr>
          <w:p>
            <w:pPr>
              <w:spacing w:after="60"/>
            </w:pPr>
            <w:r>
              <w:rPr>
                <w:sz w:val="18"/>
              </w:rPr>
              <w:t>取消单占销售单加取消单的16.12%</w:t>
            </w:r>
          </w:p>
        </w:tc>
        <w:tc>
          <w:tcPr>
            <w:tcW w:type="dxa" w:w="4946"/>
          </w:tcPr>
          <w:p>
            <w:pPr>
              <w:spacing w:after="60"/>
            </w:pPr>
            <w:r>
              <w:rPr>
                <w:sz w:val="18"/>
              </w:rPr>
              <w:t>16.12%的原始订单被取消</w:t>
            </w:r>
          </w:p>
        </w:tc>
      </w:tr>
      <w:tr>
        <w:trPr>
          <w:cantSplit/>
        </w:trPr>
        <w:tc>
          <w:tcPr>
            <w:tcW w:type="dxa" w:w="4946"/>
          </w:tcPr>
          <w:p>
            <w:pPr>
              <w:spacing w:after="60"/>
            </w:pPr>
            <w:r>
              <w:rPr>
                <w:sz w:val="18"/>
              </w:rPr>
              <w:t>已匹配两笔超大单短时间完整取消</w:t>
            </w:r>
          </w:p>
        </w:tc>
        <w:tc>
          <w:tcPr>
            <w:tcW w:type="dxa" w:w="4946"/>
          </w:tcPr>
          <w:p>
            <w:pPr>
              <w:spacing w:after="60"/>
            </w:pPr>
            <w:r>
              <w:rPr>
                <w:sz w:val="18"/>
              </w:rPr>
              <w:t>产品质量差 / 客户欺诈 / 系统误下单</w:t>
            </w:r>
          </w:p>
        </w:tc>
      </w:tr>
      <w:tr>
        <w:trPr>
          <w:cantSplit/>
        </w:trPr>
        <w:tc>
          <w:tcPr>
            <w:tcW w:type="dxa" w:w="4946"/>
          </w:tcPr>
          <w:p>
            <w:pPr>
              <w:spacing w:after="60"/>
            </w:pPr>
            <w:r>
              <w:rPr>
                <w:sz w:val="18"/>
              </w:rPr>
              <w:t>9至11月 Gross 增长；12月为部分期间</w:t>
            </w:r>
          </w:p>
        </w:tc>
        <w:tc>
          <w:tcPr>
            <w:tcW w:type="dxa" w:w="4946"/>
          </w:tcPr>
          <w:p>
            <w:pPr>
              <w:spacing w:after="60"/>
            </w:pPr>
            <w:r>
              <w:rPr>
                <w:sz w:val="18"/>
              </w:rPr>
              <w:t>圣诞促销导致增长 / 12月销售崩跌</w:t>
            </w:r>
          </w:p>
        </w:tc>
      </w:tr>
      <w:tr>
        <w:trPr>
          <w:cantSplit/>
        </w:trPr>
        <w:tc>
          <w:tcPr>
            <w:tcW w:type="dxa" w:w="4946"/>
          </w:tcPr>
          <w:p>
            <w:pPr>
              <w:spacing w:after="60"/>
            </w:pPr>
            <w:r>
              <w:rPr>
                <w:sz w:val="18"/>
              </w:rPr>
              <w:t>某商品销量高但购买仅来自一单</w:t>
            </w:r>
          </w:p>
        </w:tc>
        <w:tc>
          <w:tcPr>
            <w:tcW w:type="dxa" w:w="4946"/>
          </w:tcPr>
          <w:p>
            <w:pPr>
              <w:spacing w:after="60"/>
            </w:pPr>
            <w:r>
              <w:rPr>
                <w:sz w:val="18"/>
              </w:rPr>
              <w:t>最受欢迎 / 最广泛购买</w:t>
            </w:r>
          </w:p>
        </w:tc>
      </w:tr>
      <w:tr>
        <w:trPr>
          <w:cantSplit/>
        </w:trPr>
        <w:tc>
          <w:tcPr>
            <w:tcW w:type="dxa" w:w="4946"/>
          </w:tcPr>
          <w:p>
            <w:pPr>
              <w:spacing w:after="60"/>
            </w:pPr>
            <w:r>
              <w:rPr>
                <w:sz w:val="18"/>
              </w:rPr>
              <w:t>无周六记录；周五比例被两单拉高</w:t>
            </w:r>
          </w:p>
        </w:tc>
        <w:tc>
          <w:tcPr>
            <w:tcW w:type="dxa" w:w="4946"/>
          </w:tcPr>
          <w:p>
            <w:pPr>
              <w:spacing w:after="60"/>
            </w:pPr>
            <w:r>
              <w:rPr>
                <w:sz w:val="18"/>
              </w:rPr>
              <w:t>周六不营业 / 周五普遍更容易取消</w:t>
            </w:r>
          </w:p>
        </w:tc>
      </w:tr>
      <w:tr>
        <w:trPr>
          <w:cantSplit/>
        </w:trPr>
        <w:tc>
          <w:tcPr>
            <w:tcW w:type="dxa" w:w="4946"/>
          </w:tcPr>
          <w:p>
            <w:pPr>
              <w:spacing w:after="60"/>
            </w:pPr>
            <w:r>
              <w:rPr>
                <w:sz w:val="18"/>
              </w:rPr>
              <w:t>该公司在荷兰高度依赖单一账户</w:t>
            </w:r>
          </w:p>
        </w:tc>
        <w:tc>
          <w:tcPr>
            <w:tcW w:type="dxa" w:w="4946"/>
          </w:tcPr>
          <w:p>
            <w:pPr>
              <w:spacing w:after="60"/>
            </w:pPr>
            <w:r>
              <w:rPr>
                <w:sz w:val="18"/>
              </w:rPr>
              <w:t>荷兰市场需求弱 / 当地市场规模小</w:t>
            </w:r>
          </w:p>
        </w:tc>
      </w:tr>
      <w:tr>
        <w:trPr>
          <w:cantSplit/>
        </w:trPr>
        <w:tc>
          <w:tcPr>
            <w:tcW w:type="dxa" w:w="4946"/>
          </w:tcPr>
          <w:p>
            <w:pPr>
              <w:spacing w:after="60"/>
            </w:pPr>
            <w:r>
              <w:rPr>
                <w:sz w:val="18"/>
              </w:rPr>
              <w:t>保留疑似重复并说明粒度不确定性</w:t>
            </w:r>
          </w:p>
        </w:tc>
        <w:tc>
          <w:tcPr>
            <w:tcW w:type="dxa" w:w="4946"/>
          </w:tcPr>
          <w:p>
            <w:pPr>
              <w:spacing w:after="60"/>
            </w:pPr>
            <w:r>
              <w:rPr>
                <w:sz w:val="18"/>
              </w:rPr>
              <w:t>所有重复都是真实交易 / 所有重复均为错误</w:t>
            </w:r>
          </w:p>
        </w:tc>
      </w:tr>
    </w:tbl>
    <w:p>
      <w:r>
        <w:t>数据缺少取消原因、完整订单匹配、成本与利润、促销、营业安排、客户角色及下游消费者信息。客户 ID 缺失使客户分析仅覆盖可识别部分。观察期约一年，不能据此确认多年季节性或长期增长。</w:t>
      </w:r>
    </w:p>
    <w:p>
      <w:r>
        <w:t>所有产品和客户 Gross 排名受超大取消单影响；当前结果保留疑似重复，因此应披露保留策略。项目 Net Sales 是观察期记录净额，取消日期归属其发生期，不代表对原始销售月份逐笔重述。</w:t>
      </w:r>
    </w:p>
    <w:p>
      <w:pPr>
        <w:pStyle w:val="Heading2"/>
      </w:pPr>
      <w:r>
        <w:t>README 可直接使用的英文段落</w:t>
      </w:r>
    </w:p>
    <w:p>
      <w:r>
        <w:t>“This project audits transaction-level retail data and separates paid sales, cancellation records, zero-price items, inventory adjustments and accounting adjustments. Customer analyses exclude records with missing customer IDs, while other analyses retain eligible anonymous transactions. Repeated lines are preserved because identical values alone do not confirm erroneous duplication. Products are identified by StockCode and displayed using a canonical description. Net sales are defined as the signed sum of Sale and Cancellation records, excluding other record types. Cancellation shares describe recorded invoice or value ratios, rather than verified order cancellation rates or financial losses. December 2011 is a partial period and is excluded from direct full-month comparisons.”</w:t>
      </w:r>
    </w:p>
    <w:p>
      <w:pPr>
        <w:pStyle w:val="Heading2"/>
      </w:pPr>
      <w:r>
        <w:t>建议的展示与后续验证</w:t>
      </w:r>
    </w:p>
    <w:p>
      <w:r>
        <w:t>Power BI 可分别展示 Gross、取消金额、项目 Net Sales 与 AOV；商品页分开收入、销量与订单或客户覆盖；国家页显示 UK 占比并单独比较海外；异常页标注大额取消案例。以上为展示建议，尚不代表已完成仪表板。</w:t>
      </w:r>
    </w:p>
    <w:p>
      <w:r>
        <w:t>待继续验证：France 金额集中度；更全面的非商品编码清单；销售与取消匹配覆盖率；疑似重复的来源及去重敏感性；按活跃日期标准化的时段比较。</w:t>
      </w:r>
    </w:p>
    <w:p>
      <w:pPr>
        <w:pStyle w:val="Heading2"/>
      </w:pPr>
      <w:r>
        <w:t>证据来源</w:t>
      </w:r>
    </w:p>
    <w:p>
      <w:r>
        <w:t>项目对话「确认开发环境」中的用户 SQL 结果、明细样本及后续口径修正。对话 ID：6aaa3d19-dc08-83ec-b598-a7d11048733a。关键证据包括缺失值汇总、分类行数、统一商品表、销售与取消订单对、客户分档、星期汇总和国家账户明细。</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Microsoft YaHe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Microsoft YaHe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零售分析项目阶段发现</dc:title>
  <dc:subject>Retail Analytics Portfolio findings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