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7CC9" w14:textId="7F0A2407" w:rsidR="00F8400D" w:rsidRPr="006A44E6" w:rsidRDefault="007B06FF" w:rsidP="001813BD">
      <w:pPr>
        <w:rPr>
          <w:rFonts w:ascii="Times New Roman" w:hAnsi="Times New Roman" w:cs="Times New Roman"/>
        </w:rPr>
      </w:pPr>
      <w:r w:rsidRPr="006A44E6">
        <w:rPr>
          <w:rFonts w:ascii="Times New Roman" w:hAnsi="Times New Roman" w:cs="Times New Roman"/>
        </w:rPr>
        <w:t>Robust multiarray a</w:t>
      </w:r>
      <w:r w:rsidR="00E04750">
        <w:rPr>
          <w:rFonts w:ascii="Times New Roman" w:hAnsi="Times New Roman" w:cs="Times New Roman"/>
        </w:rPr>
        <w:t>verage</w:t>
      </w:r>
      <w:r w:rsidRPr="006A44E6">
        <w:rPr>
          <w:rFonts w:ascii="Times New Roman" w:hAnsi="Times New Roman" w:cs="Times New Roman"/>
        </w:rPr>
        <w:t xml:space="preserve"> (RMA)</w:t>
      </w:r>
      <w:r w:rsidR="00E2532D" w:rsidRPr="006A44E6">
        <w:rPr>
          <w:rFonts w:ascii="Times New Roman" w:hAnsi="Times New Roman" w:cs="Times New Roman"/>
        </w:rPr>
        <w:t xml:space="preserve"> </w:t>
      </w:r>
      <w:r w:rsidR="00563141" w:rsidRPr="006A44E6">
        <w:rPr>
          <w:rFonts w:ascii="Times New Roman" w:hAnsi="Times New Roman" w:cs="Times New Roman"/>
        </w:rPr>
        <w:t>normalization</w:t>
      </w:r>
      <w:r w:rsidR="00E2532D" w:rsidRPr="006A44E6">
        <w:rPr>
          <w:rFonts w:ascii="Times New Roman" w:hAnsi="Times New Roman" w:cs="Times New Roman"/>
        </w:rPr>
        <w:t xml:space="preserve"> </w:t>
      </w:r>
      <w:r w:rsidR="00F62EAC">
        <w:rPr>
          <w:rFonts w:ascii="Times New Roman" w:hAnsi="Times New Roman" w:cs="Times New Roman"/>
        </w:rPr>
        <w:t xml:space="preserve">is a </w:t>
      </w:r>
      <w:r w:rsidR="00563141">
        <w:rPr>
          <w:rFonts w:ascii="Times New Roman" w:hAnsi="Times New Roman" w:cs="Times New Roman"/>
        </w:rPr>
        <w:t>method</w:t>
      </w:r>
      <w:r w:rsidR="00E2532D" w:rsidRPr="006A44E6">
        <w:rPr>
          <w:rFonts w:ascii="Times New Roman" w:hAnsi="Times New Roman" w:cs="Times New Roman"/>
        </w:rPr>
        <w:t xml:space="preserve"> for microarrays that </w:t>
      </w:r>
      <w:r w:rsidR="00766D6D">
        <w:rPr>
          <w:rFonts w:ascii="Times New Roman" w:hAnsi="Times New Roman" w:cs="Times New Roman"/>
        </w:rPr>
        <w:t>performs</w:t>
      </w:r>
      <w:r>
        <w:rPr>
          <w:rFonts w:ascii="Times New Roman" w:hAnsi="Times New Roman" w:cs="Times New Roman"/>
        </w:rPr>
        <w:t xml:space="preserve"> </w:t>
      </w:r>
      <w:r w:rsidR="00766D6D" w:rsidRPr="006A44E6">
        <w:rPr>
          <w:rFonts w:ascii="Times New Roman" w:hAnsi="Times New Roman" w:cs="Times New Roman"/>
        </w:rPr>
        <w:t>background subtraction</w:t>
      </w:r>
      <w:r w:rsidR="00BE25EE">
        <w:rPr>
          <w:rFonts w:ascii="Times New Roman" w:hAnsi="Times New Roman" w:cs="Times New Roman"/>
        </w:rPr>
        <w:t xml:space="preserve"> and correction</w:t>
      </w:r>
      <w:r w:rsidR="00766D6D" w:rsidRPr="006A44E6">
        <w:rPr>
          <w:rFonts w:ascii="Times New Roman" w:hAnsi="Times New Roman" w:cs="Times New Roman"/>
        </w:rPr>
        <w:t xml:space="preserve">, </w:t>
      </w:r>
      <w:r w:rsidR="00911322" w:rsidRPr="00911322">
        <w:rPr>
          <w:rFonts w:ascii="Times New Roman" w:hAnsi="Times New Roman" w:cs="Times New Roman"/>
        </w:rPr>
        <w:t>quantile normalization across arrays</w:t>
      </w:r>
      <w:r w:rsidR="00911322">
        <w:rPr>
          <w:rFonts w:ascii="Times New Roman" w:hAnsi="Times New Roman" w:cs="Times New Roman"/>
        </w:rPr>
        <w:t>,</w:t>
      </w:r>
      <w:r w:rsidR="00766D6D" w:rsidRPr="006A44E6">
        <w:rPr>
          <w:rFonts w:ascii="Times New Roman" w:hAnsi="Times New Roman" w:cs="Times New Roman"/>
        </w:rPr>
        <w:t xml:space="preserve"> averaging of probe-level feature intensities extracted from .CEL files using the Affymetrix platform</w:t>
      </w:r>
      <w:r w:rsidR="00BE7794">
        <w:rPr>
          <w:rFonts w:ascii="Times New Roman" w:hAnsi="Times New Roman" w:cs="Times New Roman"/>
        </w:rPr>
        <w:t>,</w:t>
      </w:r>
      <w:r w:rsidR="00BE7794" w:rsidRPr="00BE7794">
        <w:rPr>
          <w:rFonts w:ascii="Times New Roman" w:hAnsi="Times New Roman" w:cs="Times New Roman"/>
        </w:rPr>
        <w:t xml:space="preserve"> </w:t>
      </w:r>
      <w:r w:rsidR="00BE7794" w:rsidRPr="00BE7794">
        <w:rPr>
          <w:rFonts w:ascii="Times New Roman" w:hAnsi="Times New Roman" w:cs="Times New Roman"/>
        </w:rPr>
        <w:t>and quality assessment</w:t>
      </w:r>
      <w:r w:rsidR="00984752">
        <w:rPr>
          <w:rFonts w:ascii="Times New Roman" w:hAnsi="Times New Roman" w:cs="Times New Roman"/>
        </w:rPr>
        <w:t xml:space="preserve">. </w:t>
      </w:r>
      <w:r w:rsidR="00BE7794" w:rsidRPr="006A44E6">
        <w:rPr>
          <w:rFonts w:ascii="Times New Roman" w:hAnsi="Times New Roman" w:cs="Times New Roman"/>
        </w:rPr>
        <w:t xml:space="preserve">The RMA background correction step includes a convolution model in which the observed signal for each </w:t>
      </w:r>
      <w:r w:rsidR="000A2A2B" w:rsidRPr="006A44E6">
        <w:rPr>
          <w:rFonts w:ascii="Times New Roman" w:hAnsi="Times New Roman" w:cs="Times New Roman"/>
        </w:rPr>
        <w:t>probeset</w:t>
      </w:r>
      <w:r w:rsidR="00BE7794" w:rsidRPr="006A44E6">
        <w:rPr>
          <w:rFonts w:ascii="Times New Roman" w:hAnsi="Times New Roman" w:cs="Times New Roman"/>
        </w:rPr>
        <w:t xml:space="preserve"> is broken into components of true signal and noise. </w:t>
      </w:r>
      <w:r w:rsidR="00984752">
        <w:rPr>
          <w:rFonts w:ascii="Times New Roman" w:hAnsi="Times New Roman" w:cs="Times New Roman"/>
        </w:rPr>
        <w:t xml:space="preserve">RMA </w:t>
      </w:r>
      <w:r w:rsidR="00984752" w:rsidRPr="006A44E6">
        <w:rPr>
          <w:rFonts w:ascii="Times New Roman" w:hAnsi="Times New Roman" w:cs="Times New Roman"/>
        </w:rPr>
        <w:t>normalizes</w:t>
      </w:r>
      <w:r w:rsidR="00E2532D" w:rsidRPr="006A44E6">
        <w:rPr>
          <w:rFonts w:ascii="Times New Roman" w:hAnsi="Times New Roman" w:cs="Times New Roman"/>
        </w:rPr>
        <w:t xml:space="preserve"> and </w:t>
      </w:r>
      <w:r w:rsidR="00984752" w:rsidRPr="006A44E6">
        <w:rPr>
          <w:rFonts w:ascii="Times New Roman" w:hAnsi="Times New Roman" w:cs="Times New Roman"/>
        </w:rPr>
        <w:t>summarizes</w:t>
      </w:r>
      <w:r w:rsidR="00E2532D" w:rsidRPr="006A44E6">
        <w:rPr>
          <w:rFonts w:ascii="Times New Roman" w:hAnsi="Times New Roman" w:cs="Times New Roman"/>
        </w:rPr>
        <w:t xml:space="preserve"> the probe level information without the use of the information obtained in the </w:t>
      </w:r>
      <w:bookmarkStart w:id="0" w:name="_Hlk95783278"/>
      <w:r w:rsidR="00F8400D" w:rsidRPr="006A44E6">
        <w:rPr>
          <w:rFonts w:ascii="Times New Roman" w:hAnsi="Times New Roman" w:cs="Times New Roman"/>
        </w:rPr>
        <w:t>Mismatch</w:t>
      </w:r>
      <w:r w:rsidR="00E2532D" w:rsidRPr="006A44E6">
        <w:rPr>
          <w:rFonts w:ascii="Times New Roman" w:hAnsi="Times New Roman" w:cs="Times New Roman"/>
        </w:rPr>
        <w:t xml:space="preserve"> (MM) </w:t>
      </w:r>
      <w:bookmarkEnd w:id="0"/>
      <w:r w:rsidR="00E2532D" w:rsidRPr="006A44E6">
        <w:rPr>
          <w:rFonts w:ascii="Times New Roman" w:hAnsi="Times New Roman" w:cs="Times New Roman"/>
        </w:rPr>
        <w:t>probes.</w:t>
      </w:r>
      <w:r w:rsidR="00F12BF9" w:rsidRPr="006A44E6">
        <w:rPr>
          <w:rFonts w:ascii="Times New Roman" w:hAnsi="Times New Roman" w:cs="Times New Roman"/>
          <w:color w:val="383838"/>
          <w:shd w:val="clear" w:color="auto" w:fill="FFFFFF"/>
        </w:rPr>
        <w:t xml:space="preserve"> </w:t>
      </w:r>
      <w:r w:rsidR="00F8400D" w:rsidRPr="006A44E6">
        <w:rPr>
          <w:rFonts w:ascii="Times New Roman" w:hAnsi="Times New Roman" w:cs="Times New Roman"/>
        </w:rPr>
        <w:t xml:space="preserve">RMA does not use the </w:t>
      </w:r>
      <w:r w:rsidR="00F8400D" w:rsidRPr="00F8400D">
        <w:rPr>
          <w:rFonts w:ascii="Times New Roman" w:hAnsi="Times New Roman" w:cs="Times New Roman"/>
        </w:rPr>
        <w:t>Mismatch (MM)</w:t>
      </w:r>
      <w:r w:rsidR="00F8400D" w:rsidRPr="006A44E6">
        <w:rPr>
          <w:rFonts w:ascii="Times New Roman" w:hAnsi="Times New Roman" w:cs="Times New Roman"/>
        </w:rPr>
        <w:t xml:space="preserve"> probes, because their intensities are often higher than the match probes, making them unreliable as indicators of non-specific binding</w:t>
      </w:r>
      <w:r w:rsidR="00B97F0A">
        <w:rPr>
          <w:rFonts w:ascii="Times New Roman" w:hAnsi="Times New Roman" w:cs="Times New Roman"/>
        </w:rPr>
        <w:t>.</w:t>
      </w:r>
      <w:r w:rsidR="00B97F0A" w:rsidRPr="00B97F0A">
        <w:rPr>
          <w:rFonts w:ascii="Times New Roman" w:hAnsi="Times New Roman" w:cs="Times New Roman"/>
        </w:rPr>
        <w:t xml:space="preserve"> </w:t>
      </w:r>
      <w:r w:rsidR="00B97F0A" w:rsidRPr="00B97F0A">
        <w:rPr>
          <w:rFonts w:ascii="Times New Roman" w:hAnsi="Times New Roman" w:cs="Times New Roman"/>
        </w:rPr>
        <w:t>RMA values are in log2 units</w:t>
      </w:r>
      <w:r w:rsidR="00B97F0A">
        <w:rPr>
          <w:rFonts w:ascii="Times New Roman" w:hAnsi="Times New Roman" w:cs="Times New Roman"/>
        </w:rPr>
        <w:t>.</w:t>
      </w:r>
    </w:p>
    <w:p w14:paraId="1737E569" w14:textId="174C58BA" w:rsidR="00E2532D" w:rsidRPr="006A44E6" w:rsidRDefault="00F12BF9" w:rsidP="001813BD">
      <w:pPr>
        <w:tabs>
          <w:tab w:val="num" w:pos="720"/>
        </w:tabs>
        <w:rPr>
          <w:rFonts w:ascii="Times New Roman" w:hAnsi="Times New Roman" w:cs="Times New Roman"/>
        </w:rPr>
      </w:pPr>
      <w:r w:rsidRPr="006A44E6">
        <w:rPr>
          <w:rFonts w:ascii="Times New Roman" w:hAnsi="Times New Roman" w:cs="Times New Roman"/>
        </w:rPr>
        <w:t>GeneChip RMA (</w:t>
      </w:r>
      <w:bookmarkStart w:id="1" w:name="_Hlk95783503"/>
      <w:r w:rsidRPr="006A44E6">
        <w:rPr>
          <w:rFonts w:ascii="Times New Roman" w:hAnsi="Times New Roman" w:cs="Times New Roman"/>
        </w:rPr>
        <w:t>GC-RMA</w:t>
      </w:r>
      <w:bookmarkEnd w:id="1"/>
      <w:r w:rsidRPr="006A44E6">
        <w:rPr>
          <w:rFonts w:ascii="Times New Roman" w:hAnsi="Times New Roman" w:cs="Times New Roman"/>
        </w:rPr>
        <w:t xml:space="preserve">) is an improved form of RMA that </w:t>
      </w:r>
      <w:r w:rsidR="00984752" w:rsidRPr="006A44E6">
        <w:rPr>
          <w:rFonts w:ascii="Times New Roman" w:hAnsi="Times New Roman" w:cs="Times New Roman"/>
        </w:rPr>
        <w:t>can</w:t>
      </w:r>
      <w:r w:rsidRPr="006A44E6">
        <w:rPr>
          <w:rFonts w:ascii="Times New Roman" w:hAnsi="Times New Roman" w:cs="Times New Roman"/>
        </w:rPr>
        <w:t xml:space="preserve"> use the sequence-specific probe affinities of the </w:t>
      </w:r>
      <w:r w:rsidR="00984752" w:rsidRPr="006A44E6">
        <w:rPr>
          <w:rFonts w:ascii="Times New Roman" w:hAnsi="Times New Roman" w:cs="Times New Roman"/>
        </w:rPr>
        <w:t>GeneChip</w:t>
      </w:r>
      <w:r w:rsidRPr="006A44E6">
        <w:rPr>
          <w:rFonts w:ascii="Times New Roman" w:hAnsi="Times New Roman" w:cs="Times New Roman"/>
        </w:rPr>
        <w:t xml:space="preserve"> probes to attain more accurate gene expression values.</w:t>
      </w:r>
      <w:r w:rsidR="00E2532D" w:rsidRPr="006A44E6">
        <w:rPr>
          <w:rFonts w:ascii="Times New Roman" w:hAnsi="Times New Roman" w:cs="Times New Roman"/>
        </w:rPr>
        <w:t> </w:t>
      </w:r>
      <w:r w:rsidR="001813BD" w:rsidRPr="001813BD">
        <w:rPr>
          <w:rFonts w:ascii="Times New Roman" w:hAnsi="Times New Roman" w:cs="Times New Roman"/>
        </w:rPr>
        <w:t>GC-RMA</w:t>
      </w:r>
      <w:r w:rsidR="001813BD" w:rsidRPr="001813BD">
        <w:rPr>
          <w:rFonts w:ascii="Times New Roman" w:hAnsi="Times New Roman" w:cs="Times New Roman"/>
        </w:rPr>
        <w:t xml:space="preserve"> </w:t>
      </w:r>
      <w:r w:rsidR="00A8367E" w:rsidRPr="006A44E6">
        <w:rPr>
          <w:rFonts w:ascii="Times New Roman" w:hAnsi="Times New Roman" w:cs="Times New Roman"/>
        </w:rPr>
        <w:t>further introduces an adjustment for the presence of nonspecific hybridization that improves accuracy (relative to RMA) while maintaining large gains in precision</w:t>
      </w:r>
      <w:r w:rsidR="001813BD">
        <w:rPr>
          <w:rFonts w:ascii="Times New Roman" w:hAnsi="Times New Roman" w:cs="Times New Roman"/>
        </w:rPr>
        <w:t xml:space="preserve">. </w:t>
      </w:r>
    </w:p>
    <w:p w14:paraId="28685154" w14:textId="15043CC7" w:rsidR="00A12F5B" w:rsidRPr="00167A9C" w:rsidRDefault="00E06E41">
      <w:pPr>
        <w:rPr>
          <w:rFonts w:ascii="Times New Roman" w:hAnsi="Times New Roman" w:cs="Times New Roman"/>
        </w:rPr>
      </w:pPr>
      <w:r w:rsidRPr="00E06E41">
        <w:rPr>
          <w:rFonts w:ascii="Times New Roman" w:hAnsi="Times New Roman" w:cs="Times New Roman"/>
          <w:lang w:val="en-GB"/>
        </w:rPr>
        <w:t xml:space="preserve">Microarray Suite </w:t>
      </w:r>
      <w:r w:rsidR="00FB1885">
        <w:rPr>
          <w:rFonts w:ascii="Times New Roman" w:hAnsi="Times New Roman" w:cs="Times New Roman"/>
          <w:lang w:val="en-GB"/>
        </w:rPr>
        <w:t>v 5,.0 (</w:t>
      </w:r>
      <w:r w:rsidR="00A8367E" w:rsidRPr="00167A9C">
        <w:rPr>
          <w:rFonts w:ascii="Times New Roman" w:hAnsi="Times New Roman" w:cs="Times New Roman"/>
        </w:rPr>
        <w:t>MAS</w:t>
      </w:r>
      <w:r w:rsidR="00FB1885">
        <w:rPr>
          <w:rFonts w:ascii="Times New Roman" w:hAnsi="Times New Roman" w:cs="Times New Roman"/>
        </w:rPr>
        <w:t>5.0)</w:t>
      </w:r>
      <w:r w:rsidR="00FB1885" w:rsidRPr="00167A9C">
        <w:rPr>
          <w:rFonts w:ascii="Times New Roman" w:hAnsi="Times New Roman" w:cs="Times New Roman"/>
        </w:rPr>
        <w:t xml:space="preserve"> normalization</w:t>
      </w:r>
      <w:r w:rsidR="00A8367E" w:rsidRPr="00167A9C">
        <w:rPr>
          <w:rFonts w:ascii="Times New Roman" w:hAnsi="Times New Roman" w:cs="Times New Roman"/>
        </w:rPr>
        <w:t xml:space="preserve"> </w:t>
      </w:r>
      <w:r w:rsidR="00A805F8">
        <w:rPr>
          <w:rFonts w:ascii="Times New Roman" w:hAnsi="Times New Roman" w:cs="Times New Roman"/>
        </w:rPr>
        <w:t xml:space="preserve">is a </w:t>
      </w:r>
      <w:r w:rsidR="00A8367E" w:rsidRPr="00167A9C">
        <w:rPr>
          <w:rFonts w:ascii="Times New Roman" w:hAnsi="Times New Roman" w:cs="Times New Roman"/>
        </w:rPr>
        <w:t xml:space="preserve">method which normalizes each array </w:t>
      </w:r>
      <w:r w:rsidR="00A4255D" w:rsidRPr="00A4255D">
        <w:rPr>
          <w:rFonts w:ascii="Times New Roman" w:hAnsi="Times New Roman" w:cs="Times New Roman"/>
        </w:rPr>
        <w:t>independently and sequentially</w:t>
      </w:r>
      <w:r w:rsidR="00A8367E" w:rsidRPr="00167A9C">
        <w:rPr>
          <w:rFonts w:ascii="Times New Roman" w:hAnsi="Times New Roman" w:cs="Times New Roman"/>
        </w:rPr>
        <w:t xml:space="preserve">. </w:t>
      </w:r>
      <w:r w:rsidR="003165B8" w:rsidRPr="00167A9C">
        <w:rPr>
          <w:rFonts w:ascii="Times New Roman" w:hAnsi="Times New Roman" w:cs="Times New Roman"/>
        </w:rPr>
        <w:t>MAS5</w:t>
      </w:r>
      <w:r w:rsidR="003165B8">
        <w:rPr>
          <w:rFonts w:ascii="Times New Roman" w:hAnsi="Times New Roman" w:cs="Times New Roman"/>
        </w:rPr>
        <w:t>.0</w:t>
      </w:r>
      <w:r w:rsidR="003165B8" w:rsidRPr="00167A9C">
        <w:rPr>
          <w:rFonts w:ascii="Times New Roman" w:hAnsi="Times New Roman" w:cs="Times New Roman"/>
        </w:rPr>
        <w:t xml:space="preserve"> calculates the difference </w:t>
      </w:r>
      <w:r w:rsidR="003165B8">
        <w:rPr>
          <w:rFonts w:ascii="Times New Roman" w:hAnsi="Times New Roman" w:cs="Times New Roman"/>
        </w:rPr>
        <w:t xml:space="preserve">between </w:t>
      </w:r>
      <w:r w:rsidR="003165B8" w:rsidRPr="00167A9C">
        <w:rPr>
          <w:rFonts w:ascii="Times New Roman" w:hAnsi="Times New Roman" w:cs="Times New Roman"/>
        </w:rPr>
        <w:t>Perfect match (PM)</w:t>
      </w:r>
      <w:r w:rsidR="003165B8">
        <w:rPr>
          <w:rFonts w:ascii="Times New Roman" w:hAnsi="Times New Roman" w:cs="Times New Roman"/>
        </w:rPr>
        <w:t xml:space="preserve"> and</w:t>
      </w:r>
      <w:r w:rsidR="003165B8" w:rsidRPr="003165B8">
        <w:rPr>
          <w:rFonts w:ascii="Times New Roman" w:hAnsi="Times New Roman" w:cs="Times New Roman"/>
        </w:rPr>
        <w:t xml:space="preserve"> </w:t>
      </w:r>
      <w:r w:rsidR="003165B8" w:rsidRPr="003165B8">
        <w:rPr>
          <w:rFonts w:ascii="Times New Roman" w:hAnsi="Times New Roman" w:cs="Times New Roman"/>
        </w:rPr>
        <w:t xml:space="preserve">Mismatch (MM) </w:t>
      </w:r>
      <w:r w:rsidR="003165B8">
        <w:rPr>
          <w:rFonts w:ascii="Times New Roman" w:hAnsi="Times New Roman" w:cs="Times New Roman"/>
        </w:rPr>
        <w:t>probe</w:t>
      </w:r>
      <w:r w:rsidR="00501CE1">
        <w:rPr>
          <w:rFonts w:ascii="Times New Roman" w:hAnsi="Times New Roman" w:cs="Times New Roman"/>
        </w:rPr>
        <w:t xml:space="preserve"> values</w:t>
      </w:r>
      <w:r w:rsidR="003165B8" w:rsidRPr="00167A9C">
        <w:rPr>
          <w:rFonts w:ascii="Times New Roman" w:hAnsi="Times New Roman" w:cs="Times New Roman"/>
        </w:rPr>
        <w:t xml:space="preserve"> to obtain a </w:t>
      </w:r>
      <w:r w:rsidR="00126438">
        <w:rPr>
          <w:rFonts w:ascii="Times New Roman" w:hAnsi="Times New Roman" w:cs="Times New Roman"/>
        </w:rPr>
        <w:t>“</w:t>
      </w:r>
      <w:r w:rsidR="003165B8" w:rsidRPr="00167A9C">
        <w:rPr>
          <w:rFonts w:ascii="Times New Roman" w:hAnsi="Times New Roman" w:cs="Times New Roman"/>
        </w:rPr>
        <w:t>robust average</w:t>
      </w:r>
      <w:r w:rsidR="008A2FCC">
        <w:rPr>
          <w:rFonts w:ascii="Times New Roman" w:hAnsi="Times New Roman" w:cs="Times New Roman"/>
        </w:rPr>
        <w:t>”</w:t>
      </w:r>
      <w:r w:rsidR="003165B8" w:rsidRPr="00167A9C">
        <w:rPr>
          <w:rFonts w:ascii="Times New Roman" w:hAnsi="Times New Roman" w:cs="Times New Roman"/>
        </w:rPr>
        <w:t>.</w:t>
      </w:r>
      <w:r w:rsidR="00A8367E" w:rsidRPr="00167A9C">
        <w:rPr>
          <w:rFonts w:ascii="Times New Roman" w:hAnsi="Times New Roman" w:cs="Times New Roman"/>
        </w:rPr>
        <w:t xml:space="preserve"> </w:t>
      </w:r>
      <w:r w:rsidR="00451DD6" w:rsidRPr="00451DD6">
        <w:rPr>
          <w:rFonts w:ascii="Times New Roman" w:hAnsi="Times New Roman" w:cs="Times New Roman"/>
          <w:lang w:val="en-GB"/>
        </w:rPr>
        <w:t xml:space="preserve">Robust average </w:t>
      </w:r>
      <w:r w:rsidR="00451DD6">
        <w:rPr>
          <w:rFonts w:ascii="Times New Roman" w:hAnsi="Times New Roman" w:cs="Times New Roman"/>
          <w:lang w:val="en-GB"/>
        </w:rPr>
        <w:t xml:space="preserve">is </w:t>
      </w:r>
      <w:r w:rsidR="00451DD6" w:rsidRPr="00451DD6">
        <w:rPr>
          <w:rFonts w:ascii="Times New Roman" w:hAnsi="Times New Roman" w:cs="Times New Roman"/>
          <w:lang w:val="en-GB"/>
        </w:rPr>
        <w:t>insensitive to small changes from any assumptions made</w:t>
      </w:r>
      <w:r w:rsidR="00451DD6">
        <w:rPr>
          <w:rFonts w:ascii="Times New Roman" w:hAnsi="Times New Roman" w:cs="Times New Roman"/>
          <w:lang w:val="en-GB"/>
        </w:rPr>
        <w:t>.</w:t>
      </w:r>
      <w:r w:rsidR="00451DD6">
        <w:rPr>
          <w:rFonts w:ascii="Times New Roman" w:hAnsi="Times New Roman" w:cs="Times New Roman"/>
        </w:rPr>
        <w:t xml:space="preserve"> </w:t>
      </w:r>
      <w:r w:rsidR="00126438">
        <w:rPr>
          <w:rFonts w:ascii="Times New Roman" w:hAnsi="Times New Roman" w:cs="Times New Roman"/>
        </w:rPr>
        <w:t xml:space="preserve">PM </w:t>
      </w:r>
      <w:r w:rsidR="00A8367E" w:rsidRPr="00167A9C">
        <w:rPr>
          <w:rFonts w:ascii="Times New Roman" w:hAnsi="Times New Roman" w:cs="Times New Roman"/>
        </w:rPr>
        <w:t xml:space="preserve">probes consist of oligonucleotides affixed to the array surface that bind the fluorescently labeled sample if transcripts corresponding to </w:t>
      </w:r>
      <w:r w:rsidR="00126438" w:rsidRPr="00167A9C">
        <w:rPr>
          <w:rFonts w:ascii="Times New Roman" w:hAnsi="Times New Roman" w:cs="Times New Roman"/>
        </w:rPr>
        <w:t>probes</w:t>
      </w:r>
      <w:r w:rsidR="00A8367E" w:rsidRPr="00167A9C">
        <w:rPr>
          <w:rFonts w:ascii="Times New Roman" w:hAnsi="Times New Roman" w:cs="Times New Roman"/>
        </w:rPr>
        <w:t xml:space="preserve"> are expressed. </w:t>
      </w:r>
      <w:bookmarkStart w:id="2" w:name="_Hlk95783881"/>
      <w:r w:rsidR="00A8367E" w:rsidRPr="00167A9C">
        <w:rPr>
          <w:rFonts w:ascii="Times New Roman" w:hAnsi="Times New Roman" w:cs="Times New Roman"/>
        </w:rPr>
        <w:t xml:space="preserve">Mismatch (MM) </w:t>
      </w:r>
      <w:bookmarkEnd w:id="2"/>
      <w:r w:rsidR="00A8367E" w:rsidRPr="00167A9C">
        <w:rPr>
          <w:rFonts w:ascii="Times New Roman" w:hAnsi="Times New Roman" w:cs="Times New Roman"/>
        </w:rPr>
        <w:t xml:space="preserve">oligos are designed with an intentional mismatch and are used to define background signal. </w:t>
      </w:r>
    </w:p>
    <w:p w14:paraId="75886A55" w14:textId="3FB3AF95" w:rsidR="001146C4" w:rsidRPr="00167A9C" w:rsidRDefault="00BF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RMA is more accurate </w:t>
      </w:r>
      <w:r w:rsidR="00C03DB3">
        <w:rPr>
          <w:rFonts w:ascii="Times New Roman" w:hAnsi="Times New Roman" w:cs="Times New Roman"/>
        </w:rPr>
        <w:t xml:space="preserve">and </w:t>
      </w:r>
      <w:r w:rsidR="00C03DB3" w:rsidRPr="00C03DB3">
        <w:rPr>
          <w:rFonts w:ascii="Times New Roman" w:hAnsi="Times New Roman" w:cs="Times New Roman"/>
          <w:lang w:val="en-GB"/>
        </w:rPr>
        <w:t>precise than MAS5.</w:t>
      </w:r>
      <w:r w:rsidR="00A51C04" w:rsidRPr="00C03DB3">
        <w:rPr>
          <w:rFonts w:ascii="Times New Roman" w:hAnsi="Times New Roman" w:cs="Times New Roman"/>
          <w:lang w:val="en-GB"/>
        </w:rPr>
        <w:t>0 but</w:t>
      </w:r>
      <w:r w:rsidR="00C03DB3" w:rsidRPr="00C03DB3">
        <w:rPr>
          <w:rFonts w:ascii="Times New Roman" w:hAnsi="Times New Roman" w:cs="Times New Roman"/>
          <w:lang w:val="en-GB"/>
        </w:rPr>
        <w:t xml:space="preserve"> may result in false negatives at low expression </w:t>
      </w:r>
      <w:r w:rsidR="00C03DB3">
        <w:rPr>
          <w:rFonts w:ascii="Times New Roman" w:hAnsi="Times New Roman" w:cs="Times New Roman"/>
          <w:lang w:val="en-GB"/>
        </w:rPr>
        <w:t>levels</w:t>
      </w:r>
      <w:r w:rsidR="001146C4" w:rsidRPr="00167A9C">
        <w:rPr>
          <w:rFonts w:ascii="Times New Roman" w:hAnsi="Times New Roman" w:cs="Times New Roman"/>
        </w:rPr>
        <w:t>, a situation that is improved by the GCRMA algorithm. MAS 5.0 software yields a high standard deviation, particularly for transcripts expressed at low levels, while RMA has a dramatically improved measurement across a broad range of signal intensities.</w:t>
      </w:r>
    </w:p>
    <w:p w14:paraId="2C78B26A" w14:textId="77777777" w:rsidR="006A44E6" w:rsidRDefault="006A44E6">
      <w:pPr>
        <w:rPr>
          <w:rFonts w:ascii="Times New Roman" w:hAnsi="Times New Roman" w:cs="Times New Roman"/>
        </w:rPr>
      </w:pPr>
    </w:p>
    <w:p w14:paraId="0B3BC60B" w14:textId="6EBEA30D" w:rsidR="006A44E6" w:rsidRPr="00957744" w:rsidRDefault="006A44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7744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6057A95C" w14:textId="24A24770" w:rsidR="00A57317" w:rsidRPr="00A57317" w:rsidRDefault="00B163EE" w:rsidP="00A57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63EE">
        <w:rPr>
          <w:rFonts w:ascii="Times New Roman" w:hAnsi="Times New Roman" w:cs="Times New Roman"/>
        </w:rPr>
        <w:t>Irizarry, Rafael A et al. “Summaries of Affymetrix GeneChip probe level data.” </w:t>
      </w:r>
      <w:r w:rsidRPr="00B163EE">
        <w:rPr>
          <w:rFonts w:ascii="Times New Roman" w:hAnsi="Times New Roman" w:cs="Times New Roman"/>
          <w:i/>
          <w:iCs/>
        </w:rPr>
        <w:t>Nucleic acids research</w:t>
      </w:r>
      <w:r w:rsidRPr="00B163EE">
        <w:rPr>
          <w:rFonts w:ascii="Times New Roman" w:hAnsi="Times New Roman" w:cs="Times New Roman"/>
        </w:rPr>
        <w:t> vol. 31,4 (2003): e15. doi:10.1093/nar/gng015</w:t>
      </w:r>
    </w:p>
    <w:p w14:paraId="1E091C92" w14:textId="749F2976" w:rsidR="00A57317" w:rsidRDefault="008B3C7E" w:rsidP="00A57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3C7E">
        <w:rPr>
          <w:rFonts w:ascii="Times New Roman" w:hAnsi="Times New Roman" w:cs="Times New Roman"/>
        </w:rPr>
        <w:t xml:space="preserve">Irizarry, Rafael A et al. “Exploration, normalization, and summaries of </w:t>
      </w:r>
      <w:proofErr w:type="gramStart"/>
      <w:r w:rsidRPr="008B3C7E">
        <w:rPr>
          <w:rFonts w:ascii="Times New Roman" w:hAnsi="Times New Roman" w:cs="Times New Roman"/>
        </w:rPr>
        <w:t>high density</w:t>
      </w:r>
      <w:proofErr w:type="gramEnd"/>
      <w:r w:rsidRPr="008B3C7E">
        <w:rPr>
          <w:rFonts w:ascii="Times New Roman" w:hAnsi="Times New Roman" w:cs="Times New Roman"/>
        </w:rPr>
        <w:t xml:space="preserve"> oligonucleotide array probe level data.” </w:t>
      </w:r>
      <w:r w:rsidRPr="008B3C7E">
        <w:rPr>
          <w:rFonts w:ascii="Times New Roman" w:hAnsi="Times New Roman" w:cs="Times New Roman"/>
          <w:i/>
          <w:iCs/>
        </w:rPr>
        <w:t>Biostatistics (Oxford, England)</w:t>
      </w:r>
      <w:r w:rsidRPr="008B3C7E">
        <w:rPr>
          <w:rFonts w:ascii="Times New Roman" w:hAnsi="Times New Roman" w:cs="Times New Roman"/>
        </w:rPr>
        <w:t> vol. 4,2 (2003): 249-64. doi:10.1093/biostatistics/4.2.249</w:t>
      </w:r>
      <w:r w:rsidR="00957744">
        <w:rPr>
          <w:rFonts w:ascii="Times New Roman" w:hAnsi="Times New Roman" w:cs="Times New Roman"/>
        </w:rPr>
        <w:t xml:space="preserve"> </w:t>
      </w:r>
    </w:p>
    <w:p w14:paraId="13B41C71" w14:textId="559A9F56" w:rsidR="00A57317" w:rsidRPr="00A57317" w:rsidRDefault="00957744" w:rsidP="00A57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7744">
        <w:rPr>
          <w:rFonts w:ascii="Times New Roman" w:hAnsi="Times New Roman" w:cs="Times New Roman"/>
        </w:rPr>
        <w:t xml:space="preserve">Wu, Zhijin, et al. “A Model-Based Background Adjustment for Oligonucleotide Expression Arrays.” Journal of the American Statistical Association, vol. 99, no. 468, [American Statistical Association, Taylor &amp; Francis, Ltd.], 2004, pp. 909–17, </w:t>
      </w:r>
      <w:hyperlink r:id="rId5" w:history="1">
        <w:r w:rsidRPr="006806C8">
          <w:rPr>
            <w:rStyle w:val="Hyperlink"/>
            <w:rFonts w:ascii="Times New Roman" w:hAnsi="Times New Roman" w:cs="Times New Roman"/>
          </w:rPr>
          <w:t>http://www.jstor.org/stable/27590474</w:t>
        </w:r>
      </w:hyperlink>
      <w:r w:rsidRPr="009577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65E5D1D" w14:textId="2DC0E287" w:rsidR="006A44E6" w:rsidRPr="006A44E6" w:rsidRDefault="006A44E6" w:rsidP="00A57317">
      <w:pPr>
        <w:pStyle w:val="ListParagraph"/>
        <w:rPr>
          <w:rFonts w:ascii="Times New Roman" w:hAnsi="Times New Roman" w:cs="Times New Roman"/>
        </w:rPr>
      </w:pPr>
    </w:p>
    <w:sectPr w:rsidR="006A44E6" w:rsidRPr="006A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63CF"/>
    <w:multiLevelType w:val="multilevel"/>
    <w:tmpl w:val="9E4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20D7E"/>
    <w:multiLevelType w:val="hybridMultilevel"/>
    <w:tmpl w:val="991AF5F8"/>
    <w:lvl w:ilvl="0" w:tplc="D1380F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ED0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080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CB9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345B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A73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4D2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A88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053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1B8C"/>
    <w:multiLevelType w:val="hybridMultilevel"/>
    <w:tmpl w:val="14460A5A"/>
    <w:lvl w:ilvl="0" w:tplc="94667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C41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03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A1B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2F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E0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AB5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874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03E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FE0"/>
    <w:multiLevelType w:val="hybridMultilevel"/>
    <w:tmpl w:val="2FB4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D"/>
    <w:rsid w:val="000A2A2B"/>
    <w:rsid w:val="001146C4"/>
    <w:rsid w:val="00126438"/>
    <w:rsid w:val="00167A9C"/>
    <w:rsid w:val="001813BD"/>
    <w:rsid w:val="0027070A"/>
    <w:rsid w:val="003165B8"/>
    <w:rsid w:val="00451DD6"/>
    <w:rsid w:val="00490A74"/>
    <w:rsid w:val="00501CE1"/>
    <w:rsid w:val="00563141"/>
    <w:rsid w:val="005D26ED"/>
    <w:rsid w:val="00686B3A"/>
    <w:rsid w:val="006A44E6"/>
    <w:rsid w:val="0070036A"/>
    <w:rsid w:val="00766D6D"/>
    <w:rsid w:val="007B06FF"/>
    <w:rsid w:val="008325FD"/>
    <w:rsid w:val="008A2FCC"/>
    <w:rsid w:val="008B3C7E"/>
    <w:rsid w:val="00911322"/>
    <w:rsid w:val="00957744"/>
    <w:rsid w:val="00984752"/>
    <w:rsid w:val="00A4255D"/>
    <w:rsid w:val="00A51C04"/>
    <w:rsid w:val="00A57317"/>
    <w:rsid w:val="00A805F8"/>
    <w:rsid w:val="00A8367E"/>
    <w:rsid w:val="00B163EE"/>
    <w:rsid w:val="00B97F0A"/>
    <w:rsid w:val="00BE25EE"/>
    <w:rsid w:val="00BE7794"/>
    <w:rsid w:val="00BF0E8B"/>
    <w:rsid w:val="00C03DB3"/>
    <w:rsid w:val="00D035DF"/>
    <w:rsid w:val="00E04750"/>
    <w:rsid w:val="00E06E41"/>
    <w:rsid w:val="00E2532D"/>
    <w:rsid w:val="00F12BF9"/>
    <w:rsid w:val="00F62EAC"/>
    <w:rsid w:val="00F8400D"/>
    <w:rsid w:val="00FB1885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2021"/>
  <w15:chartTrackingRefBased/>
  <w15:docId w15:val="{E0F7F9CB-082C-4315-9A48-3D3A0EAC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27590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Chibueze</dc:creator>
  <cp:keywords/>
  <dc:description/>
  <cp:lastModifiedBy>Favour Chibueze</cp:lastModifiedBy>
  <cp:revision>38</cp:revision>
  <dcterms:created xsi:type="dcterms:W3CDTF">2022-02-10T05:06:00Z</dcterms:created>
  <dcterms:modified xsi:type="dcterms:W3CDTF">2022-02-15T07:27:00Z</dcterms:modified>
</cp:coreProperties>
</file>