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304E05" w:rsidRDefault="002818D8" w:rsidP="00E77DCC">
      <w:pPr>
        <w:pStyle w:val="Ttulo"/>
        <w:rPr>
          <w:lang w:val="pt-BR"/>
        </w:rPr>
      </w:pPr>
      <w:r w:rsidRPr="00304E05">
        <w:rPr>
          <w:smallCaps/>
          <w:lang w:val="pt-BR"/>
        </w:rPr>
        <w:t>T</w:t>
      </w:r>
      <w:r w:rsidR="00254374">
        <w:rPr>
          <w:smallCaps/>
          <w:lang w:val="pt-BR"/>
        </w:rPr>
        <w:t>EN</w:t>
      </w:r>
      <w:r w:rsidR="00E77DCC" w:rsidRPr="00304E05">
        <w:rPr>
          <w:lang w:val="pt-BR"/>
        </w:rPr>
        <w:t xml:space="preserve"> </w:t>
      </w:r>
      <w:r w:rsidR="00E77DCC" w:rsidRPr="00304E05">
        <w:rPr>
          <w:position w:val="10"/>
          <w:lang w:val="pt-BR"/>
        </w:rPr>
        <w:t>|</w:t>
      </w:r>
      <w:r w:rsidR="00E77DCC" w:rsidRPr="00304E05">
        <w:rPr>
          <w:lang w:val="pt-BR"/>
        </w:rPr>
        <w:t xml:space="preserve"> </w:t>
      </w:r>
      <w:r w:rsidRPr="00304E05">
        <w:rPr>
          <w:smallCaps/>
          <w:lang w:val="pt-BR"/>
        </w:rPr>
        <w:t xml:space="preserve">Traffic </w:t>
      </w:r>
      <w:r w:rsidR="00254374">
        <w:rPr>
          <w:smallCaps/>
          <w:lang w:val="pt-BR"/>
        </w:rPr>
        <w:t>Engine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6957D4">
      <w:pPr>
        <w:ind w:firstLine="0"/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630E75">
      <w:pPr>
        <w:ind w:firstLine="0"/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304E05" w:rsidRDefault="00D9228B" w:rsidP="00E77DCC">
      <w:pPr>
        <w:pStyle w:val="Subttulo"/>
        <w:rPr>
          <w:smallCaps/>
          <w:lang w:val="pt-BR"/>
        </w:rPr>
      </w:pPr>
      <w:r>
        <w:rPr>
          <w:smallCaps/>
          <w:lang w:val="pt-BR"/>
        </w:rPr>
        <w:t>TEN  – Traffic Engine</w:t>
      </w:r>
    </w:p>
    <w:p w:rsidR="00E77DCC" w:rsidRPr="00304E05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</w:t>
      </w:r>
      <w:r w:rsidR="00254374">
        <w:rPr>
          <w:lang w:val="pt-BR"/>
        </w:rPr>
        <w:t>TEN</w:t>
      </w:r>
      <w:r>
        <w:rPr>
          <w:lang w:val="pt-BR"/>
        </w:rPr>
        <w:t xml:space="preserve"> –</w:t>
      </w:r>
      <w:r w:rsidRPr="00254374">
        <w:rPr>
          <w:lang w:val="pt-BR"/>
        </w:rPr>
        <w:t>T</w:t>
      </w:r>
      <w:r>
        <w:rPr>
          <w:lang w:val="pt-BR"/>
        </w:rPr>
        <w:t xml:space="preserve">raffic </w:t>
      </w:r>
      <w:r w:rsidR="00254374" w:rsidRPr="00254374">
        <w:rPr>
          <w:lang w:val="pt-BR"/>
        </w:rPr>
        <w:t>Engine</w:t>
      </w:r>
      <w:r>
        <w:rPr>
          <w:lang w:val="pt-BR"/>
        </w:rPr>
        <w:t xml:space="preserve">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6113723" w:displacedByCustomXml="prev"/>
        <w:bookmarkStart w:id="7" w:name="_Toc225762289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39716A" w:rsidRPr="0039716A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39716A" w:rsidRPr="0039716A">
            <w:rPr>
              <w:lang w:val="pt-BR"/>
            </w:rPr>
            <w:fldChar w:fldCharType="separate"/>
          </w:r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39716A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39716A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</w:t>
      </w:r>
      <w:r w:rsidR="00B322A1">
        <w:rPr>
          <w:lang w:val="pt-BR"/>
        </w:rPr>
        <w:t xml:space="preserve">intenso </w:t>
      </w:r>
      <w:r w:rsidRPr="000C6FAC">
        <w:rPr>
          <w:lang w:val="pt-BR"/>
        </w:rPr>
        <w:t>fluxo de automóveis nas metrópoles é um dos maiores desafios modernos. Não é incomum associar as grandes cidades a congestionamentos quilométricos</w:t>
      </w:r>
      <w:r w:rsidR="009902D1">
        <w:rPr>
          <w:lang w:val="pt-BR"/>
        </w:rPr>
        <w:t xml:space="preserve">, que </w:t>
      </w:r>
      <w:r w:rsidRPr="000C6FAC">
        <w:rPr>
          <w:lang w:val="pt-BR"/>
        </w:rPr>
        <w:t xml:space="preserve">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</w:t>
      </w:r>
      <w:r w:rsidR="00254374">
        <w:rPr>
          <w:lang w:val="pt-BR"/>
        </w:rPr>
        <w:t xml:space="preserve">TEN </w:t>
      </w:r>
      <w:r w:rsidRPr="000C6FAC">
        <w:rPr>
          <w:lang w:val="pt-BR"/>
        </w:rPr>
        <w:t>–</w:t>
      </w:r>
      <w:r w:rsidR="00D9228B">
        <w:rPr>
          <w:lang w:val="pt-BR"/>
        </w:rPr>
        <w:t xml:space="preserve"> </w:t>
      </w:r>
      <w:r w:rsidRPr="00254374">
        <w:rPr>
          <w:lang w:val="pt-BR"/>
        </w:rPr>
        <w:t xml:space="preserve">Traffic </w:t>
      </w:r>
      <w:r w:rsidR="00254374" w:rsidRPr="00254374">
        <w:rPr>
          <w:lang w:val="pt-BR"/>
        </w:rPr>
        <w:t>E</w:t>
      </w:r>
      <w:r w:rsidR="00254374">
        <w:rPr>
          <w:lang w:val="pt-BR"/>
        </w:rPr>
        <w:t xml:space="preserve">ngine </w:t>
      </w:r>
      <w:r w:rsidRPr="000C6FAC">
        <w:rPr>
          <w:lang w:val="pt-BR"/>
        </w:rPr>
        <w:t xml:space="preserve">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</w:t>
      </w:r>
      <w:r w:rsidR="009902D1">
        <w:rPr>
          <w:lang w:val="pt-BR"/>
        </w:rPr>
        <w:t xml:space="preserve">de forma </w:t>
      </w:r>
      <w:r w:rsidR="007E7CBB">
        <w:rPr>
          <w:lang w:val="pt-BR"/>
        </w:rPr>
        <w:t xml:space="preserve">mais rápida e </w:t>
      </w:r>
      <w:r w:rsidR="009902D1">
        <w:rPr>
          <w:lang w:val="pt-BR"/>
        </w:rPr>
        <w:t>consciente</w:t>
      </w:r>
      <w:r w:rsidR="007E7CBB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9A2319">
      <w:pPr>
        <w:jc w:val="both"/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30E75">
      <w:pPr>
        <w:jc w:val="both"/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630E75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</w:t>
      </w:r>
      <w:r w:rsidR="00630E75">
        <w:rPr>
          <w:lang w:val="pt-BR"/>
        </w:rPr>
        <w:t>,</w:t>
      </w:r>
      <w:r w:rsidR="00871868">
        <w:rPr>
          <w:lang w:val="pt-BR"/>
        </w:rPr>
        <w:t xml:space="preserve"> este é o</w:t>
      </w:r>
      <w:r>
        <w:rPr>
          <w:lang w:val="pt-BR"/>
        </w:rPr>
        <w:t xml:space="preserve"> modelo mais adequado para o produto.</w:t>
      </w:r>
    </w:p>
    <w:p w:rsidR="00315CD0" w:rsidRDefault="005B2B0D" w:rsidP="00630E75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</w:t>
      </w:r>
      <w:r w:rsidR="00596627">
        <w:rPr>
          <w:lang w:val="pt-BR"/>
        </w:rPr>
        <w:t xml:space="preserve">as </w:t>
      </w:r>
      <w:r w:rsidR="00825C23">
        <w:rPr>
          <w:lang w:val="pt-BR"/>
        </w:rPr>
        <w:t xml:space="preserve">alterações a serem feitas serão analisadas com cuidado por todos, e aquelas </w:t>
      </w:r>
      <w:r w:rsidR="00596627">
        <w:rPr>
          <w:lang w:val="pt-BR"/>
        </w:rPr>
        <w:t>que sejam</w:t>
      </w:r>
      <w:r w:rsidR="00825C23">
        <w:rPr>
          <w:lang w:val="pt-BR"/>
        </w:rPr>
        <w:t xml:space="preserve">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</w:t>
      </w:r>
      <w:r w:rsidR="00630E75">
        <w:t>ation Monitoring and Management</w:t>
      </w:r>
      <w:r>
        <w:t>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</w:t>
      </w:r>
      <w:r w:rsidR="00B31129">
        <w:rPr>
          <w:lang w:val="pt-BR"/>
        </w:rPr>
        <w:t>pode</w:t>
      </w:r>
      <w:r>
        <w:rPr>
          <w:lang w:val="pt-BR"/>
        </w:rPr>
        <w:t xml:space="preserve"> ser </w:t>
      </w:r>
      <w:r w:rsidR="00B31129">
        <w:rPr>
          <w:lang w:val="pt-BR"/>
        </w:rPr>
        <w:t xml:space="preserve">usado </w:t>
      </w:r>
      <w:r>
        <w:rPr>
          <w:lang w:val="pt-BR"/>
        </w:rPr>
        <w:t>p</w:t>
      </w:r>
      <w:r w:rsidR="00A17FCE">
        <w:rPr>
          <w:lang w:val="pt-BR"/>
        </w:rPr>
        <w:t>or</w:t>
      </w:r>
      <w:r>
        <w:rPr>
          <w:lang w:val="pt-BR"/>
        </w:rPr>
        <w:t xml:space="preserve"> empresas </w:t>
      </w:r>
      <w:r w:rsidR="00D94950">
        <w:rPr>
          <w:lang w:val="pt-BR"/>
        </w:rPr>
        <w:t xml:space="preserve">relacionadas a </w:t>
      </w:r>
      <w:r w:rsidR="00B31129">
        <w:rPr>
          <w:lang w:val="pt-BR"/>
        </w:rPr>
        <w:t xml:space="preserve">controle </w:t>
      </w:r>
      <w:r>
        <w:rPr>
          <w:lang w:val="pt-BR"/>
        </w:rPr>
        <w:t>de tráfego</w:t>
      </w:r>
      <w:r w:rsidR="00D94950">
        <w:rPr>
          <w:lang w:val="pt-BR"/>
        </w:rPr>
        <w:t xml:space="preserve"> e fluxo de automóveis</w:t>
      </w:r>
      <w:r>
        <w:rPr>
          <w:lang w:val="pt-BR"/>
        </w:rPr>
        <w:t>, de maneira a melhorar o desempenho d</w:t>
      </w:r>
      <w:r w:rsidR="00B31129">
        <w:rPr>
          <w:lang w:val="pt-BR"/>
        </w:rPr>
        <w:t>os</w:t>
      </w:r>
      <w:r>
        <w:rPr>
          <w:lang w:val="pt-BR"/>
        </w:rPr>
        <w:t xml:space="preserve"> seus serviços</w:t>
      </w:r>
      <w:r w:rsidR="00A17FCE"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630E75">
        <w:rPr>
          <w:lang w:val="pt-BR"/>
        </w:rPr>
        <w:t>COPPE</w:t>
      </w:r>
      <w:r w:rsidR="009E16A4">
        <w:rPr>
          <w:lang w:val="pt-BR"/>
        </w:rPr>
        <w:t xml:space="preserve">, irá acompanhar o desenvolvimento da ferramenta, verificando </w:t>
      </w:r>
      <w:r w:rsidR="007162A8">
        <w:rPr>
          <w:lang w:val="pt-BR"/>
        </w:rPr>
        <w:t>a consistência da simulação, através de sua experiência na área de transportes</w:t>
      </w:r>
      <w:r w:rsidR="00304E05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630E75">
        <w:rPr>
          <w:lang w:val="pt-BR"/>
        </w:rPr>
        <w:t xml:space="preserve"> – </w:t>
      </w:r>
      <w:r w:rsidR="003C09E2">
        <w:rPr>
          <w:lang w:val="pt-BR"/>
        </w:rPr>
        <w:t>espera-se</w:t>
      </w:r>
      <w:r w:rsidR="00630E75">
        <w:rPr>
          <w:lang w:val="pt-BR"/>
        </w:rPr>
        <w:t>, com isso,</w:t>
      </w:r>
      <w:r w:rsidR="003C09E2">
        <w:rPr>
          <w:lang w:val="pt-BR"/>
        </w:rPr>
        <w:t xml:space="preserve">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</w:t>
      </w:r>
      <w:r w:rsidR="00CA7682">
        <w:rPr>
          <w:lang w:val="pt-BR"/>
        </w:rPr>
        <w:t>mais eficientes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39716A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6</w:t>
      </w:r>
      <w:r w:rsidR="0039716A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200</w:t>
      </w:r>
      <w:r w:rsidR="0007339C">
        <w:rPr>
          <w:lang w:val="pt-BR"/>
        </w:rPr>
        <w:t>0</w:t>
      </w:r>
      <w:r w:rsidR="00CB12BF">
        <w:rPr>
          <w:lang w:val="pt-BR"/>
        </w:rPr>
        <w:t xml:space="preserve"> linhas de código</w:t>
      </w:r>
      <w:r w:rsidR="00017E99">
        <w:rPr>
          <w:lang w:val="pt-BR"/>
        </w:rPr>
        <w:t xml:space="preserve"> em linguagem de alto nível, equivalente a um esforço nominal de </w:t>
      </w:r>
      <w:r w:rsidR="0007339C">
        <w:rPr>
          <w:lang w:val="pt-BR"/>
        </w:rPr>
        <w:t>5</w:t>
      </w:r>
      <w:r w:rsidR="001C5C95">
        <w:rPr>
          <w:lang w:val="pt-BR"/>
        </w:rPr>
        <w:t>,</w:t>
      </w:r>
      <w:r w:rsidR="0007339C">
        <w:rPr>
          <w:lang w:val="pt-BR"/>
        </w:rPr>
        <w:t>5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705D6F">
        <w:rPr>
          <w:lang w:val="pt-BR"/>
        </w:rPr>
        <w:t>,</w:t>
      </w:r>
      <w:r w:rsidR="00017E99">
        <w:rPr>
          <w:lang w:val="pt-BR"/>
        </w:rPr>
        <w:t xml:space="preserve"> e</w:t>
      </w:r>
      <w:r w:rsidR="00705D6F">
        <w:rPr>
          <w:lang w:val="pt-BR"/>
        </w:rPr>
        <w:t xml:space="preserve"> de</w:t>
      </w:r>
      <w:r w:rsidR="00017E99">
        <w:rPr>
          <w:lang w:val="pt-BR"/>
        </w:rPr>
        <w:t xml:space="preserve"> 3 pessoas-mês após o uso dos multiplicadores</w:t>
      </w:r>
      <w:r w:rsidR="00630E75">
        <w:rPr>
          <w:lang w:val="pt-BR"/>
        </w:rPr>
        <w:t xml:space="preserve"> (</w:t>
      </w:r>
      <w:r w:rsidR="00426D02">
        <w:rPr>
          <w:lang w:val="pt-BR"/>
        </w:rPr>
        <w:t>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 xml:space="preserve">A previsão do tempo de desenvolvimento fornecida pelo software foi de </w:t>
      </w:r>
      <w:r w:rsidR="00630E75">
        <w:rPr>
          <w:lang w:val="pt-BR"/>
        </w:rPr>
        <w:t>três</w:t>
      </w:r>
      <w:r>
        <w:rPr>
          <w:lang w:val="pt-BR"/>
        </w:rPr>
        <w:t xml:space="preserve">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</w:t>
      </w:r>
      <w:r w:rsidR="004A27A0">
        <w:rPr>
          <w:lang w:val="pt-BR"/>
        </w:rPr>
        <w:t>5</w:t>
      </w:r>
      <w:r>
        <w:rPr>
          <w:lang w:val="pt-BR"/>
        </w:rPr>
        <w:t>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</w:t>
      </w:r>
      <w:r w:rsidR="006957D4">
        <w:rPr>
          <w:lang w:val="pt-BR"/>
        </w:rPr>
        <w:t>ed</w:t>
      </w:r>
      <w:r>
        <w:rPr>
          <w:lang w:val="pt-BR"/>
        </w:rPr>
        <w:t>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39716A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5.1.2</w:t>
      </w:r>
      <w:r w:rsidR="0039716A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39716A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10</w:t>
      </w:r>
      <w:r w:rsidR="0039716A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39716A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3</w:t>
      </w:r>
      <w:r w:rsidR="0039716A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</w:t>
      </w:r>
      <w:r w:rsidR="006957D4">
        <w:rPr>
          <w:lang w:val="pt-BR"/>
        </w:rPr>
        <w:t>ed</w:t>
      </w:r>
      <w:r w:rsidR="00912332" w:rsidRPr="009B6AD8">
        <w:rPr>
          <w:lang w:val="pt-BR"/>
        </w:rPr>
        <w:t>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39716A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9</w:t>
      </w:r>
      <w:r w:rsidR="0039716A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39716A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1</w:t>
      </w:r>
      <w:r w:rsidR="0039716A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</w:t>
      </w:r>
      <w:r w:rsidR="00CA7682">
        <w:rPr>
          <w:lang w:val="pt-BR"/>
        </w:rPr>
        <w:t>a</w:t>
      </w:r>
      <w:r>
        <w:rPr>
          <w:lang w:val="pt-BR"/>
        </w:rPr>
        <w:t>m um salário mensal de R$5.000,00, o orçamento do projeto foi estimado de, aproximadamente, R$1</w:t>
      </w:r>
      <w:r w:rsidR="00705D6F">
        <w:rPr>
          <w:lang w:val="pt-BR"/>
        </w:rPr>
        <w:t>5</w:t>
      </w:r>
      <w:r>
        <w:rPr>
          <w:lang w:val="pt-BR"/>
        </w:rPr>
        <w:t>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Os prazos serão respeitados, tendo como base o cronograma</w:t>
      </w:r>
      <w:r w:rsidR="00972151">
        <w:rPr>
          <w:lang w:val="pt-BR"/>
        </w:rPr>
        <w:t xml:space="preserve"> planejado</w:t>
      </w:r>
      <w:r>
        <w:rPr>
          <w:lang w:val="pt-BR"/>
        </w:rPr>
        <w:t xml:space="preserve"> (Apêndice I). </w:t>
      </w:r>
      <w:r w:rsidR="00217DCD">
        <w:rPr>
          <w:lang w:val="pt-BR"/>
        </w:rPr>
        <w:t>A ferramenta Microsoft Office Project 2007 [</w:t>
      </w:r>
      <w:r w:rsidR="0039716A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5</w:t>
      </w:r>
      <w:r w:rsidR="0039716A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39716A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6</w:t>
      </w:r>
      <w:r w:rsidR="0039716A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r w:rsidRPr="007A3689">
        <w:rPr>
          <w:lang w:val="pt-BR"/>
        </w:rPr>
        <w:t>Plano de Gerenciamento de Riscos</w:t>
      </w:r>
      <w:bookmarkEnd w:id="55"/>
    </w:p>
    <w:p w:rsidR="0009471F" w:rsidRDefault="0009471F" w:rsidP="006957D4">
      <w:pPr>
        <w:jc w:val="both"/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6" w:name="_Toc226113756"/>
      <w:r w:rsidRPr="000C6FAC">
        <w:rPr>
          <w:lang w:val="pt-BR"/>
        </w:rPr>
        <w:t>Plano de Encerramento</w:t>
      </w:r>
      <w:bookmarkEnd w:id="56"/>
    </w:p>
    <w:p w:rsidR="00210F0F" w:rsidRPr="00210F0F" w:rsidRDefault="00406CC0" w:rsidP="006957D4">
      <w:pPr>
        <w:jc w:val="both"/>
        <w:rPr>
          <w:lang w:val="pt-BR"/>
        </w:rPr>
      </w:pPr>
      <w:r>
        <w:rPr>
          <w:lang w:val="pt-BR"/>
        </w:rPr>
        <w:t xml:space="preserve">O encerramento do projeto </w:t>
      </w:r>
      <w:r w:rsidR="00972151">
        <w:rPr>
          <w:lang w:val="pt-BR"/>
        </w:rPr>
        <w:t>será dado</w:t>
      </w:r>
      <w:r>
        <w:rPr>
          <w:lang w:val="pt-BR"/>
        </w:rPr>
        <w:t xml:space="preserve"> pela entrega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7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7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8" w:name="_Ref226110641"/>
      <w:bookmarkStart w:id="59" w:name="_Toc226113758"/>
      <w:r w:rsidRPr="000C6FAC">
        <w:rPr>
          <w:lang w:val="pt-BR"/>
        </w:rPr>
        <w:t>Modelo dos Processos</w:t>
      </w:r>
      <w:bookmarkEnd w:id="58"/>
      <w:bookmarkEnd w:id="59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39716A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5.2.1</w:t>
      </w:r>
      <w:r w:rsidR="0039716A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0" w:name="_Toc226113759"/>
      <w:r w:rsidRPr="000C6FAC">
        <w:rPr>
          <w:lang w:val="pt-BR"/>
        </w:rPr>
        <w:t>Métodos, Ferramentas e Técnicas</w:t>
      </w:r>
      <w:bookmarkEnd w:id="60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6957D4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Ref226110164"/>
      <w:bookmarkStart w:id="62" w:name="_Toc226113760"/>
      <w:r w:rsidRPr="000C6FAC">
        <w:rPr>
          <w:lang w:val="pt-BR"/>
        </w:rPr>
        <w:t>Infraestrutura</w:t>
      </w:r>
      <w:bookmarkEnd w:id="61"/>
      <w:bookmarkEnd w:id="62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39716A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7</w:t>
      </w:r>
      <w:r w:rsidR="0039716A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39716A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8</w:t>
      </w:r>
      <w:r w:rsidR="0039716A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3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3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Lançamento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4" w:name="_Toc226113762"/>
      <w:r w:rsidRPr="009B6AD8">
        <w:rPr>
          <w:lang w:val="pt-BR"/>
        </w:rPr>
        <w:lastRenderedPageBreak/>
        <w:t>Planos para os processos de Suporte</w:t>
      </w:r>
      <w:bookmarkEnd w:id="64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5" w:name="_Toc226113763"/>
      <w:r w:rsidRPr="000C6FAC">
        <w:rPr>
          <w:lang w:val="pt-BR"/>
        </w:rPr>
        <w:t>Gerenciamento de Configuração</w:t>
      </w:r>
      <w:bookmarkEnd w:id="65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39716A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39716A">
        <w:rPr>
          <w:lang w:val="pt-BR" w:bidi="ar-SA"/>
        </w:rPr>
      </w:r>
      <w:r w:rsidR="0039716A">
        <w:rPr>
          <w:lang w:val="pt-BR" w:bidi="ar-SA"/>
        </w:rPr>
        <w:fldChar w:fldCharType="separate"/>
      </w:r>
      <w:r w:rsidR="006957D4">
        <w:rPr>
          <w:lang w:val="pt-BR" w:bidi="ar-SA"/>
        </w:rPr>
        <w:t>6.3</w:t>
      </w:r>
      <w:r w:rsidR="0039716A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4"/>
      <w:r w:rsidRPr="000C6FAC">
        <w:rPr>
          <w:lang w:val="pt-BR"/>
        </w:rPr>
        <w:t>Plano de Verificação e de Validação</w:t>
      </w:r>
      <w:bookmarkEnd w:id="66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5"/>
      <w:r w:rsidRPr="000C6FAC">
        <w:rPr>
          <w:lang w:val="pt-BR"/>
        </w:rPr>
        <w:t>Documentação</w:t>
      </w:r>
      <w:bookmarkEnd w:id="67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6"/>
      <w:r w:rsidRPr="000C6FAC">
        <w:rPr>
          <w:lang w:val="pt-BR"/>
        </w:rPr>
        <w:t>Plano para Assegurar a Qualidade</w:t>
      </w:r>
      <w:bookmarkEnd w:id="68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39716A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39716A">
        <w:rPr>
          <w:lang w:val="pt-BR"/>
        </w:rPr>
      </w:r>
      <w:r w:rsidR="0039716A">
        <w:rPr>
          <w:lang w:val="pt-BR"/>
        </w:rPr>
        <w:fldChar w:fldCharType="separate"/>
      </w:r>
      <w:r w:rsidR="006957D4">
        <w:rPr>
          <w:lang w:val="pt-BR"/>
        </w:rPr>
        <w:t>5.2.1</w:t>
      </w:r>
      <w:r w:rsidR="0039716A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</w:t>
      </w:r>
      <w:r w:rsidR="00972151">
        <w:rPr>
          <w:lang w:val="pt-BR"/>
        </w:rPr>
        <w:t>,</w:t>
      </w:r>
      <w:r w:rsidR="00875C2C">
        <w:rPr>
          <w:lang w:val="pt-BR"/>
        </w:rPr>
        <w:t xml:space="preserve"> em reuniões semanais</w:t>
      </w:r>
      <w:r w:rsidR="00972151">
        <w:rPr>
          <w:lang w:val="pt-BR"/>
        </w:rPr>
        <w:t>,</w:t>
      </w:r>
      <w:r w:rsidR="00875C2C">
        <w:rPr>
          <w:lang w:val="pt-BR"/>
        </w:rPr>
        <w:t xml:space="preserve">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7"/>
      <w:r w:rsidRPr="000C6FAC">
        <w:rPr>
          <w:lang w:val="pt-BR"/>
        </w:rPr>
        <w:t>Revisões e Auditorias</w:t>
      </w:r>
      <w:bookmarkEnd w:id="69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8"/>
      <w:r w:rsidRPr="000C6FAC">
        <w:rPr>
          <w:lang w:val="pt-BR"/>
        </w:rPr>
        <w:t>Plano para a Resolução de Problemas</w:t>
      </w:r>
      <w:bookmarkEnd w:id="70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1" w:name="_Toc226113769"/>
      <w:r w:rsidR="000C7ECE" w:rsidRPr="000C6FAC">
        <w:rPr>
          <w:lang w:val="pt-BR"/>
        </w:rPr>
        <w:t>Gerenciamento de Subcontratações</w:t>
      </w:r>
      <w:bookmarkEnd w:id="71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2" w:name="_Toc226113770"/>
      <w:r w:rsidRPr="000C6FAC">
        <w:rPr>
          <w:lang w:val="pt-BR"/>
        </w:rPr>
        <w:lastRenderedPageBreak/>
        <w:t>Plano de Aperfeiçoamento</w:t>
      </w:r>
      <w:bookmarkEnd w:id="72"/>
    </w:p>
    <w:p w:rsidR="00B51A97" w:rsidRPr="00210F0F" w:rsidRDefault="00B51A97" w:rsidP="00B51A97">
      <w:pPr>
        <w:jc w:val="both"/>
        <w:rPr>
          <w:lang w:val="pt-BR"/>
        </w:rPr>
      </w:pPr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3" w:name="_Toc226113771"/>
      <w:r w:rsidRPr="000C6FAC">
        <w:rPr>
          <w:lang w:val="pt-BR"/>
        </w:rPr>
        <w:lastRenderedPageBreak/>
        <w:t>Planos Adicionais</w:t>
      </w:r>
      <w:bookmarkEnd w:id="73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1376" cy="2819459"/>
            <wp:effectExtent l="0" t="2628900" r="0" b="2609791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376" cy="28194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3957FB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62250" r="0" b="27408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459CA" w:rsidRDefault="00705D6F" w:rsidP="00C459CA">
      <w:pPr>
        <w:jc w:val="both"/>
        <w:rPr>
          <w:lang w:val="pt-BR"/>
        </w:rPr>
      </w:pPr>
      <w:r>
        <w:rPr>
          <w:lang w:val="pt-BR"/>
        </w:rPr>
        <w:t>As previsões feitas abaixo pel</w:t>
      </w:r>
      <w:r w:rsidR="00C459CA">
        <w:rPr>
          <w:lang w:val="pt-BR"/>
        </w:rPr>
        <w:t>o COCOMO II, exibidas na página a seguir, tiveram como parâmetros de ponto de função os itens mostrados na figura abaixo:</w:t>
      </w:r>
    </w:p>
    <w:p w:rsidR="003957FB" w:rsidRDefault="003957FB" w:rsidP="00DD3F50">
      <w:pPr>
        <w:rPr>
          <w:lang w:val="pt-BR"/>
        </w:rPr>
      </w:pPr>
    </w:p>
    <w:p w:rsidR="003957FB" w:rsidRDefault="003957FB" w:rsidP="003957FB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4010025" cy="4724400"/>
            <wp:effectExtent l="19050" t="0" r="9525" b="0"/>
            <wp:docPr id="1" name="Imagem 0" descr="coco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A" w:rsidRDefault="00C459CA" w:rsidP="00DD3F50">
      <w:pPr>
        <w:rPr>
          <w:lang w:val="pt-BR"/>
        </w:rPr>
      </w:pPr>
    </w:p>
    <w:p w:rsidR="00705D6F" w:rsidRDefault="00705D6F" w:rsidP="00C459CA">
      <w:pPr>
        <w:jc w:val="both"/>
        <w:rPr>
          <w:lang w:val="pt-BR"/>
        </w:rPr>
      </w:pPr>
      <w:r>
        <w:rPr>
          <w:lang w:val="pt-BR"/>
        </w:rPr>
        <w:t>Algumas</w:t>
      </w:r>
      <w:r w:rsidR="00340FE1">
        <w:rPr>
          <w:lang w:val="pt-BR"/>
        </w:rPr>
        <w:t xml:space="preserve"> características, como o domínio da equipe sobre a linguagem usada, nível de documentação e planejamento</w:t>
      </w:r>
      <w:r>
        <w:rPr>
          <w:lang w:val="pt-BR"/>
        </w:rPr>
        <w:t>,</w:t>
      </w:r>
      <w:r w:rsidR="00340FE1">
        <w:rPr>
          <w:lang w:val="pt-BR"/>
        </w:rPr>
        <w:t xml:space="preserve"> foram levadas em consideração através </w:t>
      </w:r>
      <w:r w:rsidR="00802388">
        <w:rPr>
          <w:lang w:val="pt-BR"/>
        </w:rPr>
        <w:t>do uso de</w:t>
      </w:r>
      <w:r w:rsidR="00246B97">
        <w:rPr>
          <w:lang w:val="pt-BR"/>
        </w:rPr>
        <w:t xml:space="preserve"> multiplicadores.</w:t>
      </w:r>
      <w:r w:rsidR="00340FE1">
        <w:rPr>
          <w:lang w:val="pt-BR"/>
        </w:rPr>
        <w:t xml:space="preserve"> </w:t>
      </w:r>
    </w:p>
    <w:p w:rsidR="00705D6F" w:rsidRDefault="0068373E" w:rsidP="00C459CA">
      <w:pPr>
        <w:jc w:val="both"/>
        <w:rPr>
          <w:lang w:val="pt-BR"/>
        </w:rPr>
      </w:pPr>
      <w:r>
        <w:rPr>
          <w:lang w:val="pt-BR"/>
        </w:rPr>
        <w:t>Os seguintes dados foram previstos</w:t>
      </w:r>
      <w:r w:rsidR="00972151">
        <w:rPr>
          <w:lang w:val="pt-BR"/>
        </w:rPr>
        <w:t xml:space="preserve"> no software</w:t>
      </w:r>
      <w:r w:rsidR="00705D6F">
        <w:rPr>
          <w:lang w:val="pt-BR"/>
        </w:rPr>
        <w:t>: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</w:t>
      </w:r>
      <w:r w:rsidR="00246B97" w:rsidRPr="00705D6F">
        <w:rPr>
          <w:lang w:val="pt-BR"/>
        </w:rPr>
        <w:t>sforço</w:t>
      </w:r>
      <w:r>
        <w:rPr>
          <w:lang w:val="pt-BR"/>
        </w:rPr>
        <w:t xml:space="preserve"> </w:t>
      </w:r>
      <w:r w:rsidR="00246B97" w:rsidRPr="00705D6F">
        <w:rPr>
          <w:lang w:val="pt-BR"/>
        </w:rPr>
        <w:t>total</w:t>
      </w:r>
      <w:r w:rsidR="00972151">
        <w:rPr>
          <w:lang w:val="pt-BR"/>
        </w:rPr>
        <w:t xml:space="preserve"> regulado</w:t>
      </w:r>
      <w:r>
        <w:rPr>
          <w:lang w:val="pt-BR"/>
        </w:rPr>
        <w:t xml:space="preserve">: </w:t>
      </w:r>
      <w:r w:rsidR="00802388" w:rsidRPr="00705D6F">
        <w:rPr>
          <w:lang w:val="pt-BR"/>
        </w:rPr>
        <w:t>3,0 pessoas-mês</w:t>
      </w:r>
      <w:r>
        <w:rPr>
          <w:lang w:val="pt-BR"/>
        </w:rPr>
        <w:t>;</w:t>
      </w:r>
    </w:p>
    <w:p w:rsidR="00705D6F" w:rsidRDefault="006957D4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S</w:t>
      </w:r>
      <w:r w:rsidR="00705D6F">
        <w:rPr>
          <w:lang w:val="pt-BR"/>
        </w:rPr>
        <w:t xml:space="preserve">LOC: </w:t>
      </w:r>
      <w:r w:rsidR="00802388" w:rsidRPr="00705D6F">
        <w:rPr>
          <w:lang w:val="pt-BR"/>
        </w:rPr>
        <w:t xml:space="preserve"> </w:t>
      </w:r>
      <w:r w:rsidR="00705D6F">
        <w:rPr>
          <w:lang w:val="pt-BR"/>
        </w:rPr>
        <w:t>aproximadamente 2000 linhas de código;</w:t>
      </w:r>
    </w:p>
    <w:p w:rsidR="00705D6F" w:rsidRDefault="00705D6F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EAF</w:t>
      </w:r>
      <w:r w:rsidR="00972151">
        <w:rPr>
          <w:lang w:val="pt-BR"/>
        </w:rPr>
        <w:t xml:space="preserve"> (</w:t>
      </w:r>
      <w:r w:rsidR="00972151">
        <w:rPr>
          <w:i/>
          <w:lang w:val="pt-BR"/>
        </w:rPr>
        <w:t>Effort Adjustment Factor</w:t>
      </w:r>
      <w:r w:rsidR="00972151">
        <w:rPr>
          <w:lang w:val="pt-BR"/>
        </w:rPr>
        <w:t>)</w:t>
      </w:r>
      <w:r>
        <w:rPr>
          <w:lang w:val="pt-BR"/>
        </w:rPr>
        <w:t>: 0,55;</w:t>
      </w:r>
    </w:p>
    <w:p w:rsidR="00705D6F" w:rsidRDefault="0017454D" w:rsidP="00705D6F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Prazo: 3 meses;</w:t>
      </w:r>
    </w:p>
    <w:p w:rsidR="0017454D" w:rsidRPr="0017454D" w:rsidRDefault="0017454D" w:rsidP="0017454D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17454D">
        <w:rPr>
          <w:lang w:val="pt-BR"/>
        </w:rPr>
        <w:t xml:space="preserve">Custo do software: </w:t>
      </w:r>
      <w:r>
        <w:rPr>
          <w:lang w:val="pt-BR"/>
        </w:rPr>
        <w:t>aproximadamente R$15.000,00.</w:t>
      </w:r>
    </w:p>
    <w:p w:rsidR="00C459CA" w:rsidRDefault="00C459CA">
      <w:pPr>
        <w:rPr>
          <w:lang w:val="pt-BR"/>
        </w:rPr>
      </w:pPr>
      <w:r>
        <w:rPr>
          <w:lang w:val="pt-BR"/>
        </w:rPr>
        <w:br w:type="page"/>
      </w:r>
    </w:p>
    <w:p w:rsidR="00C459CA" w:rsidRDefault="00C459CA" w:rsidP="00C459CA">
      <w:pPr>
        <w:pStyle w:val="Ttulo2"/>
        <w:rPr>
          <w:lang w:val="pt-BR"/>
        </w:rPr>
      </w:pPr>
      <w:r>
        <w:rPr>
          <w:lang w:val="pt-BR"/>
        </w:rPr>
        <w:lastRenderedPageBreak/>
        <w:t>Resultados do Cocomo II</w:t>
      </w:r>
    </w:p>
    <w:p w:rsidR="003957FB" w:rsidRPr="007C051E" w:rsidRDefault="00E72F76" w:rsidP="00E72F76">
      <w:pPr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4574558" cy="8496300"/>
            <wp:effectExtent l="19050" t="0" r="0" b="0"/>
            <wp:docPr id="3" name="Imagem 2" descr="coco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558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7FB" w:rsidRPr="007C051E" w:rsidSect="002635B6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D8A" w:rsidRDefault="00DD5D8A" w:rsidP="002635B6">
      <w:r>
        <w:separator/>
      </w:r>
    </w:p>
  </w:endnote>
  <w:endnote w:type="continuationSeparator" w:id="1">
    <w:p w:rsidR="00DD5D8A" w:rsidRDefault="00DD5D8A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8373E" w:rsidRDefault="0039716A">
        <w:pPr>
          <w:pStyle w:val="Rodap"/>
        </w:pPr>
        <w:r w:rsidRPr="0039716A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39716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8373E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B77FF" w:rsidRPr="009B77FF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8373E" w:rsidRDefault="007503DC">
        <w:pPr>
          <w:pStyle w:val="Rodap"/>
        </w:pPr>
        <w:r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503DC" w:rsidRDefault="007503D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B77FF" w:rsidRPr="009B77FF">
                        <w:rPr>
                          <w:noProof/>
                          <w:color w:val="8C8C8C" w:themeColor="background1" w:themeShade="8C"/>
                        </w:rPr>
                        <w:t>16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D8A" w:rsidRDefault="00DD5D8A" w:rsidP="002635B6">
      <w:r>
        <w:separator/>
      </w:r>
    </w:p>
  </w:footnote>
  <w:footnote w:type="continuationSeparator" w:id="1">
    <w:p w:rsidR="00DD5D8A" w:rsidRDefault="00DD5D8A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4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10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1746"/>
    <o:shapelayout v:ext="edit">
      <o:idmap v:ext="edit" data="2"/>
      <o:rules v:ext="edit">
        <o:r id="V:Rule5" type="connector" idref="#_x0000_s2058"/>
        <o:r id="V:Rule7" type="connector" idref="#_x0000_s2057"/>
        <o:r id="V:Rule9" type="connector" idref="#_x0000_s2070"/>
        <o:r id="V:Rule10" type="connector" idref="#_x0000_s2071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61699"/>
    <w:rsid w:val="0017454D"/>
    <w:rsid w:val="001822C0"/>
    <w:rsid w:val="001C5C95"/>
    <w:rsid w:val="00210F0F"/>
    <w:rsid w:val="002162B0"/>
    <w:rsid w:val="00217DCD"/>
    <w:rsid w:val="00235A21"/>
    <w:rsid w:val="00246B97"/>
    <w:rsid w:val="00254374"/>
    <w:rsid w:val="00255709"/>
    <w:rsid w:val="002578E1"/>
    <w:rsid w:val="002635B6"/>
    <w:rsid w:val="002667EA"/>
    <w:rsid w:val="002750E2"/>
    <w:rsid w:val="002818D8"/>
    <w:rsid w:val="002960A2"/>
    <w:rsid w:val="002C1AD3"/>
    <w:rsid w:val="00304E05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E5B99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30E75"/>
    <w:rsid w:val="00666C3D"/>
    <w:rsid w:val="00682E58"/>
    <w:rsid w:val="0068373E"/>
    <w:rsid w:val="006933D9"/>
    <w:rsid w:val="006957D4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459CA"/>
    <w:rsid w:val="00C5579F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3128"/>
    <w:rsid w:val="00E55869"/>
    <w:rsid w:val="00E71488"/>
    <w:rsid w:val="00E72F76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F2130C"/>
    <w:rsid w:val="00F24B1E"/>
    <w:rsid w:val="00F34267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22</Pages>
  <Words>3508</Words>
  <Characters>18946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89</cp:revision>
  <dcterms:created xsi:type="dcterms:W3CDTF">2009-03-22T23:00:00Z</dcterms:created>
  <dcterms:modified xsi:type="dcterms:W3CDTF">2009-04-01T02:40:00Z</dcterms:modified>
</cp:coreProperties>
</file>