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6113723" w:displacedByCustomXml="prev"/>
        <w:bookmarkStart w:id="7" w:name="_Toc225762289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703D75" w:rsidRPr="00703D75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703D75" w:rsidRPr="00703D75">
            <w:rPr>
              <w:lang w:val="pt-BR"/>
            </w:rPr>
            <w:fldChar w:fldCharType="separate"/>
          </w:r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703D7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703D75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703D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703D75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703D75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5.1.2</w:t>
      </w:r>
      <w:r w:rsidR="00703D75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703D75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10</w:t>
      </w:r>
      <w:r w:rsidR="00703D75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703D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3</w:t>
      </w:r>
      <w:r w:rsidR="00703D75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703D75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9</w:t>
      </w:r>
      <w:r w:rsidR="00703D75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1</w:t>
      </w:r>
      <w:r w:rsidR="00703D75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R$17.000,00.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703D75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5</w:t>
      </w:r>
      <w:r w:rsidR="00703D75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703D75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r w:rsidRPr="007A3689">
        <w:rPr>
          <w:lang w:val="pt-BR"/>
        </w:rPr>
        <w:t>Plano de Gerenciamento de Riscos</w:t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6113756"/>
      <w:r w:rsidRPr="000C6FAC">
        <w:rPr>
          <w:lang w:val="pt-BR"/>
        </w:rPr>
        <w:t>Plano de Encerramento</w:t>
      </w:r>
      <w:bookmarkEnd w:id="56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se dará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Ref226110641"/>
      <w:bookmarkStart w:id="59" w:name="_Toc226113758"/>
      <w:r w:rsidRPr="000C6FAC">
        <w:rPr>
          <w:lang w:val="pt-BR"/>
        </w:rPr>
        <w:t>Modelo dos Processos</w:t>
      </w:r>
      <w:bookmarkEnd w:id="58"/>
      <w:bookmarkEnd w:id="59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703D75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0" w:name="_Toc226113759"/>
      <w:r w:rsidRPr="000C6FAC">
        <w:rPr>
          <w:lang w:val="pt-BR"/>
        </w:rPr>
        <w:t>Métodos, Ferramentas e Técnicas</w:t>
      </w:r>
      <w:bookmarkEnd w:id="60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861DF3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Ref226110164"/>
      <w:bookmarkStart w:id="62" w:name="_Toc226113760"/>
      <w:r w:rsidRPr="000C6FAC">
        <w:rPr>
          <w:lang w:val="pt-BR"/>
        </w:rPr>
        <w:t>Infraestrutura</w:t>
      </w:r>
      <w:bookmarkEnd w:id="61"/>
      <w:bookmarkEnd w:id="62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7</w:t>
      </w:r>
      <w:r w:rsidR="00703D75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8</w:t>
      </w:r>
      <w:r w:rsidR="00703D75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3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4" w:name="_Toc226113762"/>
      <w:r w:rsidRPr="009B6AD8">
        <w:rPr>
          <w:lang w:val="pt-BR"/>
        </w:rPr>
        <w:lastRenderedPageBreak/>
        <w:t>Planos para os processos de Suporte</w:t>
      </w:r>
      <w:bookmarkEnd w:id="64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6113763"/>
      <w:r w:rsidRPr="000C6FAC">
        <w:rPr>
          <w:lang w:val="pt-BR"/>
        </w:rPr>
        <w:t>Gerenciamento de Configuração</w:t>
      </w:r>
      <w:bookmarkEnd w:id="65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703D75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703D75">
        <w:rPr>
          <w:lang w:val="pt-BR" w:bidi="ar-SA"/>
        </w:rPr>
      </w:r>
      <w:r w:rsidR="00703D75">
        <w:rPr>
          <w:lang w:val="pt-BR" w:bidi="ar-SA"/>
        </w:rPr>
        <w:fldChar w:fldCharType="separate"/>
      </w:r>
      <w:r w:rsidR="00861DF3">
        <w:rPr>
          <w:lang w:val="pt-BR" w:bidi="ar-SA"/>
        </w:rPr>
        <w:t>6.3</w:t>
      </w:r>
      <w:r w:rsidR="00703D75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4"/>
      <w:r w:rsidRPr="000C6FAC">
        <w:rPr>
          <w:lang w:val="pt-BR"/>
        </w:rPr>
        <w:t>Plano de Verificação e de Validação</w:t>
      </w:r>
      <w:bookmarkEnd w:id="66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5"/>
      <w:r w:rsidRPr="000C6FAC">
        <w:rPr>
          <w:lang w:val="pt-BR"/>
        </w:rPr>
        <w:t>Documentação</w:t>
      </w:r>
      <w:bookmarkEnd w:id="67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6"/>
      <w:r w:rsidRPr="000C6FAC">
        <w:rPr>
          <w:lang w:val="pt-BR"/>
        </w:rPr>
        <w:t>Plano para Assegurar a Qualidade</w:t>
      </w:r>
      <w:bookmarkEnd w:id="68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703D75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703D75">
        <w:rPr>
          <w:lang w:val="pt-BR"/>
        </w:rPr>
      </w:r>
      <w:r w:rsidR="00703D75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703D75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7"/>
      <w:r w:rsidRPr="000C6FAC">
        <w:rPr>
          <w:lang w:val="pt-BR"/>
        </w:rPr>
        <w:t>Revisões e Auditorias</w:t>
      </w:r>
      <w:bookmarkEnd w:id="69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8"/>
      <w:r w:rsidRPr="000C6FAC">
        <w:rPr>
          <w:lang w:val="pt-BR"/>
        </w:rPr>
        <w:t>Plano para a Resolução de Problemas</w:t>
      </w:r>
      <w:bookmarkEnd w:id="70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1" w:name="_Toc226113769"/>
      <w:r w:rsidR="000C7ECE" w:rsidRPr="000C6FAC">
        <w:rPr>
          <w:lang w:val="pt-BR"/>
        </w:rPr>
        <w:t>Gerenciamento de Subcontratações</w:t>
      </w:r>
      <w:bookmarkEnd w:id="71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2" w:name="_Toc226113770"/>
      <w:r w:rsidRPr="000C6FAC">
        <w:rPr>
          <w:lang w:val="pt-BR"/>
        </w:rPr>
        <w:lastRenderedPageBreak/>
        <w:t>Plano de Aperfeiçoamento</w:t>
      </w:r>
      <w:bookmarkEnd w:id="72"/>
    </w:p>
    <w:p w:rsidR="00B51A97" w:rsidRPr="00210F0F" w:rsidRDefault="00B51A97" w:rsidP="00B51A97">
      <w:pPr>
        <w:jc w:val="both"/>
        <w:rPr>
          <w:lang w:val="pt-BR"/>
        </w:rPr>
      </w:pPr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3" w:name="_Toc226113771"/>
      <w:r w:rsidRPr="000C6FAC">
        <w:rPr>
          <w:lang w:val="pt-BR"/>
        </w:rPr>
        <w:lastRenderedPageBreak/>
        <w:t>Planos Adicionais</w:t>
      </w:r>
      <w:bookmarkEnd w:id="73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47950" r="0" b="26478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3957FB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81300" r="0" b="27789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459CA" w:rsidRDefault="00C459CA" w:rsidP="00C459CA">
      <w:pPr>
        <w:jc w:val="both"/>
        <w:rPr>
          <w:lang w:val="pt-BR"/>
        </w:rPr>
      </w:pPr>
      <w:r>
        <w:rPr>
          <w:lang w:val="pt-BR"/>
        </w:rPr>
        <w:t>As previsões feitas abaixo pelo COCOMO II, exibidas na página a seguir, tiveram como parâmetros de ponto de função os itens mostrados na figura abaixo:</w:t>
      </w:r>
    </w:p>
    <w:p w:rsidR="003957FB" w:rsidRDefault="003957FB" w:rsidP="00DD3F50">
      <w:pPr>
        <w:rPr>
          <w:lang w:val="pt-BR"/>
        </w:rPr>
      </w:pPr>
    </w:p>
    <w:p w:rsidR="003957FB" w:rsidRDefault="003957FB" w:rsidP="003957FB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010025" cy="4724400"/>
            <wp:effectExtent l="19050" t="0" r="9525" b="0"/>
            <wp:docPr id="1" name="Imagem 0" descr="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Default="00C459CA" w:rsidP="00DD3F50">
      <w:pPr>
        <w:rPr>
          <w:lang w:val="pt-BR"/>
        </w:rPr>
      </w:pPr>
    </w:p>
    <w:p w:rsidR="003957FB" w:rsidRDefault="00340FE1" w:rsidP="00C459CA">
      <w:pPr>
        <w:jc w:val="both"/>
        <w:rPr>
          <w:lang w:val="pt-BR"/>
        </w:rPr>
      </w:pPr>
      <w:r>
        <w:rPr>
          <w:lang w:val="pt-BR"/>
        </w:rPr>
        <w:t xml:space="preserve">Outras características, como o domínio da equipe sobre a linguagem usada, nível de documentação e planejamento foram levadas em consideração através </w:t>
      </w:r>
      <w:r w:rsidR="00802388">
        <w:rPr>
          <w:lang w:val="pt-BR"/>
        </w:rPr>
        <w:t>do uso de</w:t>
      </w:r>
      <w:r w:rsidR="00246B97">
        <w:rPr>
          <w:lang w:val="pt-BR"/>
        </w:rPr>
        <w:t xml:space="preserve"> multiplicadores.</w:t>
      </w:r>
      <w:r>
        <w:rPr>
          <w:lang w:val="pt-BR"/>
        </w:rPr>
        <w:t xml:space="preserve"> </w:t>
      </w:r>
      <w:r w:rsidR="00246B97">
        <w:rPr>
          <w:lang w:val="pt-BR"/>
        </w:rPr>
        <w:t xml:space="preserve">A </w:t>
      </w:r>
      <w:r>
        <w:rPr>
          <w:lang w:val="pt-BR"/>
        </w:rPr>
        <w:t xml:space="preserve">previsão final </w:t>
      </w:r>
      <w:r w:rsidR="00246B97">
        <w:rPr>
          <w:lang w:val="pt-BR"/>
        </w:rPr>
        <w:t xml:space="preserve">regulada </w:t>
      </w:r>
      <w:r w:rsidR="00802388">
        <w:rPr>
          <w:lang w:val="pt-BR"/>
        </w:rPr>
        <w:t>prevê</w:t>
      </w:r>
      <w:r w:rsidR="00246B97">
        <w:rPr>
          <w:lang w:val="pt-BR"/>
        </w:rPr>
        <w:t xml:space="preserve"> um esforço total de </w:t>
      </w:r>
      <w:r w:rsidR="00802388">
        <w:rPr>
          <w:lang w:val="pt-BR"/>
        </w:rPr>
        <w:t>3,0 pessoas-mês e um consumo de R$15.000,00.</w:t>
      </w:r>
    </w:p>
    <w:p w:rsidR="00C459CA" w:rsidRDefault="00C459CA">
      <w:pPr>
        <w:rPr>
          <w:lang w:val="pt-BR"/>
        </w:rPr>
      </w:pPr>
      <w:r>
        <w:rPr>
          <w:lang w:val="pt-BR"/>
        </w:rPr>
        <w:br w:type="page"/>
      </w:r>
    </w:p>
    <w:p w:rsidR="00C459CA" w:rsidRDefault="00C459CA" w:rsidP="00C459CA">
      <w:pPr>
        <w:pStyle w:val="Ttulo2"/>
        <w:rPr>
          <w:lang w:val="pt-BR"/>
        </w:rPr>
      </w:pPr>
      <w:r>
        <w:rPr>
          <w:lang w:val="pt-BR"/>
        </w:rPr>
        <w:lastRenderedPageBreak/>
        <w:t>Resultados do Cocomo II</w:t>
      </w:r>
    </w:p>
    <w:p w:rsidR="003957FB" w:rsidRPr="007C051E" w:rsidRDefault="003957FB" w:rsidP="003957FB">
      <w:pPr>
        <w:ind w:left="-2835" w:firstLine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04250" cy="4524854"/>
            <wp:effectExtent l="0" t="1943100" r="0" b="1914046"/>
            <wp:docPr id="2" name="Imagem 1" descr="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4348" cy="45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FB" w:rsidRPr="007C051E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DF7" w:rsidRDefault="00EC7DF7" w:rsidP="002635B6">
      <w:r>
        <w:separator/>
      </w:r>
    </w:p>
  </w:endnote>
  <w:endnote w:type="continuationSeparator" w:id="1">
    <w:p w:rsidR="00EC7DF7" w:rsidRDefault="00EC7DF7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AB6C08" w:rsidRDefault="00AB6C08">
        <w:pPr>
          <w:pStyle w:val="Rodap"/>
        </w:pPr>
        <w:r w:rsidRPr="00703D75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AB6C08" w:rsidRDefault="00AB6C0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802388" w:rsidRPr="00802388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AB6C08" w:rsidRDefault="00AB6C08">
        <w:pPr>
          <w:pStyle w:val="Rodap"/>
        </w:pPr>
        <w:r w:rsidRPr="00703D75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AB6C08" w:rsidRDefault="00AB6C0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802388" w:rsidRPr="00802388">
                        <w:rPr>
                          <w:noProof/>
                          <w:color w:val="8C8C8C" w:themeColor="background1" w:themeShade="8C"/>
                        </w:rPr>
                        <w:t>15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DF7" w:rsidRDefault="00EC7DF7" w:rsidP="002635B6">
      <w:r>
        <w:separator/>
      </w:r>
    </w:p>
  </w:footnote>
  <w:footnote w:type="continuationSeparator" w:id="1">
    <w:p w:rsidR="00EC7DF7" w:rsidRDefault="00EC7DF7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1"/>
  </w:num>
  <w:num w:numId="16">
    <w:abstractNumId w:val="8"/>
  </w:num>
  <w:num w:numId="17">
    <w:abstractNumId w:val="10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61699"/>
    <w:rsid w:val="001822C0"/>
    <w:rsid w:val="001C5C95"/>
    <w:rsid w:val="00210F0F"/>
    <w:rsid w:val="002162B0"/>
    <w:rsid w:val="00217DCD"/>
    <w:rsid w:val="00235A21"/>
    <w:rsid w:val="00246B97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16212"/>
    <w:rsid w:val="003249BD"/>
    <w:rsid w:val="00340FE1"/>
    <w:rsid w:val="003957FB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3D75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505F5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23128"/>
    <w:rsid w:val="00E55869"/>
    <w:rsid w:val="00E71488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22</Pages>
  <Words>3500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79</cp:revision>
  <dcterms:created xsi:type="dcterms:W3CDTF">2009-03-22T23:00:00Z</dcterms:created>
  <dcterms:modified xsi:type="dcterms:W3CDTF">2009-03-31T04:14:00Z</dcterms:modified>
</cp:coreProperties>
</file>