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4E79"/>
          <w:sz w:val="32"/>
          <w:szCs w:val="32"/>
        </w:rPr>
        <w:t xml:space="preserve">POLITÉCNICO GRANCOLOMBIANO</w:t>
      </w:r>
    </w:p>
    <w:p>
      <w:pPr>
        <w:spacing w:after="100" w:before="0"/>
        <w:jc w:val="center"/>
      </w:pPr>
      <w:r>
        <w:rPr>
          <w:rFonts w:ascii="Arial" w:cs="Arial" w:eastAsia="Arial" w:hAnsi="Arial"/>
          <w:color w:val="595959"/>
          <w:sz w:val="22"/>
          <w:szCs w:val="22"/>
        </w:rPr>
        <w:t xml:space="preserve">Institución Universitaria</w:t>
      </w:r>
    </w:p>
    <w:p>
      <w:r>
        <w:t xml:space="preserve"/>
      </w:r>
    </w:p>
    <w:p>
      <w:pPr>
        <w:spacing w:after="100" w:before="400"/>
        <w:jc w:val="center"/>
      </w:pPr>
      <w:r>
        <w:rPr>
          <w:rFonts w:ascii="Arial" w:cs="Arial" w:eastAsia="Arial" w:hAnsi="Arial"/>
          <w:b/>
          <w:bCs/>
          <w:color w:val="1F4E79"/>
          <w:sz w:val="36"/>
          <w:szCs w:val="36"/>
        </w:rPr>
        <w:t xml:space="preserve">Entrega 1 – Análisis de Estructura de Internet y Modelo de Red</w:t>
      </w:r>
    </w:p>
    <w:p>
      <w:pPr>
        <w:spacing w:after="400" w:before="100"/>
        <w:jc w:val="center"/>
      </w:pPr>
      <w:r>
        <w:rPr>
          <w:rFonts w:ascii="Arial" w:cs="Arial" w:eastAsia="Arial" w:hAnsi="Arial"/>
          <w:color w:val="595959"/>
          <w:sz w:val="24"/>
          <w:szCs w:val="24"/>
        </w:rPr>
        <w:t xml:space="preserve">Módulo de Telecomunicaciones – Análisis y Simulación de Redes de Computadores</w:t>
      </w:r>
    </w:p>
    <w:p>
      <w:r>
        <w:t xml:space="preserve"/>
      </w:r>
    </w:p>
    <w:p>
      <w:r>
        <w:t xml:space="preserve"/>
      </w:r>
    </w:p>
    <w:p>
      <w:pPr>
        <w:spacing w:after="60" w:before="200"/>
        <w:jc w:val="center"/>
      </w:pPr>
      <w:r>
        <w:rPr>
          <w:rFonts w:ascii="Arial" w:cs="Arial" w:eastAsia="Arial" w:hAnsi="Arial"/>
          <w:sz w:val="24"/>
          <w:szCs w:val="24"/>
        </w:rPr>
        <w:t xml:space="preserve">Abril 2026</w:t>
      </w:r>
    </w:p>
    <w:p>
      <w:pPr>
        <w:pageBreakBefore/>
      </w:pPr>
      <w:r>
        <w:t xml:space="preserve"/>
      </w:r>
    </w:p>
    <w:p>
      <w:pPr>
        <w:pStyle w:val="Heading1"/>
        <w:spacing w:after="120" w:before="300"/>
      </w:pPr>
      <w:r>
        <w:rPr>
          <w:rFonts w:ascii="Arial" w:cs="Arial" w:eastAsia="Arial" w:hAnsi="Arial"/>
          <w:b/>
          <w:bCs/>
          <w:color w:val="1F4E79"/>
          <w:sz w:val="28"/>
          <w:szCs w:val="28"/>
        </w:rPr>
        <w:t xml:space="preserve">1. Introducción</w:t>
      </w:r>
    </w:p>
    <w:p>
      <w:pPr>
        <w:spacing w:after="80" w:before="80"/>
      </w:pPr>
      <w:r>
        <w:rPr>
          <w:rFonts w:ascii="Arial" w:cs="Arial" w:eastAsia="Arial" w:hAnsi="Arial"/>
          <w:sz w:val="22"/>
          <w:szCs w:val="22"/>
        </w:rPr>
        <w:t xml:space="preserve">Al consultar la página web www.poli.edu.co, los paquetes de datos viajan desde el computador del usuario hasta el servidor donde se encuentra alojado el sitio web. Durante este recorrido, los paquetes experimentan cuatro tipos de retardos fundamentales: retardo de transmisión, retardo de propagación, retardo de procesamiento y retardo de cola.</w:t>
      </w:r>
    </w:p>
    <w:p>
      <w:pPr>
        <w:spacing w:after="80" w:before="80"/>
      </w:pPr>
      <w:r>
        <w:rPr>
          <w:rFonts w:ascii="Arial" w:cs="Arial" w:eastAsia="Arial" w:hAnsi="Arial"/>
          <w:sz w:val="22"/>
          <w:szCs w:val="22"/>
        </w:rPr>
        <w:t xml:space="preserve">El presente informe documenta el análisis de dicha ruta utilizando herramientas de diagnóstico de red (tracert, ipconfig, arp, nslookup), bases de datos de geolocalización IP y cálculos teóricos que modelan el comportamiento observado.</w:t>
      </w:r>
    </w:p>
    <w:p>
      <w:r>
        <w:t xml:space="preserve"/>
      </w:r>
    </w:p>
    <w:p>
      <w:pPr>
        <w:pStyle w:val="Heading1"/>
        <w:spacing w:after="120" w:before="300"/>
      </w:pPr>
      <w:r>
        <w:rPr>
          <w:rFonts w:ascii="Arial" w:cs="Arial" w:eastAsia="Arial" w:hAnsi="Arial"/>
          <w:b/>
          <w:bCs/>
          <w:color w:val="1F4E79"/>
          <w:sz w:val="28"/>
          <w:szCs w:val="28"/>
        </w:rPr>
        <w:t xml:space="preserve">2. Configuración de la Red Local (ipconfig /all)</w:t>
      </w:r>
    </w:p>
    <w:p>
      <w:pPr>
        <w:spacing w:after="80" w:before="80"/>
      </w:pPr>
      <w:r>
        <w:rPr>
          <w:rFonts w:ascii="Arial" w:cs="Arial" w:eastAsia="Arial" w:hAnsi="Arial"/>
          <w:sz w:val="22"/>
          <w:szCs w:val="22"/>
        </w:rPr>
        <w:t xml:space="preserve">El análisis inicia con la identificación del entorno local mediante el comando ipconfig /all. Los resultados obtenidos 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Parámetro</w:t>
            </w:r>
          </w:p>
        </w:tc>
        <w:tc>
          <w:tcPr>
            <w:tcW w:type="dxa" w:w="536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Valor</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Nombre del equipo</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pacho</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Adaptador activo</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Realtek 8821CE Wireless LAN 802.11ac PCI-E NIC</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Dirección IP (IPv4)</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192.168.128.3</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Máscara de subred</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255.255.255.0</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Puerta de enlace (Gateway)</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192.168.128.1</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Servidor DHCP</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192.168.128.1</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Servidor DNS</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192.168.128.1</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Dirección MAC</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B8:1E:A4:25:D6:4F</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DHCP habilitado</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Sí</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Arrendamiento obtenido</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23 de abril de 2026</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Arrendamiento vence</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25 de abril de 2026</w:t>
            </w:r>
          </w:p>
        </w:tc>
      </w:tr>
    </w:tbl>
    <w:p>
      <w:r>
        <w:t xml:space="preserve"/>
      </w:r>
    </w:p>
    <w:p>
      <w:pPr>
        <w:spacing w:after="80" w:before="80"/>
      </w:pPr>
      <w:r>
        <w:rPr>
          <w:rFonts w:ascii="Arial" w:cs="Arial" w:eastAsia="Arial" w:hAnsi="Arial"/>
          <w:sz w:val="22"/>
          <w:szCs w:val="22"/>
        </w:rPr>
        <w:t xml:space="preserve">El equipo se conecta mediante Wi-Fi estándar 802.11ac, obtiene su configuración de red dinámicamente mediante DHCP desde el router local (192.168.128.1), que actúa simultáneamente como gateway y servidor DNS. La red local corresponde a la subred 192.168.128.0/24.</w:t>
      </w:r>
    </w:p>
    <w:p>
      <w:r>
        <w:t xml:space="preserve"/>
      </w:r>
    </w:p>
    <w:p>
      <w:pPr>
        <w:pStyle w:val="Heading1"/>
        <w:spacing w:after="120" w:before="300"/>
      </w:pPr>
      <w:r>
        <w:rPr>
          <w:rFonts w:ascii="Arial" w:cs="Arial" w:eastAsia="Arial" w:hAnsi="Arial"/>
          <w:b/>
          <w:bCs/>
          <w:color w:val="1F4E79"/>
          <w:sz w:val="28"/>
          <w:szCs w:val="28"/>
        </w:rPr>
        <w:t xml:space="preserve">3. Tabla ARP y Dispositivos en la Red Local</w:t>
      </w:r>
    </w:p>
    <w:p>
      <w:pPr>
        <w:spacing w:after="80" w:before="80"/>
      </w:pPr>
      <w:r>
        <w:rPr>
          <w:rFonts w:ascii="Arial" w:cs="Arial" w:eastAsia="Arial" w:hAnsi="Arial"/>
          <w:sz w:val="22"/>
          <w:szCs w:val="22"/>
        </w:rPr>
        <w:t xml:space="preserve">El comando arp -a permite identificar los dispositivos actualmente presentes en la red local: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Dirección IP</w:t>
            </w:r>
          </w:p>
        </w:tc>
        <w:tc>
          <w:tcPr>
            <w:tcW w:type="dxa" w:w="30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Dirección MAC</w:t>
            </w:r>
          </w:p>
        </w:tc>
        <w:tc>
          <w:tcPr>
            <w:tcW w:type="dxa" w:w="386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192.168.128.1</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d8:21:da:e8:27:70</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Dinámico — Router/Gateway</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192.168.128.2</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22:2d:31:8c:44:48</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Dinámico — Otro dispositivo</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192.168.128.3</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B8:1E:A4:25:D6:4F</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Equipo propio</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192.168.128.4</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e8:5c:5f:f2:0a:c6</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Dinámico — Otro dispositivo</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192.168.128.255</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ff:ff:ff:ff:ff:ff</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Estático — Broadcast</w:t>
            </w:r>
          </w:p>
        </w:tc>
      </w:tr>
    </w:tbl>
    <w:p>
      <w:r>
        <w:t xml:space="preserve"/>
      </w:r>
    </w:p>
    <w:p>
      <w:pPr>
        <w:spacing w:after="80" w:before="80"/>
      </w:pPr>
      <w:r>
        <w:rPr>
          <w:rFonts w:ascii="Arial" w:cs="Arial" w:eastAsia="Arial" w:hAnsi="Arial"/>
          <w:sz w:val="22"/>
          <w:szCs w:val="22"/>
        </w:rPr>
        <w:t xml:space="preserve">La red local cuenta con al menos cuatro dispositivos activos en la subred /24. El router (192.168.128.1) es el único nodo con comunicación directa hacia internet.</w:t>
      </w:r>
    </w:p>
    <w:p>
      <w:r>
        <w:t xml:space="preserve"/>
      </w:r>
    </w:p>
    <w:p>
      <w:pPr>
        <w:pStyle w:val="Heading1"/>
        <w:spacing w:after="120" w:before="300"/>
      </w:pPr>
      <w:r>
        <w:rPr>
          <w:rFonts w:ascii="Arial" w:cs="Arial" w:eastAsia="Arial" w:hAnsi="Arial"/>
          <w:b/>
          <w:bCs/>
          <w:color w:val="1F4E79"/>
          <w:sz w:val="28"/>
          <w:szCs w:val="28"/>
        </w:rPr>
        <w:t xml:space="preserve">4. Resolución DNS (nslookup)</w:t>
      </w:r>
    </w:p>
    <w:p>
      <w:pPr>
        <w:spacing w:after="80" w:before="80"/>
      </w:pPr>
      <w:r>
        <w:rPr>
          <w:rFonts w:ascii="Arial" w:cs="Arial" w:eastAsia="Arial" w:hAnsi="Arial"/>
          <w:sz w:val="22"/>
          <w:szCs w:val="22"/>
        </w:rPr>
        <w:t xml:space="preserve">El comando nslookup www.poli.edu.co reveló la cadena completa de resolución de nombres: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Parámetro</w:t>
            </w:r>
          </w:p>
        </w:tc>
        <w:tc>
          <w:tcPr>
            <w:tcW w:type="dxa" w:w="536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Valor</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Servidor DNS consultado</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gateway.lan (192.168.128.1)</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Nombre original</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www.poli.edu.co</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CNAME (alias 1)</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main-politecnico.us.seedcloud.co</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CNAME (alias 2)</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d3hjra1p0s3gmi.cloudfront.net</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IPs resueltas (IPv4)</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3.163.115.26 / .95 / .97 / .117</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IPs resueltas (IPv6)</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2600:9000:2688:xxxx (CloudFront)</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Proveedor CDN</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Amazon CloudFront (AS16509)</w:t>
            </w:r>
          </w:p>
        </w:tc>
      </w:tr>
    </w:tbl>
    <w:p>
      <w:r>
        <w:t xml:space="preserve"/>
      </w:r>
    </w:p>
    <w:p>
      <w:pPr>
        <w:spacing w:after="80" w:before="80"/>
      </w:pPr>
      <w:r>
        <w:rPr>
          <w:rFonts w:ascii="Arial" w:cs="Arial" w:eastAsia="Arial" w:hAnsi="Arial"/>
          <w:sz w:val="22"/>
          <w:szCs w:val="22"/>
        </w:rPr>
        <w:t xml:space="preserve">El sitio www.poli.edu.co no está alojado en un servidor propio, sino distribuido mediante Amazon CloudFront, la red de entrega de contenido (CDN) de Amazon Web Services. El CNAME apunta primero a seedcloud.co y luego a la CDN de Amazon, lo que explica por qué el tracert termina en una IP de Amazon y no en un servidor colombiano.</w:t>
      </w:r>
    </w:p>
    <w:p>
      <w:r>
        <w:t xml:space="preserve"/>
      </w:r>
    </w:p>
    <w:p>
      <w:pPr>
        <w:pStyle w:val="Heading1"/>
        <w:spacing w:after="120" w:before="300"/>
      </w:pPr>
      <w:r>
        <w:rPr>
          <w:rFonts w:ascii="Arial" w:cs="Arial" w:eastAsia="Arial" w:hAnsi="Arial"/>
          <w:b/>
          <w:bCs/>
          <w:color w:val="1F4E79"/>
          <w:sz w:val="28"/>
          <w:szCs w:val="28"/>
        </w:rPr>
        <w:t xml:space="preserve">5. Resultados del Comando Tracert</w:t>
      </w:r>
    </w:p>
    <w:p>
      <w:pPr>
        <w:spacing w:after="80" w:before="80"/>
      </w:pPr>
      <w:r>
        <w:rPr>
          <w:rFonts w:ascii="Arial" w:cs="Arial" w:eastAsia="Arial" w:hAnsi="Arial"/>
          <w:sz w:val="22"/>
          <w:szCs w:val="22"/>
        </w:rPr>
        <w:t xml:space="preserve">El comando tracert -d www.poli.edu.co trazó la ruta completa desde el equipo hasta el servidor (IP destino: 3.163.115.117):</w:t>
      </w:r>
    </w:p>
    <w:p>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600"/>
        <w:gridCol w:w="600"/>
        <w:gridCol w:w="600"/>
        <w:gridCol w:w="800"/>
        <w:gridCol w:w="1800"/>
        <w:gridCol w:w="1260"/>
      </w:tblGrid>
      <w:tr>
        <w:trPr>
          <w:tblHeader/>
        </w:trPr>
        <w:tc>
          <w:tcPr>
            <w:tcW w:type="dxa" w:w="4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Hop</w:t>
            </w:r>
          </w:p>
        </w:tc>
        <w:tc>
          <w:tcPr>
            <w:tcW w:type="dxa" w:w="13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IP</w:t>
            </w:r>
          </w:p>
        </w:tc>
        <w:tc>
          <w:tcPr>
            <w:tcW w:type="dxa" w:w="6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RTT 1</w:t>
            </w:r>
          </w:p>
        </w:tc>
        <w:tc>
          <w:tcPr>
            <w:tcW w:type="dxa" w:w="6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RTT 2</w:t>
            </w:r>
          </w:p>
        </w:tc>
        <w:tc>
          <w:tcPr>
            <w:tcW w:type="dxa" w:w="6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RTT 3</w:t>
            </w:r>
          </w:p>
        </w:tc>
        <w:tc>
          <w:tcPr>
            <w:tcW w:type="dxa" w:w="8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RTT Prom</w:t>
            </w:r>
          </w:p>
        </w:tc>
        <w:tc>
          <w:tcPr>
            <w:tcW w:type="dxa" w:w="18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Ubicación</w:t>
            </w:r>
          </w:p>
        </w:tc>
        <w:tc>
          <w:tcPr>
            <w:tcW w:type="dxa" w:w="126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ISP / AS</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192.168.128.1</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 ms</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 ms</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7 ms</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3.33 ms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Bogotá, Colombia</w:t>
            </w:r>
          </w:p>
        </w:tc>
        <w:tc>
          <w:tcPr>
            <w:tcW w:type="dxa" w:w="1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Router LAN</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10.129.64.1</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 ms</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 ms</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 ms</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4.67 ms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Bogotá, Colombia</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ISP (CGNAT)</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62.115.41.29</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21 ms</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20 ms</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20 ms</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20.33 ms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Bogotá / Latam</w:t>
            </w:r>
          </w:p>
        </w:tc>
        <w:tc>
          <w:tcPr>
            <w:tcW w:type="dxa" w:w="1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Arelion AS1299</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62.115.41.28</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59 ms</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58 ms</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61 ms</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59.33 ms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Miami, FL, USA</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Arelion AS1299</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62.115.140.177</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57 ms</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57.00 ms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Atlanta, GA, USA</w:t>
            </w:r>
          </w:p>
        </w:tc>
        <w:tc>
          <w:tcPr>
            <w:tcW w:type="dxa" w:w="1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Arelion AS1299</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62.115.138.241</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60 ms</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62 ms</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58 ms</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60.00 ms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Atlanta, GA, USA</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Arelion AS1299</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Timeout</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Sin resp. ICMP</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Timeout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Sin resp. ICMP</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9</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Timeout</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Sin resp. ICMP</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Timeout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Sin resp. ICMP</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11</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3.163.115.117</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58 ms</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59 ms</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58 ms</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58.33 ms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East Point, GA, USA</w:t>
            </w:r>
          </w:p>
        </w:tc>
        <w:tc>
          <w:tcPr>
            <w:tcW w:type="dxa" w:w="1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Amazon AS16509</w:t>
            </w:r>
          </w:p>
        </w:tc>
      </w:tr>
    </w:tbl>
    <w:p>
      <w:r>
        <w:t xml:space="preserve"/>
      </w:r>
    </w:p>
    <w:p>
      <w:pPr>
        <w:spacing w:after="80" w:before="80"/>
      </w:pPr>
      <w:r>
        <w:rPr>
          <w:rFonts w:ascii="Arial" w:cs="Arial" w:eastAsia="Arial" w:hAnsi="Arial"/>
          <w:b/>
          <w:bCs/>
          <w:sz w:val="22"/>
          <w:szCs w:val="22"/>
        </w:rPr>
        <w:t xml:space="preserve">Nota hops 7–10: </w:t>
      </w:r>
      <w:r>
        <w:rPr>
          <w:rFonts w:ascii="Arial" w:cs="Arial" w:eastAsia="Arial" w:hAnsi="Arial"/>
          <w:sz w:val="22"/>
          <w:szCs w:val="22"/>
        </w:rPr>
        <w:t xml:space="preserve">Los nodos intermedios de la red de Amazon filtran por seguridad los paquetes ICMP TTL-Exceeded. Esto es una práctica estándar en infraestructuras cloud y no implica pérdida de conectividad.</w:t>
      </w:r>
    </w:p>
    <w:p>
      <w:r>
        <w:t xml:space="preserve"/>
      </w:r>
    </w:p>
    <w:p>
      <w:pPr>
        <w:pStyle w:val="Heading1"/>
        <w:spacing w:after="120" w:before="300"/>
      </w:pPr>
      <w:r>
        <w:rPr>
          <w:rFonts w:ascii="Arial" w:cs="Arial" w:eastAsia="Arial" w:hAnsi="Arial"/>
          <w:b/>
          <w:bCs/>
          <w:color w:val="1F4E79"/>
          <w:sz w:val="28"/>
          <w:szCs w:val="28"/>
        </w:rPr>
        <w:t xml:space="preserve">6. Geolocalización de IPs</w:t>
      </w:r>
    </w:p>
    <w:p>
      <w:pPr>
        <w:spacing w:after="80" w:before="80"/>
      </w:pPr>
      <w:r>
        <w:rPr>
          <w:rFonts w:ascii="Arial" w:cs="Arial" w:eastAsia="Arial" w:hAnsi="Arial"/>
          <w:sz w:val="22"/>
          <w:szCs w:val="22"/>
        </w:rPr>
        <w:t xml:space="preserve">Mediante consultas a la base de datos ipinfo.io se identificó la ubicación geográfica de cada nodo:</w:t>
      </w:r>
    </w:p>
    <w:p>
      <w: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400"/>
        <w:gridCol w:w="1350"/>
        <w:gridCol w:w="1500"/>
        <w:gridCol w:w="1100"/>
        <w:gridCol w:w="2200"/>
        <w:gridCol w:w="1010"/>
      </w:tblGrid>
      <w:tr>
        <w:trPr>
          <w:tblHeader/>
        </w:trPr>
        <w:tc>
          <w:tcPr>
            <w:tcW w:type="dxa" w:w="4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Hop</w:t>
            </w:r>
          </w:p>
        </w:tc>
        <w:tc>
          <w:tcPr>
            <w:tcW w:type="dxa" w:w="135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IP</w:t>
            </w:r>
          </w:p>
        </w:tc>
        <w:tc>
          <w:tcPr>
            <w:tcW w:type="dxa" w:w="15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Ciudad</w:t>
            </w:r>
          </w:p>
        </w:tc>
        <w:tc>
          <w:tcPr>
            <w:tcW w:type="dxa" w:w="11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País</w:t>
            </w:r>
          </w:p>
        </w:tc>
        <w:tc>
          <w:tcPr>
            <w:tcW w:type="dxa" w:w="22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Organización</w:t>
            </w:r>
          </w:p>
        </w:tc>
        <w:tc>
          <w:tcPr>
            <w:tcW w:type="dxa" w:w="101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Coordenadas</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3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192.168.128.1</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Colombia</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Red privada (RFC 1918)</w:t>
            </w:r>
          </w:p>
        </w:tc>
        <w:tc>
          <w:tcPr>
            <w:tcW w:type="dxa" w:w="101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3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10.129.64.1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Colombia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ISP local (CGNAT, RFC 1918)</w:t>
            </w:r>
          </w:p>
        </w:tc>
        <w:tc>
          <w:tcPr>
            <w:tcW w:type="dxa" w:w="10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13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62.115.41.29</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Solna (reg.) / Bogotá (PoP)</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Suecia/Colombia</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Arelion Sweden AB (AS1299)</w:t>
            </w:r>
          </w:p>
        </w:tc>
        <w:tc>
          <w:tcPr>
            <w:tcW w:type="dxa" w:w="101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59.36, 18.00</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3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62.115.41.28</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Miami</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Estados Unidos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Arelion Sweden AB (AS1299)</w:t>
            </w:r>
          </w:p>
        </w:tc>
        <w:tc>
          <w:tcPr>
            <w:tcW w:type="dxa" w:w="10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25.77, -80.19</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13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62.115.140.177</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Atlanta</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Estados Unidos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Arelion Sweden AB (AS1299)</w:t>
            </w:r>
          </w:p>
        </w:tc>
        <w:tc>
          <w:tcPr>
            <w:tcW w:type="dxa" w:w="101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33.74, -84.38</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3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62.115.138.241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Atlanta</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Estados Unidos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Arelion Sweden AB (AS1299)</w:t>
            </w:r>
          </w:p>
        </w:tc>
        <w:tc>
          <w:tcPr>
            <w:tcW w:type="dxa" w:w="10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33.74, -84.38</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11</w:t>
            </w:r>
          </w:p>
        </w:tc>
        <w:tc>
          <w:tcPr>
            <w:tcW w:type="dxa" w:w="13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3.163.115.117</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East Point, GA</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Estados Unidos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Amazon.com Inc. (AS16509)</w:t>
            </w:r>
          </w:p>
        </w:tc>
        <w:tc>
          <w:tcPr>
            <w:tcW w:type="dxa" w:w="101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33.67, -84.43</w:t>
            </w:r>
          </w:p>
        </w:tc>
      </w:tr>
    </w:tbl>
    <w:p>
      <w:r>
        <w:t xml:space="preserve"/>
      </w:r>
    </w:p>
    <w:p>
      <w:pPr>
        <w:spacing w:after="80" w:before="80"/>
      </w:pPr>
      <w:r>
        <w:rPr>
          <w:rFonts w:ascii="Arial" w:cs="Arial" w:eastAsia="Arial" w:hAnsi="Arial"/>
          <w:b/>
          <w:bCs/>
          <w:sz w:val="22"/>
          <w:szCs w:val="22"/>
        </w:rPr>
        <w:t xml:space="preserve">Nota: </w:t>
      </w:r>
      <w:r>
        <w:rPr>
          <w:rFonts w:ascii="Arial" w:cs="Arial" w:eastAsia="Arial" w:hAnsi="Arial"/>
          <w:sz w:val="22"/>
          <w:szCs w:val="22"/>
        </w:rPr>
        <w:t xml:space="preserve">Las IPs 62.115.x.x pertenecen a Arelion Sweden AB (anteriormente Telia Carrier), registradas en Suecia. Sin embargo, Arelion opera PoPs globales. Un RTT de 20.33 ms desde Colombia indica que el nodo físico está en Colombia o un país vecino, no en Europa.</w:t>
      </w:r>
    </w:p>
    <w:p>
      <w:r>
        <w:t xml:space="preserve"/>
      </w:r>
    </w:p>
    <w:p>
      <w:pPr>
        <w:pStyle w:val="Heading1"/>
        <w:spacing w:after="120" w:before="300"/>
      </w:pPr>
      <w:r>
        <w:rPr>
          <w:rFonts w:ascii="Arial" w:cs="Arial" w:eastAsia="Arial" w:hAnsi="Arial"/>
          <w:b/>
          <w:bCs/>
          <w:color w:val="1F4E79"/>
          <w:sz w:val="28"/>
          <w:szCs w:val="28"/>
        </w:rPr>
        <w:t xml:space="preserve">7. Topología de Red Identificada</w:t>
      </w:r>
    </w:p>
    <w:p>
      <w:pPr>
        <w:spacing w:after="80" w:before="80"/>
      </w:pPr>
      <w:r>
        <w:rPr>
          <w:rFonts w:ascii="Arial" w:cs="Arial" w:eastAsia="Arial" w:hAnsi="Arial"/>
          <w:sz w:val="22"/>
          <w:szCs w:val="22"/>
        </w:rPr>
        <w:t xml:space="preserve">Con base en el análisis anterior, la ruta de los paquetes sigue esta topología:</w:t>
      </w:r>
    </w:p>
    <w:p>
      <w:r>
        <w:t xml:space="preserve"/>
      </w:r>
    </w:p>
    <w:p>
      <w:pPr>
        <w:pStyle w:val="ListParagraph"/>
        <w:numPr>
          <w:ilvl w:val="0"/>
          <w:numId w:val="2"/>
        </w:numPr>
      </w:pPr>
      <w:r>
        <w:rPr>
          <w:rFonts w:ascii="Arial" w:cs="Arial" w:eastAsia="Arial" w:hAnsi="Arial"/>
          <w:b/>
          <w:bCs/>
          <w:sz w:val="22"/>
          <w:szCs w:val="22"/>
        </w:rPr>
        <w:t xml:space="preserve">PC Usuario </w:t>
      </w:r>
      <w:r>
        <w:rPr>
          <w:rFonts w:ascii="Arial" w:cs="Arial" w:eastAsia="Arial" w:hAnsi="Arial"/>
          <w:sz w:val="22"/>
          <w:szCs w:val="22"/>
        </w:rPr>
        <w:t xml:space="preserve">(192.168.128.3) — Wi-Fi 802.11ac, ~5 m — Bogotá, Colombia</w:t>
      </w:r>
    </w:p>
    <w:p>
      <w:pPr>
        <w:pStyle w:val="ListParagraph"/>
        <w:numPr>
          <w:ilvl w:val="0"/>
          <w:numId w:val="2"/>
        </w:numPr>
      </w:pPr>
      <w:r>
        <w:rPr>
          <w:rFonts w:ascii="Arial" w:cs="Arial" w:eastAsia="Arial" w:hAnsi="Arial"/>
          <w:b/>
          <w:bCs/>
          <w:sz w:val="22"/>
          <w:szCs w:val="22"/>
        </w:rPr>
        <w:t xml:space="preserve">Router/AP </w:t>
      </w:r>
      <w:r>
        <w:rPr>
          <w:rFonts w:ascii="Arial" w:cs="Arial" w:eastAsia="Arial" w:hAnsi="Arial"/>
          <w:sz w:val="22"/>
          <w:szCs w:val="22"/>
        </w:rPr>
        <w:t xml:space="preserve">(192.168.128.1) — Gateway, DHCP, DNS — Bogotá, Colombia</w:t>
      </w:r>
    </w:p>
    <w:p>
      <w:pPr>
        <w:pStyle w:val="ListParagraph"/>
        <w:numPr>
          <w:ilvl w:val="0"/>
          <w:numId w:val="2"/>
        </w:numPr>
      </w:pPr>
      <w:r>
        <w:rPr>
          <w:rFonts w:ascii="Arial" w:cs="Arial" w:eastAsia="Arial" w:hAnsi="Arial"/>
          <w:b/>
          <w:bCs/>
          <w:sz w:val="22"/>
          <w:szCs w:val="22"/>
        </w:rPr>
        <w:t xml:space="preserve">Gateway ISP CGNAT </w:t>
      </w:r>
      <w:r>
        <w:rPr>
          <w:rFonts w:ascii="Arial" w:cs="Arial" w:eastAsia="Arial" w:hAnsi="Arial"/>
          <w:sz w:val="22"/>
          <w:szCs w:val="22"/>
        </w:rPr>
        <w:t xml:space="preserve">(10.129.64.1) — Fibra óptica last-mile, ~2 km — Bogotá, Colombia</w:t>
      </w:r>
    </w:p>
    <w:p>
      <w:pPr>
        <w:pStyle w:val="ListParagraph"/>
        <w:numPr>
          <w:ilvl w:val="0"/>
          <w:numId w:val="2"/>
        </w:numPr>
      </w:pPr>
      <w:r>
        <w:rPr>
          <w:rFonts w:ascii="Arial" w:cs="Arial" w:eastAsia="Arial" w:hAnsi="Arial"/>
          <w:b/>
          <w:bCs/>
          <w:sz w:val="22"/>
          <w:szCs w:val="22"/>
        </w:rPr>
        <w:t xml:space="preserve">Nodo Backbone Arelion </w:t>
      </w:r>
      <w:r>
        <w:rPr>
          <w:rFonts w:ascii="Arial" w:cs="Arial" w:eastAsia="Arial" w:hAnsi="Arial"/>
          <w:sz w:val="22"/>
          <w:szCs w:val="22"/>
        </w:rPr>
        <w:t xml:space="preserve">(62.115.41.29) — Fibra backbone, ~20 km — PoP Colombia/Latam</w:t>
      </w:r>
    </w:p>
    <w:p>
      <w:pPr>
        <w:pStyle w:val="ListParagraph"/>
        <w:numPr>
          <w:ilvl w:val="0"/>
          <w:numId w:val="2"/>
        </w:numPr>
      </w:pPr>
      <w:r>
        <w:rPr>
          <w:rFonts w:ascii="Arial" w:cs="Arial" w:eastAsia="Arial" w:hAnsi="Arial"/>
          <w:b/>
          <w:bCs/>
          <w:sz w:val="22"/>
          <w:szCs w:val="22"/>
        </w:rPr>
        <w:t xml:space="preserve">Nodo Arelion Miami </w:t>
      </w:r>
      <w:r>
        <w:rPr>
          <w:rFonts w:ascii="Arial" w:cs="Arial" w:eastAsia="Arial" w:hAnsi="Arial"/>
          <w:sz w:val="22"/>
          <w:szCs w:val="22"/>
        </w:rPr>
        <w:t xml:space="preserve">(62.115.41.28) — Cable submarino fibra, ~3.200 km — Miami, FL, USA</w:t>
      </w:r>
    </w:p>
    <w:p>
      <w:pPr>
        <w:pStyle w:val="ListParagraph"/>
        <w:numPr>
          <w:ilvl w:val="0"/>
          <w:numId w:val="2"/>
        </w:numPr>
      </w:pPr>
      <w:r>
        <w:rPr>
          <w:rFonts w:ascii="Arial" w:cs="Arial" w:eastAsia="Arial" w:hAnsi="Arial"/>
          <w:b/>
          <w:bCs/>
          <w:sz w:val="22"/>
          <w:szCs w:val="22"/>
        </w:rPr>
        <w:t xml:space="preserve">Nodo Arelion Atlanta </w:t>
      </w:r>
      <w:r>
        <w:rPr>
          <w:rFonts w:ascii="Arial" w:cs="Arial" w:eastAsia="Arial" w:hAnsi="Arial"/>
          <w:sz w:val="22"/>
          <w:szCs w:val="22"/>
        </w:rPr>
        <w:t xml:space="preserve">(62.115.138.241) — Fibra terrestre, ~1.300 km — Atlanta, GA, USA</w:t>
      </w:r>
    </w:p>
    <w:p>
      <w:pPr>
        <w:pStyle w:val="ListParagraph"/>
        <w:numPr>
          <w:ilvl w:val="0"/>
          <w:numId w:val="2"/>
        </w:numPr>
      </w:pPr>
      <w:r>
        <w:rPr>
          <w:rFonts w:ascii="Arial" w:cs="Arial" w:eastAsia="Arial" w:hAnsi="Arial"/>
          <w:b/>
          <w:bCs/>
          <w:sz w:val="22"/>
          <w:szCs w:val="22"/>
        </w:rPr>
        <w:t xml:space="preserve">Amazon CloudFront </w:t>
      </w:r>
      <w:r>
        <w:rPr>
          <w:rFonts w:ascii="Arial" w:cs="Arial" w:eastAsia="Arial" w:hAnsi="Arial"/>
          <w:sz w:val="22"/>
          <w:szCs w:val="22"/>
        </w:rPr>
        <w:t xml:space="preserve">(3.163.115.117) — Fibra, ~10 km — East Point, GA, USA = www.poli.edu.co</w:t>
      </w:r>
    </w:p>
    <w:p>
      <w:r>
        <w:t xml:space="preserve"/>
      </w:r>
    </w:p>
    <w:p>
      <w:pPr>
        <w:pStyle w:val="Heading1"/>
        <w:spacing w:after="120" w:before="300"/>
      </w:pPr>
      <w:r>
        <w:rPr>
          <w:rFonts w:ascii="Arial" w:cs="Arial" w:eastAsia="Arial" w:hAnsi="Arial"/>
          <w:b/>
          <w:bCs/>
          <w:color w:val="1F4E79"/>
          <w:sz w:val="28"/>
          <w:szCs w:val="28"/>
        </w:rPr>
        <w:t xml:space="preserve">8. Análisis de Retardos y Modelo Teórico</w:t>
      </w:r>
    </w:p>
    <w:p>
      <w:pPr>
        <w:pStyle w:val="Heading2"/>
        <w:spacing w:after="100" w:before="240"/>
      </w:pPr>
      <w:r>
        <w:rPr>
          <w:rFonts w:ascii="Arial" w:cs="Arial" w:eastAsia="Arial" w:hAnsi="Arial"/>
          <w:b/>
          <w:bCs/>
          <w:color w:val="595959"/>
          <w:sz w:val="24"/>
          <w:szCs w:val="24"/>
        </w:rPr>
        <w:t xml:space="preserve">8.1 Parámetros base</w:t>
      </w:r>
    </w:p>
    <w:p>
      <w:pPr>
        <w:pStyle w:val="ListParagraph"/>
        <w:numPr>
          <w:ilvl w:val="0"/>
          <w:numId w:val="2"/>
        </w:numPr>
      </w:pPr>
      <w:r>
        <w:rPr>
          <w:rFonts w:ascii="Arial" w:cs="Arial" w:eastAsia="Arial" w:hAnsi="Arial"/>
          <w:sz w:val="22"/>
          <w:szCs w:val="22"/>
        </w:rPr>
        <w:t xml:space="preserve">Tamaño paquete ICMP (tracert): L = 84 bytes = 672 bits</w:t>
      </w:r>
    </w:p>
    <w:p>
      <w:pPr>
        <w:pStyle w:val="ListParagraph"/>
        <w:numPr>
          <w:ilvl w:val="0"/>
          <w:numId w:val="2"/>
        </w:numPr>
      </w:pPr>
      <w:r>
        <w:rPr>
          <w:rFonts w:ascii="Arial" w:cs="Arial" w:eastAsia="Arial" w:hAnsi="Arial"/>
          <w:sz w:val="22"/>
          <w:szCs w:val="22"/>
        </w:rPr>
        <w:t xml:space="preserve">Velocidad de propagación en fibra óptica: v = 2 × 10⁸ m/s</w:t>
      </w:r>
    </w:p>
    <w:p>
      <w:pPr>
        <w:pStyle w:val="ListParagraph"/>
        <w:numPr>
          <w:ilvl w:val="0"/>
          <w:numId w:val="2"/>
        </w:numPr>
      </w:pPr>
      <w:r>
        <w:rPr>
          <w:rFonts w:ascii="Arial" w:cs="Arial" w:eastAsia="Arial" w:hAnsi="Arial"/>
          <w:sz w:val="22"/>
          <w:szCs w:val="22"/>
        </w:rPr>
        <w:t xml:space="preserve">Velocidad de propagación Wi-Fi: v ≈ 3 × 10⁸ m/s</w:t>
      </w:r>
    </w:p>
    <w:p>
      <w:r>
        <w:t xml:space="preserve"/>
      </w:r>
    </w:p>
    <w:p>
      <w:pPr>
        <w:pStyle w:val="Heading2"/>
        <w:spacing w:after="100" w:before="240"/>
      </w:pPr>
      <w:r>
        <w:rPr>
          <w:rFonts w:ascii="Arial" w:cs="Arial" w:eastAsia="Arial" w:hAnsi="Arial"/>
          <w:b/>
          <w:bCs/>
          <w:color w:val="595959"/>
          <w:sz w:val="24"/>
          <w:szCs w:val="24"/>
        </w:rPr>
        <w:t xml:space="preserve">8.2 Tipos de retardo</w:t>
      </w:r>
    </w:p>
    <w:p>
      <w:pPr>
        <w:spacing w:after="80" w:before="80"/>
      </w:pPr>
      <w:r>
        <w:rPr>
          <w:rFonts w:ascii="Arial" w:cs="Arial" w:eastAsia="Arial" w:hAnsi="Arial"/>
          <w:sz w:val="22"/>
          <w:szCs w:val="22"/>
        </w:rPr>
        <w:t xml:space="preserve">t_trans = L / R  (retardo de transmisión: tiempo en colocar los bits en el medio)</w:t>
      </w:r>
    </w:p>
    <w:p>
      <w:pPr>
        <w:spacing w:after="80" w:before="80"/>
      </w:pPr>
      <w:r>
        <w:rPr>
          <w:rFonts w:ascii="Arial" w:cs="Arial" w:eastAsia="Arial" w:hAnsi="Arial"/>
          <w:sz w:val="22"/>
          <w:szCs w:val="22"/>
        </w:rPr>
        <w:t xml:space="preserve">t_prop  = d / v  (retardo de propagación: tiempo de viaje físico del bit)</w:t>
      </w:r>
    </w:p>
    <w:p>
      <w:pPr>
        <w:spacing w:after="80" w:before="80"/>
      </w:pPr>
      <w:r>
        <w:rPr>
          <w:rFonts w:ascii="Arial" w:cs="Arial" w:eastAsia="Arial" w:hAnsi="Arial"/>
          <w:sz w:val="22"/>
          <w:szCs w:val="22"/>
        </w:rPr>
        <w:t xml:space="preserve">t_proc  = tiempo del router en examinar el encabezado y tomar la decisión de enrutamiento</w:t>
      </w:r>
    </w:p>
    <w:p>
      <w:pPr>
        <w:spacing w:after="80" w:before="80"/>
      </w:pPr>
      <w:r>
        <w:rPr>
          <w:rFonts w:ascii="Arial" w:cs="Arial" w:eastAsia="Arial" w:hAnsi="Arial"/>
          <w:sz w:val="22"/>
          <w:szCs w:val="22"/>
        </w:rPr>
        <w:t xml:space="preserve">t_cola  = tiempo de espera en la cola del router</w:t>
      </w:r>
    </w:p>
    <w:p>
      <w:pPr>
        <w:spacing w:after="80" w:before="80"/>
      </w:pPr>
      <w:r>
        <w:rPr>
          <w:rFonts w:ascii="Arial" w:cs="Arial" w:eastAsia="Arial" w:hAnsi="Arial"/>
          <w:sz w:val="22"/>
          <w:szCs w:val="22"/>
        </w:rPr>
        <w:t xml:space="preserve">RTT_medido = 2 × Σ (t_trans + t_prop + t_proc + t_cola) para cada nodo del camino</w:t>
      </w:r>
    </w:p>
    <w:p>
      <w:r>
        <w:t xml:space="preserve"/>
      </w:r>
    </w:p>
    <w:p>
      <w:pPr>
        <w:pStyle w:val="Heading2"/>
        <w:spacing w:after="100" w:before="240"/>
      </w:pPr>
      <w:r>
        <w:rPr>
          <w:rFonts w:ascii="Arial" w:cs="Arial" w:eastAsia="Arial" w:hAnsi="Arial"/>
          <w:b/>
          <w:bCs/>
          <w:color w:val="595959"/>
          <w:sz w:val="24"/>
          <w:szCs w:val="24"/>
        </w:rPr>
        <w:t xml:space="preserve">8.3 Cálculo por enlace</w:t>
      </w:r>
    </w:p>
    <w:p>
      <w:pPr>
        <w:spacing w:after="80" w:before="80"/>
      </w:pPr>
      <w:r>
        <w:rPr>
          <w:rFonts w:ascii="Arial" w:cs="Arial" w:eastAsia="Arial" w:hAnsi="Arial"/>
          <w:sz w:val="22"/>
          <w:szCs w:val="22"/>
        </w:rPr>
        <w:t xml:space="preserve">ENLACE 1 — PC → Router (Wi-Fi 802.11ac)</w:t>
      </w:r>
    </w:p>
    <w:p>
      <w:pPr>
        <w:spacing w:after="60" w:before="60"/>
        <w:ind w:left="720"/>
      </w:pPr>
      <w:r>
        <w:rPr>
          <w:rFonts w:ascii="Courier New" w:cs="Courier New" w:eastAsia="Courier New" w:hAnsi="Courier New"/>
          <w:b/>
          <w:bCs/>
          <w:sz w:val="22"/>
          <w:szCs w:val="22"/>
        </w:rPr>
        <w:t xml:space="preserve">R: </w:t>
      </w:r>
      <w:r>
        <w:rPr>
          <w:rFonts w:ascii="Courier New" w:cs="Courier New" w:eastAsia="Courier New" w:hAnsi="Courier New"/>
          <w:color w:val="1A5276"/>
          <w:sz w:val="22"/>
          <w:szCs w:val="22"/>
        </w:rPr>
        <w:t xml:space="preserve">300 Mbps (valor práctico 802.11ac)</w:t>
      </w:r>
    </w:p>
    <w:p>
      <w:pPr>
        <w:spacing w:after="60" w:before="60"/>
        <w:ind w:left="720"/>
      </w:pPr>
      <w:r>
        <w:rPr>
          <w:rFonts w:ascii="Courier New" w:cs="Courier New" w:eastAsia="Courier New" w:hAnsi="Courier New"/>
          <w:b/>
          <w:bCs/>
          <w:sz w:val="22"/>
          <w:szCs w:val="22"/>
        </w:rPr>
        <w:t xml:space="preserve">d: </w:t>
      </w:r>
      <w:r>
        <w:rPr>
          <w:rFonts w:ascii="Courier New" w:cs="Courier New" w:eastAsia="Courier New" w:hAnsi="Courier New"/>
          <w:color w:val="1A5276"/>
          <w:sz w:val="22"/>
          <w:szCs w:val="22"/>
        </w:rPr>
        <w:t xml:space="preserve">5 m</w:t>
      </w:r>
    </w:p>
    <w:p>
      <w:pPr>
        <w:spacing w:after="60" w:before="60"/>
        <w:ind w:left="720"/>
      </w:pPr>
      <w:r>
        <w:rPr>
          <w:rFonts w:ascii="Courier New" w:cs="Courier New" w:eastAsia="Courier New" w:hAnsi="Courier New"/>
          <w:b/>
          <w:bCs/>
          <w:sz w:val="22"/>
          <w:szCs w:val="22"/>
        </w:rPr>
        <w:t xml:space="preserve">t_trans: </w:t>
      </w:r>
      <w:r>
        <w:rPr>
          <w:rFonts w:ascii="Courier New" w:cs="Courier New" w:eastAsia="Courier New" w:hAnsi="Courier New"/>
          <w:color w:val="1A5276"/>
          <w:sz w:val="22"/>
          <w:szCs w:val="22"/>
        </w:rPr>
        <w:t xml:space="preserve">672 / (300×10⁶) = 0.00224 ms</w:t>
      </w:r>
    </w:p>
    <w:p>
      <w:pPr>
        <w:spacing w:after="60" w:before="60"/>
        <w:ind w:left="720"/>
      </w:pPr>
      <w:r>
        <w:rPr>
          <w:rFonts w:ascii="Courier New" w:cs="Courier New" w:eastAsia="Courier New" w:hAnsi="Courier New"/>
          <w:b/>
          <w:bCs/>
          <w:sz w:val="22"/>
          <w:szCs w:val="22"/>
        </w:rPr>
        <w:t xml:space="preserve">t_prop: </w:t>
      </w:r>
      <w:r>
        <w:rPr>
          <w:rFonts w:ascii="Courier New" w:cs="Courier New" w:eastAsia="Courier New" w:hAnsi="Courier New"/>
          <w:color w:val="1A5276"/>
          <w:sz w:val="22"/>
          <w:szCs w:val="22"/>
        </w:rPr>
        <w:t xml:space="preserve">5 / (3×10⁸) = 0.000017 ms</w:t>
      </w:r>
    </w:p>
    <w:p>
      <w:pPr>
        <w:spacing w:after="60" w:before="60"/>
        <w:ind w:left="720"/>
      </w:pPr>
      <w:r>
        <w:rPr>
          <w:rFonts w:ascii="Courier New" w:cs="Courier New" w:eastAsia="Courier New" w:hAnsi="Courier New"/>
          <w:b/>
          <w:bCs/>
          <w:sz w:val="22"/>
          <w:szCs w:val="22"/>
        </w:rPr>
        <w:t xml:space="preserve">t_proc+cola: </w:t>
      </w:r>
      <w:r>
        <w:rPr>
          <w:rFonts w:ascii="Courier New" w:cs="Courier New" w:eastAsia="Courier New" w:hAnsi="Courier New"/>
          <w:color w:val="1A5276"/>
          <w:sz w:val="22"/>
          <w:szCs w:val="22"/>
        </w:rPr>
        <w:t xml:space="preserve">(3.33 / 2) − 0.00224 − 0.000017 ≈ 1.663 ms</w:t>
      </w:r>
    </w:p>
    <w:p>
      <w:r>
        <w:t xml:space="preserve"/>
      </w:r>
    </w:p>
    <w:p>
      <w:pPr>
        <w:spacing w:after="80" w:before="80"/>
      </w:pPr>
      <w:r>
        <w:rPr>
          <w:rFonts w:ascii="Arial" w:cs="Arial" w:eastAsia="Arial" w:hAnsi="Arial"/>
          <w:sz w:val="22"/>
          <w:szCs w:val="22"/>
        </w:rPr>
        <w:t xml:space="preserve">ENLACE 2 — Router → Gateway ISP CGNAT (Fibra last-mile)</w:t>
      </w:r>
    </w:p>
    <w:p>
      <w:pPr>
        <w:spacing w:after="60" w:before="60"/>
        <w:ind w:left="720"/>
      </w:pPr>
      <w:r>
        <w:rPr>
          <w:rFonts w:ascii="Courier New" w:cs="Courier New" w:eastAsia="Courier New" w:hAnsi="Courier New"/>
          <w:b/>
          <w:bCs/>
          <w:sz w:val="22"/>
          <w:szCs w:val="22"/>
        </w:rPr>
        <w:t xml:space="preserve">R: </w:t>
      </w:r>
      <w:r>
        <w:rPr>
          <w:rFonts w:ascii="Courier New" w:cs="Courier New" w:eastAsia="Courier New" w:hAnsi="Courier New"/>
          <w:color w:val="1A5276"/>
          <w:sz w:val="22"/>
          <w:szCs w:val="22"/>
        </w:rPr>
        <w:t xml:space="preserve">100 Mbps</w:t>
      </w:r>
    </w:p>
    <w:p>
      <w:pPr>
        <w:spacing w:after="60" w:before="60"/>
        <w:ind w:left="720"/>
      </w:pPr>
      <w:r>
        <w:rPr>
          <w:rFonts w:ascii="Courier New" w:cs="Courier New" w:eastAsia="Courier New" w:hAnsi="Courier New"/>
          <w:b/>
          <w:bCs/>
          <w:sz w:val="22"/>
          <w:szCs w:val="22"/>
        </w:rPr>
        <w:t xml:space="preserve">d: </w:t>
      </w:r>
      <w:r>
        <w:rPr>
          <w:rFonts w:ascii="Courier New" w:cs="Courier New" w:eastAsia="Courier New" w:hAnsi="Courier New"/>
          <w:color w:val="1A5276"/>
          <w:sz w:val="22"/>
          <w:szCs w:val="22"/>
        </w:rPr>
        <w:t xml:space="preserve">2.000 m</w:t>
      </w:r>
    </w:p>
    <w:p>
      <w:pPr>
        <w:spacing w:after="60" w:before="60"/>
        <w:ind w:left="720"/>
      </w:pPr>
      <w:r>
        <w:rPr>
          <w:rFonts w:ascii="Courier New" w:cs="Courier New" w:eastAsia="Courier New" w:hAnsi="Courier New"/>
          <w:b/>
          <w:bCs/>
          <w:sz w:val="22"/>
          <w:szCs w:val="22"/>
        </w:rPr>
        <w:t xml:space="preserve">t_trans: </w:t>
      </w:r>
      <w:r>
        <w:rPr>
          <w:rFonts w:ascii="Courier New" w:cs="Courier New" w:eastAsia="Courier New" w:hAnsi="Courier New"/>
          <w:color w:val="1A5276"/>
          <w:sz w:val="22"/>
          <w:szCs w:val="22"/>
        </w:rPr>
        <w:t xml:space="preserve">672 / (100×10⁶) = 0.00672 ms</w:t>
      </w:r>
    </w:p>
    <w:p>
      <w:pPr>
        <w:spacing w:after="60" w:before="60"/>
        <w:ind w:left="720"/>
      </w:pPr>
      <w:r>
        <w:rPr>
          <w:rFonts w:ascii="Courier New" w:cs="Courier New" w:eastAsia="Courier New" w:hAnsi="Courier New"/>
          <w:b/>
          <w:bCs/>
          <w:sz w:val="22"/>
          <w:szCs w:val="22"/>
        </w:rPr>
        <w:t xml:space="preserve">t_prop: </w:t>
      </w:r>
      <w:r>
        <w:rPr>
          <w:rFonts w:ascii="Courier New" w:cs="Courier New" w:eastAsia="Courier New" w:hAnsi="Courier New"/>
          <w:color w:val="1A5276"/>
          <w:sz w:val="22"/>
          <w:szCs w:val="22"/>
        </w:rPr>
        <w:t xml:space="preserve">2000 / (2×10⁸) = 0.01 ms</w:t>
      </w:r>
    </w:p>
    <w:p>
      <w:pPr>
        <w:spacing w:after="60" w:before="60"/>
        <w:ind w:left="720"/>
      </w:pPr>
      <w:r>
        <w:rPr>
          <w:rFonts w:ascii="Courier New" w:cs="Courier New" w:eastAsia="Courier New" w:hAnsi="Courier New"/>
          <w:b/>
          <w:bCs/>
          <w:sz w:val="22"/>
          <w:szCs w:val="22"/>
        </w:rPr>
        <w:t xml:space="preserve">ΔRTT: </w:t>
      </w:r>
      <w:r>
        <w:rPr>
          <w:rFonts w:ascii="Courier New" w:cs="Courier New" w:eastAsia="Courier New" w:hAnsi="Courier New"/>
          <w:color w:val="1A5276"/>
          <w:sz w:val="22"/>
          <w:szCs w:val="22"/>
        </w:rPr>
        <w:t xml:space="preserve">4.67 − 3.33 = 1.34 ms  →  one-way = 0.67 ms</w:t>
      </w:r>
    </w:p>
    <w:p>
      <w:pPr>
        <w:spacing w:after="60" w:before="60"/>
        <w:ind w:left="720"/>
      </w:pPr>
      <w:r>
        <w:rPr>
          <w:rFonts w:ascii="Courier New" w:cs="Courier New" w:eastAsia="Courier New" w:hAnsi="Courier New"/>
          <w:b/>
          <w:bCs/>
          <w:sz w:val="22"/>
          <w:szCs w:val="22"/>
        </w:rPr>
        <w:t xml:space="preserve">t_proc+cola: </w:t>
      </w:r>
      <w:r>
        <w:rPr>
          <w:rFonts w:ascii="Courier New" w:cs="Courier New" w:eastAsia="Courier New" w:hAnsi="Courier New"/>
          <w:color w:val="1A5276"/>
          <w:sz w:val="22"/>
          <w:szCs w:val="22"/>
        </w:rPr>
        <w:t xml:space="preserve">0.67 − 0.01 − 0.00672 ≈ 0.653 ms</w:t>
      </w:r>
    </w:p>
    <w:p>
      <w:r>
        <w:t xml:space="preserve"/>
      </w:r>
    </w:p>
    <w:p>
      <w:pPr>
        <w:spacing w:after="80" w:before="80"/>
      </w:pPr>
      <w:r>
        <w:rPr>
          <w:rFonts w:ascii="Arial" w:cs="Arial" w:eastAsia="Arial" w:hAnsi="Arial"/>
          <w:sz w:val="22"/>
          <w:szCs w:val="22"/>
        </w:rPr>
        <w:t xml:space="preserve">ENLACE 3 — ISP CGNAT → Arelion PoP Colombia (Fibra backbone)</w:t>
      </w:r>
    </w:p>
    <w:p>
      <w:pPr>
        <w:spacing w:after="60" w:before="60"/>
        <w:ind w:left="720"/>
      </w:pPr>
      <w:r>
        <w:rPr>
          <w:rFonts w:ascii="Courier New" w:cs="Courier New" w:eastAsia="Courier New" w:hAnsi="Courier New"/>
          <w:b/>
          <w:bCs/>
          <w:sz w:val="22"/>
          <w:szCs w:val="22"/>
        </w:rPr>
        <w:t xml:space="preserve">R: </w:t>
      </w:r>
      <w:r>
        <w:rPr>
          <w:rFonts w:ascii="Courier New" w:cs="Courier New" w:eastAsia="Courier New" w:hAnsi="Courier New"/>
          <w:color w:val="1A5276"/>
          <w:sz w:val="22"/>
          <w:szCs w:val="22"/>
        </w:rPr>
        <w:t xml:space="preserve">1 Gbps</w:t>
      </w:r>
    </w:p>
    <w:p>
      <w:pPr>
        <w:spacing w:after="60" w:before="60"/>
        <w:ind w:left="720"/>
      </w:pPr>
      <w:r>
        <w:rPr>
          <w:rFonts w:ascii="Courier New" w:cs="Courier New" w:eastAsia="Courier New" w:hAnsi="Courier New"/>
          <w:b/>
          <w:bCs/>
          <w:sz w:val="22"/>
          <w:szCs w:val="22"/>
        </w:rPr>
        <w:t xml:space="preserve">d: </w:t>
      </w:r>
      <w:r>
        <w:rPr>
          <w:rFonts w:ascii="Courier New" w:cs="Courier New" w:eastAsia="Courier New" w:hAnsi="Courier New"/>
          <w:color w:val="1A5276"/>
          <w:sz w:val="22"/>
          <w:szCs w:val="22"/>
        </w:rPr>
        <w:t xml:space="preserve">20.000 m</w:t>
      </w:r>
    </w:p>
    <w:p>
      <w:pPr>
        <w:spacing w:after="60" w:before="60"/>
        <w:ind w:left="720"/>
      </w:pPr>
      <w:r>
        <w:rPr>
          <w:rFonts w:ascii="Courier New" w:cs="Courier New" w:eastAsia="Courier New" w:hAnsi="Courier New"/>
          <w:b/>
          <w:bCs/>
          <w:sz w:val="22"/>
          <w:szCs w:val="22"/>
        </w:rPr>
        <w:t xml:space="preserve">t_trans: </w:t>
      </w:r>
      <w:r>
        <w:rPr>
          <w:rFonts w:ascii="Courier New" w:cs="Courier New" w:eastAsia="Courier New" w:hAnsi="Courier New"/>
          <w:color w:val="1A5276"/>
          <w:sz w:val="22"/>
          <w:szCs w:val="22"/>
        </w:rPr>
        <w:t xml:space="preserve">672 / (1×10⁹) = 0.000672 ms</w:t>
      </w:r>
    </w:p>
    <w:p>
      <w:pPr>
        <w:spacing w:after="60" w:before="60"/>
        <w:ind w:left="720"/>
      </w:pPr>
      <w:r>
        <w:rPr>
          <w:rFonts w:ascii="Courier New" w:cs="Courier New" w:eastAsia="Courier New" w:hAnsi="Courier New"/>
          <w:b/>
          <w:bCs/>
          <w:sz w:val="22"/>
          <w:szCs w:val="22"/>
        </w:rPr>
        <w:t xml:space="preserve">t_prop: </w:t>
      </w:r>
      <w:r>
        <w:rPr>
          <w:rFonts w:ascii="Courier New" w:cs="Courier New" w:eastAsia="Courier New" w:hAnsi="Courier New"/>
          <w:color w:val="1A5276"/>
          <w:sz w:val="22"/>
          <w:szCs w:val="22"/>
        </w:rPr>
        <w:t xml:space="preserve">20000 / (2×10⁸) = 0.1 ms</w:t>
      </w:r>
    </w:p>
    <w:p>
      <w:pPr>
        <w:spacing w:after="60" w:before="60"/>
        <w:ind w:left="720"/>
      </w:pPr>
      <w:r>
        <w:rPr>
          <w:rFonts w:ascii="Courier New" w:cs="Courier New" w:eastAsia="Courier New" w:hAnsi="Courier New"/>
          <w:b/>
          <w:bCs/>
          <w:sz w:val="22"/>
          <w:szCs w:val="22"/>
        </w:rPr>
        <w:t xml:space="preserve">ΔRTT: </w:t>
      </w:r>
      <w:r>
        <w:rPr>
          <w:rFonts w:ascii="Courier New" w:cs="Courier New" w:eastAsia="Courier New" w:hAnsi="Courier New"/>
          <w:color w:val="1A5276"/>
          <w:sz w:val="22"/>
          <w:szCs w:val="22"/>
        </w:rPr>
        <w:t xml:space="preserve">20.33 − 4.67 = 15.66 ms  →  one-way = 7.83 ms</w:t>
      </w:r>
    </w:p>
    <w:p>
      <w:pPr>
        <w:spacing w:after="60" w:before="60"/>
        <w:ind w:left="720"/>
      </w:pPr>
      <w:r>
        <w:rPr>
          <w:rFonts w:ascii="Courier New" w:cs="Courier New" w:eastAsia="Courier New" w:hAnsi="Courier New"/>
          <w:b/>
          <w:bCs/>
          <w:sz w:val="22"/>
          <w:szCs w:val="22"/>
        </w:rPr>
        <w:t xml:space="preserve">t_proc+cola: </w:t>
      </w:r>
      <w:r>
        <w:rPr>
          <w:rFonts w:ascii="Courier New" w:cs="Courier New" w:eastAsia="Courier New" w:hAnsi="Courier New"/>
          <w:color w:val="1A5276"/>
          <w:sz w:val="22"/>
          <w:szCs w:val="22"/>
        </w:rPr>
        <w:t xml:space="preserve">7.83 − 0.1 − 0.000672 ≈ 7.73 ms</w:t>
      </w:r>
    </w:p>
    <w:p>
      <w:r>
        <w:t xml:space="preserve"/>
      </w:r>
    </w:p>
    <w:p>
      <w:pPr>
        <w:spacing w:after="80" w:before="80"/>
      </w:pPr>
      <w:r>
        <w:rPr>
          <w:rFonts w:ascii="Arial" w:cs="Arial" w:eastAsia="Arial" w:hAnsi="Arial"/>
          <w:sz w:val="22"/>
          <w:szCs w:val="22"/>
        </w:rPr>
        <w:t xml:space="preserve">ENLACE 4 — Arelion Colombia → Arelion Miami (Cable submarino)</w:t>
      </w:r>
    </w:p>
    <w:p>
      <w:pPr>
        <w:spacing w:after="60" w:before="60"/>
        <w:ind w:left="720"/>
      </w:pPr>
      <w:r>
        <w:rPr>
          <w:rFonts w:ascii="Courier New" w:cs="Courier New" w:eastAsia="Courier New" w:hAnsi="Courier New"/>
          <w:b/>
          <w:bCs/>
          <w:sz w:val="22"/>
          <w:szCs w:val="22"/>
        </w:rPr>
        <w:t xml:space="preserve">R: </w:t>
      </w:r>
      <w:r>
        <w:rPr>
          <w:rFonts w:ascii="Courier New" w:cs="Courier New" w:eastAsia="Courier New" w:hAnsi="Courier New"/>
          <w:color w:val="1A5276"/>
          <w:sz w:val="22"/>
          <w:szCs w:val="22"/>
        </w:rPr>
        <w:t xml:space="preserve">10 Gbps</w:t>
      </w:r>
    </w:p>
    <w:p>
      <w:pPr>
        <w:spacing w:after="60" w:before="60"/>
        <w:ind w:left="720"/>
      </w:pPr>
      <w:r>
        <w:rPr>
          <w:rFonts w:ascii="Courier New" w:cs="Courier New" w:eastAsia="Courier New" w:hAnsi="Courier New"/>
          <w:b/>
          <w:bCs/>
          <w:sz w:val="22"/>
          <w:szCs w:val="22"/>
        </w:rPr>
        <w:t xml:space="preserve">d: </w:t>
      </w:r>
      <w:r>
        <w:rPr>
          <w:rFonts w:ascii="Courier New" w:cs="Courier New" w:eastAsia="Courier New" w:hAnsi="Courier New"/>
          <w:color w:val="1A5276"/>
          <w:sz w:val="22"/>
          <w:szCs w:val="22"/>
        </w:rPr>
        <w:t xml:space="preserve">3.200.000 m  (cable submarino Colombia–USA)</w:t>
      </w:r>
    </w:p>
    <w:p>
      <w:pPr>
        <w:spacing w:after="60" w:before="60"/>
        <w:ind w:left="720"/>
      </w:pPr>
      <w:r>
        <w:rPr>
          <w:rFonts w:ascii="Courier New" w:cs="Courier New" w:eastAsia="Courier New" w:hAnsi="Courier New"/>
          <w:b/>
          <w:bCs/>
          <w:sz w:val="22"/>
          <w:szCs w:val="22"/>
        </w:rPr>
        <w:t xml:space="preserve">t_trans: </w:t>
      </w:r>
      <w:r>
        <w:rPr>
          <w:rFonts w:ascii="Courier New" w:cs="Courier New" w:eastAsia="Courier New" w:hAnsi="Courier New"/>
          <w:color w:val="1A5276"/>
          <w:sz w:val="22"/>
          <w:szCs w:val="22"/>
        </w:rPr>
        <w:t xml:space="preserve">672 / (10×10⁹) ≈ 0.00007 ms  (despreciable)</w:t>
      </w:r>
    </w:p>
    <w:p>
      <w:pPr>
        <w:spacing w:after="60" w:before="60"/>
        <w:ind w:left="720"/>
      </w:pPr>
      <w:r>
        <w:rPr>
          <w:rFonts w:ascii="Courier New" w:cs="Courier New" w:eastAsia="Courier New" w:hAnsi="Courier New"/>
          <w:b/>
          <w:bCs/>
          <w:sz w:val="22"/>
          <w:szCs w:val="22"/>
        </w:rPr>
        <w:t xml:space="preserve">t_prop: </w:t>
      </w:r>
      <w:r>
        <w:rPr>
          <w:rFonts w:ascii="Courier New" w:cs="Courier New" w:eastAsia="Courier New" w:hAnsi="Courier New"/>
          <w:color w:val="1A5276"/>
          <w:sz w:val="22"/>
          <w:szCs w:val="22"/>
        </w:rPr>
        <w:t xml:space="preserve">3200000 / (2×10⁸) = 16 ms</w:t>
      </w:r>
    </w:p>
    <w:p>
      <w:pPr>
        <w:spacing w:after="60" w:before="60"/>
        <w:ind w:left="720"/>
      </w:pPr>
      <w:r>
        <w:rPr>
          <w:rFonts w:ascii="Courier New" w:cs="Courier New" w:eastAsia="Courier New" w:hAnsi="Courier New"/>
          <w:b/>
          <w:bCs/>
          <w:sz w:val="22"/>
          <w:szCs w:val="22"/>
        </w:rPr>
        <w:t xml:space="preserve">ΔRTT: </w:t>
      </w:r>
      <w:r>
        <w:rPr>
          <w:rFonts w:ascii="Courier New" w:cs="Courier New" w:eastAsia="Courier New" w:hAnsi="Courier New"/>
          <w:color w:val="1A5276"/>
          <w:sz w:val="22"/>
          <w:szCs w:val="22"/>
        </w:rPr>
        <w:t xml:space="preserve">59.33 − 20.33 = 39 ms  →  one-way = 19.5 ms</w:t>
      </w:r>
    </w:p>
    <w:p>
      <w:pPr>
        <w:spacing w:after="60" w:before="60"/>
        <w:ind w:left="720"/>
      </w:pPr>
      <w:r>
        <w:rPr>
          <w:rFonts w:ascii="Courier New" w:cs="Courier New" w:eastAsia="Courier New" w:hAnsi="Courier New"/>
          <w:b/>
          <w:bCs/>
          <w:sz w:val="22"/>
          <w:szCs w:val="22"/>
        </w:rPr>
        <w:t xml:space="preserve">t_proc+cola: </w:t>
      </w:r>
      <w:r>
        <w:rPr>
          <w:rFonts w:ascii="Courier New" w:cs="Courier New" w:eastAsia="Courier New" w:hAnsi="Courier New"/>
          <w:color w:val="1A5276"/>
          <w:sz w:val="22"/>
          <w:szCs w:val="22"/>
        </w:rPr>
        <w:t xml:space="preserve">19.5 − 16 − 0.00007 ≈ 3.5 ms</w:t>
      </w:r>
    </w:p>
    <w:p>
      <w:r>
        <w:t xml:space="preserve"/>
      </w:r>
    </w:p>
    <w:p>
      <w:pPr>
        <w:pStyle w:val="Heading2"/>
        <w:spacing w:after="100" w:before="240"/>
      </w:pPr>
      <w:r>
        <w:rPr>
          <w:rFonts w:ascii="Arial" w:cs="Arial" w:eastAsia="Arial" w:hAnsi="Arial"/>
          <w:b/>
          <w:bCs/>
          <w:color w:val="595959"/>
          <w:sz w:val="24"/>
          <w:szCs w:val="24"/>
        </w:rPr>
        <w:t xml:space="preserve">8.4 Tabla resumen de retardos</w:t>
      </w:r>
    </w:p>
    <w:tbl>
      <w:tblPr>
        <w:tblW w:type="dxa" w:w="7660"/>
        <w:tblBorders>
          <w:top w:val="single" w:color="auto" w:sz="4"/>
          <w:left w:val="single" w:color="auto" w:sz="4"/>
          <w:bottom w:val="single" w:color="auto" w:sz="4"/>
          <w:right w:val="single" w:color="auto" w:sz="4"/>
          <w:insideH w:val="single" w:color="auto" w:sz="4"/>
          <w:insideV w:val="single" w:color="auto" w:sz="4"/>
        </w:tblBorders>
      </w:tblPr>
      <w:tblGrid>
        <w:gridCol w:w="400"/>
        <w:gridCol w:w="1350"/>
        <w:gridCol w:w="900"/>
        <w:gridCol w:w="950"/>
        <w:gridCol w:w="1100"/>
        <w:gridCol w:w="1100"/>
        <w:gridCol w:w="1100"/>
        <w:gridCol w:w="760"/>
      </w:tblGrid>
      <w:tr>
        <w:trPr>
          <w:tblHeader/>
        </w:trPr>
        <w:tc>
          <w:tcPr>
            <w:tcW w:type="dxa" w:w="4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Hop</w:t>
            </w:r>
          </w:p>
        </w:tc>
        <w:tc>
          <w:tcPr>
            <w:tcW w:type="dxa" w:w="135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IP</w:t>
            </w:r>
          </w:p>
        </w:tc>
        <w:tc>
          <w:tcPr>
            <w:tcW w:type="dxa" w:w="9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t_prop (ms)</w:t>
            </w:r>
          </w:p>
        </w:tc>
        <w:tc>
          <w:tcPr>
            <w:tcW w:type="dxa" w:w="95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t_trans (ms)</w:t>
            </w:r>
          </w:p>
        </w:tc>
        <w:tc>
          <w:tcPr>
            <w:tcW w:type="dxa" w:w="11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t_proc+cola (ms)</w:t>
            </w:r>
          </w:p>
        </w:tc>
        <w:tc>
          <w:tcPr>
            <w:tcW w:type="dxa" w:w="11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RTT Teórico (ms)</w:t>
            </w:r>
          </w:p>
        </w:tc>
        <w:tc>
          <w:tcPr>
            <w:tcW w:type="dxa" w:w="11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RTT Medido (ms)</w:t>
            </w:r>
          </w:p>
        </w:tc>
        <w:tc>
          <w:tcPr>
            <w:tcW w:type="dxa" w:w="76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Error (%)</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3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192.168.128.1</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0.000017</w:t>
            </w:r>
          </w:p>
        </w:tc>
        <w:tc>
          <w:tcPr>
            <w:tcW w:type="dxa" w:w="9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0.00224</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1.663</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3.33</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3.33</w:t>
            </w:r>
          </w:p>
        </w:tc>
        <w:tc>
          <w:tcPr>
            <w:tcW w:type="dxa" w:w="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0.0%</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3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10.129.64.1</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0.01</w:t>
            </w:r>
          </w:p>
        </w:tc>
        <w:tc>
          <w:tcPr>
            <w:tcW w:type="dxa" w:w="9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0.00672</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0.653</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4.66</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4.67</w:t>
            </w:r>
          </w:p>
        </w:tc>
        <w:tc>
          <w:tcPr>
            <w:tcW w:type="dxa" w:w="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0.2%</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13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62.115.41.29</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0.1</w:t>
            </w:r>
          </w:p>
        </w:tc>
        <w:tc>
          <w:tcPr>
            <w:tcW w:type="dxa" w:w="9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0.000672</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7.730</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20.32</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20.33</w:t>
            </w:r>
          </w:p>
        </w:tc>
        <w:tc>
          <w:tcPr>
            <w:tcW w:type="dxa" w:w="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0.05%</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3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62.115.41.28</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9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0.000067</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3.500</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59.32</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59.33</w:t>
            </w:r>
          </w:p>
        </w:tc>
        <w:tc>
          <w:tcPr>
            <w:tcW w:type="dxa" w:w="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0.02%</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11</w:t>
            </w:r>
          </w:p>
        </w:tc>
        <w:tc>
          <w:tcPr>
            <w:tcW w:type="dxa" w:w="13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3.163.115.117</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~0.05</w:t>
            </w:r>
          </w:p>
        </w:tc>
        <w:tc>
          <w:tcPr>
            <w:tcW w:type="dxa" w:w="9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0.000067</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~58.33</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58.33</w:t>
            </w:r>
          </w:p>
        </w:tc>
        <w:tc>
          <w:tcPr>
            <w:tcW w:type="dxa" w:w="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w:t>
            </w:r>
          </w:p>
        </w:tc>
      </w:tr>
    </w:tbl>
    <w:p>
      <w:r>
        <w:t xml:space="preserve"/>
      </w:r>
    </w:p>
    <w:p>
      <w:pPr>
        <w:spacing w:after="80" w:before="80"/>
      </w:pPr>
      <w:r>
        <w:rPr>
          <w:rFonts w:ascii="Arial" w:cs="Arial" w:eastAsia="Arial" w:hAnsi="Arial"/>
          <w:sz w:val="22"/>
          <w:szCs w:val="22"/>
        </w:rPr>
        <w:t xml:space="preserve">La correlación entre el RTT teórico y el medido valida el modelo de red. Los errores son inferiores al 0.2%, lo que demuestra la precisión del modelo.</w:t>
      </w:r>
    </w:p>
    <w:p>
      <w:r>
        <w:t xml:space="preserve"/>
      </w:r>
    </w:p>
    <w:p>
      <w:pPr>
        <w:pStyle w:val="Heading2"/>
        <w:spacing w:after="100" w:before="240"/>
      </w:pPr>
      <w:r>
        <w:rPr>
          <w:rFonts w:ascii="Arial" w:cs="Arial" w:eastAsia="Arial" w:hAnsi="Arial"/>
          <w:b/>
          <w:bCs/>
          <w:color w:val="595959"/>
          <w:sz w:val="24"/>
          <w:szCs w:val="24"/>
        </w:rPr>
        <w:t xml:space="preserve">8.5 Verificación del modelo</w:t>
      </w:r>
    </w:p>
    <w:p>
      <w:pPr>
        <w:pStyle w:val="ListParagraph"/>
        <w:numPr>
          <w:ilvl w:val="0"/>
          <w:numId w:val="2"/>
        </w:numPr>
      </w:pPr>
      <w:r>
        <w:rPr>
          <w:rFonts w:ascii="Arial" w:cs="Arial" w:eastAsia="Arial" w:hAnsi="Arial"/>
          <w:sz w:val="22"/>
          <w:szCs w:val="22"/>
        </w:rPr>
        <w:t xml:space="preserve">El mayor salto de RTT ocurre entre hop 3 y hop 4 (ΔRTT = 39 ms), correspondiente al enlace submarino Bogotá–Miami (~3.200 km). Esto es consistente con t_prop teórico de 16 ms (one-way).</w:t>
      </w:r>
    </w:p>
    <w:p>
      <w:pPr>
        <w:pStyle w:val="ListParagraph"/>
        <w:numPr>
          <w:ilvl w:val="0"/>
          <w:numId w:val="2"/>
        </w:numPr>
      </w:pPr>
      <w:r>
        <w:rPr>
          <w:rFonts w:ascii="Arial" w:cs="Arial" w:eastAsia="Arial" w:hAnsi="Arial"/>
          <w:sz w:val="22"/>
          <w:szCs w:val="22"/>
        </w:rPr>
        <w:t xml:space="preserve">El alto t_proc+cola en hop 3 (≈ 7.73 ms) refleja el procesamiento de peering entre el ISP colombiano y el backbone internacional de Arelion.</w:t>
      </w:r>
    </w:p>
    <w:p>
      <w:pPr>
        <w:pStyle w:val="ListParagraph"/>
        <w:numPr>
          <w:ilvl w:val="0"/>
          <w:numId w:val="2"/>
        </w:numPr>
      </w:pPr>
      <w:r>
        <w:rPr>
          <w:rFonts w:ascii="Arial" w:cs="Arial" w:eastAsia="Arial" w:hAnsi="Arial"/>
          <w:sz w:val="22"/>
          <w:szCs w:val="22"/>
        </w:rPr>
        <w:t xml:space="preserve">Los RTTs similares entre hops 4, 5, 6 y 11 (57–60 ms) indican que todos estos nodos están en la misma región geográfica (sureste de EE.UU.).</w:t>
      </w:r>
    </w:p>
    <w:p>
      <w:pPr>
        <w:pStyle w:val="ListParagraph"/>
        <w:numPr>
          <w:ilvl w:val="0"/>
          <w:numId w:val="2"/>
        </w:numPr>
      </w:pPr>
      <w:r>
        <w:rPr>
          <w:rFonts w:ascii="Arial" w:cs="Arial" w:eastAsia="Arial" w:hAnsi="Arial"/>
          <w:sz w:val="22"/>
          <w:szCs w:val="22"/>
        </w:rPr>
        <w:t xml:space="preserve">Los hops 7–10 no responden a ICMP TTL-Exceeded por seguridad, pero la conectividad es continua, como lo confirma el hop 11.</w:t>
      </w:r>
    </w:p>
    <w:p>
      <w:r>
        <w:t xml:space="preserve"/>
      </w:r>
    </w:p>
    <w:p>
      <w:pPr>
        <w:pStyle w:val="Heading1"/>
        <w:spacing w:after="120" w:before="300"/>
      </w:pPr>
      <w:r>
        <w:rPr>
          <w:rFonts w:ascii="Arial" w:cs="Arial" w:eastAsia="Arial" w:hAnsi="Arial"/>
          <w:b/>
          <w:bCs/>
          <w:color w:val="1F4E79"/>
          <w:sz w:val="28"/>
          <w:szCs w:val="28"/>
        </w:rPr>
        <w:t xml:space="preserve">9. Conclusiones</w:t>
      </w:r>
    </w:p>
    <w:p>
      <w:pPr>
        <w:pStyle w:val="ListParagraph"/>
        <w:numPr>
          <w:ilvl w:val="0"/>
          <w:numId w:val="2"/>
        </w:numPr>
      </w:pPr>
      <w:r>
        <w:rPr>
          <w:rFonts w:ascii="Arial" w:cs="Arial" w:eastAsia="Arial" w:hAnsi="Arial"/>
          <w:sz w:val="22"/>
          <w:szCs w:val="22"/>
        </w:rPr>
        <w:t xml:space="preserve">La ruta desde el equipo hasta www.poli.edu.co atraviesa 11 nodos identificables, recorriendo aproximadamente 4.500 km entre Colombia y el sureste de Estados Unidos.</w:t>
      </w:r>
    </w:p>
    <w:p>
      <w:pPr>
        <w:pStyle w:val="ListParagraph"/>
        <w:numPr>
          <w:ilvl w:val="0"/>
          <w:numId w:val="2"/>
        </w:numPr>
      </w:pPr>
      <w:r>
        <w:rPr>
          <w:rFonts w:ascii="Arial" w:cs="Arial" w:eastAsia="Arial" w:hAnsi="Arial"/>
          <w:sz w:val="22"/>
          <w:szCs w:val="22"/>
        </w:rPr>
        <w:t xml:space="preserve">El retardo dominante es el de propagación en el cable submarino Bogotá–Miami (t_prop ≈ 16 ms one-way, ΔRTT = 39 ms), que representa el 67% del RTT total.</w:t>
      </w:r>
    </w:p>
    <w:p>
      <w:pPr>
        <w:pStyle w:val="ListParagraph"/>
        <w:numPr>
          <w:ilvl w:val="0"/>
          <w:numId w:val="2"/>
        </w:numPr>
      </w:pPr>
      <w:r>
        <w:rPr>
          <w:rFonts w:ascii="Arial" w:cs="Arial" w:eastAsia="Arial" w:hAnsi="Arial"/>
          <w:sz w:val="22"/>
          <w:szCs w:val="22"/>
        </w:rPr>
        <w:t xml:space="preserve">El sitio www.poli.edu.co está servido por Amazon CloudFront CDN desde East Point, Georgia, USA (RTT ≈ 58 ms).</w:t>
      </w:r>
    </w:p>
    <w:p>
      <w:pPr>
        <w:pStyle w:val="ListParagraph"/>
        <w:numPr>
          <w:ilvl w:val="0"/>
          <w:numId w:val="2"/>
        </w:numPr>
      </w:pPr>
      <w:r>
        <w:rPr>
          <w:rFonts w:ascii="Arial" w:cs="Arial" w:eastAsia="Arial" w:hAnsi="Arial"/>
          <w:sz w:val="22"/>
          <w:szCs w:val="22"/>
        </w:rPr>
        <w:t xml:space="preserve">El modelo teórico construido reproduce con menos del 0.2% de error los RTTs medidos experimentalmente con tracert.</w:t>
      </w:r>
    </w:p>
    <w:p>
      <w:r>
        <w:t xml:space="preserve"/>
      </w:r>
    </w:p>
    <w:p>
      <w:pPr>
        <w:pStyle w:val="Heading1"/>
        <w:spacing w:after="120" w:before="300"/>
      </w:pPr>
      <w:r>
        <w:rPr>
          <w:rFonts w:ascii="Arial" w:cs="Arial" w:eastAsia="Arial" w:hAnsi="Arial"/>
          <w:b/>
          <w:bCs/>
          <w:color w:val="1F4E79"/>
          <w:sz w:val="28"/>
          <w:szCs w:val="28"/>
        </w:rPr>
        <w:t xml:space="preserve">10. Referencias</w:t>
      </w:r>
    </w:p>
    <w:p>
      <w:pPr>
        <w:pStyle w:val="ListParagraph"/>
        <w:numPr>
          <w:ilvl w:val="0"/>
          <w:numId w:val="2"/>
        </w:numPr>
      </w:pPr>
      <w:r>
        <w:rPr>
          <w:rFonts w:ascii="Arial" w:cs="Arial" w:eastAsia="Arial" w:hAnsi="Arial"/>
          <w:sz w:val="22"/>
          <w:szCs w:val="22"/>
        </w:rPr>
        <w:t xml:space="preserve">Kurose, J. &amp; Ross, K. (2021). Computer Networking: A Top-Down Approach (8th ed.). Pearson.</w:t>
      </w:r>
    </w:p>
    <w:p>
      <w:pPr>
        <w:pStyle w:val="ListParagraph"/>
        <w:numPr>
          <w:ilvl w:val="0"/>
          <w:numId w:val="2"/>
        </w:numPr>
      </w:pPr>
      <w:r>
        <w:rPr>
          <w:rFonts w:ascii="Arial" w:cs="Arial" w:eastAsia="Arial" w:hAnsi="Arial"/>
          <w:sz w:val="22"/>
          <w:szCs w:val="22"/>
        </w:rPr>
        <w:t xml:space="preserve">ipinfo.io – Base de datos de geolocalización IP. https://ipinfo.io</w:t>
      </w:r>
    </w:p>
    <w:p>
      <w:pPr>
        <w:pStyle w:val="ListParagraph"/>
        <w:numPr>
          <w:ilvl w:val="0"/>
          <w:numId w:val="2"/>
        </w:numPr>
      </w:pPr>
      <w:r>
        <w:rPr>
          <w:rFonts w:ascii="Arial" w:cs="Arial" w:eastAsia="Arial" w:hAnsi="Arial"/>
          <w:sz w:val="22"/>
          <w:szCs w:val="22"/>
        </w:rPr>
        <w:t xml:space="preserve">Internet Assigned Numbers Authority (IANA). https://www.iana.org</w:t>
      </w:r>
    </w:p>
    <w:p>
      <w:pPr>
        <w:pStyle w:val="ListParagraph"/>
        <w:numPr>
          <w:ilvl w:val="0"/>
          <w:numId w:val="2"/>
        </w:numPr>
      </w:pPr>
      <w:r>
        <w:rPr>
          <w:rFonts w:ascii="Arial" w:cs="Arial" w:eastAsia="Arial" w:hAnsi="Arial"/>
          <w:sz w:val="22"/>
          <w:szCs w:val="22"/>
        </w:rPr>
        <w:t xml:space="preserve">Arelion (AS1299) – Global Network. https://www.arelion.com</w:t>
      </w:r>
    </w:p>
    <w:p>
      <w:pPr>
        <w:pStyle w:val="ListParagraph"/>
        <w:numPr>
          <w:ilvl w:val="0"/>
          <w:numId w:val="2"/>
        </w:numPr>
      </w:pPr>
      <w:r>
        <w:rPr>
          <w:rFonts w:ascii="Arial" w:cs="Arial" w:eastAsia="Arial" w:hAnsi="Arial"/>
          <w:sz w:val="22"/>
          <w:szCs w:val="22"/>
        </w:rPr>
        <w:t xml:space="preserve">Amazon CloudFront – CDN Documentation. https://aws.amazon.com/cloudfront/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right"/>
    </w:pP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9360"/>
      </w:tabs>
    </w:pPr>
    <w:r>
      <w:rPr>
        <w:rFonts w:ascii="Arial" w:cs="Arial" w:eastAsia="Arial" w:hAnsi="Arial"/>
        <w:color w:val="595959"/>
        <w:sz w:val="18"/>
        <w:szCs w:val="18"/>
      </w:rPr>
      <w:t xml:space="preserve">Politécnico Grancolombiano  |  Módulo de Telecomunicaciones</w:t>
    </w:r>
    <w:r>
      <w:rPr>
        <w:sz w:val="18"/>
        <w:szCs w:val="18"/>
      </w:rPr>
      <w:t xml:space="preserve">	</w:t>
    </w:r>
    <w:r>
      <w:rPr>
        <w:rFonts w:ascii="Arial" w:cs="Arial" w:eastAsia="Arial" w:hAnsi="Arial"/>
        <w:b/>
        <w:bCs/>
        <w:color w:val="1F4E79"/>
        <w:sz w:val="18"/>
        <w:szCs w:val="18"/>
      </w:rPr>
      <w:t xml:space="preserve">Entrega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00"/>
      <w:outlineLvl w:val="0"/>
    </w:pPr>
    <w:rPr>
      <w:rFonts w:ascii="Arial" w:cs="Arial" w:eastAsia="Arial" w:hAnsi="Arial"/>
      <w:b/>
      <w:bCs/>
      <w:color w:val="1F4E79"/>
      <w:sz w:val="28"/>
      <w:szCs w:val="28"/>
    </w:rPr>
  </w:style>
  <w:style w:type="paragraph" w:styleId="Heading2">
    <w:name w:val="Heading 2"/>
    <w:basedOn w:val="Normal"/>
    <w:next w:val="Normal"/>
    <w:pPr>
      <w:spacing w:after="100" w:before="240"/>
      <w:outlineLvl w:val="1"/>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2026-04-25T01:46:51.373Z</dcterms:created>
  <dcterms:modified xsi:type="dcterms:W3CDTF">2026-04-25T01:46:51.374Z</dcterms:modified>
</cp:coreProperties>
</file>

<file path=docProps/custom.xml><?xml version="1.0" encoding="utf-8"?>
<Properties xmlns="http://schemas.openxmlformats.org/officeDocument/2006/custom-properties" xmlns:vt="http://schemas.openxmlformats.org/officeDocument/2006/docPropsVTypes"/>
</file>