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b/>
          <w:sz w:val="36"/>
        </w:rPr>
      </w:pPr>
      <w:r>
        <w:rPr>
          <w:rFonts w:hint="eastAsia" w:asciiTheme="minorEastAsia" w:hAnsiTheme="minorEastAsia"/>
          <w:b/>
          <w:sz w:val="36"/>
        </w:rPr>
        <w:t>特许全球金融科技师（CGFT）一级</w:t>
      </w:r>
    </w:p>
    <w:p>
      <w:pPr>
        <w:jc w:val="center"/>
        <w:rPr>
          <w:rFonts w:asciiTheme="minorEastAsia" w:hAnsiTheme="minorEastAsia"/>
          <w:b/>
          <w:sz w:val="36"/>
        </w:rPr>
      </w:pPr>
      <w:r>
        <w:rPr>
          <w:rFonts w:hint="eastAsia" w:asciiTheme="minorEastAsia" w:hAnsiTheme="minorEastAsia"/>
          <w:b/>
          <w:sz w:val="36"/>
        </w:rPr>
        <w:t>《会计学与财务分析基础》考试大纲</w:t>
      </w:r>
    </w:p>
    <w:p>
      <w:pPr>
        <w:spacing w:line="360" w:lineRule="auto"/>
        <w:jc w:val="center"/>
        <w:rPr>
          <w:rFonts w:asciiTheme="minorEastAsia" w:hAnsiTheme="minorEastAsia"/>
        </w:rPr>
      </w:pPr>
      <w:r>
        <w:rPr>
          <w:rFonts w:hint="eastAsia" w:asciiTheme="minorEastAsia" w:hAnsiTheme="minorEastAsia"/>
        </w:rPr>
        <w:t xml:space="preserve">（修订日期： </w:t>
      </w:r>
      <w:r>
        <w:rPr>
          <w:rFonts w:asciiTheme="minorEastAsia" w:hAnsiTheme="minorEastAsia"/>
        </w:rPr>
        <w:t>2022</w:t>
      </w:r>
      <w:r>
        <w:rPr>
          <w:rFonts w:hint="eastAsia" w:asciiTheme="minorEastAsia" w:hAnsiTheme="minorEastAsia"/>
        </w:rPr>
        <w:t>年</w:t>
      </w:r>
      <w:r>
        <w:rPr>
          <w:rFonts w:asciiTheme="minorEastAsia" w:hAnsiTheme="minorEastAsia"/>
        </w:rPr>
        <w:t>09</w:t>
      </w:r>
      <w:r>
        <w:rPr>
          <w:rFonts w:hint="eastAsia" w:asciiTheme="minorEastAsia" w:hAnsiTheme="minorEastAsia"/>
        </w:rPr>
        <w:t>月</w:t>
      </w:r>
      <w:r>
        <w:rPr>
          <w:rFonts w:asciiTheme="minorEastAsia" w:hAnsiTheme="minorEastAsia"/>
        </w:rPr>
        <w:t>18</w:t>
      </w:r>
      <w:r>
        <w:rPr>
          <w:rFonts w:hint="eastAsia" w:asciiTheme="minorEastAsia" w:hAnsiTheme="minorEastAsia"/>
        </w:rPr>
        <w:t>日）</w:t>
      </w:r>
    </w:p>
    <w:p>
      <w:pPr>
        <w:spacing w:line="360" w:lineRule="auto"/>
        <w:rPr>
          <w:rFonts w:asciiTheme="minorEastAsia" w:hAnsiTheme="minorEastAsia"/>
          <w:sz w:val="24"/>
        </w:rPr>
      </w:pPr>
    </w:p>
    <w:p>
      <w:pPr>
        <w:pStyle w:val="11"/>
        <w:tabs>
          <w:tab w:val="left" w:pos="630"/>
          <w:tab w:val="right" w:leader="dot" w:pos="9628"/>
        </w:tabs>
        <w:rPr>
          <w:rFonts w:cstheme="minorBidi"/>
          <w:b w:val="0"/>
          <w:bCs w:val="0"/>
          <w:caps w:val="0"/>
          <w:sz w:val="21"/>
          <w:szCs w:val="22"/>
        </w:rPr>
      </w:pPr>
      <w:r>
        <w:rPr>
          <w:rFonts w:asciiTheme="minorEastAsia" w:hAnsiTheme="minorEastAsia"/>
          <w:sz w:val="24"/>
        </w:rPr>
        <w:fldChar w:fldCharType="begin"/>
      </w:r>
      <w:r>
        <w:rPr>
          <w:rFonts w:asciiTheme="minorEastAsia" w:hAnsiTheme="minorEastAsia"/>
          <w:sz w:val="24"/>
        </w:rPr>
        <w:instrText xml:space="preserve"> TOC \o "1-3" \h \z \u </w:instrText>
      </w:r>
      <w:r>
        <w:rPr>
          <w:rFonts w:asciiTheme="minorEastAsia" w:hAnsiTheme="minorEastAsia"/>
          <w:sz w:val="24"/>
        </w:rPr>
        <w:fldChar w:fldCharType="separate"/>
      </w:r>
      <w:r>
        <w:fldChar w:fldCharType="begin"/>
      </w:r>
      <w:r>
        <w:instrText xml:space="preserve"> HYPERLINK \l "_Toc114675738" </w:instrText>
      </w:r>
      <w:r>
        <w:fldChar w:fldCharType="separate"/>
      </w:r>
      <w:r>
        <w:rPr>
          <w:rStyle w:val="21"/>
          <w:rFonts w:asciiTheme="minorEastAsia" w:hAnsiTheme="minorEastAsia"/>
        </w:rPr>
        <w:t>一、</w:t>
      </w:r>
      <w:r>
        <w:rPr>
          <w:rFonts w:cstheme="minorBidi"/>
          <w:b w:val="0"/>
          <w:bCs w:val="0"/>
          <w:caps w:val="0"/>
          <w:sz w:val="21"/>
          <w:szCs w:val="22"/>
        </w:rPr>
        <w:tab/>
      </w:r>
      <w:r>
        <w:rPr>
          <w:rStyle w:val="21"/>
          <w:rFonts w:asciiTheme="minorEastAsia" w:hAnsiTheme="minorEastAsia"/>
        </w:rPr>
        <w:t>考试性质</w:t>
      </w:r>
      <w:r>
        <w:tab/>
      </w:r>
      <w:r>
        <w:fldChar w:fldCharType="begin"/>
      </w:r>
      <w:r>
        <w:instrText xml:space="preserve"> PAGEREF _Toc114675738 \h </w:instrText>
      </w:r>
      <w:r>
        <w:fldChar w:fldCharType="separate"/>
      </w:r>
      <w:r>
        <w:t>2</w:t>
      </w:r>
      <w:r>
        <w:fldChar w:fldCharType="end"/>
      </w:r>
      <w:r>
        <w:fldChar w:fldCharType="end"/>
      </w:r>
    </w:p>
    <w:p>
      <w:pPr>
        <w:pStyle w:val="11"/>
        <w:tabs>
          <w:tab w:val="left" w:pos="630"/>
          <w:tab w:val="right" w:leader="dot" w:pos="9628"/>
        </w:tabs>
        <w:rPr>
          <w:rFonts w:cstheme="minorBidi"/>
          <w:b w:val="0"/>
          <w:bCs w:val="0"/>
          <w:caps w:val="0"/>
          <w:sz w:val="21"/>
          <w:szCs w:val="22"/>
        </w:rPr>
      </w:pPr>
      <w:r>
        <w:fldChar w:fldCharType="begin"/>
      </w:r>
      <w:r>
        <w:instrText xml:space="preserve"> HYPERLINK \l "_Toc114675739" </w:instrText>
      </w:r>
      <w:r>
        <w:fldChar w:fldCharType="separate"/>
      </w:r>
      <w:r>
        <w:rPr>
          <w:rStyle w:val="21"/>
          <w:rFonts w:asciiTheme="minorEastAsia" w:hAnsiTheme="minorEastAsia"/>
        </w:rPr>
        <w:t>二、</w:t>
      </w:r>
      <w:r>
        <w:rPr>
          <w:rFonts w:cstheme="minorBidi"/>
          <w:b w:val="0"/>
          <w:bCs w:val="0"/>
          <w:caps w:val="0"/>
          <w:sz w:val="21"/>
          <w:szCs w:val="22"/>
        </w:rPr>
        <w:tab/>
      </w:r>
      <w:r>
        <w:rPr>
          <w:rStyle w:val="21"/>
          <w:rFonts w:asciiTheme="minorEastAsia" w:hAnsiTheme="minorEastAsia"/>
        </w:rPr>
        <w:t>考查目标</w:t>
      </w:r>
      <w:r>
        <w:tab/>
      </w:r>
      <w:r>
        <w:fldChar w:fldCharType="begin"/>
      </w:r>
      <w:r>
        <w:instrText xml:space="preserve"> PAGEREF _Toc114675739 \h </w:instrText>
      </w:r>
      <w:r>
        <w:fldChar w:fldCharType="separate"/>
      </w:r>
      <w:r>
        <w:t>2</w:t>
      </w:r>
      <w:r>
        <w:fldChar w:fldCharType="end"/>
      </w:r>
      <w:r>
        <w:fldChar w:fldCharType="end"/>
      </w:r>
    </w:p>
    <w:p>
      <w:pPr>
        <w:pStyle w:val="11"/>
        <w:tabs>
          <w:tab w:val="left" w:pos="630"/>
          <w:tab w:val="right" w:leader="dot" w:pos="9628"/>
        </w:tabs>
        <w:rPr>
          <w:rFonts w:cstheme="minorBidi"/>
          <w:b w:val="0"/>
          <w:bCs w:val="0"/>
          <w:caps w:val="0"/>
          <w:sz w:val="21"/>
          <w:szCs w:val="22"/>
        </w:rPr>
      </w:pPr>
      <w:r>
        <w:fldChar w:fldCharType="begin"/>
      </w:r>
      <w:r>
        <w:instrText xml:space="preserve"> HYPERLINK \l "_Toc114675740" </w:instrText>
      </w:r>
      <w:r>
        <w:fldChar w:fldCharType="separate"/>
      </w:r>
      <w:r>
        <w:rPr>
          <w:rStyle w:val="21"/>
          <w:rFonts w:asciiTheme="minorEastAsia" w:hAnsiTheme="minorEastAsia"/>
        </w:rPr>
        <w:t>三、</w:t>
      </w:r>
      <w:r>
        <w:rPr>
          <w:rFonts w:cstheme="minorBidi"/>
          <w:b w:val="0"/>
          <w:bCs w:val="0"/>
          <w:caps w:val="0"/>
          <w:sz w:val="21"/>
          <w:szCs w:val="22"/>
        </w:rPr>
        <w:tab/>
      </w:r>
      <w:r>
        <w:rPr>
          <w:rStyle w:val="21"/>
          <w:rFonts w:asciiTheme="minorEastAsia" w:hAnsiTheme="minorEastAsia"/>
        </w:rPr>
        <w:t>考试形式和试卷结构</w:t>
      </w:r>
      <w:r>
        <w:tab/>
      </w:r>
      <w:r>
        <w:fldChar w:fldCharType="begin"/>
      </w:r>
      <w:r>
        <w:instrText xml:space="preserve"> PAGEREF _Toc114675740 \h </w:instrText>
      </w:r>
      <w:r>
        <w:fldChar w:fldCharType="separate"/>
      </w:r>
      <w:r>
        <w:t>3</w:t>
      </w:r>
      <w:r>
        <w:fldChar w:fldCharType="end"/>
      </w:r>
      <w:r>
        <w:fldChar w:fldCharType="end"/>
      </w:r>
    </w:p>
    <w:p>
      <w:pPr>
        <w:pStyle w:val="14"/>
        <w:tabs>
          <w:tab w:val="left" w:pos="630"/>
          <w:tab w:val="right" w:leader="dot" w:pos="9628"/>
        </w:tabs>
        <w:rPr>
          <w:rFonts w:cstheme="minorBidi"/>
          <w:smallCaps w:val="0"/>
          <w:sz w:val="21"/>
          <w:szCs w:val="22"/>
        </w:rPr>
      </w:pPr>
      <w:r>
        <w:fldChar w:fldCharType="begin"/>
      </w:r>
      <w:r>
        <w:instrText xml:space="preserve"> HYPERLINK \l "_Toc114675741" </w:instrText>
      </w:r>
      <w:r>
        <w:fldChar w:fldCharType="separate"/>
      </w:r>
      <w:r>
        <w:rPr>
          <w:rStyle w:val="21"/>
          <w:rFonts w:asciiTheme="minorEastAsia" w:hAnsiTheme="minorEastAsia"/>
        </w:rPr>
        <w:t>1.</w:t>
      </w:r>
      <w:r>
        <w:rPr>
          <w:rFonts w:cstheme="minorBidi"/>
          <w:smallCaps w:val="0"/>
          <w:sz w:val="21"/>
          <w:szCs w:val="22"/>
        </w:rPr>
        <w:tab/>
      </w:r>
      <w:r>
        <w:rPr>
          <w:rStyle w:val="21"/>
          <w:rFonts w:asciiTheme="minorEastAsia" w:hAnsiTheme="minorEastAsia"/>
        </w:rPr>
        <w:t>试卷满分</w:t>
      </w:r>
      <w:r>
        <w:tab/>
      </w:r>
      <w:r>
        <w:fldChar w:fldCharType="begin"/>
      </w:r>
      <w:r>
        <w:instrText xml:space="preserve"> PAGEREF _Toc114675741 \h </w:instrText>
      </w:r>
      <w:r>
        <w:fldChar w:fldCharType="separate"/>
      </w:r>
      <w:r>
        <w:t>3</w:t>
      </w:r>
      <w:r>
        <w:fldChar w:fldCharType="end"/>
      </w:r>
      <w:r>
        <w:fldChar w:fldCharType="end"/>
      </w:r>
    </w:p>
    <w:p>
      <w:pPr>
        <w:pStyle w:val="14"/>
        <w:tabs>
          <w:tab w:val="left" w:pos="630"/>
          <w:tab w:val="right" w:leader="dot" w:pos="9628"/>
        </w:tabs>
        <w:rPr>
          <w:rFonts w:cstheme="minorBidi"/>
          <w:smallCaps w:val="0"/>
          <w:sz w:val="21"/>
          <w:szCs w:val="22"/>
        </w:rPr>
      </w:pPr>
      <w:r>
        <w:fldChar w:fldCharType="begin"/>
      </w:r>
      <w:r>
        <w:instrText xml:space="preserve"> HYPERLINK \l "_Toc114675742" </w:instrText>
      </w:r>
      <w:r>
        <w:fldChar w:fldCharType="separate"/>
      </w:r>
      <w:r>
        <w:rPr>
          <w:rStyle w:val="21"/>
          <w:rFonts w:asciiTheme="minorEastAsia" w:hAnsiTheme="minorEastAsia"/>
        </w:rPr>
        <w:t>2.</w:t>
      </w:r>
      <w:r>
        <w:rPr>
          <w:rFonts w:cstheme="minorBidi"/>
          <w:smallCaps w:val="0"/>
          <w:sz w:val="21"/>
          <w:szCs w:val="22"/>
        </w:rPr>
        <w:tab/>
      </w:r>
      <w:r>
        <w:rPr>
          <w:rStyle w:val="21"/>
          <w:rFonts w:asciiTheme="minorEastAsia" w:hAnsiTheme="minorEastAsia"/>
        </w:rPr>
        <w:t>答题方式</w:t>
      </w:r>
      <w:r>
        <w:tab/>
      </w:r>
      <w:r>
        <w:fldChar w:fldCharType="begin"/>
      </w:r>
      <w:r>
        <w:instrText xml:space="preserve"> PAGEREF _Toc114675742 \h </w:instrText>
      </w:r>
      <w:r>
        <w:fldChar w:fldCharType="separate"/>
      </w:r>
      <w:r>
        <w:t>3</w:t>
      </w:r>
      <w:r>
        <w:fldChar w:fldCharType="end"/>
      </w:r>
      <w:r>
        <w:fldChar w:fldCharType="end"/>
      </w:r>
    </w:p>
    <w:p>
      <w:pPr>
        <w:pStyle w:val="14"/>
        <w:tabs>
          <w:tab w:val="left" w:pos="630"/>
          <w:tab w:val="right" w:leader="dot" w:pos="9628"/>
        </w:tabs>
        <w:rPr>
          <w:rFonts w:cstheme="minorBidi"/>
          <w:smallCaps w:val="0"/>
          <w:sz w:val="21"/>
          <w:szCs w:val="22"/>
        </w:rPr>
      </w:pPr>
      <w:r>
        <w:fldChar w:fldCharType="begin"/>
      </w:r>
      <w:r>
        <w:instrText xml:space="preserve"> HYPERLINK \l "_Toc114675743" </w:instrText>
      </w:r>
      <w:r>
        <w:fldChar w:fldCharType="separate"/>
      </w:r>
      <w:r>
        <w:rPr>
          <w:rStyle w:val="21"/>
          <w:rFonts w:asciiTheme="minorEastAsia" w:hAnsiTheme="minorEastAsia"/>
        </w:rPr>
        <w:t>3.</w:t>
      </w:r>
      <w:r>
        <w:rPr>
          <w:rFonts w:cstheme="minorBidi"/>
          <w:smallCaps w:val="0"/>
          <w:sz w:val="21"/>
          <w:szCs w:val="22"/>
        </w:rPr>
        <w:tab/>
      </w:r>
      <w:r>
        <w:rPr>
          <w:rStyle w:val="21"/>
          <w:rFonts w:asciiTheme="minorEastAsia" w:hAnsiTheme="minorEastAsia"/>
        </w:rPr>
        <w:t>试卷内容结构</w:t>
      </w:r>
      <w:r>
        <w:tab/>
      </w:r>
      <w:r>
        <w:fldChar w:fldCharType="begin"/>
      </w:r>
      <w:r>
        <w:instrText xml:space="preserve"> PAGEREF _Toc114675743 \h </w:instrText>
      </w:r>
      <w:r>
        <w:fldChar w:fldCharType="separate"/>
      </w:r>
      <w:r>
        <w:t>3</w:t>
      </w:r>
      <w:r>
        <w:fldChar w:fldCharType="end"/>
      </w:r>
      <w:r>
        <w:fldChar w:fldCharType="end"/>
      </w:r>
    </w:p>
    <w:p>
      <w:pPr>
        <w:pStyle w:val="14"/>
        <w:tabs>
          <w:tab w:val="left" w:pos="630"/>
          <w:tab w:val="right" w:leader="dot" w:pos="9628"/>
        </w:tabs>
        <w:rPr>
          <w:rFonts w:cstheme="minorBidi"/>
          <w:smallCaps w:val="0"/>
          <w:sz w:val="21"/>
          <w:szCs w:val="22"/>
        </w:rPr>
      </w:pPr>
      <w:r>
        <w:fldChar w:fldCharType="begin"/>
      </w:r>
      <w:r>
        <w:instrText xml:space="preserve"> HYPERLINK \l "_Toc114675744" </w:instrText>
      </w:r>
      <w:r>
        <w:fldChar w:fldCharType="separate"/>
      </w:r>
      <w:r>
        <w:rPr>
          <w:rStyle w:val="21"/>
          <w:rFonts w:asciiTheme="minorEastAsia" w:hAnsiTheme="minorEastAsia"/>
        </w:rPr>
        <w:t>4.</w:t>
      </w:r>
      <w:r>
        <w:rPr>
          <w:rFonts w:cstheme="minorBidi"/>
          <w:smallCaps w:val="0"/>
          <w:sz w:val="21"/>
          <w:szCs w:val="22"/>
        </w:rPr>
        <w:tab/>
      </w:r>
      <w:r>
        <w:rPr>
          <w:rStyle w:val="21"/>
          <w:rFonts w:asciiTheme="minorEastAsia" w:hAnsiTheme="minorEastAsia"/>
        </w:rPr>
        <w:t>试卷题型结构</w:t>
      </w:r>
      <w:r>
        <w:tab/>
      </w:r>
      <w:r>
        <w:fldChar w:fldCharType="begin"/>
      </w:r>
      <w:r>
        <w:instrText xml:space="preserve"> PAGEREF _Toc114675744 \h </w:instrText>
      </w:r>
      <w:r>
        <w:fldChar w:fldCharType="separate"/>
      </w:r>
      <w:r>
        <w:t>3</w:t>
      </w:r>
      <w:r>
        <w:fldChar w:fldCharType="end"/>
      </w:r>
      <w:r>
        <w:fldChar w:fldCharType="end"/>
      </w:r>
    </w:p>
    <w:p>
      <w:pPr>
        <w:pStyle w:val="11"/>
        <w:tabs>
          <w:tab w:val="left" w:pos="630"/>
          <w:tab w:val="right" w:leader="dot" w:pos="9628"/>
        </w:tabs>
        <w:rPr>
          <w:rFonts w:cstheme="minorBidi"/>
          <w:b w:val="0"/>
          <w:bCs w:val="0"/>
          <w:caps w:val="0"/>
          <w:sz w:val="21"/>
          <w:szCs w:val="22"/>
        </w:rPr>
      </w:pPr>
      <w:r>
        <w:fldChar w:fldCharType="begin"/>
      </w:r>
      <w:r>
        <w:instrText xml:space="preserve"> HYPERLINK \l "_Toc114675745" </w:instrText>
      </w:r>
      <w:r>
        <w:fldChar w:fldCharType="separate"/>
      </w:r>
      <w:r>
        <w:rPr>
          <w:rStyle w:val="21"/>
          <w:rFonts w:asciiTheme="minorEastAsia" w:hAnsiTheme="minorEastAsia"/>
        </w:rPr>
        <w:t>四、</w:t>
      </w:r>
      <w:r>
        <w:rPr>
          <w:rFonts w:cstheme="minorBidi"/>
          <w:b w:val="0"/>
          <w:bCs w:val="0"/>
          <w:caps w:val="0"/>
          <w:sz w:val="21"/>
          <w:szCs w:val="22"/>
        </w:rPr>
        <w:tab/>
      </w:r>
      <w:r>
        <w:rPr>
          <w:rStyle w:val="21"/>
          <w:rFonts w:asciiTheme="minorEastAsia" w:hAnsiTheme="minorEastAsia"/>
        </w:rPr>
        <w:t>考察内容与考点解析</w:t>
      </w:r>
      <w:r>
        <w:tab/>
      </w:r>
      <w:r>
        <w:fldChar w:fldCharType="begin"/>
      </w:r>
      <w:r>
        <w:instrText xml:space="preserve"> PAGEREF _Toc114675745 \h </w:instrText>
      </w:r>
      <w:r>
        <w:fldChar w:fldCharType="separate"/>
      </w:r>
      <w:r>
        <w:t>4</w:t>
      </w:r>
      <w:r>
        <w:fldChar w:fldCharType="end"/>
      </w:r>
      <w:r>
        <w:fldChar w:fldCharType="end"/>
      </w:r>
    </w:p>
    <w:p>
      <w:pPr>
        <w:pStyle w:val="14"/>
        <w:tabs>
          <w:tab w:val="left" w:pos="630"/>
          <w:tab w:val="right" w:leader="dot" w:pos="9628"/>
        </w:tabs>
        <w:rPr>
          <w:rFonts w:cstheme="minorBidi"/>
          <w:smallCaps w:val="0"/>
          <w:sz w:val="21"/>
          <w:szCs w:val="22"/>
        </w:rPr>
      </w:pPr>
      <w:r>
        <w:fldChar w:fldCharType="begin"/>
      </w:r>
      <w:r>
        <w:instrText xml:space="preserve"> HYPERLINK \l "_Toc114675746" </w:instrText>
      </w:r>
      <w:r>
        <w:fldChar w:fldCharType="separate"/>
      </w:r>
      <w:r>
        <w:rPr>
          <w:rStyle w:val="21"/>
          <w:rFonts w:asciiTheme="minorEastAsia" w:hAnsiTheme="minorEastAsia"/>
        </w:rPr>
        <w:t>1.</w:t>
      </w:r>
      <w:r>
        <w:rPr>
          <w:rFonts w:cstheme="minorBidi"/>
          <w:smallCaps w:val="0"/>
          <w:sz w:val="21"/>
          <w:szCs w:val="22"/>
        </w:rPr>
        <w:tab/>
      </w:r>
      <w:r>
        <w:rPr>
          <w:rStyle w:val="21"/>
          <w:rFonts w:asciiTheme="minorEastAsia" w:hAnsiTheme="minorEastAsia"/>
        </w:rPr>
        <w:t>章节内容考点清单</w:t>
      </w:r>
      <w:r>
        <w:tab/>
      </w:r>
      <w:r>
        <w:fldChar w:fldCharType="begin"/>
      </w:r>
      <w:r>
        <w:instrText xml:space="preserve"> PAGEREF _Toc114675746 \h </w:instrText>
      </w:r>
      <w:r>
        <w:fldChar w:fldCharType="separate"/>
      </w:r>
      <w:r>
        <w:t>4</w:t>
      </w:r>
      <w:r>
        <w:fldChar w:fldCharType="end"/>
      </w:r>
      <w:r>
        <w:fldChar w:fldCharType="end"/>
      </w:r>
    </w:p>
    <w:p>
      <w:pPr>
        <w:pStyle w:val="11"/>
        <w:tabs>
          <w:tab w:val="left" w:pos="630"/>
          <w:tab w:val="right" w:leader="dot" w:pos="9628"/>
        </w:tabs>
        <w:rPr>
          <w:rFonts w:cstheme="minorBidi"/>
          <w:b w:val="0"/>
          <w:bCs w:val="0"/>
          <w:caps w:val="0"/>
          <w:sz w:val="21"/>
          <w:szCs w:val="22"/>
        </w:rPr>
      </w:pPr>
      <w:r>
        <w:fldChar w:fldCharType="begin"/>
      </w:r>
      <w:r>
        <w:instrText xml:space="preserve"> HYPERLINK \l "_Toc114675747" </w:instrText>
      </w:r>
      <w:r>
        <w:fldChar w:fldCharType="separate"/>
      </w:r>
      <w:r>
        <w:rPr>
          <w:rStyle w:val="21"/>
          <w:rFonts w:asciiTheme="minorEastAsia" w:hAnsiTheme="minorEastAsia"/>
        </w:rPr>
        <w:t>五、</w:t>
      </w:r>
      <w:r>
        <w:rPr>
          <w:rFonts w:cstheme="minorBidi"/>
          <w:b w:val="0"/>
          <w:bCs w:val="0"/>
          <w:caps w:val="0"/>
          <w:sz w:val="21"/>
          <w:szCs w:val="22"/>
        </w:rPr>
        <w:tab/>
      </w:r>
      <w:r>
        <w:rPr>
          <w:rStyle w:val="21"/>
          <w:rFonts w:asciiTheme="minorEastAsia" w:hAnsiTheme="minorEastAsia"/>
        </w:rPr>
        <w:t>历年真题与考试样题</w:t>
      </w:r>
      <w:r>
        <w:tab/>
      </w:r>
      <w:r>
        <w:fldChar w:fldCharType="begin"/>
      </w:r>
      <w:r>
        <w:instrText xml:space="preserve"> PAGEREF _Toc114675747 \h </w:instrText>
      </w:r>
      <w:r>
        <w:fldChar w:fldCharType="separate"/>
      </w:r>
      <w:r>
        <w:t>8</w:t>
      </w:r>
      <w:r>
        <w:fldChar w:fldCharType="end"/>
      </w:r>
      <w:r>
        <w:fldChar w:fldCharType="end"/>
      </w:r>
    </w:p>
    <w:p>
      <w:pPr>
        <w:pStyle w:val="14"/>
        <w:tabs>
          <w:tab w:val="left" w:pos="630"/>
          <w:tab w:val="right" w:leader="dot" w:pos="9628"/>
        </w:tabs>
        <w:rPr>
          <w:rFonts w:cstheme="minorBidi"/>
          <w:smallCaps w:val="0"/>
          <w:sz w:val="21"/>
          <w:szCs w:val="22"/>
        </w:rPr>
      </w:pPr>
      <w:r>
        <w:fldChar w:fldCharType="begin"/>
      </w:r>
      <w:r>
        <w:instrText xml:space="preserve"> HYPERLINK \l "_Toc114675748" </w:instrText>
      </w:r>
      <w:r>
        <w:fldChar w:fldCharType="separate"/>
      </w:r>
      <w:r>
        <w:rPr>
          <w:rStyle w:val="21"/>
          <w:rFonts w:asciiTheme="minorEastAsia" w:hAnsiTheme="minorEastAsia"/>
        </w:rPr>
        <w:t>1.</w:t>
      </w:r>
      <w:r>
        <w:rPr>
          <w:rFonts w:cstheme="minorBidi"/>
          <w:smallCaps w:val="0"/>
          <w:sz w:val="21"/>
          <w:szCs w:val="22"/>
        </w:rPr>
        <w:tab/>
      </w:r>
      <w:r>
        <w:rPr>
          <w:rStyle w:val="21"/>
          <w:rFonts w:asciiTheme="minorEastAsia" w:hAnsiTheme="minorEastAsia"/>
        </w:rPr>
        <w:t>样题一</w:t>
      </w:r>
      <w:r>
        <w:tab/>
      </w:r>
      <w:r>
        <w:fldChar w:fldCharType="begin"/>
      </w:r>
      <w:r>
        <w:instrText xml:space="preserve"> PAGEREF _Toc114675748 \h </w:instrText>
      </w:r>
      <w:r>
        <w:fldChar w:fldCharType="separate"/>
      </w:r>
      <w:r>
        <w:t>8</w:t>
      </w:r>
      <w:r>
        <w:fldChar w:fldCharType="end"/>
      </w:r>
      <w:r>
        <w:fldChar w:fldCharType="end"/>
      </w:r>
    </w:p>
    <w:p>
      <w:pPr>
        <w:pStyle w:val="14"/>
        <w:tabs>
          <w:tab w:val="left" w:pos="630"/>
          <w:tab w:val="right" w:leader="dot" w:pos="9628"/>
        </w:tabs>
        <w:rPr>
          <w:rFonts w:cstheme="minorBidi"/>
          <w:smallCaps w:val="0"/>
          <w:sz w:val="21"/>
          <w:szCs w:val="22"/>
        </w:rPr>
      </w:pPr>
      <w:r>
        <w:fldChar w:fldCharType="begin"/>
      </w:r>
      <w:r>
        <w:instrText xml:space="preserve"> HYPERLINK \l "_Toc114675749" </w:instrText>
      </w:r>
      <w:r>
        <w:fldChar w:fldCharType="separate"/>
      </w:r>
      <w:r>
        <w:rPr>
          <w:rStyle w:val="21"/>
          <w:rFonts w:asciiTheme="minorEastAsia" w:hAnsiTheme="minorEastAsia"/>
        </w:rPr>
        <w:t>2.</w:t>
      </w:r>
      <w:r>
        <w:rPr>
          <w:rFonts w:cstheme="minorBidi"/>
          <w:smallCaps w:val="0"/>
          <w:sz w:val="21"/>
          <w:szCs w:val="22"/>
        </w:rPr>
        <w:tab/>
      </w:r>
      <w:r>
        <w:rPr>
          <w:rStyle w:val="21"/>
          <w:rFonts w:asciiTheme="minorEastAsia" w:hAnsiTheme="minorEastAsia"/>
        </w:rPr>
        <w:t>样题二</w:t>
      </w:r>
      <w:r>
        <w:tab/>
      </w:r>
      <w:r>
        <w:fldChar w:fldCharType="begin"/>
      </w:r>
      <w:r>
        <w:instrText xml:space="preserve"> PAGEREF _Toc114675749 \h </w:instrText>
      </w:r>
      <w:r>
        <w:fldChar w:fldCharType="separate"/>
      </w:r>
      <w:r>
        <w:t>15</w:t>
      </w:r>
      <w:r>
        <w:fldChar w:fldCharType="end"/>
      </w:r>
      <w:r>
        <w:fldChar w:fldCharType="end"/>
      </w:r>
    </w:p>
    <w:p>
      <w:pPr>
        <w:pStyle w:val="14"/>
        <w:tabs>
          <w:tab w:val="left" w:pos="630"/>
          <w:tab w:val="right" w:leader="dot" w:pos="9628"/>
        </w:tabs>
        <w:rPr>
          <w:rFonts w:cstheme="minorBidi"/>
          <w:smallCaps w:val="0"/>
          <w:sz w:val="21"/>
          <w:szCs w:val="22"/>
        </w:rPr>
      </w:pPr>
      <w:r>
        <w:fldChar w:fldCharType="begin"/>
      </w:r>
      <w:r>
        <w:instrText xml:space="preserve"> HYPERLINK \l "_Toc114675750" </w:instrText>
      </w:r>
      <w:r>
        <w:fldChar w:fldCharType="separate"/>
      </w:r>
      <w:r>
        <w:rPr>
          <w:rStyle w:val="21"/>
          <w:rFonts w:asciiTheme="minorEastAsia" w:hAnsiTheme="minorEastAsia"/>
        </w:rPr>
        <w:t>3.</w:t>
      </w:r>
      <w:r>
        <w:rPr>
          <w:rFonts w:cstheme="minorBidi"/>
          <w:smallCaps w:val="0"/>
          <w:sz w:val="21"/>
          <w:szCs w:val="22"/>
        </w:rPr>
        <w:tab/>
      </w:r>
      <w:r>
        <w:rPr>
          <w:rStyle w:val="21"/>
          <w:rFonts w:asciiTheme="minorEastAsia" w:hAnsiTheme="minorEastAsia"/>
        </w:rPr>
        <w:t>样题三</w:t>
      </w:r>
      <w:r>
        <w:tab/>
      </w:r>
      <w:r>
        <w:fldChar w:fldCharType="begin"/>
      </w:r>
      <w:r>
        <w:instrText xml:space="preserve"> PAGEREF _Toc114675750 \h </w:instrText>
      </w:r>
      <w:r>
        <w:fldChar w:fldCharType="separate"/>
      </w:r>
      <w:r>
        <w:t>32</w:t>
      </w:r>
      <w:r>
        <w:fldChar w:fldCharType="end"/>
      </w:r>
      <w:r>
        <w:fldChar w:fldCharType="end"/>
      </w:r>
    </w:p>
    <w:p>
      <w:pPr>
        <w:spacing w:line="360" w:lineRule="auto"/>
        <w:rPr>
          <w:rFonts w:asciiTheme="minorEastAsia" w:hAnsiTheme="minorEastAsia"/>
          <w:sz w:val="24"/>
        </w:rPr>
      </w:pPr>
      <w:r>
        <w:rPr>
          <w:rFonts w:asciiTheme="minorEastAsia" w:hAnsiTheme="minorEastAsia"/>
          <w:sz w:val="24"/>
        </w:rPr>
        <w:fldChar w:fldCharType="end"/>
      </w:r>
    </w:p>
    <w:p>
      <w:pPr>
        <w:spacing w:line="360" w:lineRule="auto"/>
        <w:rPr>
          <w:rFonts w:asciiTheme="minorEastAsia" w:hAnsiTheme="minorEastAsia"/>
          <w:sz w:val="24"/>
        </w:rPr>
      </w:pPr>
    </w:p>
    <w:p>
      <w:pPr>
        <w:spacing w:line="360" w:lineRule="auto"/>
        <w:rPr>
          <w:rFonts w:asciiTheme="minorEastAsia" w:hAnsiTheme="minorEastAsia"/>
          <w:sz w:val="24"/>
        </w:rPr>
        <w:sectPr>
          <w:footerReference r:id="rId3" w:type="default"/>
          <w:pgSz w:w="11906" w:h="16838"/>
          <w:pgMar w:top="1134" w:right="1134" w:bottom="1134" w:left="1134" w:header="851" w:footer="992" w:gutter="0"/>
          <w:cols w:space="425" w:num="1"/>
          <w:docGrid w:type="lines" w:linePitch="312" w:charSpace="0"/>
        </w:sectPr>
      </w:pPr>
    </w:p>
    <w:p>
      <w:pPr>
        <w:pStyle w:val="2"/>
        <w:numPr>
          <w:ilvl w:val="0"/>
          <w:numId w:val="1"/>
        </w:numPr>
        <w:rPr>
          <w:rFonts w:asciiTheme="minorEastAsia" w:hAnsiTheme="minorEastAsia"/>
          <w:sz w:val="32"/>
          <w:szCs w:val="32"/>
        </w:rPr>
      </w:pPr>
      <w:bookmarkStart w:id="0" w:name="_Toc114675738"/>
      <w:r>
        <w:rPr>
          <w:rFonts w:hint="eastAsia" w:asciiTheme="minorEastAsia" w:hAnsiTheme="minorEastAsia"/>
          <w:sz w:val="32"/>
          <w:szCs w:val="32"/>
        </w:rPr>
        <w:t>考试性质</w:t>
      </w:r>
      <w:bookmarkEnd w:id="0"/>
    </w:p>
    <w:p>
      <w:pPr>
        <w:spacing w:line="360" w:lineRule="auto"/>
        <w:ind w:firstLine="420"/>
        <w:rPr>
          <w:rFonts w:asciiTheme="minorEastAsia" w:hAnsiTheme="minorEastAsia"/>
        </w:rPr>
      </w:pPr>
      <w:r>
        <w:rPr>
          <w:rFonts w:hint="eastAsia" w:asciiTheme="minorEastAsia" w:hAnsiTheme="minorEastAsia"/>
        </w:rPr>
        <w:t>特许全球金融科技师（C</w:t>
      </w:r>
      <w:r>
        <w:rPr>
          <w:rFonts w:asciiTheme="minorEastAsia" w:hAnsiTheme="minorEastAsia"/>
        </w:rPr>
        <w:t>GFT</w:t>
      </w:r>
      <w:r>
        <w:rPr>
          <w:rFonts w:hint="eastAsia" w:asciiTheme="minorEastAsia" w:hAnsiTheme="minorEastAsia"/>
        </w:rPr>
        <w:t>）一级包含《会计学与财务分析基础》科目，会计学与财务分析是金融科技从业必需的关键技能。特许全球金融科技师（CGFT）一级考试是技能认证性考试，按照金融科技人才知识技能能力标准，以标准化考试的方式对考生对于会计学与财务分析基础知识的掌握程度进行评价。</w:t>
      </w:r>
    </w:p>
    <w:p>
      <w:pPr>
        <w:rPr>
          <w:rFonts w:asciiTheme="minorEastAsia" w:hAnsiTheme="minorEastAsia"/>
        </w:rPr>
      </w:pPr>
    </w:p>
    <w:p>
      <w:pPr>
        <w:pStyle w:val="2"/>
        <w:numPr>
          <w:ilvl w:val="0"/>
          <w:numId w:val="1"/>
        </w:numPr>
        <w:rPr>
          <w:rFonts w:asciiTheme="minorEastAsia" w:hAnsiTheme="minorEastAsia"/>
          <w:sz w:val="32"/>
          <w:szCs w:val="32"/>
        </w:rPr>
      </w:pPr>
      <w:bookmarkStart w:id="1" w:name="_Toc114675739"/>
      <w:r>
        <w:rPr>
          <w:rFonts w:hint="eastAsia" w:asciiTheme="minorEastAsia" w:hAnsiTheme="minorEastAsia"/>
          <w:sz w:val="32"/>
          <w:szCs w:val="32"/>
        </w:rPr>
        <w:t>考查目标</w:t>
      </w:r>
      <w:bookmarkEnd w:id="1"/>
    </w:p>
    <w:p>
      <w:pPr>
        <w:pStyle w:val="23"/>
        <w:numPr>
          <w:ilvl w:val="0"/>
          <w:numId w:val="2"/>
        </w:numPr>
        <w:spacing w:line="360" w:lineRule="auto"/>
        <w:ind w:firstLineChars="0"/>
        <w:rPr>
          <w:rFonts w:asciiTheme="minorEastAsia" w:hAnsiTheme="minorEastAsia"/>
          <w:b/>
        </w:rPr>
      </w:pPr>
      <w:r>
        <w:rPr>
          <w:rFonts w:hint="eastAsia" w:asciiTheme="minorEastAsia" w:hAnsiTheme="minorEastAsia"/>
          <w:b/>
        </w:rPr>
        <w:t>知识技能要求</w:t>
      </w:r>
    </w:p>
    <w:p>
      <w:pPr>
        <w:spacing w:line="360" w:lineRule="auto"/>
        <w:ind w:firstLine="420"/>
        <w:rPr>
          <w:rFonts w:asciiTheme="minorEastAsia" w:hAnsiTheme="minorEastAsia"/>
        </w:rPr>
      </w:pPr>
      <w:r>
        <w:rPr>
          <w:rFonts w:hint="eastAsia" w:asciiTheme="minorEastAsia" w:hAnsiTheme="minorEastAsia"/>
        </w:rPr>
        <w:t>CGFT一级对考生会计学与财务分析基础相关知识技能要求如下：</w:t>
      </w:r>
    </w:p>
    <w:p>
      <w:pPr>
        <w:pStyle w:val="23"/>
        <w:numPr>
          <w:ilvl w:val="0"/>
          <w:numId w:val="3"/>
        </w:numPr>
        <w:spacing w:line="360" w:lineRule="auto"/>
        <w:ind w:firstLineChars="0"/>
      </w:pPr>
      <w:r>
        <w:rPr>
          <w:rFonts w:hint="eastAsia"/>
        </w:rPr>
        <w:t>理解会计基本理论，包括财务报告基本概念、三张报表结构、财务分析基本假设和信息质量要求、权责发生制、会计分录</w:t>
      </w:r>
    </w:p>
    <w:p>
      <w:pPr>
        <w:pStyle w:val="23"/>
        <w:numPr>
          <w:ilvl w:val="0"/>
          <w:numId w:val="3"/>
        </w:numPr>
        <w:spacing w:line="360" w:lineRule="auto"/>
        <w:ind w:firstLineChars="0"/>
      </w:pPr>
      <w:r>
        <w:rPr>
          <w:rFonts w:hint="eastAsia"/>
        </w:rPr>
        <w:t>理解财务报表制作原理，特别是三张报表的制作</w:t>
      </w:r>
    </w:p>
    <w:p>
      <w:pPr>
        <w:pStyle w:val="23"/>
        <w:numPr>
          <w:ilvl w:val="0"/>
          <w:numId w:val="3"/>
        </w:numPr>
        <w:spacing w:line="360" w:lineRule="auto"/>
        <w:ind w:firstLineChars="0"/>
      </w:pPr>
      <w:r>
        <w:rPr>
          <w:rFonts w:hint="eastAsia"/>
        </w:rPr>
        <w:t>理解收入确认</w:t>
      </w:r>
    </w:p>
    <w:p>
      <w:pPr>
        <w:pStyle w:val="23"/>
        <w:numPr>
          <w:ilvl w:val="0"/>
          <w:numId w:val="3"/>
        </w:numPr>
        <w:spacing w:line="360" w:lineRule="auto"/>
        <w:ind w:firstLineChars="0"/>
      </w:pPr>
      <w:r>
        <w:rPr>
          <w:rFonts w:hint="eastAsia"/>
        </w:rPr>
        <w:t>深入理解资产、负债、所有者权益的概念以及相应报表制作</w:t>
      </w:r>
    </w:p>
    <w:p>
      <w:pPr>
        <w:pStyle w:val="23"/>
        <w:numPr>
          <w:ilvl w:val="0"/>
          <w:numId w:val="3"/>
        </w:numPr>
        <w:spacing w:line="360" w:lineRule="auto"/>
        <w:ind w:firstLineChars="0"/>
      </w:pPr>
      <w:r>
        <w:rPr>
          <w:rFonts w:hint="eastAsia"/>
        </w:rPr>
        <w:t>深入理解现金流量表的概念和相应报表制作，掌握间接法以及现金流量报表分析</w:t>
      </w:r>
    </w:p>
    <w:p>
      <w:pPr>
        <w:pStyle w:val="23"/>
        <w:numPr>
          <w:ilvl w:val="0"/>
          <w:numId w:val="3"/>
        </w:numPr>
        <w:spacing w:line="360" w:lineRule="auto"/>
        <w:ind w:firstLineChars="0"/>
      </w:pPr>
      <w:r>
        <w:rPr>
          <w:rFonts w:hint="eastAsia"/>
        </w:rPr>
        <w:t>深入理解财务报表分析方法</w:t>
      </w:r>
    </w:p>
    <w:p>
      <w:pPr>
        <w:spacing w:line="360" w:lineRule="auto"/>
      </w:pPr>
    </w:p>
    <w:p>
      <w:pPr>
        <w:pStyle w:val="23"/>
        <w:numPr>
          <w:ilvl w:val="0"/>
          <w:numId w:val="2"/>
        </w:numPr>
        <w:spacing w:line="360" w:lineRule="auto"/>
        <w:ind w:firstLineChars="0"/>
        <w:rPr>
          <w:rFonts w:asciiTheme="minorEastAsia" w:hAnsiTheme="minorEastAsia"/>
          <w:b/>
        </w:rPr>
      </w:pPr>
      <w:r>
        <w:rPr>
          <w:rFonts w:hint="eastAsia" w:asciiTheme="minorEastAsia" w:hAnsiTheme="minorEastAsia"/>
          <w:b/>
        </w:rPr>
        <w:t>能力素质要求</w:t>
      </w:r>
    </w:p>
    <w:p>
      <w:pPr>
        <w:spacing w:line="360" w:lineRule="auto"/>
        <w:ind w:firstLine="420"/>
        <w:rPr>
          <w:rFonts w:asciiTheme="minorEastAsia" w:hAnsiTheme="minorEastAsia"/>
        </w:rPr>
      </w:pPr>
      <w:r>
        <w:rPr>
          <w:rFonts w:hint="eastAsia" w:asciiTheme="minorEastAsia" w:hAnsiTheme="minorEastAsia"/>
        </w:rPr>
        <w:t>CGFT一级对考生会计学与财务分析基础相关能力素质要求如下：</w:t>
      </w:r>
    </w:p>
    <w:p>
      <w:pPr>
        <w:pStyle w:val="23"/>
        <w:numPr>
          <w:ilvl w:val="0"/>
          <w:numId w:val="3"/>
        </w:numPr>
        <w:spacing w:line="360" w:lineRule="auto"/>
        <w:ind w:firstLineChars="0"/>
      </w:pPr>
      <w:r>
        <w:rPr>
          <w:rFonts w:hint="eastAsia"/>
        </w:rPr>
        <w:t>具备财务分析报表分析能力，指导对企业经营分析、信用分析和投资分析</w:t>
      </w:r>
    </w:p>
    <w:p>
      <w:pPr>
        <w:spacing w:line="360" w:lineRule="auto"/>
      </w:pPr>
    </w:p>
    <w:p>
      <w:pPr>
        <w:spacing w:line="360" w:lineRule="auto"/>
      </w:pPr>
    </w:p>
    <w:p>
      <w:pPr>
        <w:spacing w:line="360" w:lineRule="auto"/>
      </w:pPr>
    </w:p>
    <w:p>
      <w:pPr>
        <w:sectPr>
          <w:footerReference r:id="rId4" w:type="default"/>
          <w:pgSz w:w="11906" w:h="16838"/>
          <w:pgMar w:top="1134" w:right="1134" w:bottom="1134" w:left="1134" w:header="851" w:footer="992" w:gutter="0"/>
          <w:cols w:space="425" w:num="1"/>
          <w:docGrid w:type="lines" w:linePitch="312" w:charSpace="0"/>
        </w:sectPr>
      </w:pPr>
    </w:p>
    <w:p>
      <w:pPr>
        <w:pStyle w:val="2"/>
        <w:numPr>
          <w:ilvl w:val="0"/>
          <w:numId w:val="1"/>
        </w:numPr>
        <w:rPr>
          <w:rFonts w:asciiTheme="minorEastAsia" w:hAnsiTheme="minorEastAsia"/>
          <w:sz w:val="32"/>
          <w:szCs w:val="32"/>
        </w:rPr>
      </w:pPr>
      <w:bookmarkStart w:id="2" w:name="_Toc114675740"/>
      <w:r>
        <w:rPr>
          <w:rFonts w:hint="eastAsia" w:asciiTheme="minorEastAsia" w:hAnsiTheme="minorEastAsia"/>
          <w:sz w:val="32"/>
          <w:szCs w:val="32"/>
        </w:rPr>
        <w:t>考试形式和试卷结构</w:t>
      </w:r>
      <w:bookmarkEnd w:id="2"/>
    </w:p>
    <w:p>
      <w:pPr>
        <w:pStyle w:val="3"/>
        <w:numPr>
          <w:ilvl w:val="0"/>
          <w:numId w:val="4"/>
        </w:numPr>
        <w:rPr>
          <w:rFonts w:asciiTheme="minorEastAsia" w:hAnsiTheme="minorEastAsia" w:eastAsiaTheme="minorEastAsia"/>
          <w:sz w:val="28"/>
          <w:szCs w:val="28"/>
        </w:rPr>
      </w:pPr>
      <w:bookmarkStart w:id="3" w:name="_Toc114675741"/>
      <w:r>
        <w:rPr>
          <w:rFonts w:hint="eastAsia" w:asciiTheme="minorEastAsia" w:hAnsiTheme="minorEastAsia" w:eastAsiaTheme="minorEastAsia"/>
          <w:sz w:val="28"/>
          <w:szCs w:val="28"/>
        </w:rPr>
        <w:t>试卷满分</w:t>
      </w:r>
      <w:bookmarkEnd w:id="3"/>
    </w:p>
    <w:p>
      <w:pPr>
        <w:ind w:left="420"/>
      </w:pPr>
      <w:r>
        <w:rPr>
          <w:rFonts w:hint="eastAsia"/>
        </w:rPr>
        <w:t>C</w:t>
      </w:r>
      <w:r>
        <w:t>GFT</w:t>
      </w:r>
      <w:r>
        <w:rPr>
          <w:rFonts w:hint="eastAsia"/>
        </w:rPr>
        <w:t>一级考试包含七门课程，其中《会计学与财务分析基础》包含</w:t>
      </w:r>
      <w:r>
        <w:t>40</w:t>
      </w:r>
      <w:r>
        <w:rPr>
          <w:rFonts w:hint="eastAsia"/>
        </w:rPr>
        <w:t>题，该部分满分为1</w:t>
      </w:r>
      <w:r>
        <w:t>00</w:t>
      </w:r>
      <w:r>
        <w:rPr>
          <w:rFonts w:hint="eastAsia"/>
        </w:rPr>
        <w:t>分。</w:t>
      </w:r>
    </w:p>
    <w:p>
      <w:pPr>
        <w:pStyle w:val="3"/>
        <w:numPr>
          <w:ilvl w:val="0"/>
          <w:numId w:val="4"/>
        </w:numPr>
        <w:rPr>
          <w:rFonts w:asciiTheme="minorEastAsia" w:hAnsiTheme="minorEastAsia" w:eastAsiaTheme="minorEastAsia"/>
          <w:sz w:val="28"/>
          <w:szCs w:val="28"/>
        </w:rPr>
      </w:pPr>
      <w:bookmarkStart w:id="4" w:name="_Toc114675742"/>
      <w:r>
        <w:rPr>
          <w:rFonts w:hint="eastAsia" w:asciiTheme="minorEastAsia" w:hAnsiTheme="minorEastAsia" w:eastAsiaTheme="minorEastAsia"/>
          <w:sz w:val="28"/>
          <w:szCs w:val="28"/>
        </w:rPr>
        <w:t>答题方式</w:t>
      </w:r>
      <w:bookmarkEnd w:id="4"/>
    </w:p>
    <w:p>
      <w:pPr>
        <w:ind w:left="420"/>
      </w:pPr>
      <w:r>
        <w:rPr>
          <w:rFonts w:hint="eastAsia"/>
        </w:rPr>
        <w:t>机考，闭卷，可以跨区答题</w:t>
      </w:r>
    </w:p>
    <w:p>
      <w:pPr>
        <w:pStyle w:val="3"/>
        <w:numPr>
          <w:ilvl w:val="0"/>
          <w:numId w:val="4"/>
        </w:numPr>
        <w:rPr>
          <w:rFonts w:asciiTheme="minorEastAsia" w:hAnsiTheme="minorEastAsia" w:eastAsiaTheme="minorEastAsia"/>
          <w:sz w:val="28"/>
          <w:szCs w:val="28"/>
        </w:rPr>
      </w:pPr>
      <w:bookmarkStart w:id="5" w:name="_Toc114675743"/>
      <w:r>
        <w:rPr>
          <w:rFonts w:hint="eastAsia" w:asciiTheme="minorEastAsia" w:hAnsiTheme="minorEastAsia" w:eastAsiaTheme="minorEastAsia"/>
          <w:sz w:val="28"/>
          <w:szCs w:val="28"/>
        </w:rPr>
        <w:t>试卷内容结构</w:t>
      </w:r>
      <w:bookmarkEnd w:id="5"/>
    </w:p>
    <w:p>
      <w:pPr>
        <w:ind w:left="420"/>
      </w:pPr>
      <w:r>
        <w:rPr>
          <w:rFonts w:hint="eastAsia"/>
        </w:rPr>
        <w:t>不对内容结构分布做明确限定。</w:t>
      </w:r>
    </w:p>
    <w:p>
      <w:pPr>
        <w:pStyle w:val="3"/>
        <w:numPr>
          <w:ilvl w:val="0"/>
          <w:numId w:val="4"/>
        </w:numPr>
        <w:rPr>
          <w:rFonts w:asciiTheme="minorEastAsia" w:hAnsiTheme="minorEastAsia" w:eastAsiaTheme="minorEastAsia"/>
          <w:sz w:val="28"/>
          <w:szCs w:val="28"/>
        </w:rPr>
      </w:pPr>
      <w:bookmarkStart w:id="6" w:name="_Toc114675744"/>
      <w:r>
        <w:rPr>
          <w:rFonts w:hint="eastAsia" w:asciiTheme="minorEastAsia" w:hAnsiTheme="minorEastAsia" w:eastAsiaTheme="minorEastAsia"/>
          <w:sz w:val="28"/>
          <w:szCs w:val="28"/>
        </w:rPr>
        <w:t>试卷题型结构</w:t>
      </w:r>
      <w:bookmarkEnd w:id="6"/>
    </w:p>
    <w:p>
      <w:pPr>
        <w:ind w:left="420"/>
      </w:pPr>
      <w:r>
        <w:rPr>
          <w:rFonts w:hint="eastAsia"/>
        </w:rPr>
        <w:t>以客观题方式进行考察，题型包括：判断题、单选题、多选题。</w:t>
      </w:r>
    </w:p>
    <w:p>
      <w:pPr>
        <w:ind w:left="420"/>
      </w:pPr>
      <w:r>
        <w:rPr>
          <w:rFonts w:hint="eastAsia"/>
        </w:rPr>
        <w:t>不对题型结构分布做明确限定。</w:t>
      </w:r>
    </w:p>
    <w:p/>
    <w:p>
      <w:pPr>
        <w:sectPr>
          <w:pgSz w:w="11906" w:h="16838"/>
          <w:pgMar w:top="1134" w:right="1134" w:bottom="1134" w:left="1134" w:header="851" w:footer="992" w:gutter="0"/>
          <w:cols w:space="425" w:num="1"/>
          <w:docGrid w:type="lines" w:linePitch="312" w:charSpace="0"/>
        </w:sectPr>
      </w:pPr>
    </w:p>
    <w:p>
      <w:pPr>
        <w:pStyle w:val="2"/>
        <w:numPr>
          <w:ilvl w:val="0"/>
          <w:numId w:val="1"/>
        </w:numPr>
        <w:rPr>
          <w:rFonts w:asciiTheme="minorEastAsia" w:hAnsiTheme="minorEastAsia"/>
          <w:sz w:val="32"/>
          <w:szCs w:val="32"/>
        </w:rPr>
      </w:pPr>
      <w:bookmarkStart w:id="7" w:name="_Toc114675745"/>
      <w:r>
        <w:rPr>
          <w:rFonts w:hint="eastAsia" w:asciiTheme="minorEastAsia" w:hAnsiTheme="minorEastAsia"/>
          <w:sz w:val="32"/>
          <w:szCs w:val="32"/>
        </w:rPr>
        <w:t>考察内容与考点解析</w:t>
      </w:r>
      <w:bookmarkEnd w:id="7"/>
    </w:p>
    <w:p>
      <w:pPr>
        <w:pStyle w:val="3"/>
        <w:numPr>
          <w:ilvl w:val="0"/>
          <w:numId w:val="5"/>
        </w:numPr>
        <w:rPr>
          <w:rFonts w:asciiTheme="minorEastAsia" w:hAnsiTheme="minorEastAsia" w:eastAsiaTheme="minorEastAsia"/>
          <w:sz w:val="28"/>
          <w:szCs w:val="28"/>
        </w:rPr>
      </w:pPr>
      <w:bookmarkStart w:id="8" w:name="_Toc114675746"/>
      <w:r>
        <w:rPr>
          <w:rFonts w:hint="eastAsia" w:asciiTheme="minorEastAsia" w:hAnsiTheme="minorEastAsia" w:eastAsiaTheme="minorEastAsia"/>
          <w:sz w:val="28"/>
          <w:szCs w:val="28"/>
        </w:rPr>
        <w:t>章节内容考点清单</w:t>
      </w:r>
      <w:bookmarkEnd w:id="8"/>
    </w:p>
    <w:p>
      <w:pPr>
        <w:ind w:left="420"/>
      </w:pPr>
      <w:r>
        <w:rPr>
          <w:rFonts w:hint="eastAsia"/>
        </w:rPr>
        <w:t>本表中考察要求的定义如下</w:t>
      </w:r>
    </w:p>
    <w:p>
      <w:pPr>
        <w:pStyle w:val="23"/>
        <w:numPr>
          <w:ilvl w:val="0"/>
          <w:numId w:val="6"/>
        </w:numPr>
        <w:ind w:firstLineChars="0"/>
      </w:pPr>
      <w:r>
        <w:rPr>
          <w:rFonts w:hint="eastAsia"/>
        </w:rPr>
        <w:t>基础识记：主要是事实知识，考察对事实性知识的记忆，“知道”即可。</w:t>
      </w:r>
      <w:r>
        <w:t xml:space="preserve"> </w:t>
      </w:r>
    </w:p>
    <w:p>
      <w:pPr>
        <w:pStyle w:val="23"/>
        <w:numPr>
          <w:ilvl w:val="0"/>
          <w:numId w:val="6"/>
        </w:numPr>
        <w:ind w:firstLineChars="0"/>
      </w:pPr>
      <w:r>
        <w:rPr>
          <w:rFonts w:hint="eastAsia"/>
        </w:rPr>
        <w:t>一般理解：主要是概念定义，仅需一般理解。</w:t>
      </w:r>
    </w:p>
    <w:p>
      <w:pPr>
        <w:pStyle w:val="23"/>
        <w:numPr>
          <w:ilvl w:val="0"/>
          <w:numId w:val="6"/>
        </w:numPr>
        <w:ind w:firstLineChars="0"/>
      </w:pPr>
      <w:r>
        <w:rPr>
          <w:rFonts w:hint="eastAsia"/>
        </w:rPr>
        <w:t>深入理解：主要是核心原理，需要较深入理解并能灵活应用。</w:t>
      </w:r>
    </w:p>
    <w:p>
      <w:pPr>
        <w:pStyle w:val="23"/>
        <w:numPr>
          <w:ilvl w:val="0"/>
          <w:numId w:val="6"/>
        </w:numPr>
        <w:ind w:firstLineChars="0"/>
      </w:pPr>
      <w:r>
        <w:rPr>
          <w:rFonts w:hint="eastAsia"/>
        </w:rPr>
        <w:t>不做要求：不作为考试内容，考生可以自主选择阅读。</w:t>
      </w:r>
    </w:p>
    <w:p>
      <w:pPr>
        <w:pStyle w:val="29"/>
      </w:pPr>
    </w:p>
    <w:tbl>
      <w:tblPr>
        <w:tblStyle w:val="18"/>
        <w:tblW w:w="100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701"/>
        <w:gridCol w:w="5000"/>
        <w:gridCol w:w="954"/>
        <w:gridCol w:w="831"/>
        <w:gridCol w:w="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BEBEBE" w:themeFill="background1" w:themeFillShade="BF"/>
          </w:tcPr>
          <w:p>
            <w:pPr>
              <w:jc w:val="left"/>
              <w:rPr>
                <w:sz w:val="18"/>
              </w:rPr>
            </w:pPr>
            <w:r>
              <w:rPr>
                <w:rFonts w:hint="eastAsia"/>
                <w:sz w:val="18"/>
              </w:rPr>
              <w:t>章</w:t>
            </w:r>
          </w:p>
        </w:tc>
        <w:tc>
          <w:tcPr>
            <w:tcW w:w="1701" w:type="dxa"/>
            <w:shd w:val="clear" w:color="auto" w:fill="BEBEBE" w:themeFill="background1" w:themeFillShade="BF"/>
          </w:tcPr>
          <w:p>
            <w:pPr>
              <w:jc w:val="left"/>
              <w:rPr>
                <w:sz w:val="18"/>
              </w:rPr>
            </w:pPr>
            <w:r>
              <w:rPr>
                <w:rFonts w:hint="eastAsia"/>
                <w:sz w:val="18"/>
              </w:rPr>
              <w:t>节</w:t>
            </w:r>
          </w:p>
        </w:tc>
        <w:tc>
          <w:tcPr>
            <w:tcW w:w="5000" w:type="dxa"/>
            <w:shd w:val="clear" w:color="auto" w:fill="BEBEBE" w:themeFill="background1" w:themeFillShade="BF"/>
          </w:tcPr>
          <w:p>
            <w:pPr>
              <w:jc w:val="left"/>
              <w:rPr>
                <w:sz w:val="18"/>
              </w:rPr>
            </w:pPr>
            <w:r>
              <w:rPr>
                <w:rFonts w:hint="eastAsia"/>
                <w:sz w:val="18"/>
              </w:rPr>
              <w:t>考点范围</w:t>
            </w:r>
          </w:p>
        </w:tc>
        <w:tc>
          <w:tcPr>
            <w:tcW w:w="954" w:type="dxa"/>
            <w:shd w:val="clear" w:color="auto" w:fill="BEBEBE" w:themeFill="background1" w:themeFillShade="BF"/>
          </w:tcPr>
          <w:p>
            <w:pPr>
              <w:jc w:val="left"/>
              <w:rPr>
                <w:sz w:val="18"/>
              </w:rPr>
            </w:pPr>
            <w:r>
              <w:rPr>
                <w:rFonts w:hint="eastAsia"/>
                <w:sz w:val="18"/>
              </w:rPr>
              <w:t>考查要求</w:t>
            </w:r>
          </w:p>
        </w:tc>
        <w:tc>
          <w:tcPr>
            <w:tcW w:w="831" w:type="dxa"/>
            <w:tcBorders>
              <w:bottom w:val="single" w:color="auto" w:sz="4" w:space="0"/>
            </w:tcBorders>
            <w:shd w:val="clear" w:color="auto" w:fill="BEBEBE" w:themeFill="background1" w:themeFillShade="BF"/>
          </w:tcPr>
          <w:p>
            <w:pPr>
              <w:jc w:val="left"/>
              <w:rPr>
                <w:sz w:val="18"/>
              </w:rPr>
            </w:pPr>
            <w:r>
              <w:rPr>
                <w:rFonts w:hint="eastAsia"/>
                <w:sz w:val="18"/>
              </w:rPr>
              <w:t>重要性</w:t>
            </w:r>
          </w:p>
        </w:tc>
        <w:tc>
          <w:tcPr>
            <w:tcW w:w="691" w:type="dxa"/>
            <w:tcBorders>
              <w:bottom w:val="single" w:color="auto" w:sz="4" w:space="0"/>
            </w:tcBorders>
            <w:shd w:val="clear" w:color="auto" w:fill="BEBEBE" w:themeFill="background1" w:themeFillShade="BF"/>
          </w:tcPr>
          <w:p>
            <w:pPr>
              <w:jc w:val="left"/>
              <w:rPr>
                <w:sz w:val="18"/>
              </w:rPr>
            </w:pPr>
            <w:r>
              <w:rPr>
                <w:rFonts w:hint="eastAsia"/>
                <w:sz w:val="18"/>
              </w:rPr>
              <w:t>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restart"/>
          </w:tcPr>
          <w:p>
            <w:pPr>
              <w:jc w:val="left"/>
              <w:rPr>
                <w:sz w:val="18"/>
              </w:rPr>
            </w:pPr>
            <w:r>
              <w:rPr>
                <w:sz w:val="18"/>
              </w:rPr>
              <w:t xml:space="preserve">1. </w:t>
            </w:r>
            <w:r>
              <w:rPr>
                <w:rFonts w:hint="eastAsia"/>
                <w:sz w:val="18"/>
              </w:rPr>
              <w:t>会计基本理论</w:t>
            </w:r>
          </w:p>
        </w:tc>
        <w:tc>
          <w:tcPr>
            <w:tcW w:w="1701" w:type="dxa"/>
          </w:tcPr>
          <w:p>
            <w:pPr>
              <w:ind w:left="65"/>
              <w:jc w:val="left"/>
              <w:rPr>
                <w:sz w:val="18"/>
              </w:rPr>
            </w:pPr>
            <w:r>
              <w:rPr>
                <w:sz w:val="18"/>
              </w:rPr>
              <w:t xml:space="preserve">1.1 </w:t>
            </w:r>
            <w:r>
              <w:rPr>
                <w:rFonts w:hint="eastAsia"/>
                <w:sz w:val="18"/>
              </w:rPr>
              <w:t>财务报表的基本概念</w:t>
            </w:r>
          </w:p>
        </w:tc>
        <w:tc>
          <w:tcPr>
            <w:tcW w:w="5000" w:type="dxa"/>
          </w:tcPr>
          <w:p>
            <w:pPr>
              <w:pStyle w:val="23"/>
              <w:numPr>
                <w:ilvl w:val="0"/>
                <w:numId w:val="3"/>
              </w:numPr>
              <w:ind w:left="65" w:leftChars="31" w:firstLine="0" w:firstLineChars="0"/>
              <w:jc w:val="left"/>
              <w:rPr>
                <w:sz w:val="18"/>
              </w:rPr>
            </w:pPr>
            <w:r>
              <w:rPr>
                <w:rFonts w:hint="eastAsia"/>
                <w:sz w:val="18"/>
              </w:rPr>
              <w:t>会计和财务信息本质上是用作商业沟通的语言，企业需要通过财务信息来向各界各方传达企业的经营情况、财务情况等。一个企业通常至少要有三本账，这三本报告各有不同的计算方式和规则。</w:t>
            </w:r>
          </w:p>
          <w:p>
            <w:pPr>
              <w:pStyle w:val="23"/>
              <w:numPr>
                <w:ilvl w:val="0"/>
                <w:numId w:val="3"/>
              </w:numPr>
              <w:ind w:left="65" w:leftChars="31" w:firstLine="0" w:firstLineChars="0"/>
              <w:jc w:val="left"/>
              <w:rPr>
                <w:sz w:val="18"/>
              </w:rPr>
            </w:pPr>
            <w:r>
              <w:rPr>
                <w:rFonts w:hint="eastAsia"/>
                <w:sz w:val="18"/>
              </w:rPr>
              <w:t>财务报告的目标是向使用者提供辅助投资和其他决策会计信息</w:t>
            </w:r>
          </w:p>
          <w:p>
            <w:pPr>
              <w:pStyle w:val="23"/>
              <w:numPr>
                <w:ilvl w:val="0"/>
                <w:numId w:val="3"/>
              </w:numPr>
              <w:ind w:left="65" w:leftChars="31" w:firstLine="0" w:firstLineChars="0"/>
              <w:jc w:val="left"/>
              <w:rPr>
                <w:sz w:val="18"/>
              </w:rPr>
            </w:pPr>
            <w:r>
              <w:rPr>
                <w:rFonts w:hint="eastAsia"/>
                <w:sz w:val="18"/>
              </w:rPr>
              <w:t>财务报告的作用，例如上市股价变动、对赌协议业绩承诺、高管股权激励等往往以来财务信息作为重要参考变量</w:t>
            </w:r>
          </w:p>
        </w:tc>
        <w:tc>
          <w:tcPr>
            <w:tcW w:w="954" w:type="dxa"/>
          </w:tcPr>
          <w:p>
            <w:pPr>
              <w:jc w:val="left"/>
              <w:rPr>
                <w:sz w:val="18"/>
              </w:rPr>
            </w:pPr>
            <w:r>
              <w:rPr>
                <w:rFonts w:hint="eastAsia"/>
                <w:sz w:val="18"/>
              </w:rPr>
              <w:t>一般理解</w:t>
            </w:r>
          </w:p>
        </w:tc>
        <w:tc>
          <w:tcPr>
            <w:tcW w:w="831" w:type="dxa"/>
            <w:shd w:val="clear" w:color="auto" w:fill="auto"/>
          </w:tcPr>
          <w:p>
            <w:pPr>
              <w:jc w:val="left"/>
              <w:rPr>
                <w:sz w:val="18"/>
              </w:rPr>
            </w:pPr>
            <w:r>
              <w:rPr>
                <w:rFonts w:hint="eastAsia"/>
                <w:sz w:val="18"/>
              </w:rPr>
              <w:t>低</w:t>
            </w:r>
          </w:p>
        </w:tc>
        <w:tc>
          <w:tcPr>
            <w:tcW w:w="691" w:type="dxa"/>
            <w:shd w:val="clear" w:color="auto" w:fill="auto"/>
          </w:tcPr>
          <w:p>
            <w:pPr>
              <w:jc w:val="left"/>
              <w:rPr>
                <w:sz w:val="18"/>
              </w:rPr>
            </w:pPr>
            <w:r>
              <w:rPr>
                <w:rFonts w:hint="eastAsia"/>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1</w:t>
            </w:r>
            <w:r>
              <w:rPr>
                <w:sz w:val="18"/>
              </w:rPr>
              <w:t xml:space="preserve">.2 </w:t>
            </w:r>
            <w:r>
              <w:rPr>
                <w:rFonts w:hint="eastAsia"/>
                <w:sz w:val="18"/>
              </w:rPr>
              <w:t>三张主要报表简介</w:t>
            </w:r>
          </w:p>
        </w:tc>
        <w:tc>
          <w:tcPr>
            <w:tcW w:w="5000" w:type="dxa"/>
          </w:tcPr>
          <w:p>
            <w:pPr>
              <w:pStyle w:val="23"/>
              <w:numPr>
                <w:ilvl w:val="0"/>
                <w:numId w:val="3"/>
              </w:numPr>
              <w:ind w:left="65" w:leftChars="31" w:firstLine="0" w:firstLineChars="0"/>
              <w:jc w:val="left"/>
              <w:rPr>
                <w:sz w:val="18"/>
              </w:rPr>
            </w:pPr>
            <w:r>
              <w:rPr>
                <w:rFonts w:hint="eastAsia"/>
                <w:sz w:val="18"/>
              </w:rPr>
              <w:t>资产负债表的基本结构与会计恒等式，资产项目、负债项目、股东权益项目</w:t>
            </w:r>
          </w:p>
          <w:p>
            <w:pPr>
              <w:pStyle w:val="23"/>
              <w:numPr>
                <w:ilvl w:val="0"/>
                <w:numId w:val="3"/>
              </w:numPr>
              <w:ind w:left="65" w:leftChars="31" w:firstLine="0" w:firstLineChars="0"/>
              <w:jc w:val="left"/>
              <w:rPr>
                <w:sz w:val="18"/>
              </w:rPr>
            </w:pPr>
            <w:r>
              <w:rPr>
                <w:rFonts w:hint="eastAsia"/>
                <w:sz w:val="18"/>
              </w:rPr>
              <w:t>利润表的基本结构和项目</w:t>
            </w:r>
          </w:p>
          <w:p>
            <w:pPr>
              <w:pStyle w:val="23"/>
              <w:numPr>
                <w:ilvl w:val="0"/>
                <w:numId w:val="3"/>
              </w:numPr>
              <w:ind w:left="65" w:leftChars="31" w:firstLine="0" w:firstLineChars="0"/>
              <w:jc w:val="left"/>
              <w:rPr>
                <w:sz w:val="18"/>
              </w:rPr>
            </w:pPr>
            <w:r>
              <w:rPr>
                <w:rFonts w:hint="eastAsia"/>
                <w:sz w:val="18"/>
              </w:rPr>
              <w:t>现金流量表的基本结构和项目构成</w:t>
            </w:r>
          </w:p>
        </w:tc>
        <w:tc>
          <w:tcPr>
            <w:tcW w:w="954" w:type="dxa"/>
          </w:tcPr>
          <w:p>
            <w:pPr>
              <w:jc w:val="left"/>
              <w:rPr>
                <w:sz w:val="18"/>
              </w:rPr>
            </w:pPr>
            <w:r>
              <w:rPr>
                <w:rFonts w:hint="eastAsia"/>
                <w:sz w:val="18"/>
              </w:rPr>
              <w:t>一般理解</w:t>
            </w:r>
          </w:p>
        </w:tc>
        <w:tc>
          <w:tcPr>
            <w:tcW w:w="831" w:type="dxa"/>
            <w:shd w:val="clear" w:color="auto" w:fill="auto"/>
          </w:tcPr>
          <w:p>
            <w:pPr>
              <w:jc w:val="left"/>
              <w:rPr>
                <w:sz w:val="18"/>
              </w:rPr>
            </w:pPr>
            <w:r>
              <w:rPr>
                <w:rFonts w:hint="eastAsia"/>
                <w:sz w:val="18"/>
              </w:rPr>
              <w:t>低</w:t>
            </w:r>
          </w:p>
        </w:tc>
        <w:tc>
          <w:tcPr>
            <w:tcW w:w="691" w:type="dxa"/>
            <w:shd w:val="clear" w:color="auto" w:fill="auto"/>
          </w:tcPr>
          <w:p>
            <w:pPr>
              <w:jc w:val="left"/>
              <w:rPr>
                <w:sz w:val="18"/>
              </w:rPr>
            </w:pPr>
            <w:r>
              <w:rPr>
                <w:rFonts w:hint="eastAsia"/>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1</w:t>
            </w:r>
            <w:r>
              <w:rPr>
                <w:sz w:val="18"/>
              </w:rPr>
              <w:t xml:space="preserve">.3 </w:t>
            </w:r>
            <w:r>
              <w:rPr>
                <w:rFonts w:hint="eastAsia"/>
                <w:sz w:val="18"/>
              </w:rPr>
              <w:t>财务会计的基本假设和信息质量要求</w:t>
            </w:r>
          </w:p>
        </w:tc>
        <w:tc>
          <w:tcPr>
            <w:tcW w:w="5000" w:type="dxa"/>
          </w:tcPr>
          <w:p>
            <w:pPr>
              <w:pStyle w:val="23"/>
              <w:numPr>
                <w:ilvl w:val="0"/>
                <w:numId w:val="3"/>
              </w:numPr>
              <w:ind w:left="65" w:leftChars="31" w:firstLine="0" w:firstLineChars="0"/>
              <w:jc w:val="left"/>
              <w:rPr>
                <w:sz w:val="18"/>
              </w:rPr>
            </w:pPr>
            <w:r>
              <w:rPr>
                <w:rFonts w:hint="eastAsia"/>
                <w:sz w:val="18"/>
              </w:rPr>
              <w:t>财务会计的四个基本假设：会计主体假设、持续经营、会计分期、货币计量</w:t>
            </w:r>
          </w:p>
          <w:p>
            <w:pPr>
              <w:pStyle w:val="23"/>
              <w:numPr>
                <w:ilvl w:val="0"/>
                <w:numId w:val="3"/>
              </w:numPr>
              <w:ind w:left="65" w:leftChars="31" w:firstLine="0" w:firstLineChars="0"/>
              <w:jc w:val="left"/>
              <w:rPr>
                <w:sz w:val="18"/>
              </w:rPr>
            </w:pPr>
            <w:r>
              <w:rPr>
                <w:rFonts w:hint="eastAsia"/>
                <w:sz w:val="18"/>
              </w:rPr>
              <w:t>财务会计的七个信息质量要求：可靠性、相关性、可理解性、实质重于形式、重要性、谨慎性、及时性</w:t>
            </w:r>
          </w:p>
          <w:p>
            <w:pPr>
              <w:pStyle w:val="23"/>
              <w:numPr>
                <w:ilvl w:val="0"/>
                <w:numId w:val="3"/>
              </w:numPr>
              <w:ind w:left="65" w:leftChars="31" w:firstLine="0" w:firstLineChars="0"/>
              <w:jc w:val="left"/>
              <w:rPr>
                <w:sz w:val="18"/>
              </w:rPr>
            </w:pPr>
            <w:r>
              <w:rPr>
                <w:rFonts w:hint="eastAsia"/>
                <w:sz w:val="18"/>
              </w:rPr>
              <w:t>财务信息的不足</w:t>
            </w:r>
          </w:p>
        </w:tc>
        <w:tc>
          <w:tcPr>
            <w:tcW w:w="954" w:type="dxa"/>
          </w:tcPr>
          <w:p>
            <w:pPr>
              <w:jc w:val="left"/>
              <w:rPr>
                <w:sz w:val="18"/>
              </w:rPr>
            </w:pPr>
            <w:r>
              <w:rPr>
                <w:rFonts w:hint="eastAsia"/>
                <w:sz w:val="18"/>
              </w:rPr>
              <w:t>一般理解</w:t>
            </w:r>
          </w:p>
        </w:tc>
        <w:tc>
          <w:tcPr>
            <w:tcW w:w="831" w:type="dxa"/>
            <w:shd w:val="clear" w:color="auto" w:fill="auto"/>
          </w:tcPr>
          <w:p>
            <w:pPr>
              <w:jc w:val="left"/>
              <w:rPr>
                <w:sz w:val="18"/>
              </w:rPr>
            </w:pPr>
            <w:r>
              <w:rPr>
                <w:rFonts w:hint="eastAsia"/>
                <w:sz w:val="18"/>
              </w:rPr>
              <w:t>低</w:t>
            </w:r>
          </w:p>
        </w:tc>
        <w:tc>
          <w:tcPr>
            <w:tcW w:w="691" w:type="dxa"/>
            <w:shd w:val="clear" w:color="auto" w:fill="auto"/>
          </w:tcPr>
          <w:p>
            <w:pPr>
              <w:jc w:val="left"/>
              <w:rPr>
                <w:sz w:val="18"/>
              </w:rPr>
            </w:pPr>
            <w:r>
              <w:rPr>
                <w:rFonts w:hint="eastAsia"/>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1</w:t>
            </w:r>
            <w:r>
              <w:rPr>
                <w:sz w:val="18"/>
              </w:rPr>
              <w:t xml:space="preserve">.4 </w:t>
            </w:r>
            <w:r>
              <w:rPr>
                <w:rFonts w:hint="eastAsia"/>
                <w:sz w:val="18"/>
              </w:rPr>
              <w:t>权责发生制</w:t>
            </w:r>
          </w:p>
        </w:tc>
        <w:tc>
          <w:tcPr>
            <w:tcW w:w="5000" w:type="dxa"/>
          </w:tcPr>
          <w:p>
            <w:pPr>
              <w:pStyle w:val="23"/>
              <w:numPr>
                <w:ilvl w:val="0"/>
                <w:numId w:val="3"/>
              </w:numPr>
              <w:ind w:left="65" w:leftChars="31" w:firstLine="0" w:firstLineChars="0"/>
              <w:jc w:val="left"/>
              <w:rPr>
                <w:sz w:val="18"/>
              </w:rPr>
            </w:pPr>
            <w:r>
              <w:rPr>
                <w:rFonts w:hint="eastAsia"/>
                <w:sz w:val="18"/>
              </w:rPr>
              <w:t>两种确认方式：权责发生制、收付实现制</w:t>
            </w:r>
          </w:p>
          <w:p>
            <w:pPr>
              <w:pStyle w:val="23"/>
              <w:numPr>
                <w:ilvl w:val="0"/>
                <w:numId w:val="3"/>
              </w:numPr>
              <w:ind w:left="65" w:leftChars="31" w:firstLine="0" w:firstLineChars="0"/>
              <w:jc w:val="left"/>
              <w:rPr>
                <w:sz w:val="18"/>
              </w:rPr>
            </w:pPr>
            <w:r>
              <w:rPr>
                <w:rFonts w:hint="eastAsia"/>
                <w:sz w:val="18"/>
              </w:rPr>
              <w:t>权责发生制的代价</w:t>
            </w:r>
          </w:p>
        </w:tc>
        <w:tc>
          <w:tcPr>
            <w:tcW w:w="954" w:type="dxa"/>
          </w:tcPr>
          <w:p>
            <w:pPr>
              <w:jc w:val="left"/>
              <w:rPr>
                <w:sz w:val="18"/>
              </w:rPr>
            </w:pPr>
            <w:r>
              <w:rPr>
                <w:rFonts w:hint="eastAsia"/>
                <w:sz w:val="18"/>
              </w:rPr>
              <w:t>一般理解</w:t>
            </w:r>
          </w:p>
        </w:tc>
        <w:tc>
          <w:tcPr>
            <w:tcW w:w="831" w:type="dxa"/>
            <w:shd w:val="clear" w:color="auto" w:fill="auto"/>
          </w:tcPr>
          <w:p>
            <w:pPr>
              <w:jc w:val="left"/>
              <w:rPr>
                <w:sz w:val="18"/>
              </w:rPr>
            </w:pPr>
            <w:r>
              <w:rPr>
                <w:rFonts w:hint="eastAsia"/>
                <w:sz w:val="18"/>
              </w:rPr>
              <w:t>高</w:t>
            </w:r>
          </w:p>
        </w:tc>
        <w:tc>
          <w:tcPr>
            <w:tcW w:w="691" w:type="dxa"/>
            <w:shd w:val="clear" w:color="auto" w:fill="auto"/>
          </w:tcPr>
          <w:p>
            <w:pPr>
              <w:jc w:val="left"/>
              <w:rPr>
                <w:sz w:val="18"/>
              </w:rPr>
            </w:pPr>
            <w:r>
              <w:rPr>
                <w:rFonts w:hint="eastAsia"/>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1</w:t>
            </w:r>
            <w:r>
              <w:rPr>
                <w:sz w:val="18"/>
              </w:rPr>
              <w:t xml:space="preserve">.5 </w:t>
            </w:r>
            <w:r>
              <w:rPr>
                <w:rFonts w:hint="eastAsia"/>
                <w:sz w:val="18"/>
              </w:rPr>
              <w:t>会计分录</w:t>
            </w:r>
          </w:p>
        </w:tc>
        <w:tc>
          <w:tcPr>
            <w:tcW w:w="5000" w:type="dxa"/>
          </w:tcPr>
          <w:p>
            <w:pPr>
              <w:pStyle w:val="23"/>
              <w:numPr>
                <w:ilvl w:val="0"/>
                <w:numId w:val="3"/>
              </w:numPr>
              <w:ind w:left="65" w:leftChars="31" w:firstLine="0" w:firstLineChars="0"/>
              <w:jc w:val="left"/>
              <w:rPr>
                <w:sz w:val="18"/>
              </w:rPr>
            </w:pPr>
            <w:r>
              <w:rPr>
                <w:rFonts w:hint="eastAsia"/>
                <w:sz w:val="18"/>
              </w:rPr>
              <w:t>会计分录的基本概念</w:t>
            </w:r>
          </w:p>
          <w:p>
            <w:pPr>
              <w:pStyle w:val="23"/>
              <w:numPr>
                <w:ilvl w:val="0"/>
                <w:numId w:val="3"/>
              </w:numPr>
              <w:ind w:left="65" w:leftChars="31" w:firstLine="0" w:firstLineChars="0"/>
              <w:jc w:val="left"/>
              <w:rPr>
                <w:sz w:val="18"/>
              </w:rPr>
            </w:pPr>
            <w:r>
              <w:rPr>
                <w:rFonts w:hint="eastAsia"/>
                <w:sz w:val="18"/>
              </w:rPr>
              <w:t>会计分录的具体制作，不涉及利润表科目的会计分录，涉及利润表的会计分录</w:t>
            </w:r>
          </w:p>
          <w:p>
            <w:pPr>
              <w:pStyle w:val="23"/>
              <w:numPr>
                <w:ilvl w:val="0"/>
                <w:numId w:val="3"/>
              </w:numPr>
              <w:ind w:left="65" w:leftChars="31" w:firstLine="0" w:firstLineChars="0"/>
              <w:jc w:val="left"/>
              <w:rPr>
                <w:sz w:val="18"/>
              </w:rPr>
            </w:pPr>
            <w:r>
              <w:rPr>
                <w:rFonts w:hint="eastAsia"/>
                <w:sz w:val="18"/>
              </w:rPr>
              <w:t>业务事项会计分录对财务报表的影响</w:t>
            </w:r>
          </w:p>
        </w:tc>
        <w:tc>
          <w:tcPr>
            <w:tcW w:w="954" w:type="dxa"/>
          </w:tcPr>
          <w:p>
            <w:pPr>
              <w:jc w:val="left"/>
              <w:rPr>
                <w:sz w:val="18"/>
              </w:rPr>
            </w:pPr>
            <w:r>
              <w:rPr>
                <w:rFonts w:hint="eastAsia"/>
                <w:sz w:val="18"/>
              </w:rPr>
              <w:t>深入理解</w:t>
            </w:r>
          </w:p>
        </w:tc>
        <w:tc>
          <w:tcPr>
            <w:tcW w:w="831" w:type="dxa"/>
            <w:shd w:val="clear" w:color="auto" w:fill="auto"/>
          </w:tcPr>
          <w:p>
            <w:pPr>
              <w:jc w:val="left"/>
              <w:rPr>
                <w:sz w:val="18"/>
              </w:rPr>
            </w:pPr>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restart"/>
          </w:tcPr>
          <w:p>
            <w:pPr>
              <w:jc w:val="left"/>
              <w:rPr>
                <w:sz w:val="18"/>
              </w:rPr>
            </w:pPr>
            <w:r>
              <w:rPr>
                <w:rFonts w:hint="eastAsia"/>
                <w:sz w:val="18"/>
              </w:rPr>
              <w:t>2</w:t>
            </w:r>
            <w:r>
              <w:rPr>
                <w:sz w:val="18"/>
              </w:rPr>
              <w:t xml:space="preserve">. </w:t>
            </w:r>
            <w:r>
              <w:rPr>
                <w:rFonts w:hint="eastAsia"/>
                <w:sz w:val="18"/>
              </w:rPr>
              <w:t>财务报表的制作</w:t>
            </w:r>
          </w:p>
        </w:tc>
        <w:tc>
          <w:tcPr>
            <w:tcW w:w="1701" w:type="dxa"/>
          </w:tcPr>
          <w:p>
            <w:pPr>
              <w:ind w:left="65"/>
              <w:jc w:val="left"/>
              <w:rPr>
                <w:sz w:val="18"/>
              </w:rPr>
            </w:pPr>
            <w:r>
              <w:rPr>
                <w:rFonts w:hint="eastAsia"/>
                <w:sz w:val="18"/>
              </w:rPr>
              <w:t>2</w:t>
            </w:r>
            <w:r>
              <w:rPr>
                <w:sz w:val="18"/>
              </w:rPr>
              <w:t xml:space="preserve">.1 </w:t>
            </w:r>
            <w:r>
              <w:rPr>
                <w:rFonts w:hint="eastAsia"/>
                <w:sz w:val="18"/>
              </w:rPr>
              <w:t>制作资产负债表和现金流量表</w:t>
            </w:r>
          </w:p>
        </w:tc>
        <w:tc>
          <w:tcPr>
            <w:tcW w:w="5000" w:type="dxa"/>
          </w:tcPr>
          <w:p>
            <w:pPr>
              <w:pStyle w:val="23"/>
              <w:numPr>
                <w:ilvl w:val="0"/>
                <w:numId w:val="3"/>
              </w:numPr>
              <w:ind w:left="65" w:leftChars="31" w:firstLine="0" w:firstLineChars="0"/>
              <w:jc w:val="left"/>
              <w:rPr>
                <w:sz w:val="18"/>
              </w:rPr>
            </w:pPr>
            <w:r>
              <w:rPr>
                <w:rFonts w:hint="eastAsia"/>
                <w:sz w:val="18"/>
              </w:rPr>
              <w:t>制作资产负债表</w:t>
            </w:r>
          </w:p>
        </w:tc>
        <w:tc>
          <w:tcPr>
            <w:tcW w:w="954" w:type="dxa"/>
          </w:tcPr>
          <w:p>
            <w:pPr>
              <w:jc w:val="left"/>
              <w:rPr>
                <w:sz w:val="18"/>
              </w:rPr>
            </w:pPr>
            <w:r>
              <w:rPr>
                <w:rFonts w:hint="eastAsia"/>
                <w:sz w:val="18"/>
              </w:rPr>
              <w:t>一般理解</w:t>
            </w:r>
          </w:p>
        </w:tc>
        <w:tc>
          <w:tcPr>
            <w:tcW w:w="831" w:type="dxa"/>
            <w:shd w:val="clear" w:color="auto" w:fill="auto"/>
          </w:tcPr>
          <w:p>
            <w:pPr>
              <w:jc w:val="left"/>
              <w:rPr>
                <w:sz w:val="18"/>
              </w:rPr>
            </w:pPr>
            <w:r>
              <w:rPr>
                <w:rFonts w:hint="eastAsia"/>
                <w:sz w:val="18"/>
              </w:rPr>
              <w:t>高</w:t>
            </w:r>
          </w:p>
        </w:tc>
        <w:tc>
          <w:tcPr>
            <w:tcW w:w="691" w:type="dxa"/>
            <w:shd w:val="clear" w:color="auto" w:fill="auto"/>
          </w:tcPr>
          <w:p>
            <w:pPr>
              <w:jc w:val="left"/>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2</w:t>
            </w:r>
            <w:r>
              <w:rPr>
                <w:sz w:val="18"/>
              </w:rPr>
              <w:t xml:space="preserve">.2 </w:t>
            </w:r>
            <w:r>
              <w:rPr>
                <w:rFonts w:hint="eastAsia"/>
                <w:sz w:val="18"/>
              </w:rPr>
              <w:t>制作现金流量表</w:t>
            </w:r>
          </w:p>
        </w:tc>
        <w:tc>
          <w:tcPr>
            <w:tcW w:w="5000" w:type="dxa"/>
          </w:tcPr>
          <w:p>
            <w:pPr>
              <w:pStyle w:val="23"/>
              <w:numPr>
                <w:ilvl w:val="0"/>
                <w:numId w:val="3"/>
              </w:numPr>
              <w:ind w:left="65" w:leftChars="31" w:firstLine="0" w:firstLineChars="0"/>
              <w:jc w:val="left"/>
              <w:rPr>
                <w:sz w:val="18"/>
              </w:rPr>
            </w:pPr>
            <w:r>
              <w:rPr>
                <w:rFonts w:hint="eastAsia"/>
                <w:sz w:val="18"/>
              </w:rPr>
              <w:t>制作现金流量表</w:t>
            </w:r>
          </w:p>
        </w:tc>
        <w:tc>
          <w:tcPr>
            <w:tcW w:w="954" w:type="dxa"/>
          </w:tcPr>
          <w:p>
            <w:pPr>
              <w:jc w:val="left"/>
              <w:rPr>
                <w:sz w:val="18"/>
              </w:rPr>
            </w:pPr>
            <w:r>
              <w:rPr>
                <w:rFonts w:hint="eastAsia"/>
                <w:sz w:val="18"/>
              </w:rPr>
              <w:t>一般理解</w:t>
            </w:r>
          </w:p>
        </w:tc>
        <w:tc>
          <w:tcPr>
            <w:tcW w:w="831" w:type="dxa"/>
            <w:shd w:val="clear" w:color="auto" w:fill="auto"/>
          </w:tcPr>
          <w:p>
            <w:pPr>
              <w:jc w:val="left"/>
              <w:rPr>
                <w:sz w:val="18"/>
              </w:rPr>
            </w:pPr>
            <w:r>
              <w:rPr>
                <w:rFonts w:hint="eastAsia"/>
                <w:sz w:val="18"/>
              </w:rPr>
              <w:t>高</w:t>
            </w:r>
          </w:p>
        </w:tc>
        <w:tc>
          <w:tcPr>
            <w:tcW w:w="691" w:type="dxa"/>
            <w:shd w:val="clear" w:color="auto" w:fill="auto"/>
          </w:tcPr>
          <w:p>
            <w:pPr>
              <w:jc w:val="left"/>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2</w:t>
            </w:r>
            <w:r>
              <w:rPr>
                <w:sz w:val="18"/>
              </w:rPr>
              <w:t xml:space="preserve">.3 </w:t>
            </w:r>
            <w:r>
              <w:rPr>
                <w:rFonts w:hint="eastAsia"/>
                <w:sz w:val="18"/>
              </w:rPr>
              <w:t>制作利润表</w:t>
            </w:r>
          </w:p>
        </w:tc>
        <w:tc>
          <w:tcPr>
            <w:tcW w:w="5000" w:type="dxa"/>
          </w:tcPr>
          <w:p>
            <w:pPr>
              <w:pStyle w:val="23"/>
              <w:numPr>
                <w:ilvl w:val="0"/>
                <w:numId w:val="3"/>
              </w:numPr>
              <w:ind w:left="65" w:leftChars="31" w:firstLine="0" w:firstLineChars="0"/>
              <w:jc w:val="left"/>
              <w:rPr>
                <w:sz w:val="18"/>
              </w:rPr>
            </w:pPr>
            <w:r>
              <w:rPr>
                <w:rFonts w:hint="eastAsia"/>
                <w:sz w:val="18"/>
              </w:rPr>
              <w:t>制作利润表：基础经济事项会计分录</w:t>
            </w:r>
            <w:r>
              <w:rPr>
                <w:sz w:val="18"/>
              </w:rPr>
              <w:sym w:font="Wingdings" w:char="F0E0"/>
            </w:r>
            <w:r>
              <w:rPr>
                <w:rFonts w:hint="eastAsia"/>
                <w:sz w:val="18"/>
              </w:rPr>
              <w:t>调整分录</w:t>
            </w:r>
            <w:r>
              <w:rPr>
                <w:sz w:val="18"/>
              </w:rPr>
              <w:sym w:font="Wingdings" w:char="F0E0"/>
            </w:r>
            <w:r>
              <w:rPr>
                <w:rFonts w:hint="eastAsia"/>
                <w:sz w:val="18"/>
              </w:rPr>
              <w:t>最终利润表 +</w:t>
            </w:r>
            <w:r>
              <w:rPr>
                <w:sz w:val="18"/>
              </w:rPr>
              <w:t xml:space="preserve"> </w:t>
            </w:r>
            <w:r>
              <w:rPr>
                <w:rFonts w:hint="eastAsia"/>
                <w:sz w:val="18"/>
              </w:rPr>
              <w:t>最终资产负债表 +</w:t>
            </w:r>
            <w:r>
              <w:rPr>
                <w:sz w:val="18"/>
              </w:rPr>
              <w:t xml:space="preserve"> </w:t>
            </w:r>
            <w:r>
              <w:rPr>
                <w:rFonts w:hint="eastAsia"/>
                <w:sz w:val="18"/>
              </w:rPr>
              <w:t>最终现金流量表</w:t>
            </w:r>
          </w:p>
        </w:tc>
        <w:tc>
          <w:tcPr>
            <w:tcW w:w="954" w:type="dxa"/>
          </w:tcPr>
          <w:p>
            <w:pPr>
              <w:jc w:val="left"/>
              <w:rPr>
                <w:sz w:val="18"/>
              </w:rPr>
            </w:pPr>
            <w:r>
              <w:rPr>
                <w:rFonts w:hint="eastAsia"/>
                <w:sz w:val="18"/>
              </w:rPr>
              <w:t>深入理解</w:t>
            </w:r>
          </w:p>
        </w:tc>
        <w:tc>
          <w:tcPr>
            <w:tcW w:w="831" w:type="dxa"/>
            <w:shd w:val="clear" w:color="auto" w:fill="auto"/>
          </w:tcPr>
          <w:p>
            <w:pPr>
              <w:jc w:val="left"/>
              <w:rPr>
                <w:sz w:val="18"/>
              </w:rPr>
            </w:pPr>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restart"/>
          </w:tcPr>
          <w:p>
            <w:pPr>
              <w:jc w:val="left"/>
              <w:rPr>
                <w:sz w:val="18"/>
              </w:rPr>
            </w:pPr>
            <w:r>
              <w:rPr>
                <w:rFonts w:hint="eastAsia"/>
                <w:sz w:val="18"/>
              </w:rPr>
              <w:t>3</w:t>
            </w:r>
            <w:r>
              <w:rPr>
                <w:sz w:val="18"/>
              </w:rPr>
              <w:t xml:space="preserve">. </w:t>
            </w:r>
            <w:r>
              <w:rPr>
                <w:rFonts w:hint="eastAsia"/>
                <w:sz w:val="18"/>
              </w:rPr>
              <w:t>收入确认、应收账款和合同负债</w:t>
            </w:r>
          </w:p>
        </w:tc>
        <w:tc>
          <w:tcPr>
            <w:tcW w:w="1701" w:type="dxa"/>
          </w:tcPr>
          <w:p>
            <w:pPr>
              <w:ind w:left="65"/>
              <w:jc w:val="left"/>
              <w:rPr>
                <w:sz w:val="18"/>
              </w:rPr>
            </w:pPr>
            <w:r>
              <w:rPr>
                <w:rFonts w:hint="eastAsia"/>
                <w:sz w:val="18"/>
              </w:rPr>
              <w:t>3</w:t>
            </w:r>
            <w:r>
              <w:rPr>
                <w:sz w:val="18"/>
              </w:rPr>
              <w:t xml:space="preserve">.1 </w:t>
            </w:r>
            <w:r>
              <w:rPr>
                <w:rFonts w:hint="eastAsia"/>
                <w:sz w:val="18"/>
              </w:rPr>
              <w:t>收入确认的额基本概念</w:t>
            </w:r>
          </w:p>
        </w:tc>
        <w:tc>
          <w:tcPr>
            <w:tcW w:w="5000" w:type="dxa"/>
          </w:tcPr>
          <w:p>
            <w:pPr>
              <w:pStyle w:val="23"/>
              <w:numPr>
                <w:ilvl w:val="0"/>
                <w:numId w:val="3"/>
              </w:numPr>
              <w:ind w:left="65" w:leftChars="31" w:firstLine="0" w:firstLineChars="0"/>
              <w:jc w:val="left"/>
              <w:rPr>
                <w:sz w:val="18"/>
              </w:rPr>
            </w:pPr>
            <w:r>
              <w:rPr>
                <w:rFonts w:hint="eastAsia"/>
                <w:sz w:val="18"/>
              </w:rPr>
              <w:t>收入确认的两个核心标准：必须完成履约义务、经济利益极可能流入企业</w:t>
            </w:r>
          </w:p>
          <w:p>
            <w:pPr>
              <w:pStyle w:val="23"/>
              <w:numPr>
                <w:ilvl w:val="0"/>
                <w:numId w:val="3"/>
              </w:numPr>
              <w:ind w:left="65" w:leftChars="31" w:firstLine="0" w:firstLineChars="0"/>
              <w:jc w:val="left"/>
              <w:rPr>
                <w:sz w:val="18"/>
              </w:rPr>
            </w:pPr>
            <w:r>
              <w:rPr>
                <w:rFonts w:hint="eastAsia"/>
                <w:sz w:val="18"/>
              </w:rPr>
              <w:t>收入确认的时间点：产品交付使用或者服务义务完成时点</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3</w:t>
            </w:r>
            <w:r>
              <w:rPr>
                <w:sz w:val="18"/>
              </w:rPr>
              <w:t xml:space="preserve">.2 </w:t>
            </w:r>
            <w:r>
              <w:rPr>
                <w:rFonts w:hint="eastAsia"/>
                <w:sz w:val="18"/>
              </w:rPr>
              <w:t>收入确认步骤</w:t>
            </w:r>
          </w:p>
        </w:tc>
        <w:tc>
          <w:tcPr>
            <w:tcW w:w="5000" w:type="dxa"/>
          </w:tcPr>
          <w:p>
            <w:pPr>
              <w:pStyle w:val="23"/>
              <w:numPr>
                <w:ilvl w:val="0"/>
                <w:numId w:val="3"/>
              </w:numPr>
              <w:ind w:left="65" w:leftChars="31" w:firstLine="0" w:firstLineChars="0"/>
              <w:jc w:val="left"/>
              <w:rPr>
                <w:sz w:val="18"/>
              </w:rPr>
            </w:pPr>
            <w:r>
              <w:rPr>
                <w:rFonts w:hint="eastAsia"/>
                <w:sz w:val="18"/>
              </w:rPr>
              <w:t>收入确认的五个步骤</w:t>
            </w:r>
          </w:p>
          <w:p>
            <w:pPr>
              <w:pStyle w:val="23"/>
              <w:numPr>
                <w:ilvl w:val="0"/>
                <w:numId w:val="3"/>
              </w:numPr>
              <w:ind w:left="65" w:leftChars="31" w:firstLine="0" w:firstLineChars="0"/>
              <w:jc w:val="left"/>
              <w:rPr>
                <w:sz w:val="18"/>
              </w:rPr>
            </w:pPr>
            <w:r>
              <w:rPr>
                <w:rFonts w:hint="eastAsia"/>
                <w:sz w:val="18"/>
              </w:rPr>
              <w:t>收入确认的会计分录，合同资产的额概念</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3</w:t>
            </w:r>
            <w:r>
              <w:rPr>
                <w:sz w:val="18"/>
              </w:rPr>
              <w:t xml:space="preserve">.3 </w:t>
            </w:r>
            <w:r>
              <w:rPr>
                <w:rFonts w:hint="eastAsia"/>
                <w:sz w:val="18"/>
              </w:rPr>
              <w:t>履约义务的分析和收入确认</w:t>
            </w:r>
          </w:p>
        </w:tc>
        <w:tc>
          <w:tcPr>
            <w:tcW w:w="5000" w:type="dxa"/>
          </w:tcPr>
          <w:p>
            <w:pPr>
              <w:pStyle w:val="23"/>
              <w:numPr>
                <w:ilvl w:val="0"/>
                <w:numId w:val="3"/>
              </w:numPr>
              <w:ind w:left="65" w:leftChars="31" w:firstLine="0" w:firstLineChars="0"/>
              <w:jc w:val="left"/>
              <w:rPr>
                <w:sz w:val="18"/>
              </w:rPr>
            </w:pPr>
            <w:r>
              <w:rPr>
                <w:rFonts w:hint="eastAsia"/>
                <w:sz w:val="18"/>
              </w:rPr>
              <w:t>履约义务分析</w:t>
            </w:r>
          </w:p>
        </w:tc>
        <w:tc>
          <w:tcPr>
            <w:tcW w:w="954" w:type="dxa"/>
          </w:tcPr>
          <w:p>
            <w:pPr>
              <w:jc w:val="left"/>
              <w:rPr>
                <w:sz w:val="18"/>
              </w:rPr>
            </w:pPr>
            <w:r>
              <w:rPr>
                <w:rFonts w:hint="eastAsia"/>
                <w:sz w:val="18"/>
              </w:rPr>
              <w:t>深入理解</w:t>
            </w:r>
          </w:p>
        </w:tc>
        <w:tc>
          <w:tcPr>
            <w:tcW w:w="831" w:type="dxa"/>
            <w:shd w:val="clear" w:color="auto" w:fill="auto"/>
          </w:tcPr>
          <w:p>
            <w:pPr>
              <w:jc w:val="left"/>
              <w:rPr>
                <w:sz w:val="18"/>
              </w:rPr>
            </w:pPr>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3</w:t>
            </w:r>
            <w:r>
              <w:rPr>
                <w:sz w:val="18"/>
              </w:rPr>
              <w:t xml:space="preserve">.4 </w:t>
            </w:r>
            <w:r>
              <w:rPr>
                <w:rFonts w:hint="eastAsia"/>
                <w:sz w:val="18"/>
              </w:rPr>
              <w:t>应收账款和坏账准备</w:t>
            </w:r>
          </w:p>
        </w:tc>
        <w:tc>
          <w:tcPr>
            <w:tcW w:w="5000" w:type="dxa"/>
          </w:tcPr>
          <w:p>
            <w:pPr>
              <w:pStyle w:val="23"/>
              <w:numPr>
                <w:ilvl w:val="0"/>
                <w:numId w:val="3"/>
              </w:numPr>
              <w:ind w:left="65" w:leftChars="31" w:firstLine="0" w:firstLineChars="0"/>
              <w:jc w:val="left"/>
              <w:rPr>
                <w:sz w:val="18"/>
              </w:rPr>
            </w:pPr>
            <w:r>
              <w:rPr>
                <w:rFonts w:hint="eastAsia"/>
                <w:sz w:val="18"/>
              </w:rPr>
              <w:t>应收账款概念、坏账准备、基于账龄分析计算坏账</w:t>
            </w:r>
          </w:p>
        </w:tc>
        <w:tc>
          <w:tcPr>
            <w:tcW w:w="954" w:type="dxa"/>
          </w:tcPr>
          <w:p>
            <w:pPr>
              <w:jc w:val="left"/>
              <w:rPr>
                <w:sz w:val="18"/>
              </w:rPr>
            </w:pPr>
            <w:r>
              <w:rPr>
                <w:rFonts w:hint="eastAsia"/>
                <w:sz w:val="18"/>
              </w:rPr>
              <w:t>深入理解</w:t>
            </w:r>
          </w:p>
        </w:tc>
        <w:tc>
          <w:tcPr>
            <w:tcW w:w="831" w:type="dxa"/>
            <w:shd w:val="clear" w:color="auto" w:fill="auto"/>
          </w:tcPr>
          <w:p>
            <w:pPr>
              <w:jc w:val="left"/>
              <w:rPr>
                <w:sz w:val="18"/>
              </w:rPr>
            </w:pPr>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3</w:t>
            </w:r>
            <w:r>
              <w:rPr>
                <w:sz w:val="18"/>
              </w:rPr>
              <w:t xml:space="preserve">.5 </w:t>
            </w:r>
            <w:r>
              <w:rPr>
                <w:rFonts w:hint="eastAsia"/>
                <w:sz w:val="18"/>
              </w:rPr>
              <w:t>合同负债（预收账款）</w:t>
            </w:r>
          </w:p>
        </w:tc>
        <w:tc>
          <w:tcPr>
            <w:tcW w:w="5000" w:type="dxa"/>
          </w:tcPr>
          <w:p>
            <w:pPr>
              <w:pStyle w:val="23"/>
              <w:numPr>
                <w:ilvl w:val="0"/>
                <w:numId w:val="3"/>
              </w:numPr>
              <w:ind w:left="65" w:leftChars="31" w:firstLine="0" w:firstLineChars="0"/>
              <w:jc w:val="left"/>
              <w:rPr>
                <w:sz w:val="18"/>
              </w:rPr>
            </w:pPr>
            <w:r>
              <w:rPr>
                <w:rFonts w:hint="eastAsia"/>
                <w:sz w:val="18"/>
              </w:rPr>
              <w:t>预收账款概念</w:t>
            </w:r>
          </w:p>
        </w:tc>
        <w:tc>
          <w:tcPr>
            <w:tcW w:w="954" w:type="dxa"/>
          </w:tcPr>
          <w:p>
            <w:pPr>
              <w:jc w:val="left"/>
              <w:rPr>
                <w:sz w:val="18"/>
              </w:rPr>
            </w:pPr>
            <w:r>
              <w:rPr>
                <w:rFonts w:hint="eastAsia"/>
                <w:sz w:val="18"/>
              </w:rPr>
              <w:t>深入理解</w:t>
            </w:r>
          </w:p>
        </w:tc>
        <w:tc>
          <w:tcPr>
            <w:tcW w:w="831" w:type="dxa"/>
            <w:shd w:val="clear" w:color="auto" w:fill="auto"/>
          </w:tcPr>
          <w:p>
            <w:pPr>
              <w:jc w:val="left"/>
              <w:rPr>
                <w:sz w:val="18"/>
              </w:rPr>
            </w:pPr>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restart"/>
          </w:tcPr>
          <w:p>
            <w:pPr>
              <w:jc w:val="left"/>
              <w:rPr>
                <w:sz w:val="18"/>
              </w:rPr>
            </w:pPr>
            <w:r>
              <w:rPr>
                <w:rFonts w:hint="eastAsia"/>
                <w:sz w:val="18"/>
              </w:rPr>
              <w:t>4</w:t>
            </w:r>
            <w:r>
              <w:rPr>
                <w:sz w:val="18"/>
              </w:rPr>
              <w:t xml:space="preserve">. </w:t>
            </w:r>
            <w:r>
              <w:rPr>
                <w:rFonts w:hint="eastAsia"/>
                <w:sz w:val="18"/>
              </w:rPr>
              <w:t>资产</w:t>
            </w:r>
          </w:p>
        </w:tc>
        <w:tc>
          <w:tcPr>
            <w:tcW w:w="1701" w:type="dxa"/>
            <w:vMerge w:val="restart"/>
          </w:tcPr>
          <w:p>
            <w:pPr>
              <w:ind w:left="65"/>
              <w:jc w:val="left"/>
              <w:rPr>
                <w:sz w:val="18"/>
              </w:rPr>
            </w:pPr>
            <w:r>
              <w:rPr>
                <w:rFonts w:hint="eastAsia"/>
                <w:sz w:val="18"/>
              </w:rPr>
              <w:t>4</w:t>
            </w:r>
            <w:r>
              <w:rPr>
                <w:sz w:val="18"/>
              </w:rPr>
              <w:t xml:space="preserve">.1 </w:t>
            </w:r>
            <w:r>
              <w:rPr>
                <w:rFonts w:hint="eastAsia"/>
                <w:sz w:val="18"/>
              </w:rPr>
              <w:t>资产的基本概念</w:t>
            </w:r>
            <w:r>
              <w:rPr>
                <w:sz w:val="18"/>
              </w:rPr>
              <w:t xml:space="preserve"> </w:t>
            </w:r>
          </w:p>
        </w:tc>
        <w:tc>
          <w:tcPr>
            <w:tcW w:w="5000" w:type="dxa"/>
          </w:tcPr>
          <w:p>
            <w:pPr>
              <w:pStyle w:val="23"/>
              <w:numPr>
                <w:ilvl w:val="0"/>
                <w:numId w:val="3"/>
              </w:numPr>
              <w:ind w:left="65" w:leftChars="31" w:firstLine="0" w:firstLineChars="0"/>
              <w:jc w:val="left"/>
              <w:rPr>
                <w:sz w:val="18"/>
              </w:rPr>
            </w:pPr>
            <w:r>
              <w:rPr>
                <w:rFonts w:hint="eastAsia"/>
                <w:sz w:val="18"/>
              </w:rPr>
              <w:t>资产概念</w:t>
            </w:r>
          </w:p>
          <w:p>
            <w:pPr>
              <w:pStyle w:val="23"/>
              <w:numPr>
                <w:ilvl w:val="0"/>
                <w:numId w:val="7"/>
              </w:numPr>
              <w:ind w:firstLineChars="0"/>
              <w:jc w:val="left"/>
              <w:rPr>
                <w:sz w:val="18"/>
              </w:rPr>
            </w:pPr>
            <w:r>
              <w:rPr>
                <w:rFonts w:hint="eastAsia"/>
                <w:sz w:val="18"/>
              </w:rPr>
              <w:t>资产的概念</w:t>
            </w:r>
          </w:p>
          <w:p>
            <w:pPr>
              <w:pStyle w:val="23"/>
              <w:numPr>
                <w:ilvl w:val="0"/>
                <w:numId w:val="7"/>
              </w:numPr>
              <w:ind w:firstLineChars="0"/>
              <w:jc w:val="left"/>
              <w:rPr>
                <w:sz w:val="18"/>
              </w:rPr>
            </w:pPr>
            <w:r>
              <w:rPr>
                <w:rFonts w:hint="eastAsia"/>
                <w:sz w:val="18"/>
              </w:rPr>
              <w:t>资产的分类</w:t>
            </w:r>
          </w:p>
          <w:p>
            <w:pPr>
              <w:pStyle w:val="23"/>
              <w:numPr>
                <w:ilvl w:val="0"/>
                <w:numId w:val="7"/>
              </w:numPr>
              <w:ind w:firstLineChars="0"/>
              <w:jc w:val="left"/>
              <w:rPr>
                <w:sz w:val="18"/>
              </w:rPr>
            </w:pPr>
            <w:r>
              <w:rPr>
                <w:rFonts w:hint="eastAsia"/>
                <w:sz w:val="18"/>
              </w:rPr>
              <w:t>资产的确认</w:t>
            </w:r>
          </w:p>
          <w:p>
            <w:pPr>
              <w:pStyle w:val="23"/>
              <w:numPr>
                <w:ilvl w:val="0"/>
                <w:numId w:val="7"/>
              </w:numPr>
              <w:ind w:firstLineChars="0"/>
              <w:jc w:val="left"/>
              <w:rPr>
                <w:sz w:val="18"/>
              </w:rPr>
            </w:pPr>
            <w:r>
              <w:rPr>
                <w:rFonts w:hint="eastAsia"/>
                <w:sz w:val="18"/>
              </w:rPr>
              <w:t>资产的计量</w:t>
            </w:r>
          </w:p>
        </w:tc>
        <w:tc>
          <w:tcPr>
            <w:tcW w:w="954" w:type="dxa"/>
          </w:tcPr>
          <w:p>
            <w:pPr>
              <w:jc w:val="left"/>
              <w:rPr>
                <w:sz w:val="18"/>
              </w:rPr>
            </w:pPr>
            <w:r>
              <w:rPr>
                <w:rFonts w:hint="eastAsia"/>
                <w:sz w:val="18"/>
              </w:rPr>
              <w:t>深入理解</w:t>
            </w:r>
          </w:p>
        </w:tc>
        <w:tc>
          <w:tcPr>
            <w:tcW w:w="831" w:type="dxa"/>
            <w:shd w:val="clear" w:color="auto" w:fill="auto"/>
          </w:tcPr>
          <w:p>
            <w:pPr>
              <w:jc w:val="left"/>
              <w:rPr>
                <w:sz w:val="18"/>
              </w:rPr>
            </w:pPr>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vMerge w:val="continue"/>
          </w:tcPr>
          <w:p>
            <w:pPr>
              <w:ind w:left="65"/>
              <w:jc w:val="left"/>
              <w:rPr>
                <w:sz w:val="18"/>
              </w:rPr>
            </w:pPr>
          </w:p>
        </w:tc>
        <w:tc>
          <w:tcPr>
            <w:tcW w:w="5000" w:type="dxa"/>
          </w:tcPr>
          <w:p>
            <w:pPr>
              <w:pStyle w:val="23"/>
              <w:numPr>
                <w:ilvl w:val="0"/>
                <w:numId w:val="3"/>
              </w:numPr>
              <w:ind w:left="65" w:leftChars="31" w:firstLine="0" w:firstLineChars="0"/>
              <w:jc w:val="left"/>
              <w:rPr>
                <w:sz w:val="18"/>
              </w:rPr>
            </w:pPr>
            <w:r>
              <w:rPr>
                <w:rFonts w:hint="eastAsia"/>
                <w:sz w:val="18"/>
              </w:rPr>
              <w:t>应收账款</w:t>
            </w:r>
          </w:p>
          <w:p>
            <w:pPr>
              <w:pStyle w:val="23"/>
              <w:numPr>
                <w:ilvl w:val="0"/>
                <w:numId w:val="8"/>
              </w:numPr>
              <w:ind w:firstLineChars="0"/>
              <w:jc w:val="left"/>
              <w:rPr>
                <w:sz w:val="18"/>
              </w:rPr>
            </w:pPr>
            <w:r>
              <w:rPr>
                <w:rFonts w:hint="eastAsia"/>
                <w:sz w:val="18"/>
              </w:rPr>
              <w:t>应收账款概念</w:t>
            </w:r>
          </w:p>
          <w:p>
            <w:pPr>
              <w:pStyle w:val="23"/>
              <w:numPr>
                <w:ilvl w:val="0"/>
                <w:numId w:val="8"/>
              </w:numPr>
              <w:ind w:firstLineChars="0"/>
              <w:jc w:val="left"/>
              <w:rPr>
                <w:sz w:val="18"/>
              </w:rPr>
            </w:pPr>
            <w:r>
              <w:rPr>
                <w:rFonts w:hint="eastAsia"/>
                <w:sz w:val="18"/>
              </w:rPr>
              <w:t>坏账准备</w:t>
            </w:r>
          </w:p>
          <w:p>
            <w:pPr>
              <w:pStyle w:val="23"/>
              <w:numPr>
                <w:ilvl w:val="0"/>
                <w:numId w:val="8"/>
              </w:numPr>
              <w:ind w:firstLineChars="0"/>
              <w:jc w:val="left"/>
              <w:rPr>
                <w:sz w:val="18"/>
              </w:rPr>
            </w:pPr>
            <w:r>
              <w:rPr>
                <w:rFonts w:hint="eastAsia"/>
                <w:sz w:val="18"/>
              </w:rPr>
              <w:t>基于账龄分析</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vMerge w:val="continue"/>
          </w:tcPr>
          <w:p>
            <w:pPr>
              <w:ind w:left="65"/>
              <w:jc w:val="left"/>
              <w:rPr>
                <w:sz w:val="18"/>
              </w:rPr>
            </w:pPr>
          </w:p>
        </w:tc>
        <w:tc>
          <w:tcPr>
            <w:tcW w:w="5000" w:type="dxa"/>
          </w:tcPr>
          <w:p>
            <w:pPr>
              <w:pStyle w:val="23"/>
              <w:numPr>
                <w:ilvl w:val="0"/>
                <w:numId w:val="3"/>
              </w:numPr>
              <w:ind w:left="65" w:leftChars="31" w:firstLine="0" w:firstLineChars="0"/>
              <w:jc w:val="left"/>
              <w:rPr>
                <w:sz w:val="18"/>
              </w:rPr>
            </w:pPr>
            <w:r>
              <w:rPr>
                <w:rFonts w:hint="eastAsia"/>
                <w:sz w:val="18"/>
              </w:rPr>
              <w:t>预付账款</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vMerge w:val="continue"/>
          </w:tcPr>
          <w:p>
            <w:pPr>
              <w:ind w:left="65"/>
              <w:jc w:val="left"/>
              <w:rPr>
                <w:sz w:val="18"/>
              </w:rPr>
            </w:pPr>
          </w:p>
        </w:tc>
        <w:tc>
          <w:tcPr>
            <w:tcW w:w="5000" w:type="dxa"/>
          </w:tcPr>
          <w:p>
            <w:pPr>
              <w:pStyle w:val="23"/>
              <w:numPr>
                <w:ilvl w:val="0"/>
                <w:numId w:val="3"/>
              </w:numPr>
              <w:ind w:left="65" w:leftChars="31" w:firstLine="0" w:firstLineChars="0"/>
              <w:jc w:val="left"/>
              <w:rPr>
                <w:sz w:val="18"/>
              </w:rPr>
            </w:pPr>
            <w:r>
              <w:rPr>
                <w:rFonts w:hint="eastAsia"/>
                <w:sz w:val="18"/>
              </w:rPr>
              <w:t>长期待摊费用</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4</w:t>
            </w:r>
            <w:r>
              <w:rPr>
                <w:sz w:val="18"/>
              </w:rPr>
              <w:t>.2</w:t>
            </w:r>
            <w:r>
              <w:rPr>
                <w:rFonts w:hint="eastAsia"/>
                <w:sz w:val="18"/>
              </w:rPr>
              <w:t>存货</w:t>
            </w:r>
          </w:p>
        </w:tc>
        <w:tc>
          <w:tcPr>
            <w:tcW w:w="5000" w:type="dxa"/>
          </w:tcPr>
          <w:p>
            <w:pPr>
              <w:pStyle w:val="23"/>
              <w:numPr>
                <w:ilvl w:val="0"/>
                <w:numId w:val="3"/>
              </w:numPr>
              <w:ind w:left="65" w:leftChars="31" w:firstLine="0" w:firstLineChars="0"/>
              <w:jc w:val="left"/>
              <w:rPr>
                <w:sz w:val="18"/>
              </w:rPr>
            </w:pPr>
            <w:r>
              <w:rPr>
                <w:rFonts w:hint="eastAsia"/>
                <w:sz w:val="18"/>
              </w:rPr>
              <w:t>存货</w:t>
            </w:r>
          </w:p>
          <w:p>
            <w:pPr>
              <w:pStyle w:val="23"/>
              <w:numPr>
                <w:ilvl w:val="0"/>
                <w:numId w:val="9"/>
              </w:numPr>
              <w:ind w:firstLineChars="0"/>
              <w:jc w:val="left"/>
              <w:rPr>
                <w:sz w:val="18"/>
              </w:rPr>
            </w:pPr>
            <w:r>
              <w:rPr>
                <w:rFonts w:hint="eastAsia"/>
                <w:sz w:val="18"/>
              </w:rPr>
              <w:t>存货的概念、存货的分类</w:t>
            </w:r>
          </w:p>
          <w:p>
            <w:pPr>
              <w:pStyle w:val="23"/>
              <w:numPr>
                <w:ilvl w:val="0"/>
                <w:numId w:val="9"/>
              </w:numPr>
              <w:ind w:firstLineChars="0"/>
              <w:jc w:val="left"/>
              <w:rPr>
                <w:sz w:val="18"/>
              </w:rPr>
            </w:pPr>
            <w:r>
              <w:rPr>
                <w:rFonts w:hint="eastAsia"/>
                <w:sz w:val="18"/>
              </w:rPr>
              <w:t>存货的计价方法</w:t>
            </w:r>
          </w:p>
          <w:p>
            <w:pPr>
              <w:pStyle w:val="23"/>
              <w:numPr>
                <w:ilvl w:val="0"/>
                <w:numId w:val="10"/>
              </w:numPr>
              <w:ind w:firstLineChars="0"/>
              <w:jc w:val="left"/>
              <w:rPr>
                <w:sz w:val="18"/>
              </w:rPr>
            </w:pPr>
            <w:r>
              <w:rPr>
                <w:rFonts w:hint="eastAsia"/>
                <w:sz w:val="18"/>
              </w:rPr>
              <w:t>存货减值</w:t>
            </w:r>
          </w:p>
          <w:p>
            <w:pPr>
              <w:ind w:left="65"/>
              <w:jc w:val="left"/>
              <w:rPr>
                <w:sz w:val="18"/>
              </w:rPr>
            </w:pPr>
            <w:r>
              <w:rPr>
                <w:rFonts w:hint="eastAsia"/>
                <w:sz w:val="18"/>
              </w:rPr>
              <w:t>（1）存货减值测试与存货减值准备</w:t>
            </w:r>
          </w:p>
          <w:p>
            <w:pPr>
              <w:pStyle w:val="23"/>
              <w:numPr>
                <w:ilvl w:val="0"/>
                <w:numId w:val="10"/>
              </w:numPr>
              <w:ind w:firstLineChars="0"/>
              <w:jc w:val="left"/>
              <w:rPr>
                <w:sz w:val="18"/>
              </w:rPr>
            </w:pPr>
            <w:r>
              <w:rPr>
                <w:rFonts w:hint="eastAsia"/>
                <w:sz w:val="18"/>
              </w:rPr>
              <w:t>消耗性生物资产作为存货</w:t>
            </w:r>
          </w:p>
          <w:p>
            <w:pPr>
              <w:pStyle w:val="23"/>
              <w:numPr>
                <w:ilvl w:val="0"/>
                <w:numId w:val="10"/>
              </w:numPr>
              <w:ind w:firstLineChars="0"/>
              <w:jc w:val="left"/>
              <w:rPr>
                <w:sz w:val="18"/>
              </w:rPr>
            </w:pPr>
            <w:r>
              <w:rPr>
                <w:rFonts w:hint="eastAsia"/>
                <w:sz w:val="18"/>
              </w:rPr>
              <w:t>存货周转率</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2" w:hRule="atLeast"/>
        </w:trPr>
        <w:tc>
          <w:tcPr>
            <w:tcW w:w="846" w:type="dxa"/>
            <w:vMerge w:val="continue"/>
          </w:tcPr>
          <w:p>
            <w:pPr>
              <w:jc w:val="left"/>
              <w:rPr>
                <w:sz w:val="18"/>
              </w:rPr>
            </w:pPr>
          </w:p>
        </w:tc>
        <w:tc>
          <w:tcPr>
            <w:tcW w:w="1701" w:type="dxa"/>
          </w:tcPr>
          <w:p>
            <w:pPr>
              <w:ind w:left="65"/>
              <w:jc w:val="left"/>
              <w:rPr>
                <w:sz w:val="18"/>
              </w:rPr>
            </w:pPr>
            <w:r>
              <w:rPr>
                <w:rFonts w:hint="eastAsia"/>
                <w:sz w:val="18"/>
              </w:rPr>
              <w:t>4</w:t>
            </w:r>
            <w:r>
              <w:rPr>
                <w:sz w:val="18"/>
              </w:rPr>
              <w:t xml:space="preserve">.3 </w:t>
            </w:r>
            <w:r>
              <w:rPr>
                <w:rFonts w:hint="eastAsia"/>
                <w:sz w:val="18"/>
              </w:rPr>
              <w:t>固定资产</w:t>
            </w:r>
          </w:p>
        </w:tc>
        <w:tc>
          <w:tcPr>
            <w:tcW w:w="5000" w:type="dxa"/>
          </w:tcPr>
          <w:p>
            <w:pPr>
              <w:pStyle w:val="23"/>
              <w:numPr>
                <w:ilvl w:val="0"/>
                <w:numId w:val="3"/>
              </w:numPr>
              <w:ind w:left="65" w:leftChars="31" w:firstLine="0" w:firstLineChars="0"/>
              <w:jc w:val="left"/>
              <w:rPr>
                <w:sz w:val="18"/>
              </w:rPr>
            </w:pPr>
            <w:r>
              <w:rPr>
                <w:rFonts w:hint="eastAsia"/>
                <w:sz w:val="18"/>
              </w:rPr>
              <w:t>固定资产</w:t>
            </w:r>
          </w:p>
          <w:p>
            <w:pPr>
              <w:pStyle w:val="23"/>
              <w:numPr>
                <w:ilvl w:val="0"/>
                <w:numId w:val="11"/>
              </w:numPr>
              <w:ind w:firstLineChars="0"/>
              <w:jc w:val="left"/>
              <w:rPr>
                <w:sz w:val="18"/>
              </w:rPr>
            </w:pPr>
            <w:r>
              <w:rPr>
                <w:rFonts w:hint="eastAsia"/>
                <w:sz w:val="18"/>
              </w:rPr>
              <w:t>固定资产的概念</w:t>
            </w:r>
          </w:p>
          <w:p>
            <w:pPr>
              <w:pStyle w:val="23"/>
              <w:numPr>
                <w:ilvl w:val="0"/>
                <w:numId w:val="11"/>
              </w:numPr>
              <w:ind w:firstLineChars="0"/>
              <w:jc w:val="left"/>
              <w:rPr>
                <w:sz w:val="18"/>
              </w:rPr>
            </w:pPr>
            <w:r>
              <w:rPr>
                <w:rFonts w:hint="eastAsia"/>
                <w:sz w:val="18"/>
              </w:rPr>
              <w:t>同比资产负债表</w:t>
            </w:r>
          </w:p>
          <w:p>
            <w:pPr>
              <w:pStyle w:val="23"/>
              <w:numPr>
                <w:ilvl w:val="0"/>
                <w:numId w:val="11"/>
              </w:numPr>
              <w:ind w:firstLineChars="0"/>
              <w:jc w:val="left"/>
              <w:rPr>
                <w:sz w:val="18"/>
              </w:rPr>
            </w:pPr>
            <w:r>
              <w:rPr>
                <w:rFonts w:hint="eastAsia"/>
                <w:sz w:val="18"/>
              </w:rPr>
              <w:t>固定资产的初始计量</w:t>
            </w:r>
          </w:p>
          <w:p>
            <w:pPr>
              <w:pStyle w:val="23"/>
              <w:numPr>
                <w:ilvl w:val="0"/>
                <w:numId w:val="11"/>
              </w:numPr>
              <w:ind w:firstLineChars="0"/>
              <w:jc w:val="left"/>
              <w:rPr>
                <w:sz w:val="18"/>
              </w:rPr>
            </w:pPr>
            <w:r>
              <w:rPr>
                <w:rFonts w:hint="eastAsia"/>
                <w:sz w:val="18"/>
              </w:rPr>
              <w:t>在建工程</w:t>
            </w:r>
            <w:r>
              <w:rPr>
                <w:sz w:val="18"/>
              </w:rPr>
              <w:sym w:font="Wingdings" w:char="F0E0"/>
            </w:r>
            <w:r>
              <w:rPr>
                <w:rFonts w:hint="eastAsia"/>
                <w:sz w:val="18"/>
              </w:rPr>
              <w:t>固定资产</w:t>
            </w:r>
          </w:p>
          <w:p>
            <w:pPr>
              <w:pStyle w:val="23"/>
              <w:numPr>
                <w:ilvl w:val="0"/>
                <w:numId w:val="11"/>
              </w:numPr>
              <w:ind w:firstLineChars="0"/>
              <w:jc w:val="left"/>
              <w:rPr>
                <w:sz w:val="18"/>
              </w:rPr>
            </w:pPr>
            <w:r>
              <w:rPr>
                <w:rFonts w:hint="eastAsia"/>
                <w:sz w:val="18"/>
              </w:rPr>
              <w:t>固定资产折旧概念、固定资产折旧方法</w:t>
            </w:r>
          </w:p>
          <w:p>
            <w:pPr>
              <w:pStyle w:val="23"/>
              <w:numPr>
                <w:ilvl w:val="0"/>
                <w:numId w:val="11"/>
              </w:numPr>
              <w:ind w:firstLineChars="0"/>
              <w:jc w:val="left"/>
              <w:rPr>
                <w:sz w:val="18"/>
              </w:rPr>
            </w:pPr>
            <w:r>
              <w:rPr>
                <w:rFonts w:hint="eastAsia"/>
                <w:sz w:val="18"/>
              </w:rPr>
              <w:t>固定资产后续开支：计入固定资产、计入一般费用</w:t>
            </w:r>
          </w:p>
          <w:p>
            <w:pPr>
              <w:pStyle w:val="23"/>
              <w:numPr>
                <w:ilvl w:val="0"/>
                <w:numId w:val="12"/>
              </w:numPr>
              <w:ind w:firstLineChars="0"/>
              <w:jc w:val="left"/>
              <w:rPr>
                <w:sz w:val="18"/>
              </w:rPr>
            </w:pPr>
            <w:r>
              <w:rPr>
                <w:rFonts w:hint="eastAsia"/>
                <w:sz w:val="18"/>
              </w:rPr>
              <w:t>固定资产财务操纵</w:t>
            </w:r>
          </w:p>
          <w:p>
            <w:pPr>
              <w:pStyle w:val="23"/>
              <w:numPr>
                <w:ilvl w:val="0"/>
                <w:numId w:val="13"/>
              </w:numPr>
              <w:ind w:firstLineChars="0"/>
              <w:jc w:val="left"/>
              <w:rPr>
                <w:sz w:val="18"/>
              </w:rPr>
            </w:pPr>
            <w:r>
              <w:rPr>
                <w:rFonts w:hint="eastAsia"/>
                <w:sz w:val="18"/>
              </w:rPr>
              <w:t>在建工程的财务操纵</w:t>
            </w:r>
          </w:p>
          <w:p>
            <w:pPr>
              <w:pStyle w:val="23"/>
              <w:numPr>
                <w:ilvl w:val="0"/>
                <w:numId w:val="13"/>
              </w:numPr>
              <w:ind w:firstLineChars="0"/>
              <w:jc w:val="left"/>
              <w:rPr>
                <w:sz w:val="18"/>
              </w:rPr>
            </w:pPr>
            <w:r>
              <w:rPr>
                <w:rFonts w:hint="eastAsia"/>
                <w:sz w:val="18"/>
              </w:rPr>
              <w:t>固定资产的财务操纵</w:t>
            </w:r>
          </w:p>
          <w:p>
            <w:pPr>
              <w:pStyle w:val="23"/>
              <w:numPr>
                <w:ilvl w:val="0"/>
                <w:numId w:val="12"/>
              </w:numPr>
              <w:ind w:firstLineChars="0"/>
              <w:jc w:val="left"/>
              <w:rPr>
                <w:sz w:val="18"/>
              </w:rPr>
            </w:pPr>
            <w:r>
              <w:rPr>
                <w:rFonts w:hint="eastAsia"/>
                <w:sz w:val="18"/>
              </w:rPr>
              <w:t>生产性生物资产作为固定资产</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4</w:t>
            </w:r>
            <w:r>
              <w:rPr>
                <w:sz w:val="18"/>
              </w:rPr>
              <w:t xml:space="preserve">.4 </w:t>
            </w:r>
            <w:r>
              <w:rPr>
                <w:rFonts w:hint="eastAsia"/>
                <w:sz w:val="18"/>
              </w:rPr>
              <w:t>无形资产</w:t>
            </w:r>
          </w:p>
        </w:tc>
        <w:tc>
          <w:tcPr>
            <w:tcW w:w="5000" w:type="dxa"/>
          </w:tcPr>
          <w:p>
            <w:pPr>
              <w:pStyle w:val="23"/>
              <w:numPr>
                <w:ilvl w:val="0"/>
                <w:numId w:val="3"/>
              </w:numPr>
              <w:ind w:left="65" w:leftChars="31" w:firstLine="0" w:firstLineChars="0"/>
              <w:jc w:val="left"/>
              <w:rPr>
                <w:sz w:val="18"/>
              </w:rPr>
            </w:pPr>
            <w:r>
              <w:rPr>
                <w:rFonts w:hint="eastAsia"/>
                <w:sz w:val="18"/>
              </w:rPr>
              <w:t>无形资产</w:t>
            </w:r>
          </w:p>
          <w:p>
            <w:pPr>
              <w:pStyle w:val="23"/>
              <w:numPr>
                <w:ilvl w:val="0"/>
                <w:numId w:val="14"/>
              </w:numPr>
              <w:ind w:firstLineChars="0"/>
              <w:jc w:val="left"/>
              <w:rPr>
                <w:sz w:val="18"/>
              </w:rPr>
            </w:pPr>
            <w:r>
              <w:rPr>
                <w:rFonts w:hint="eastAsia"/>
                <w:sz w:val="18"/>
              </w:rPr>
              <w:t>无形资产的概念</w:t>
            </w:r>
          </w:p>
          <w:p>
            <w:pPr>
              <w:pStyle w:val="23"/>
              <w:numPr>
                <w:ilvl w:val="0"/>
                <w:numId w:val="14"/>
              </w:numPr>
              <w:ind w:firstLineChars="0"/>
              <w:jc w:val="left"/>
              <w:rPr>
                <w:sz w:val="18"/>
              </w:rPr>
            </w:pPr>
            <w:r>
              <w:rPr>
                <w:rFonts w:hint="eastAsia"/>
                <w:sz w:val="18"/>
              </w:rPr>
              <w:t>无形资产的特征</w:t>
            </w:r>
          </w:p>
          <w:p>
            <w:pPr>
              <w:pStyle w:val="23"/>
              <w:numPr>
                <w:ilvl w:val="0"/>
                <w:numId w:val="14"/>
              </w:numPr>
              <w:ind w:firstLineChars="0"/>
              <w:jc w:val="left"/>
              <w:rPr>
                <w:sz w:val="18"/>
              </w:rPr>
            </w:pPr>
            <w:r>
              <w:rPr>
                <w:rFonts w:hint="eastAsia"/>
                <w:sz w:val="18"/>
              </w:rPr>
              <w:t>无形资产的确认</w:t>
            </w:r>
          </w:p>
          <w:p>
            <w:pPr>
              <w:pStyle w:val="23"/>
              <w:numPr>
                <w:ilvl w:val="0"/>
                <w:numId w:val="14"/>
              </w:numPr>
              <w:ind w:firstLineChars="0"/>
              <w:jc w:val="left"/>
              <w:rPr>
                <w:sz w:val="18"/>
              </w:rPr>
            </w:pPr>
            <w:r>
              <w:rPr>
                <w:rFonts w:hint="eastAsia"/>
                <w:sz w:val="18"/>
              </w:rPr>
              <w:t>无形资产的计量：按实际购置成本</w:t>
            </w:r>
          </w:p>
          <w:p>
            <w:pPr>
              <w:pStyle w:val="23"/>
              <w:numPr>
                <w:ilvl w:val="0"/>
                <w:numId w:val="14"/>
              </w:numPr>
              <w:ind w:firstLineChars="0"/>
              <w:jc w:val="left"/>
              <w:rPr>
                <w:sz w:val="18"/>
              </w:rPr>
            </w:pPr>
            <w:r>
              <w:rPr>
                <w:rFonts w:hint="eastAsia"/>
                <w:sz w:val="18"/>
              </w:rPr>
              <w:t>无形资产的摊销</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4</w:t>
            </w:r>
            <w:r>
              <w:rPr>
                <w:sz w:val="18"/>
              </w:rPr>
              <w:t xml:space="preserve">.5 </w:t>
            </w:r>
            <w:r>
              <w:rPr>
                <w:rFonts w:hint="eastAsia"/>
                <w:sz w:val="18"/>
              </w:rPr>
              <w:t>长期资产减值</w:t>
            </w:r>
          </w:p>
        </w:tc>
        <w:tc>
          <w:tcPr>
            <w:tcW w:w="5000" w:type="dxa"/>
          </w:tcPr>
          <w:p>
            <w:pPr>
              <w:pStyle w:val="23"/>
              <w:numPr>
                <w:ilvl w:val="0"/>
                <w:numId w:val="3"/>
              </w:numPr>
              <w:ind w:left="65" w:leftChars="31" w:firstLine="0" w:firstLineChars="0"/>
              <w:jc w:val="left"/>
              <w:rPr>
                <w:sz w:val="18"/>
              </w:rPr>
            </w:pPr>
            <w:r>
              <w:rPr>
                <w:rFonts w:hint="eastAsia"/>
                <w:sz w:val="18"/>
              </w:rPr>
              <w:t>长期资产减值</w:t>
            </w:r>
          </w:p>
          <w:p>
            <w:pPr>
              <w:pStyle w:val="23"/>
              <w:numPr>
                <w:ilvl w:val="0"/>
                <w:numId w:val="15"/>
              </w:numPr>
              <w:ind w:firstLineChars="0"/>
              <w:jc w:val="left"/>
              <w:rPr>
                <w:sz w:val="18"/>
              </w:rPr>
            </w:pPr>
            <w:r>
              <w:rPr>
                <w:rFonts w:hint="eastAsia"/>
                <w:sz w:val="18"/>
              </w:rPr>
              <w:t>长期资产减值测试方法</w:t>
            </w:r>
          </w:p>
          <w:p>
            <w:pPr>
              <w:pStyle w:val="23"/>
              <w:numPr>
                <w:ilvl w:val="0"/>
                <w:numId w:val="15"/>
              </w:numPr>
              <w:ind w:firstLineChars="0"/>
              <w:jc w:val="left"/>
              <w:rPr>
                <w:sz w:val="18"/>
              </w:rPr>
            </w:pPr>
            <w:r>
              <w:rPr>
                <w:rFonts w:hint="eastAsia"/>
                <w:sz w:val="18"/>
              </w:rPr>
              <w:t>可收回金额的计算</w:t>
            </w:r>
          </w:p>
          <w:p>
            <w:pPr>
              <w:pStyle w:val="23"/>
              <w:numPr>
                <w:ilvl w:val="0"/>
                <w:numId w:val="15"/>
              </w:numPr>
              <w:ind w:firstLineChars="0"/>
              <w:jc w:val="left"/>
              <w:rPr>
                <w:sz w:val="18"/>
              </w:rPr>
            </w:pPr>
            <w:r>
              <w:rPr>
                <w:rFonts w:hint="eastAsia"/>
                <w:sz w:val="18"/>
              </w:rPr>
              <w:t>长期资产处置利得或者损失</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4</w:t>
            </w:r>
            <w:r>
              <w:rPr>
                <w:sz w:val="18"/>
              </w:rPr>
              <w:t xml:space="preserve">.6 </w:t>
            </w:r>
            <w:r>
              <w:rPr>
                <w:rFonts w:hint="eastAsia"/>
                <w:sz w:val="18"/>
              </w:rPr>
              <w:t>费用资本化</w:t>
            </w:r>
          </w:p>
        </w:tc>
        <w:tc>
          <w:tcPr>
            <w:tcW w:w="5000" w:type="dxa"/>
          </w:tcPr>
          <w:p>
            <w:pPr>
              <w:pStyle w:val="23"/>
              <w:numPr>
                <w:ilvl w:val="0"/>
                <w:numId w:val="3"/>
              </w:numPr>
              <w:ind w:left="65" w:leftChars="31" w:firstLine="0" w:firstLineChars="0"/>
              <w:jc w:val="left"/>
              <w:rPr>
                <w:sz w:val="18"/>
              </w:rPr>
            </w:pPr>
            <w:r>
              <w:rPr>
                <w:rFonts w:hint="eastAsia"/>
                <w:sz w:val="18"/>
              </w:rPr>
              <w:t>费用资本化</w:t>
            </w:r>
          </w:p>
          <w:p>
            <w:pPr>
              <w:pStyle w:val="23"/>
              <w:numPr>
                <w:ilvl w:val="0"/>
                <w:numId w:val="16"/>
              </w:numPr>
              <w:ind w:firstLineChars="0"/>
              <w:jc w:val="left"/>
              <w:rPr>
                <w:sz w:val="18"/>
              </w:rPr>
            </w:pPr>
            <w:r>
              <w:rPr>
                <w:rFonts w:hint="eastAsia"/>
                <w:sz w:val="18"/>
              </w:rPr>
              <w:t>计入费用还是计入无形资产？以及对财务报表的影响</w:t>
            </w:r>
          </w:p>
          <w:p>
            <w:pPr>
              <w:pStyle w:val="23"/>
              <w:numPr>
                <w:ilvl w:val="0"/>
                <w:numId w:val="16"/>
              </w:numPr>
              <w:ind w:firstLineChars="0"/>
              <w:jc w:val="left"/>
              <w:rPr>
                <w:sz w:val="18"/>
              </w:rPr>
            </w:pPr>
            <w:r>
              <w:rPr>
                <w:rFonts w:hint="eastAsia"/>
                <w:sz w:val="18"/>
              </w:rPr>
              <w:t>研发支出资本化的五个条件</w:t>
            </w:r>
          </w:p>
          <w:p>
            <w:pPr>
              <w:pStyle w:val="23"/>
              <w:numPr>
                <w:ilvl w:val="0"/>
                <w:numId w:val="16"/>
              </w:numPr>
              <w:ind w:firstLineChars="0"/>
              <w:jc w:val="left"/>
              <w:rPr>
                <w:sz w:val="18"/>
              </w:rPr>
            </w:pPr>
            <w:r>
              <w:rPr>
                <w:rFonts w:hint="eastAsia"/>
                <w:sz w:val="18"/>
              </w:rPr>
              <w:t>研发支出资本化的利润操纵</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4</w:t>
            </w:r>
            <w:r>
              <w:rPr>
                <w:sz w:val="18"/>
              </w:rPr>
              <w:t xml:space="preserve">.7 </w:t>
            </w:r>
            <w:r>
              <w:rPr>
                <w:rFonts w:hint="eastAsia"/>
                <w:sz w:val="18"/>
              </w:rPr>
              <w:t>商誉</w:t>
            </w:r>
          </w:p>
        </w:tc>
        <w:tc>
          <w:tcPr>
            <w:tcW w:w="5000" w:type="dxa"/>
          </w:tcPr>
          <w:p>
            <w:pPr>
              <w:pStyle w:val="23"/>
              <w:numPr>
                <w:ilvl w:val="0"/>
                <w:numId w:val="3"/>
              </w:numPr>
              <w:ind w:left="65" w:leftChars="31" w:firstLine="0" w:firstLineChars="0"/>
              <w:jc w:val="left"/>
              <w:rPr>
                <w:sz w:val="18"/>
              </w:rPr>
            </w:pPr>
            <w:r>
              <w:rPr>
                <w:rFonts w:hint="eastAsia"/>
                <w:sz w:val="18"/>
              </w:rPr>
              <w:t>商誉</w:t>
            </w:r>
          </w:p>
          <w:p>
            <w:pPr>
              <w:pStyle w:val="23"/>
              <w:numPr>
                <w:ilvl w:val="0"/>
                <w:numId w:val="17"/>
              </w:numPr>
              <w:ind w:firstLineChars="0"/>
              <w:jc w:val="left"/>
              <w:rPr>
                <w:sz w:val="18"/>
              </w:rPr>
            </w:pPr>
            <w:r>
              <w:rPr>
                <w:rFonts w:hint="eastAsia"/>
                <w:sz w:val="18"/>
              </w:rPr>
              <w:t>商誉的概念</w:t>
            </w:r>
          </w:p>
          <w:p>
            <w:pPr>
              <w:pStyle w:val="23"/>
              <w:numPr>
                <w:ilvl w:val="0"/>
                <w:numId w:val="17"/>
              </w:numPr>
              <w:ind w:firstLineChars="0"/>
              <w:jc w:val="left"/>
              <w:rPr>
                <w:sz w:val="18"/>
              </w:rPr>
            </w:pPr>
            <w:r>
              <w:rPr>
                <w:rFonts w:hint="eastAsia"/>
                <w:sz w:val="18"/>
              </w:rPr>
              <w:t>商誉减值测试</w:t>
            </w:r>
          </w:p>
          <w:p>
            <w:pPr>
              <w:pStyle w:val="23"/>
              <w:numPr>
                <w:ilvl w:val="0"/>
                <w:numId w:val="17"/>
              </w:numPr>
              <w:ind w:firstLineChars="0"/>
              <w:jc w:val="left"/>
              <w:rPr>
                <w:sz w:val="18"/>
              </w:rPr>
            </w:pPr>
            <w:r>
              <w:rPr>
                <w:rFonts w:hint="eastAsia"/>
                <w:sz w:val="18"/>
              </w:rPr>
              <w:t>商誉暴雷风险指标</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4</w:t>
            </w:r>
            <w:r>
              <w:rPr>
                <w:sz w:val="18"/>
              </w:rPr>
              <w:t xml:space="preserve">.8 </w:t>
            </w:r>
            <w:r>
              <w:rPr>
                <w:rFonts w:hint="eastAsia"/>
                <w:sz w:val="18"/>
              </w:rPr>
              <w:t>金融资产</w:t>
            </w:r>
          </w:p>
        </w:tc>
        <w:tc>
          <w:tcPr>
            <w:tcW w:w="5000" w:type="dxa"/>
          </w:tcPr>
          <w:p>
            <w:pPr>
              <w:pStyle w:val="23"/>
              <w:numPr>
                <w:ilvl w:val="0"/>
                <w:numId w:val="3"/>
              </w:numPr>
              <w:ind w:left="65" w:leftChars="31" w:firstLine="0" w:firstLineChars="0"/>
              <w:jc w:val="left"/>
              <w:rPr>
                <w:sz w:val="18"/>
              </w:rPr>
            </w:pPr>
            <w:r>
              <w:rPr>
                <w:rFonts w:hint="eastAsia"/>
                <w:sz w:val="18"/>
              </w:rPr>
              <w:t>金融资产</w:t>
            </w:r>
          </w:p>
          <w:p>
            <w:pPr>
              <w:pStyle w:val="23"/>
              <w:numPr>
                <w:ilvl w:val="0"/>
                <w:numId w:val="18"/>
              </w:numPr>
              <w:ind w:firstLineChars="0"/>
              <w:jc w:val="left"/>
              <w:rPr>
                <w:sz w:val="18"/>
              </w:rPr>
            </w:pPr>
            <w:r>
              <w:rPr>
                <w:rFonts w:hint="eastAsia"/>
                <w:sz w:val="18"/>
              </w:rPr>
              <w:t>金融资产的概念和分类</w:t>
            </w:r>
          </w:p>
          <w:p>
            <w:pPr>
              <w:pStyle w:val="23"/>
              <w:numPr>
                <w:ilvl w:val="0"/>
                <w:numId w:val="18"/>
              </w:numPr>
              <w:ind w:firstLineChars="0"/>
              <w:jc w:val="left"/>
              <w:rPr>
                <w:sz w:val="18"/>
              </w:rPr>
            </w:pPr>
            <w:r>
              <w:rPr>
                <w:rFonts w:hint="eastAsia"/>
                <w:sz w:val="18"/>
              </w:rPr>
              <w:t>以摊余成本计量的金融资产</w:t>
            </w:r>
          </w:p>
          <w:p>
            <w:pPr>
              <w:pStyle w:val="23"/>
              <w:numPr>
                <w:ilvl w:val="0"/>
                <w:numId w:val="18"/>
              </w:numPr>
              <w:ind w:firstLineChars="0"/>
              <w:jc w:val="left"/>
              <w:rPr>
                <w:sz w:val="18"/>
              </w:rPr>
            </w:pPr>
            <w:r>
              <w:rPr>
                <w:rFonts w:hint="eastAsia"/>
                <w:sz w:val="18"/>
              </w:rPr>
              <w:t>以公允价值计量且变动计入损益的金融资产</w:t>
            </w:r>
          </w:p>
          <w:p>
            <w:pPr>
              <w:pStyle w:val="23"/>
              <w:numPr>
                <w:ilvl w:val="0"/>
                <w:numId w:val="18"/>
              </w:numPr>
              <w:ind w:firstLineChars="0"/>
              <w:jc w:val="left"/>
              <w:rPr>
                <w:sz w:val="18"/>
              </w:rPr>
            </w:pPr>
            <w:r>
              <w:rPr>
                <w:rFonts w:hint="eastAsia"/>
                <w:sz w:val="18"/>
              </w:rPr>
              <w:t>以公允价值计量且变动计入其他综合收益的金融资产</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4</w:t>
            </w:r>
            <w:r>
              <w:rPr>
                <w:sz w:val="18"/>
              </w:rPr>
              <w:t xml:space="preserve">.9 </w:t>
            </w:r>
            <w:r>
              <w:rPr>
                <w:rFonts w:hint="eastAsia"/>
                <w:sz w:val="18"/>
              </w:rPr>
              <w:t>长期股权</w:t>
            </w:r>
          </w:p>
        </w:tc>
        <w:tc>
          <w:tcPr>
            <w:tcW w:w="5000" w:type="dxa"/>
          </w:tcPr>
          <w:p>
            <w:pPr>
              <w:pStyle w:val="23"/>
              <w:numPr>
                <w:ilvl w:val="0"/>
                <w:numId w:val="3"/>
              </w:numPr>
              <w:ind w:left="65" w:leftChars="31" w:firstLine="0" w:firstLineChars="0"/>
              <w:jc w:val="left"/>
              <w:rPr>
                <w:sz w:val="18"/>
              </w:rPr>
            </w:pPr>
            <w:r>
              <w:rPr>
                <w:rFonts w:hint="eastAsia"/>
                <w:sz w:val="18"/>
              </w:rPr>
              <w:t>长期股权投资</w:t>
            </w:r>
          </w:p>
          <w:p>
            <w:pPr>
              <w:pStyle w:val="23"/>
              <w:numPr>
                <w:ilvl w:val="0"/>
                <w:numId w:val="19"/>
              </w:numPr>
              <w:ind w:firstLineChars="0"/>
              <w:jc w:val="left"/>
              <w:rPr>
                <w:sz w:val="18"/>
              </w:rPr>
            </w:pPr>
            <w:r>
              <w:rPr>
                <w:rFonts w:hint="eastAsia"/>
                <w:sz w:val="18"/>
              </w:rPr>
              <w:t>长期股权投资的概念</w:t>
            </w:r>
          </w:p>
          <w:p>
            <w:pPr>
              <w:pStyle w:val="23"/>
              <w:numPr>
                <w:ilvl w:val="0"/>
                <w:numId w:val="19"/>
              </w:numPr>
              <w:ind w:firstLineChars="0"/>
              <w:jc w:val="left"/>
              <w:rPr>
                <w:sz w:val="18"/>
              </w:rPr>
            </w:pPr>
            <w:r>
              <w:rPr>
                <w:rFonts w:hint="eastAsia"/>
                <w:sz w:val="18"/>
              </w:rPr>
              <w:t>共同控制和重大影响</w:t>
            </w:r>
          </w:p>
          <w:p>
            <w:pPr>
              <w:pStyle w:val="23"/>
              <w:numPr>
                <w:ilvl w:val="0"/>
                <w:numId w:val="19"/>
              </w:numPr>
              <w:ind w:firstLineChars="0"/>
              <w:jc w:val="left"/>
              <w:rPr>
                <w:sz w:val="18"/>
              </w:rPr>
            </w:pPr>
            <w:r>
              <w:rPr>
                <w:rFonts w:hint="eastAsia"/>
                <w:sz w:val="18"/>
              </w:rPr>
              <w:t>长期股权投资的权益法</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4</w:t>
            </w:r>
            <w:r>
              <w:rPr>
                <w:sz w:val="18"/>
              </w:rPr>
              <w:t xml:space="preserve">.10 </w:t>
            </w:r>
            <w:r>
              <w:rPr>
                <w:rFonts w:hint="eastAsia"/>
                <w:sz w:val="18"/>
              </w:rPr>
              <w:t>合并报表</w:t>
            </w:r>
          </w:p>
        </w:tc>
        <w:tc>
          <w:tcPr>
            <w:tcW w:w="5000" w:type="dxa"/>
          </w:tcPr>
          <w:p>
            <w:pPr>
              <w:pStyle w:val="23"/>
              <w:numPr>
                <w:ilvl w:val="0"/>
                <w:numId w:val="3"/>
              </w:numPr>
              <w:ind w:left="65" w:leftChars="31" w:firstLine="0" w:firstLineChars="0"/>
              <w:jc w:val="left"/>
              <w:rPr>
                <w:sz w:val="18"/>
              </w:rPr>
            </w:pPr>
            <w:r>
              <w:rPr>
                <w:rFonts w:hint="eastAsia"/>
                <w:sz w:val="18"/>
              </w:rPr>
              <w:t>合并报表分析</w:t>
            </w:r>
          </w:p>
          <w:p>
            <w:pPr>
              <w:pStyle w:val="23"/>
              <w:numPr>
                <w:ilvl w:val="0"/>
                <w:numId w:val="20"/>
              </w:numPr>
              <w:ind w:firstLineChars="0"/>
              <w:jc w:val="left"/>
              <w:rPr>
                <w:sz w:val="18"/>
              </w:rPr>
            </w:pPr>
            <w:r>
              <w:rPr>
                <w:rFonts w:hint="eastAsia"/>
                <w:sz w:val="18"/>
              </w:rPr>
              <w:t>合并报告的基本概念</w:t>
            </w:r>
          </w:p>
          <w:p>
            <w:pPr>
              <w:pStyle w:val="23"/>
              <w:numPr>
                <w:ilvl w:val="0"/>
                <w:numId w:val="20"/>
              </w:numPr>
              <w:ind w:firstLineChars="0"/>
              <w:jc w:val="left"/>
              <w:rPr>
                <w:sz w:val="18"/>
              </w:rPr>
            </w:pPr>
            <w:r>
              <w:rPr>
                <w:rFonts w:hint="eastAsia"/>
                <w:sz w:val="18"/>
              </w:rPr>
              <w:t>合并报表的过程</w:t>
            </w:r>
          </w:p>
          <w:p>
            <w:pPr>
              <w:pStyle w:val="23"/>
              <w:numPr>
                <w:ilvl w:val="0"/>
                <w:numId w:val="20"/>
              </w:numPr>
              <w:ind w:firstLineChars="0"/>
              <w:jc w:val="left"/>
              <w:rPr>
                <w:sz w:val="18"/>
              </w:rPr>
            </w:pPr>
            <w:r>
              <w:rPr>
                <w:rFonts w:hint="eastAsia"/>
                <w:sz w:val="18"/>
              </w:rPr>
              <w:t>合并报表对企业的影响</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restart"/>
          </w:tcPr>
          <w:p>
            <w:pPr>
              <w:jc w:val="left"/>
              <w:rPr>
                <w:sz w:val="18"/>
              </w:rPr>
            </w:pPr>
            <w:r>
              <w:rPr>
                <w:rFonts w:hint="eastAsia"/>
                <w:sz w:val="18"/>
              </w:rPr>
              <w:t>5</w:t>
            </w:r>
            <w:r>
              <w:rPr>
                <w:sz w:val="18"/>
              </w:rPr>
              <w:t xml:space="preserve">. </w:t>
            </w:r>
            <w:r>
              <w:rPr>
                <w:rFonts w:hint="eastAsia"/>
                <w:sz w:val="18"/>
              </w:rPr>
              <w:t>负债和股东权益</w:t>
            </w:r>
          </w:p>
        </w:tc>
        <w:tc>
          <w:tcPr>
            <w:tcW w:w="1701" w:type="dxa"/>
          </w:tcPr>
          <w:p>
            <w:pPr>
              <w:ind w:left="65"/>
              <w:jc w:val="left"/>
              <w:rPr>
                <w:sz w:val="18"/>
              </w:rPr>
            </w:pPr>
            <w:r>
              <w:rPr>
                <w:rFonts w:hint="eastAsia"/>
                <w:sz w:val="18"/>
              </w:rPr>
              <w:t>5</w:t>
            </w:r>
            <w:r>
              <w:rPr>
                <w:sz w:val="18"/>
              </w:rPr>
              <w:t xml:space="preserve">.1 </w:t>
            </w:r>
            <w:r>
              <w:rPr>
                <w:rFonts w:hint="eastAsia"/>
                <w:sz w:val="18"/>
              </w:rPr>
              <w:t>负债</w:t>
            </w:r>
          </w:p>
        </w:tc>
        <w:tc>
          <w:tcPr>
            <w:tcW w:w="5000" w:type="dxa"/>
          </w:tcPr>
          <w:p>
            <w:pPr>
              <w:pStyle w:val="23"/>
              <w:numPr>
                <w:ilvl w:val="0"/>
                <w:numId w:val="3"/>
              </w:numPr>
              <w:ind w:left="65" w:leftChars="31" w:firstLine="0" w:firstLineChars="0"/>
              <w:jc w:val="left"/>
              <w:rPr>
                <w:sz w:val="18"/>
              </w:rPr>
            </w:pPr>
            <w:r>
              <w:rPr>
                <w:rFonts w:hint="eastAsia"/>
                <w:sz w:val="18"/>
              </w:rPr>
              <w:t>负债</w:t>
            </w:r>
          </w:p>
          <w:p>
            <w:pPr>
              <w:pStyle w:val="23"/>
              <w:numPr>
                <w:ilvl w:val="0"/>
                <w:numId w:val="21"/>
              </w:numPr>
              <w:ind w:firstLineChars="0"/>
              <w:jc w:val="left"/>
              <w:rPr>
                <w:sz w:val="18"/>
              </w:rPr>
            </w:pPr>
            <w:r>
              <w:rPr>
                <w:rFonts w:hint="eastAsia"/>
                <w:sz w:val="18"/>
              </w:rPr>
              <w:t>负债概念、负债分类</w:t>
            </w:r>
          </w:p>
          <w:p>
            <w:pPr>
              <w:pStyle w:val="23"/>
              <w:numPr>
                <w:ilvl w:val="0"/>
                <w:numId w:val="21"/>
              </w:numPr>
              <w:ind w:firstLineChars="0"/>
              <w:jc w:val="left"/>
              <w:rPr>
                <w:sz w:val="18"/>
              </w:rPr>
            </w:pPr>
            <w:r>
              <w:rPr>
                <w:rFonts w:hint="eastAsia"/>
                <w:sz w:val="18"/>
              </w:rPr>
              <w:t>流动负债、预收账款</w:t>
            </w:r>
          </w:p>
          <w:p>
            <w:pPr>
              <w:pStyle w:val="23"/>
              <w:numPr>
                <w:ilvl w:val="0"/>
                <w:numId w:val="21"/>
              </w:numPr>
              <w:ind w:firstLineChars="0"/>
              <w:jc w:val="left"/>
              <w:rPr>
                <w:sz w:val="18"/>
              </w:rPr>
            </w:pPr>
            <w:r>
              <w:rPr>
                <w:rFonts w:hint="eastAsia"/>
                <w:sz w:val="18"/>
              </w:rPr>
              <w:t>非流动负债</w:t>
            </w:r>
          </w:p>
          <w:p>
            <w:pPr>
              <w:pStyle w:val="23"/>
              <w:numPr>
                <w:ilvl w:val="0"/>
                <w:numId w:val="21"/>
              </w:numPr>
              <w:ind w:firstLineChars="0"/>
              <w:jc w:val="left"/>
              <w:rPr>
                <w:sz w:val="18"/>
              </w:rPr>
            </w:pPr>
            <w:r>
              <w:rPr>
                <w:rFonts w:hint="eastAsia"/>
                <w:sz w:val="18"/>
              </w:rPr>
              <w:t>或有事项与预计负债</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5</w:t>
            </w:r>
            <w:r>
              <w:rPr>
                <w:sz w:val="18"/>
              </w:rPr>
              <w:t xml:space="preserve">.2 </w:t>
            </w:r>
            <w:r>
              <w:rPr>
                <w:rFonts w:hint="eastAsia"/>
                <w:sz w:val="18"/>
              </w:rPr>
              <w:t>股东权益</w:t>
            </w:r>
          </w:p>
        </w:tc>
        <w:tc>
          <w:tcPr>
            <w:tcW w:w="5000" w:type="dxa"/>
          </w:tcPr>
          <w:p>
            <w:pPr>
              <w:pStyle w:val="23"/>
              <w:numPr>
                <w:ilvl w:val="0"/>
                <w:numId w:val="3"/>
              </w:numPr>
              <w:ind w:left="65" w:leftChars="31" w:firstLine="0" w:firstLineChars="0"/>
              <w:jc w:val="left"/>
              <w:rPr>
                <w:sz w:val="18"/>
              </w:rPr>
            </w:pPr>
            <w:r>
              <w:rPr>
                <w:rFonts w:hint="eastAsia"/>
                <w:sz w:val="18"/>
              </w:rPr>
              <w:t>股东权益</w:t>
            </w:r>
          </w:p>
          <w:p>
            <w:pPr>
              <w:pStyle w:val="23"/>
              <w:numPr>
                <w:ilvl w:val="0"/>
                <w:numId w:val="22"/>
              </w:numPr>
              <w:ind w:firstLineChars="0"/>
              <w:jc w:val="left"/>
              <w:rPr>
                <w:sz w:val="18"/>
              </w:rPr>
            </w:pPr>
            <w:r>
              <w:rPr>
                <w:rFonts w:hint="eastAsia"/>
                <w:sz w:val="18"/>
              </w:rPr>
              <w:t>股东权益概念和构成</w:t>
            </w:r>
          </w:p>
          <w:p>
            <w:pPr>
              <w:pStyle w:val="23"/>
              <w:numPr>
                <w:ilvl w:val="0"/>
                <w:numId w:val="22"/>
              </w:numPr>
              <w:ind w:firstLineChars="0"/>
              <w:jc w:val="left"/>
              <w:rPr>
                <w:sz w:val="18"/>
              </w:rPr>
            </w:pPr>
            <w:r>
              <w:rPr>
                <w:rFonts w:hint="eastAsia"/>
                <w:sz w:val="18"/>
              </w:rPr>
              <w:t>实收资本</w:t>
            </w:r>
          </w:p>
          <w:p>
            <w:pPr>
              <w:pStyle w:val="23"/>
              <w:numPr>
                <w:ilvl w:val="0"/>
                <w:numId w:val="22"/>
              </w:numPr>
              <w:ind w:firstLineChars="0"/>
              <w:jc w:val="left"/>
              <w:rPr>
                <w:sz w:val="18"/>
              </w:rPr>
            </w:pPr>
            <w:r>
              <w:rPr>
                <w:rFonts w:hint="eastAsia"/>
                <w:sz w:val="18"/>
              </w:rPr>
              <w:t>资本公积</w:t>
            </w:r>
          </w:p>
          <w:p>
            <w:pPr>
              <w:pStyle w:val="23"/>
              <w:numPr>
                <w:ilvl w:val="0"/>
                <w:numId w:val="22"/>
              </w:numPr>
              <w:ind w:firstLineChars="0"/>
              <w:jc w:val="left"/>
              <w:rPr>
                <w:sz w:val="18"/>
              </w:rPr>
            </w:pPr>
            <w:r>
              <w:rPr>
                <w:rFonts w:hint="eastAsia"/>
                <w:sz w:val="18"/>
              </w:rPr>
              <w:t>留存收益RI</w:t>
            </w:r>
          </w:p>
          <w:p>
            <w:pPr>
              <w:pStyle w:val="23"/>
              <w:numPr>
                <w:ilvl w:val="0"/>
                <w:numId w:val="22"/>
              </w:numPr>
              <w:ind w:firstLineChars="0"/>
              <w:jc w:val="left"/>
              <w:rPr>
                <w:sz w:val="18"/>
              </w:rPr>
            </w:pPr>
            <w:r>
              <w:rPr>
                <w:rFonts w:hint="eastAsia"/>
                <w:sz w:val="18"/>
              </w:rPr>
              <w:t>其他综合收益OCI</w:t>
            </w:r>
          </w:p>
          <w:p>
            <w:pPr>
              <w:pStyle w:val="23"/>
              <w:numPr>
                <w:ilvl w:val="0"/>
                <w:numId w:val="22"/>
              </w:numPr>
              <w:ind w:firstLineChars="0"/>
              <w:jc w:val="left"/>
              <w:rPr>
                <w:sz w:val="18"/>
              </w:rPr>
            </w:pPr>
            <w:r>
              <w:rPr>
                <w:rFonts w:hint="eastAsia"/>
                <w:sz w:val="18"/>
              </w:rPr>
              <w:t>股利分配</w:t>
            </w:r>
          </w:p>
          <w:p>
            <w:pPr>
              <w:pStyle w:val="23"/>
              <w:numPr>
                <w:ilvl w:val="0"/>
                <w:numId w:val="22"/>
              </w:numPr>
              <w:ind w:firstLineChars="0"/>
              <w:jc w:val="left"/>
              <w:rPr>
                <w:sz w:val="18"/>
              </w:rPr>
            </w:pPr>
            <w:r>
              <w:rPr>
                <w:rFonts w:hint="eastAsia"/>
                <w:sz w:val="18"/>
              </w:rPr>
              <w:t>转增股份</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restart"/>
          </w:tcPr>
          <w:p>
            <w:pPr>
              <w:jc w:val="left"/>
              <w:rPr>
                <w:sz w:val="18"/>
              </w:rPr>
            </w:pPr>
            <w:r>
              <w:rPr>
                <w:rFonts w:hint="eastAsia"/>
                <w:sz w:val="18"/>
              </w:rPr>
              <w:t>6</w:t>
            </w:r>
            <w:r>
              <w:rPr>
                <w:sz w:val="18"/>
              </w:rPr>
              <w:t xml:space="preserve">. </w:t>
            </w:r>
            <w:r>
              <w:rPr>
                <w:rFonts w:hint="eastAsia"/>
                <w:sz w:val="18"/>
              </w:rPr>
              <w:t>现金流量表</w:t>
            </w:r>
          </w:p>
        </w:tc>
        <w:tc>
          <w:tcPr>
            <w:tcW w:w="1701" w:type="dxa"/>
          </w:tcPr>
          <w:p>
            <w:pPr>
              <w:ind w:left="65"/>
              <w:jc w:val="left"/>
              <w:rPr>
                <w:sz w:val="18"/>
              </w:rPr>
            </w:pPr>
            <w:r>
              <w:rPr>
                <w:rFonts w:hint="eastAsia"/>
                <w:sz w:val="18"/>
              </w:rPr>
              <w:t>6</w:t>
            </w:r>
            <w:r>
              <w:rPr>
                <w:sz w:val="18"/>
              </w:rPr>
              <w:t xml:space="preserve">.1 </w:t>
            </w:r>
            <w:r>
              <w:rPr>
                <w:rFonts w:hint="eastAsia"/>
                <w:sz w:val="18"/>
              </w:rPr>
              <w:t>现金流量表概念</w:t>
            </w:r>
          </w:p>
        </w:tc>
        <w:tc>
          <w:tcPr>
            <w:tcW w:w="5000" w:type="dxa"/>
          </w:tcPr>
          <w:p>
            <w:pPr>
              <w:pStyle w:val="23"/>
              <w:numPr>
                <w:ilvl w:val="0"/>
                <w:numId w:val="3"/>
              </w:numPr>
              <w:ind w:left="65" w:leftChars="31" w:firstLine="0" w:firstLineChars="0"/>
              <w:jc w:val="left"/>
              <w:rPr>
                <w:sz w:val="18"/>
              </w:rPr>
            </w:pPr>
            <w:r>
              <w:rPr>
                <w:rFonts w:hint="eastAsia"/>
                <w:sz w:val="18"/>
              </w:rPr>
              <w:t>现金流量表概念</w:t>
            </w:r>
          </w:p>
          <w:p>
            <w:pPr>
              <w:pStyle w:val="23"/>
              <w:numPr>
                <w:ilvl w:val="0"/>
                <w:numId w:val="23"/>
              </w:numPr>
              <w:ind w:firstLineChars="0"/>
              <w:jc w:val="left"/>
              <w:rPr>
                <w:sz w:val="18"/>
              </w:rPr>
            </w:pPr>
            <w:r>
              <w:rPr>
                <w:rFonts w:hint="eastAsia"/>
                <w:sz w:val="18"/>
              </w:rPr>
              <w:t>现金流量表概念</w:t>
            </w:r>
          </w:p>
          <w:p>
            <w:pPr>
              <w:pStyle w:val="23"/>
              <w:numPr>
                <w:ilvl w:val="0"/>
                <w:numId w:val="23"/>
              </w:numPr>
              <w:ind w:firstLineChars="0"/>
              <w:jc w:val="left"/>
              <w:rPr>
                <w:sz w:val="18"/>
              </w:rPr>
            </w:pPr>
            <w:r>
              <w:rPr>
                <w:rFonts w:hint="eastAsia"/>
                <w:sz w:val="18"/>
              </w:rPr>
              <w:t>现金流量表构成</w:t>
            </w:r>
          </w:p>
          <w:p>
            <w:pPr>
              <w:pStyle w:val="23"/>
              <w:numPr>
                <w:ilvl w:val="0"/>
                <w:numId w:val="23"/>
              </w:numPr>
              <w:ind w:firstLineChars="0"/>
              <w:jc w:val="left"/>
              <w:rPr>
                <w:sz w:val="18"/>
              </w:rPr>
            </w:pPr>
            <w:r>
              <w:rPr>
                <w:rFonts w:hint="eastAsia"/>
                <w:sz w:val="18"/>
              </w:rPr>
              <w:t>直接法编制现金流量表</w:t>
            </w:r>
          </w:p>
          <w:p>
            <w:pPr>
              <w:pStyle w:val="23"/>
              <w:numPr>
                <w:ilvl w:val="0"/>
                <w:numId w:val="23"/>
              </w:numPr>
              <w:ind w:firstLineChars="0"/>
              <w:jc w:val="left"/>
              <w:rPr>
                <w:sz w:val="18"/>
              </w:rPr>
            </w:pPr>
            <w:r>
              <w:rPr>
                <w:rFonts w:hint="eastAsia"/>
                <w:sz w:val="18"/>
              </w:rPr>
              <w:t>间接法编制现金流量表</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rFonts w:hint="eastAsia"/>
                <w:sz w:val="18"/>
              </w:rPr>
              <w:t>6</w:t>
            </w:r>
            <w:r>
              <w:rPr>
                <w:sz w:val="18"/>
              </w:rPr>
              <w:t xml:space="preserve">.2 </w:t>
            </w:r>
            <w:r>
              <w:rPr>
                <w:rFonts w:hint="eastAsia"/>
                <w:sz w:val="18"/>
              </w:rPr>
              <w:t>现金流量表分析</w:t>
            </w:r>
          </w:p>
        </w:tc>
        <w:tc>
          <w:tcPr>
            <w:tcW w:w="5000" w:type="dxa"/>
          </w:tcPr>
          <w:p>
            <w:pPr>
              <w:pStyle w:val="23"/>
              <w:numPr>
                <w:ilvl w:val="0"/>
                <w:numId w:val="3"/>
              </w:numPr>
              <w:ind w:left="65" w:leftChars="31" w:firstLine="0" w:firstLineChars="0"/>
              <w:jc w:val="left"/>
              <w:rPr>
                <w:sz w:val="18"/>
              </w:rPr>
            </w:pPr>
            <w:r>
              <w:rPr>
                <w:rFonts w:hint="eastAsia"/>
                <w:sz w:val="18"/>
              </w:rPr>
              <w:t>现金流量表分析</w:t>
            </w:r>
          </w:p>
          <w:p>
            <w:pPr>
              <w:pStyle w:val="23"/>
              <w:numPr>
                <w:ilvl w:val="0"/>
                <w:numId w:val="24"/>
              </w:numPr>
              <w:ind w:firstLineChars="0"/>
              <w:jc w:val="left"/>
              <w:rPr>
                <w:sz w:val="18"/>
              </w:rPr>
            </w:pPr>
            <w:r>
              <w:rPr>
                <w:rFonts w:hint="eastAsia"/>
                <w:sz w:val="18"/>
              </w:rPr>
              <w:t>净现比分析</w:t>
            </w:r>
          </w:p>
          <w:p>
            <w:pPr>
              <w:pStyle w:val="23"/>
              <w:numPr>
                <w:ilvl w:val="0"/>
                <w:numId w:val="24"/>
              </w:numPr>
              <w:ind w:firstLineChars="0"/>
              <w:jc w:val="left"/>
              <w:rPr>
                <w:sz w:val="18"/>
              </w:rPr>
            </w:pPr>
            <w:r>
              <w:rPr>
                <w:rFonts w:hint="eastAsia"/>
                <w:sz w:val="18"/>
              </w:rPr>
              <w:t>经营现金流分析框架</w:t>
            </w:r>
          </w:p>
          <w:p>
            <w:pPr>
              <w:pStyle w:val="23"/>
              <w:numPr>
                <w:ilvl w:val="0"/>
                <w:numId w:val="24"/>
              </w:numPr>
              <w:ind w:firstLineChars="0"/>
              <w:jc w:val="left"/>
              <w:rPr>
                <w:sz w:val="18"/>
              </w:rPr>
            </w:pPr>
            <w:r>
              <w:rPr>
                <w:rFonts w:hint="eastAsia"/>
                <w:sz w:val="18"/>
              </w:rPr>
              <w:t>企业生命周期与现金流量表现</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pPr>
              <w:jc w:val="left"/>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restart"/>
          </w:tcPr>
          <w:p>
            <w:pPr>
              <w:jc w:val="left"/>
              <w:rPr>
                <w:sz w:val="18"/>
              </w:rPr>
            </w:pPr>
            <w:r>
              <w:rPr>
                <w:sz w:val="18"/>
              </w:rPr>
              <w:t xml:space="preserve">7. </w:t>
            </w:r>
            <w:r>
              <w:rPr>
                <w:rFonts w:hint="eastAsia"/>
                <w:sz w:val="18"/>
              </w:rPr>
              <w:t>财务报表分析</w:t>
            </w:r>
          </w:p>
        </w:tc>
        <w:tc>
          <w:tcPr>
            <w:tcW w:w="1701" w:type="dxa"/>
          </w:tcPr>
          <w:p>
            <w:pPr>
              <w:ind w:left="65"/>
              <w:jc w:val="left"/>
              <w:rPr>
                <w:sz w:val="18"/>
              </w:rPr>
            </w:pPr>
            <w:r>
              <w:rPr>
                <w:sz w:val="18"/>
              </w:rPr>
              <w:t xml:space="preserve">7.1 </w:t>
            </w:r>
            <w:r>
              <w:rPr>
                <w:rFonts w:hint="eastAsia"/>
                <w:sz w:val="18"/>
              </w:rPr>
              <w:t>财务报表勾稽</w:t>
            </w:r>
          </w:p>
        </w:tc>
        <w:tc>
          <w:tcPr>
            <w:tcW w:w="5000" w:type="dxa"/>
          </w:tcPr>
          <w:p>
            <w:pPr>
              <w:pStyle w:val="23"/>
              <w:numPr>
                <w:ilvl w:val="0"/>
                <w:numId w:val="3"/>
              </w:numPr>
              <w:ind w:left="65" w:leftChars="31" w:firstLine="0" w:firstLineChars="0"/>
              <w:jc w:val="left"/>
              <w:rPr>
                <w:sz w:val="18"/>
              </w:rPr>
            </w:pPr>
            <w:r>
              <w:rPr>
                <w:rFonts w:hint="eastAsia"/>
                <w:sz w:val="18"/>
              </w:rPr>
              <w:t>财务报表分析基础</w:t>
            </w:r>
          </w:p>
          <w:p>
            <w:pPr>
              <w:pStyle w:val="23"/>
              <w:numPr>
                <w:ilvl w:val="0"/>
                <w:numId w:val="25"/>
              </w:numPr>
              <w:ind w:firstLineChars="0"/>
              <w:jc w:val="left"/>
              <w:rPr>
                <w:sz w:val="18"/>
              </w:rPr>
            </w:pPr>
            <w:r>
              <w:rPr>
                <w:rFonts w:hint="eastAsia"/>
                <w:sz w:val="18"/>
              </w:rPr>
              <w:t>同比财务报表</w:t>
            </w:r>
          </w:p>
          <w:p>
            <w:pPr>
              <w:pStyle w:val="23"/>
              <w:numPr>
                <w:ilvl w:val="0"/>
                <w:numId w:val="25"/>
              </w:numPr>
              <w:ind w:firstLineChars="0"/>
              <w:jc w:val="left"/>
              <w:rPr>
                <w:sz w:val="18"/>
              </w:rPr>
            </w:pPr>
            <w:r>
              <w:rPr>
                <w:rFonts w:hint="eastAsia"/>
                <w:sz w:val="18"/>
              </w:rPr>
              <w:t>财务报表勾稽关系</w:t>
            </w:r>
          </w:p>
        </w:tc>
        <w:tc>
          <w:tcPr>
            <w:tcW w:w="954" w:type="dxa"/>
          </w:tcPr>
          <w:p>
            <w:pPr>
              <w:jc w:val="left"/>
              <w:rPr>
                <w:sz w:val="18"/>
              </w:rPr>
            </w:pPr>
            <w:r>
              <w:rPr>
                <w:rFonts w:hint="eastAsia"/>
                <w:sz w:val="18"/>
              </w:rPr>
              <w:t>一般理解</w:t>
            </w:r>
          </w:p>
        </w:tc>
        <w:tc>
          <w:tcPr>
            <w:tcW w:w="831" w:type="dxa"/>
            <w:shd w:val="clear" w:color="auto" w:fill="auto"/>
          </w:tcPr>
          <w:p>
            <w:pPr>
              <w:jc w:val="left"/>
              <w:rPr>
                <w:sz w:val="18"/>
              </w:rPr>
            </w:pPr>
            <w:r>
              <w:rPr>
                <w:rFonts w:hint="eastAsia"/>
                <w:sz w:val="18"/>
              </w:rPr>
              <w:t>中</w:t>
            </w:r>
          </w:p>
        </w:tc>
        <w:tc>
          <w:tcPr>
            <w:tcW w:w="691" w:type="dxa"/>
            <w:shd w:val="clear" w:color="auto" w:fill="auto"/>
          </w:tcPr>
          <w:p>
            <w:pPr>
              <w:jc w:val="left"/>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sz w:val="18"/>
              </w:rPr>
              <w:t xml:space="preserve">7.2 </w:t>
            </w:r>
            <w:r>
              <w:rPr>
                <w:rFonts w:hint="eastAsia"/>
                <w:sz w:val="18"/>
              </w:rPr>
              <w:t>财务比率</w:t>
            </w:r>
          </w:p>
        </w:tc>
        <w:tc>
          <w:tcPr>
            <w:tcW w:w="5000" w:type="dxa"/>
          </w:tcPr>
          <w:p>
            <w:pPr>
              <w:pStyle w:val="23"/>
              <w:numPr>
                <w:ilvl w:val="0"/>
                <w:numId w:val="3"/>
              </w:numPr>
              <w:ind w:left="65" w:leftChars="31" w:firstLine="0" w:firstLineChars="0"/>
              <w:jc w:val="left"/>
              <w:rPr>
                <w:sz w:val="18"/>
              </w:rPr>
            </w:pPr>
            <w:r>
              <w:rPr>
                <w:rFonts w:hint="eastAsia"/>
                <w:sz w:val="18"/>
              </w:rPr>
              <w:t>关键财务比率</w:t>
            </w:r>
          </w:p>
          <w:p>
            <w:pPr>
              <w:pStyle w:val="23"/>
              <w:numPr>
                <w:ilvl w:val="0"/>
                <w:numId w:val="26"/>
              </w:numPr>
              <w:ind w:firstLineChars="0"/>
              <w:jc w:val="left"/>
              <w:rPr>
                <w:sz w:val="18"/>
              </w:rPr>
            </w:pPr>
            <w:r>
              <w:rPr>
                <w:rFonts w:hint="eastAsia"/>
                <w:sz w:val="18"/>
              </w:rPr>
              <w:t>盈利能力</w:t>
            </w:r>
          </w:p>
          <w:p>
            <w:pPr>
              <w:pStyle w:val="23"/>
              <w:numPr>
                <w:ilvl w:val="0"/>
                <w:numId w:val="26"/>
              </w:numPr>
              <w:ind w:firstLineChars="0"/>
              <w:jc w:val="left"/>
              <w:rPr>
                <w:sz w:val="18"/>
              </w:rPr>
            </w:pPr>
            <w:r>
              <w:rPr>
                <w:rFonts w:hint="eastAsia"/>
                <w:sz w:val="18"/>
              </w:rPr>
              <w:t>偿债能力</w:t>
            </w:r>
          </w:p>
          <w:p>
            <w:pPr>
              <w:pStyle w:val="23"/>
              <w:numPr>
                <w:ilvl w:val="0"/>
                <w:numId w:val="26"/>
              </w:numPr>
              <w:ind w:firstLineChars="0"/>
              <w:jc w:val="left"/>
              <w:rPr>
                <w:sz w:val="18"/>
              </w:rPr>
            </w:pPr>
            <w:r>
              <w:rPr>
                <w:rFonts w:hint="eastAsia"/>
                <w:sz w:val="18"/>
              </w:rPr>
              <w:t>运营能力</w:t>
            </w:r>
          </w:p>
          <w:p>
            <w:pPr>
              <w:pStyle w:val="23"/>
              <w:numPr>
                <w:ilvl w:val="0"/>
                <w:numId w:val="26"/>
              </w:numPr>
              <w:ind w:firstLineChars="0"/>
              <w:jc w:val="left"/>
              <w:rPr>
                <w:sz w:val="18"/>
              </w:rPr>
            </w:pPr>
            <w:r>
              <w:rPr>
                <w:rFonts w:hint="eastAsia"/>
                <w:sz w:val="18"/>
              </w:rPr>
              <w:t>发展能力</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sz w:val="18"/>
              </w:rPr>
              <w:t xml:space="preserve">7.3 </w:t>
            </w:r>
            <w:r>
              <w:rPr>
                <w:rFonts w:hint="eastAsia"/>
                <w:sz w:val="18"/>
              </w:rPr>
              <w:t>杜邦分析</w:t>
            </w:r>
          </w:p>
        </w:tc>
        <w:tc>
          <w:tcPr>
            <w:tcW w:w="5000" w:type="dxa"/>
          </w:tcPr>
          <w:p>
            <w:pPr>
              <w:pStyle w:val="23"/>
              <w:numPr>
                <w:ilvl w:val="0"/>
                <w:numId w:val="3"/>
              </w:numPr>
              <w:ind w:left="65" w:leftChars="31" w:firstLine="0" w:firstLineChars="0"/>
              <w:jc w:val="left"/>
              <w:rPr>
                <w:sz w:val="18"/>
              </w:rPr>
            </w:pPr>
            <w:r>
              <w:rPr>
                <w:rFonts w:hint="eastAsia"/>
                <w:sz w:val="18"/>
              </w:rPr>
              <w:t>杜邦分析</w:t>
            </w:r>
          </w:p>
          <w:p>
            <w:pPr>
              <w:pStyle w:val="23"/>
              <w:numPr>
                <w:ilvl w:val="0"/>
                <w:numId w:val="27"/>
              </w:numPr>
              <w:ind w:firstLineChars="0"/>
              <w:jc w:val="left"/>
              <w:rPr>
                <w:sz w:val="18"/>
              </w:rPr>
            </w:pPr>
            <w:r>
              <w:rPr>
                <w:rFonts w:hint="eastAsia"/>
                <w:sz w:val="18"/>
              </w:rPr>
              <w:t>杜邦分析框架</w:t>
            </w:r>
          </w:p>
          <w:p>
            <w:pPr>
              <w:pStyle w:val="23"/>
              <w:numPr>
                <w:ilvl w:val="0"/>
                <w:numId w:val="27"/>
              </w:numPr>
              <w:ind w:firstLineChars="0"/>
              <w:jc w:val="left"/>
              <w:rPr>
                <w:sz w:val="18"/>
              </w:rPr>
            </w:pPr>
            <w:r>
              <w:rPr>
                <w:rFonts w:hint="eastAsia"/>
                <w:sz w:val="18"/>
              </w:rPr>
              <w:t>提高RO</w:t>
            </w:r>
            <w:r>
              <w:rPr>
                <w:sz w:val="18"/>
              </w:rPr>
              <w:t>E</w:t>
            </w:r>
            <w:r>
              <w:rPr>
                <w:rFonts w:hint="eastAsia"/>
                <w:sz w:val="18"/>
              </w:rPr>
              <w:t>三种途径</w:t>
            </w:r>
          </w:p>
        </w:tc>
        <w:tc>
          <w:tcPr>
            <w:tcW w:w="954" w:type="dxa"/>
          </w:tcPr>
          <w:p>
            <w:pPr>
              <w:jc w:val="left"/>
              <w:rPr>
                <w:sz w:val="18"/>
              </w:rPr>
            </w:pPr>
            <w:r>
              <w:rPr>
                <w:rFonts w:hint="eastAsia"/>
                <w:sz w:val="18"/>
              </w:rPr>
              <w:t>深入理解</w:t>
            </w:r>
          </w:p>
        </w:tc>
        <w:tc>
          <w:tcPr>
            <w:tcW w:w="831" w:type="dxa"/>
            <w:shd w:val="clear" w:color="auto" w:fill="auto"/>
          </w:tcPr>
          <w:p>
            <w:r>
              <w:rPr>
                <w:rFonts w:hint="eastAsia"/>
                <w:sz w:val="18"/>
              </w:rPr>
              <w:t>高</w:t>
            </w:r>
          </w:p>
        </w:tc>
        <w:tc>
          <w:tcPr>
            <w:tcW w:w="691" w:type="dxa"/>
            <w:shd w:val="clear" w:color="auto" w:fill="auto"/>
          </w:tcPr>
          <w:p>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sz w:val="18"/>
              </w:rPr>
              <w:t xml:space="preserve">7.4 </w:t>
            </w:r>
            <w:r>
              <w:rPr>
                <w:rFonts w:hint="eastAsia"/>
                <w:sz w:val="18"/>
              </w:rPr>
              <w:t>基本面量化投资</w:t>
            </w:r>
          </w:p>
        </w:tc>
        <w:tc>
          <w:tcPr>
            <w:tcW w:w="5000" w:type="dxa"/>
          </w:tcPr>
          <w:p>
            <w:pPr>
              <w:pStyle w:val="23"/>
              <w:numPr>
                <w:ilvl w:val="0"/>
                <w:numId w:val="3"/>
              </w:numPr>
              <w:ind w:left="65" w:leftChars="31" w:firstLine="0" w:firstLineChars="0"/>
              <w:jc w:val="left"/>
              <w:rPr>
                <w:sz w:val="18"/>
              </w:rPr>
            </w:pPr>
            <w:r>
              <w:rPr>
                <w:rFonts w:hint="eastAsia"/>
                <w:sz w:val="18"/>
              </w:rPr>
              <w:t>基本面量化投资</w:t>
            </w:r>
          </w:p>
          <w:p>
            <w:pPr>
              <w:pStyle w:val="23"/>
              <w:numPr>
                <w:ilvl w:val="0"/>
                <w:numId w:val="28"/>
              </w:numPr>
              <w:ind w:firstLineChars="0"/>
              <w:jc w:val="left"/>
              <w:rPr>
                <w:sz w:val="18"/>
              </w:rPr>
            </w:pPr>
            <w:r>
              <w:rPr>
                <w:rFonts w:hint="eastAsia"/>
                <w:sz w:val="18"/>
              </w:rPr>
              <w:t>量化投资概念</w:t>
            </w:r>
          </w:p>
          <w:p>
            <w:pPr>
              <w:pStyle w:val="23"/>
              <w:numPr>
                <w:ilvl w:val="0"/>
                <w:numId w:val="28"/>
              </w:numPr>
              <w:ind w:firstLineChars="0"/>
              <w:jc w:val="left"/>
              <w:rPr>
                <w:sz w:val="18"/>
              </w:rPr>
            </w:pPr>
            <w:r>
              <w:rPr>
                <w:rFonts w:hint="eastAsia"/>
                <w:sz w:val="18"/>
              </w:rPr>
              <w:t>基本面量化投资策略</w:t>
            </w:r>
          </w:p>
        </w:tc>
        <w:tc>
          <w:tcPr>
            <w:tcW w:w="954" w:type="dxa"/>
          </w:tcPr>
          <w:p>
            <w:pPr>
              <w:jc w:val="left"/>
              <w:rPr>
                <w:sz w:val="18"/>
              </w:rPr>
            </w:pPr>
            <w:r>
              <w:rPr>
                <w:rFonts w:hint="eastAsia"/>
                <w:sz w:val="18"/>
              </w:rPr>
              <w:t>不做要求</w:t>
            </w:r>
          </w:p>
        </w:tc>
        <w:tc>
          <w:tcPr>
            <w:tcW w:w="831" w:type="dxa"/>
            <w:shd w:val="clear" w:color="auto" w:fill="auto"/>
          </w:tcPr>
          <w:p>
            <w:pPr>
              <w:jc w:val="left"/>
              <w:rPr>
                <w:sz w:val="18"/>
              </w:rPr>
            </w:pPr>
            <w:r>
              <w:rPr>
                <w:rFonts w:hint="eastAsia"/>
                <w:sz w:val="18"/>
              </w:rPr>
              <w:t>中</w:t>
            </w:r>
          </w:p>
        </w:tc>
        <w:tc>
          <w:tcPr>
            <w:tcW w:w="691" w:type="dxa"/>
            <w:shd w:val="clear" w:color="auto" w:fill="auto"/>
          </w:tcPr>
          <w:p>
            <w:pPr>
              <w:jc w:val="left"/>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jc w:val="left"/>
              <w:rPr>
                <w:sz w:val="18"/>
              </w:rPr>
            </w:pPr>
          </w:p>
        </w:tc>
        <w:tc>
          <w:tcPr>
            <w:tcW w:w="1701" w:type="dxa"/>
          </w:tcPr>
          <w:p>
            <w:pPr>
              <w:ind w:left="65"/>
              <w:jc w:val="left"/>
              <w:rPr>
                <w:sz w:val="18"/>
              </w:rPr>
            </w:pPr>
            <w:r>
              <w:rPr>
                <w:sz w:val="18"/>
              </w:rPr>
              <w:t xml:space="preserve">7.5 </w:t>
            </w:r>
            <w:r>
              <w:rPr>
                <w:rFonts w:hint="eastAsia"/>
                <w:sz w:val="18"/>
              </w:rPr>
              <w:t>基于财务数据的信用违约模型</w:t>
            </w:r>
          </w:p>
        </w:tc>
        <w:tc>
          <w:tcPr>
            <w:tcW w:w="5000" w:type="dxa"/>
          </w:tcPr>
          <w:p>
            <w:pPr>
              <w:pStyle w:val="23"/>
              <w:numPr>
                <w:ilvl w:val="0"/>
                <w:numId w:val="3"/>
              </w:numPr>
              <w:ind w:left="65" w:leftChars="31" w:firstLine="0" w:firstLineChars="0"/>
              <w:jc w:val="left"/>
              <w:rPr>
                <w:sz w:val="18"/>
              </w:rPr>
            </w:pPr>
            <w:r>
              <w:rPr>
                <w:rFonts w:hint="eastAsia"/>
                <w:sz w:val="18"/>
              </w:rPr>
              <w:t>基于财务数据的信用违约模型</w:t>
            </w:r>
          </w:p>
          <w:p>
            <w:pPr>
              <w:pStyle w:val="23"/>
              <w:numPr>
                <w:ilvl w:val="0"/>
                <w:numId w:val="29"/>
              </w:numPr>
              <w:ind w:firstLineChars="0"/>
              <w:jc w:val="left"/>
              <w:rPr>
                <w:sz w:val="18"/>
              </w:rPr>
            </w:pPr>
            <w:r>
              <w:rPr>
                <w:rFonts w:hint="eastAsia"/>
                <w:sz w:val="18"/>
              </w:rPr>
              <w:t>预测债券违约的方法</w:t>
            </w:r>
          </w:p>
          <w:p>
            <w:pPr>
              <w:pStyle w:val="23"/>
              <w:numPr>
                <w:ilvl w:val="0"/>
                <w:numId w:val="29"/>
              </w:numPr>
              <w:ind w:firstLineChars="0"/>
              <w:jc w:val="left"/>
              <w:rPr>
                <w:sz w:val="18"/>
              </w:rPr>
            </w:pPr>
            <w:r>
              <w:rPr>
                <w:rFonts w:hint="eastAsia"/>
                <w:sz w:val="18"/>
              </w:rPr>
              <w:t>A</w:t>
            </w:r>
            <w:r>
              <w:rPr>
                <w:sz w:val="18"/>
              </w:rPr>
              <w:t>ltman</w:t>
            </w:r>
            <w:r>
              <w:rPr>
                <w:rFonts w:hint="eastAsia"/>
                <w:sz w:val="18"/>
              </w:rPr>
              <w:t>的Z值模型</w:t>
            </w:r>
          </w:p>
        </w:tc>
        <w:tc>
          <w:tcPr>
            <w:tcW w:w="954" w:type="dxa"/>
          </w:tcPr>
          <w:p>
            <w:pPr>
              <w:jc w:val="left"/>
              <w:rPr>
                <w:sz w:val="18"/>
              </w:rPr>
            </w:pPr>
            <w:r>
              <w:rPr>
                <w:rFonts w:hint="eastAsia"/>
                <w:sz w:val="18"/>
              </w:rPr>
              <w:t>不做要求</w:t>
            </w:r>
          </w:p>
        </w:tc>
        <w:tc>
          <w:tcPr>
            <w:tcW w:w="831" w:type="dxa"/>
            <w:shd w:val="clear" w:color="auto" w:fill="auto"/>
          </w:tcPr>
          <w:p>
            <w:pPr>
              <w:jc w:val="left"/>
              <w:rPr>
                <w:sz w:val="18"/>
              </w:rPr>
            </w:pPr>
            <w:r>
              <w:rPr>
                <w:rFonts w:hint="eastAsia"/>
                <w:sz w:val="18"/>
              </w:rPr>
              <w:t>中</w:t>
            </w:r>
          </w:p>
        </w:tc>
        <w:tc>
          <w:tcPr>
            <w:tcW w:w="691" w:type="dxa"/>
            <w:shd w:val="clear" w:color="auto" w:fill="auto"/>
          </w:tcPr>
          <w:p>
            <w:pPr>
              <w:jc w:val="left"/>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jc w:val="left"/>
              <w:rPr>
                <w:sz w:val="18"/>
              </w:rPr>
            </w:pPr>
            <w:r>
              <w:rPr>
                <w:rFonts w:hint="eastAsia"/>
                <w:sz w:val="18"/>
              </w:rPr>
              <w:t>8</w:t>
            </w:r>
            <w:r>
              <w:rPr>
                <w:sz w:val="18"/>
              </w:rPr>
              <w:t xml:space="preserve">. </w:t>
            </w:r>
            <w:r>
              <w:rPr>
                <w:rFonts w:hint="eastAsia"/>
                <w:sz w:val="18"/>
              </w:rPr>
              <w:t>可扩展商业报告语言</w:t>
            </w:r>
          </w:p>
        </w:tc>
        <w:tc>
          <w:tcPr>
            <w:tcW w:w="1701" w:type="dxa"/>
          </w:tcPr>
          <w:p>
            <w:pPr>
              <w:ind w:left="65"/>
              <w:jc w:val="left"/>
              <w:rPr>
                <w:sz w:val="18"/>
              </w:rPr>
            </w:pPr>
            <w:r>
              <w:rPr>
                <w:sz w:val="18"/>
              </w:rPr>
              <w:t>8.1 </w:t>
            </w:r>
            <w:r>
              <w:rPr>
                <w:rFonts w:hint="eastAsia"/>
                <w:sz w:val="18"/>
              </w:rPr>
              <w:t>可扩展商业报告语言</w:t>
            </w:r>
            <w:r>
              <w:rPr>
                <w:sz w:val="18"/>
              </w:rPr>
              <w:t>XBRL</w:t>
            </w:r>
          </w:p>
        </w:tc>
        <w:tc>
          <w:tcPr>
            <w:tcW w:w="5000" w:type="dxa"/>
          </w:tcPr>
          <w:p>
            <w:pPr>
              <w:pStyle w:val="23"/>
              <w:numPr>
                <w:ilvl w:val="0"/>
                <w:numId w:val="3"/>
              </w:numPr>
              <w:ind w:left="65" w:leftChars="31" w:firstLine="0" w:firstLineChars="0"/>
              <w:jc w:val="left"/>
              <w:rPr>
                <w:sz w:val="18"/>
              </w:rPr>
            </w:pPr>
            <w:r>
              <w:rPr>
                <w:rFonts w:hint="eastAsia"/>
                <w:sz w:val="18"/>
              </w:rPr>
              <w:t>可扩展商业报告语言XBRL</w:t>
            </w:r>
          </w:p>
        </w:tc>
        <w:tc>
          <w:tcPr>
            <w:tcW w:w="954" w:type="dxa"/>
          </w:tcPr>
          <w:p>
            <w:pPr>
              <w:jc w:val="left"/>
              <w:rPr>
                <w:sz w:val="18"/>
              </w:rPr>
            </w:pPr>
            <w:r>
              <w:rPr>
                <w:rFonts w:hint="eastAsia"/>
                <w:sz w:val="18"/>
              </w:rPr>
              <w:t>不做要求</w:t>
            </w:r>
          </w:p>
        </w:tc>
        <w:tc>
          <w:tcPr>
            <w:tcW w:w="831" w:type="dxa"/>
            <w:shd w:val="clear" w:color="auto" w:fill="auto"/>
          </w:tcPr>
          <w:p>
            <w:pPr>
              <w:jc w:val="left"/>
              <w:rPr>
                <w:sz w:val="18"/>
              </w:rPr>
            </w:pPr>
            <w:r>
              <w:rPr>
                <w:rFonts w:hint="eastAsia"/>
                <w:sz w:val="18"/>
              </w:rPr>
              <w:t>低</w:t>
            </w:r>
          </w:p>
        </w:tc>
        <w:tc>
          <w:tcPr>
            <w:tcW w:w="691" w:type="dxa"/>
            <w:shd w:val="clear" w:color="auto" w:fill="auto"/>
          </w:tcPr>
          <w:p>
            <w:pPr>
              <w:jc w:val="left"/>
              <w:rPr>
                <w:sz w:val="18"/>
              </w:rPr>
            </w:pPr>
            <w:r>
              <w:rPr>
                <w:rFonts w:hint="eastAsia"/>
                <w:sz w:val="18"/>
              </w:rPr>
              <w:t>低</w:t>
            </w:r>
          </w:p>
        </w:tc>
      </w:tr>
    </w:tbl>
    <w:p>
      <w:pPr>
        <w:spacing w:line="360" w:lineRule="auto"/>
        <w:rPr>
          <w:sz w:val="24"/>
        </w:rPr>
        <w:sectPr>
          <w:pgSz w:w="11906" w:h="16838"/>
          <w:pgMar w:top="1134" w:right="1134" w:bottom="1134" w:left="1134" w:header="851" w:footer="992" w:gutter="0"/>
          <w:cols w:space="425" w:num="1"/>
          <w:docGrid w:type="lines" w:linePitch="312" w:charSpace="0"/>
        </w:sectPr>
      </w:pPr>
    </w:p>
    <w:p>
      <w:pPr>
        <w:pStyle w:val="2"/>
        <w:numPr>
          <w:ilvl w:val="0"/>
          <w:numId w:val="1"/>
        </w:numPr>
        <w:rPr>
          <w:rFonts w:asciiTheme="minorEastAsia" w:hAnsiTheme="minorEastAsia"/>
          <w:sz w:val="32"/>
          <w:szCs w:val="32"/>
        </w:rPr>
      </w:pPr>
      <w:bookmarkStart w:id="9" w:name="_Toc114675747"/>
      <w:r>
        <w:rPr>
          <w:rFonts w:hint="eastAsia" w:asciiTheme="minorEastAsia" w:hAnsiTheme="minorEastAsia"/>
          <w:sz w:val="32"/>
          <w:szCs w:val="32"/>
        </w:rPr>
        <w:t>历年真题与考试样题</w:t>
      </w:r>
      <w:bookmarkEnd w:id="9"/>
    </w:p>
    <w:p>
      <w:pPr>
        <w:pStyle w:val="3"/>
        <w:numPr>
          <w:ilvl w:val="0"/>
          <w:numId w:val="30"/>
        </w:numPr>
        <w:rPr>
          <w:rFonts w:asciiTheme="minorEastAsia" w:hAnsiTheme="minorEastAsia" w:eastAsiaTheme="minorEastAsia"/>
          <w:sz w:val="28"/>
          <w:szCs w:val="28"/>
        </w:rPr>
      </w:pPr>
      <w:bookmarkStart w:id="10" w:name="_Toc114675748"/>
      <w:r>
        <w:rPr>
          <w:rFonts w:hint="eastAsia" w:asciiTheme="minorEastAsia" w:hAnsiTheme="minorEastAsia" w:eastAsiaTheme="minorEastAsia"/>
          <w:sz w:val="28"/>
          <w:szCs w:val="28"/>
        </w:rPr>
        <w:t>样题一</w:t>
      </w:r>
      <w:bookmarkEnd w:id="10"/>
    </w:p>
    <w:tbl>
      <w:tblPr>
        <w:tblStyle w:val="17"/>
        <w:tblW w:w="14596" w:type="dxa"/>
        <w:tblInd w:w="0" w:type="dxa"/>
        <w:tblLayout w:type="autofit"/>
        <w:tblCellMar>
          <w:top w:w="0" w:type="dxa"/>
          <w:left w:w="108" w:type="dxa"/>
          <w:bottom w:w="0" w:type="dxa"/>
          <w:right w:w="108" w:type="dxa"/>
        </w:tblCellMar>
      </w:tblPr>
      <w:tblGrid>
        <w:gridCol w:w="704"/>
        <w:gridCol w:w="3204"/>
        <w:gridCol w:w="1630"/>
        <w:gridCol w:w="1701"/>
        <w:gridCol w:w="1545"/>
        <w:gridCol w:w="2187"/>
        <w:gridCol w:w="748"/>
        <w:gridCol w:w="709"/>
        <w:gridCol w:w="2168"/>
      </w:tblGrid>
      <w:tr>
        <w:tblPrEx>
          <w:tblCellMar>
            <w:top w:w="0" w:type="dxa"/>
            <w:left w:w="108" w:type="dxa"/>
            <w:bottom w:w="0" w:type="dxa"/>
            <w:right w:w="108" w:type="dxa"/>
          </w:tblCellMar>
        </w:tblPrEx>
        <w:trPr>
          <w:trHeight w:val="330" w:hRule="atLeast"/>
        </w:trPr>
        <w:tc>
          <w:tcPr>
            <w:tcW w:w="704" w:type="dxa"/>
            <w:vMerge w:val="restart"/>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widowControl/>
              <w:jc w:val="left"/>
              <w:rPr>
                <w:rFonts w:ascii="宋体" w:hAnsi="宋体" w:eastAsia="宋体" w:cs="宋体"/>
                <w:b/>
                <w:bCs/>
                <w:kern w:val="0"/>
                <w:sz w:val="18"/>
                <w:szCs w:val="18"/>
              </w:rPr>
            </w:pPr>
            <w:r>
              <w:rPr>
                <w:rFonts w:hint="eastAsia" w:ascii="宋体" w:hAnsi="宋体" w:eastAsia="宋体" w:cs="宋体"/>
                <w:b/>
                <w:bCs/>
                <w:kern w:val="0"/>
                <w:sz w:val="18"/>
                <w:szCs w:val="18"/>
              </w:rPr>
              <w:t>序号</w:t>
            </w:r>
          </w:p>
        </w:tc>
        <w:tc>
          <w:tcPr>
            <w:tcW w:w="3204" w:type="dxa"/>
            <w:vMerge w:val="restart"/>
            <w:tcBorders>
              <w:top w:val="single" w:color="auto" w:sz="4" w:space="0"/>
              <w:left w:val="single" w:color="auto" w:sz="4" w:space="0"/>
              <w:bottom w:val="single" w:color="auto" w:sz="4" w:space="0"/>
              <w:right w:val="nil"/>
            </w:tcBorders>
            <w:shd w:val="clear" w:color="auto" w:fill="BEBEBE" w:themeFill="background1" w:themeFillShade="BF"/>
          </w:tcPr>
          <w:p>
            <w:pPr>
              <w:widowControl/>
              <w:jc w:val="left"/>
              <w:rPr>
                <w:rFonts w:ascii="宋体" w:hAnsi="宋体" w:eastAsia="宋体" w:cs="宋体"/>
                <w:b/>
                <w:bCs/>
                <w:kern w:val="0"/>
                <w:sz w:val="18"/>
                <w:szCs w:val="18"/>
              </w:rPr>
            </w:pPr>
            <w:r>
              <w:rPr>
                <w:rFonts w:hint="eastAsia" w:ascii="宋体" w:hAnsi="宋体" w:eastAsia="宋体" w:cs="宋体"/>
                <w:b/>
                <w:bCs/>
                <w:kern w:val="0"/>
                <w:sz w:val="18"/>
                <w:szCs w:val="18"/>
              </w:rPr>
              <w:t>题面</w:t>
            </w:r>
          </w:p>
        </w:tc>
        <w:tc>
          <w:tcPr>
            <w:tcW w:w="7063" w:type="dxa"/>
            <w:gridSpan w:val="4"/>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widowControl/>
              <w:jc w:val="left"/>
              <w:rPr>
                <w:rFonts w:ascii="宋体" w:hAnsi="宋体" w:eastAsia="宋体" w:cs="宋体"/>
                <w:b/>
                <w:bCs/>
                <w:kern w:val="0"/>
                <w:sz w:val="18"/>
                <w:szCs w:val="18"/>
              </w:rPr>
            </w:pPr>
            <w:r>
              <w:rPr>
                <w:rFonts w:hint="eastAsia" w:ascii="宋体" w:hAnsi="宋体" w:eastAsia="宋体" w:cs="宋体"/>
                <w:b/>
                <w:bCs/>
                <w:kern w:val="0"/>
                <w:sz w:val="18"/>
                <w:szCs w:val="18"/>
              </w:rPr>
              <w:t>选项列</w:t>
            </w:r>
          </w:p>
        </w:tc>
        <w:tc>
          <w:tcPr>
            <w:tcW w:w="748" w:type="dxa"/>
            <w:tcBorders>
              <w:top w:val="single" w:color="auto" w:sz="4" w:space="0"/>
              <w:left w:val="single" w:color="auto" w:sz="4" w:space="0"/>
              <w:bottom w:val="single" w:color="000000" w:sz="4" w:space="0"/>
              <w:right w:val="single" w:color="auto" w:sz="4" w:space="0"/>
            </w:tcBorders>
            <w:shd w:val="clear" w:color="auto" w:fill="BEBEBE" w:themeFill="background1" w:themeFillShade="BF"/>
          </w:tcPr>
          <w:p>
            <w:pPr>
              <w:widowControl/>
              <w:jc w:val="left"/>
              <w:rPr>
                <w:rFonts w:ascii="宋体" w:hAnsi="宋体" w:eastAsia="宋体" w:cs="宋体"/>
                <w:b/>
                <w:bCs/>
                <w:kern w:val="0"/>
                <w:sz w:val="18"/>
                <w:szCs w:val="18"/>
              </w:rPr>
            </w:pPr>
            <w:r>
              <w:rPr>
                <w:rFonts w:hint="eastAsia" w:ascii="宋体" w:hAnsi="宋体" w:eastAsia="宋体" w:cs="宋体"/>
                <w:b/>
                <w:bCs/>
                <w:kern w:val="0"/>
                <w:sz w:val="18"/>
                <w:szCs w:val="18"/>
              </w:rPr>
              <w:t>正确答案</w:t>
            </w:r>
          </w:p>
        </w:tc>
        <w:tc>
          <w:tcPr>
            <w:tcW w:w="709" w:type="dxa"/>
            <w:tcBorders>
              <w:top w:val="single" w:color="auto" w:sz="4" w:space="0"/>
              <w:left w:val="single" w:color="auto" w:sz="4" w:space="0"/>
              <w:bottom w:val="single" w:color="000000" w:sz="4" w:space="0"/>
              <w:right w:val="single" w:color="auto" w:sz="4" w:space="0"/>
            </w:tcBorders>
            <w:shd w:val="clear" w:color="auto" w:fill="BEBEBE" w:themeFill="background1" w:themeFillShade="BF"/>
          </w:tcPr>
          <w:p>
            <w:pPr>
              <w:widowControl/>
              <w:jc w:val="left"/>
              <w:rPr>
                <w:rFonts w:ascii="宋体" w:hAnsi="宋体" w:eastAsia="宋体" w:cs="宋体"/>
                <w:b/>
                <w:bCs/>
                <w:kern w:val="0"/>
                <w:sz w:val="18"/>
                <w:szCs w:val="18"/>
              </w:rPr>
            </w:pPr>
            <w:r>
              <w:rPr>
                <w:rFonts w:hint="eastAsia" w:ascii="宋体" w:hAnsi="宋体" w:eastAsia="宋体" w:cs="宋体"/>
                <w:b/>
                <w:bCs/>
                <w:kern w:val="0"/>
                <w:sz w:val="18"/>
                <w:szCs w:val="18"/>
              </w:rPr>
              <w:t>难度系数</w:t>
            </w:r>
          </w:p>
        </w:tc>
        <w:tc>
          <w:tcPr>
            <w:tcW w:w="2168" w:type="dxa"/>
            <w:tcBorders>
              <w:top w:val="single" w:color="auto" w:sz="4" w:space="0"/>
              <w:left w:val="single" w:color="auto" w:sz="4" w:space="0"/>
              <w:bottom w:val="single" w:color="000000" w:sz="4" w:space="0"/>
              <w:right w:val="single" w:color="auto" w:sz="4" w:space="0"/>
            </w:tcBorders>
            <w:shd w:val="clear" w:color="auto" w:fill="BEBEBE" w:themeFill="background1" w:themeFillShade="BF"/>
          </w:tcPr>
          <w:p>
            <w:pPr>
              <w:widowControl/>
              <w:jc w:val="left"/>
              <w:rPr>
                <w:rFonts w:ascii="宋体" w:hAnsi="宋体" w:eastAsia="宋体" w:cs="宋体"/>
                <w:b/>
                <w:bCs/>
                <w:kern w:val="0"/>
                <w:sz w:val="18"/>
                <w:szCs w:val="18"/>
              </w:rPr>
            </w:pPr>
            <w:r>
              <w:rPr>
                <w:rFonts w:hint="eastAsia" w:ascii="宋体" w:hAnsi="宋体" w:eastAsia="宋体" w:cs="宋体"/>
                <w:b/>
                <w:bCs/>
                <w:kern w:val="0"/>
                <w:sz w:val="18"/>
                <w:szCs w:val="18"/>
              </w:rPr>
              <w:t>答案解析</w:t>
            </w:r>
          </w:p>
        </w:tc>
      </w:tr>
      <w:tr>
        <w:tblPrEx>
          <w:tblCellMar>
            <w:top w:w="0" w:type="dxa"/>
            <w:left w:w="108" w:type="dxa"/>
            <w:bottom w:w="0" w:type="dxa"/>
            <w:right w:w="108" w:type="dxa"/>
          </w:tblCellMar>
        </w:tblPrEx>
        <w:trPr>
          <w:trHeight w:val="290" w:hRule="atLeast"/>
        </w:trPr>
        <w:tc>
          <w:tcPr>
            <w:tcW w:w="704" w:type="dxa"/>
            <w:vMerge w:val="continue"/>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widowControl/>
              <w:jc w:val="left"/>
              <w:rPr>
                <w:rFonts w:ascii="宋体" w:hAnsi="宋体" w:eastAsia="宋体" w:cs="宋体"/>
                <w:b/>
                <w:bCs/>
                <w:kern w:val="0"/>
                <w:sz w:val="18"/>
                <w:szCs w:val="18"/>
              </w:rPr>
            </w:pPr>
          </w:p>
        </w:tc>
        <w:tc>
          <w:tcPr>
            <w:tcW w:w="3204" w:type="dxa"/>
            <w:vMerge w:val="continue"/>
            <w:tcBorders>
              <w:top w:val="single" w:color="auto" w:sz="4" w:space="0"/>
              <w:left w:val="single" w:color="auto" w:sz="4" w:space="0"/>
              <w:bottom w:val="single" w:color="auto" w:sz="4" w:space="0"/>
              <w:right w:val="nil"/>
            </w:tcBorders>
            <w:shd w:val="clear" w:color="auto" w:fill="BEBEBE" w:themeFill="background1" w:themeFillShade="BF"/>
            <w:vAlign w:val="center"/>
          </w:tcPr>
          <w:p>
            <w:pPr>
              <w:widowControl/>
              <w:jc w:val="left"/>
              <w:rPr>
                <w:rFonts w:ascii="宋体" w:hAnsi="宋体" w:eastAsia="宋体" w:cs="宋体"/>
                <w:b/>
                <w:bCs/>
                <w:kern w:val="0"/>
                <w:sz w:val="18"/>
                <w:szCs w:val="18"/>
              </w:rPr>
            </w:pPr>
          </w:p>
        </w:tc>
        <w:tc>
          <w:tcPr>
            <w:tcW w:w="1630" w:type="dxa"/>
            <w:tcBorders>
              <w:top w:val="nil"/>
              <w:left w:val="single" w:color="auto" w:sz="4" w:space="0"/>
              <w:bottom w:val="single" w:color="auto" w:sz="4" w:space="0"/>
              <w:right w:val="single" w:color="auto" w:sz="4" w:space="0"/>
            </w:tcBorders>
            <w:shd w:val="clear" w:color="auto" w:fill="BEBEBE" w:themeFill="background1" w:themeFillShade="BF"/>
          </w:tcPr>
          <w:p>
            <w:pPr>
              <w:widowControl/>
              <w:jc w:val="left"/>
              <w:rPr>
                <w:rFonts w:ascii="宋体" w:hAnsi="宋体" w:eastAsia="宋体" w:cs="宋体"/>
                <w:b/>
                <w:bCs/>
                <w:kern w:val="0"/>
                <w:sz w:val="18"/>
                <w:szCs w:val="18"/>
              </w:rPr>
            </w:pPr>
            <w:r>
              <w:rPr>
                <w:rFonts w:hint="eastAsia" w:ascii="宋体" w:hAnsi="宋体" w:eastAsia="宋体" w:cs="宋体"/>
                <w:b/>
                <w:bCs/>
                <w:kern w:val="0"/>
                <w:sz w:val="18"/>
                <w:szCs w:val="18"/>
              </w:rPr>
              <w:t>A</w:t>
            </w:r>
          </w:p>
        </w:tc>
        <w:tc>
          <w:tcPr>
            <w:tcW w:w="1701" w:type="dxa"/>
            <w:tcBorders>
              <w:top w:val="nil"/>
              <w:left w:val="nil"/>
              <w:bottom w:val="single" w:color="auto" w:sz="4" w:space="0"/>
              <w:right w:val="single" w:color="auto" w:sz="4" w:space="0"/>
            </w:tcBorders>
            <w:shd w:val="clear" w:color="auto" w:fill="BEBEBE" w:themeFill="background1" w:themeFillShade="BF"/>
          </w:tcPr>
          <w:p>
            <w:pPr>
              <w:widowControl/>
              <w:jc w:val="left"/>
              <w:rPr>
                <w:rFonts w:ascii="宋体" w:hAnsi="宋体" w:eastAsia="宋体" w:cs="宋体"/>
                <w:b/>
                <w:bCs/>
                <w:kern w:val="0"/>
                <w:sz w:val="18"/>
                <w:szCs w:val="18"/>
              </w:rPr>
            </w:pPr>
            <w:r>
              <w:rPr>
                <w:rFonts w:hint="eastAsia" w:ascii="宋体" w:hAnsi="宋体" w:eastAsia="宋体" w:cs="宋体"/>
                <w:b/>
                <w:bCs/>
                <w:kern w:val="0"/>
                <w:sz w:val="18"/>
                <w:szCs w:val="18"/>
              </w:rPr>
              <w:t>B</w:t>
            </w:r>
          </w:p>
        </w:tc>
        <w:tc>
          <w:tcPr>
            <w:tcW w:w="1545" w:type="dxa"/>
            <w:tcBorders>
              <w:top w:val="nil"/>
              <w:left w:val="nil"/>
              <w:bottom w:val="single" w:color="auto" w:sz="4" w:space="0"/>
              <w:right w:val="single" w:color="auto" w:sz="4" w:space="0"/>
            </w:tcBorders>
            <w:shd w:val="clear" w:color="auto" w:fill="BEBEBE" w:themeFill="background1" w:themeFillShade="BF"/>
          </w:tcPr>
          <w:p>
            <w:pPr>
              <w:widowControl/>
              <w:jc w:val="left"/>
              <w:rPr>
                <w:rFonts w:ascii="宋体" w:hAnsi="宋体" w:eastAsia="宋体" w:cs="宋体"/>
                <w:b/>
                <w:bCs/>
                <w:kern w:val="0"/>
                <w:sz w:val="18"/>
                <w:szCs w:val="18"/>
              </w:rPr>
            </w:pPr>
            <w:r>
              <w:rPr>
                <w:rFonts w:hint="eastAsia" w:ascii="宋体" w:hAnsi="宋体" w:eastAsia="宋体" w:cs="宋体"/>
                <w:b/>
                <w:bCs/>
                <w:kern w:val="0"/>
                <w:sz w:val="18"/>
                <w:szCs w:val="18"/>
              </w:rPr>
              <w:t>C</w:t>
            </w:r>
          </w:p>
        </w:tc>
        <w:tc>
          <w:tcPr>
            <w:tcW w:w="2187" w:type="dxa"/>
            <w:tcBorders>
              <w:top w:val="nil"/>
              <w:left w:val="nil"/>
              <w:bottom w:val="single" w:color="auto" w:sz="4" w:space="0"/>
              <w:right w:val="single" w:color="auto" w:sz="4" w:space="0"/>
            </w:tcBorders>
            <w:shd w:val="clear" w:color="auto" w:fill="BEBEBE" w:themeFill="background1" w:themeFillShade="BF"/>
          </w:tcPr>
          <w:p>
            <w:pPr>
              <w:widowControl/>
              <w:jc w:val="left"/>
              <w:rPr>
                <w:rFonts w:ascii="宋体" w:hAnsi="宋体" w:eastAsia="宋体" w:cs="宋体"/>
                <w:b/>
                <w:bCs/>
                <w:kern w:val="0"/>
                <w:sz w:val="18"/>
                <w:szCs w:val="18"/>
              </w:rPr>
            </w:pPr>
            <w:r>
              <w:rPr>
                <w:rFonts w:hint="eastAsia" w:ascii="宋体" w:hAnsi="宋体" w:eastAsia="宋体" w:cs="宋体"/>
                <w:b/>
                <w:bCs/>
                <w:kern w:val="0"/>
                <w:sz w:val="18"/>
                <w:szCs w:val="18"/>
              </w:rPr>
              <w:t>D</w:t>
            </w:r>
          </w:p>
        </w:tc>
        <w:tc>
          <w:tcPr>
            <w:tcW w:w="748" w:type="dxa"/>
            <w:tcBorders>
              <w:top w:val="single" w:color="auto" w:sz="4" w:space="0"/>
              <w:left w:val="single" w:color="auto" w:sz="4" w:space="0"/>
              <w:bottom w:val="single" w:color="000000" w:sz="4" w:space="0"/>
              <w:right w:val="single" w:color="auto" w:sz="4" w:space="0"/>
            </w:tcBorders>
            <w:shd w:val="clear" w:color="auto" w:fill="BEBEBE" w:themeFill="background1" w:themeFillShade="BF"/>
            <w:vAlign w:val="center"/>
          </w:tcPr>
          <w:p>
            <w:pPr>
              <w:widowControl/>
              <w:jc w:val="left"/>
              <w:rPr>
                <w:rFonts w:ascii="宋体" w:hAnsi="宋体" w:eastAsia="宋体" w:cs="宋体"/>
                <w:b/>
                <w:bCs/>
                <w:kern w:val="0"/>
                <w:sz w:val="18"/>
                <w:szCs w:val="18"/>
              </w:rPr>
            </w:pPr>
          </w:p>
        </w:tc>
        <w:tc>
          <w:tcPr>
            <w:tcW w:w="709" w:type="dxa"/>
            <w:tcBorders>
              <w:top w:val="single" w:color="auto" w:sz="4" w:space="0"/>
              <w:left w:val="single" w:color="auto" w:sz="4" w:space="0"/>
              <w:bottom w:val="single" w:color="000000" w:sz="4" w:space="0"/>
              <w:right w:val="single" w:color="auto" w:sz="4" w:space="0"/>
            </w:tcBorders>
            <w:shd w:val="clear" w:color="auto" w:fill="BEBEBE" w:themeFill="background1" w:themeFillShade="BF"/>
            <w:vAlign w:val="center"/>
          </w:tcPr>
          <w:p>
            <w:pPr>
              <w:widowControl/>
              <w:jc w:val="left"/>
              <w:rPr>
                <w:rFonts w:ascii="宋体" w:hAnsi="宋体" w:eastAsia="宋体" w:cs="宋体"/>
                <w:b/>
                <w:bCs/>
                <w:kern w:val="0"/>
                <w:sz w:val="18"/>
                <w:szCs w:val="18"/>
              </w:rPr>
            </w:pPr>
          </w:p>
        </w:tc>
        <w:tc>
          <w:tcPr>
            <w:tcW w:w="2168" w:type="dxa"/>
            <w:tcBorders>
              <w:top w:val="single" w:color="auto" w:sz="4" w:space="0"/>
              <w:left w:val="single" w:color="auto" w:sz="4" w:space="0"/>
              <w:bottom w:val="single" w:color="000000" w:sz="4" w:space="0"/>
              <w:right w:val="single" w:color="auto" w:sz="4" w:space="0"/>
            </w:tcBorders>
            <w:shd w:val="clear" w:color="auto" w:fill="BEBEBE" w:themeFill="background1" w:themeFillShade="BF"/>
            <w:vAlign w:val="center"/>
          </w:tcPr>
          <w:p>
            <w:pPr>
              <w:widowControl/>
              <w:jc w:val="left"/>
              <w:rPr>
                <w:rFonts w:ascii="宋体" w:hAnsi="宋体" w:eastAsia="宋体" w:cs="宋体"/>
                <w:b/>
                <w:bCs/>
                <w:kern w:val="0"/>
                <w:sz w:val="18"/>
                <w:szCs w:val="18"/>
              </w:rPr>
            </w:pP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股东权益变动表反映的是一个公司股东权益在某一个时间期间里的变动情况（）。</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本题识记型</w:t>
            </w:r>
          </w:p>
        </w:tc>
      </w:tr>
      <w:tr>
        <w:tblPrEx>
          <w:tblCellMar>
            <w:top w:w="0" w:type="dxa"/>
            <w:left w:w="108" w:type="dxa"/>
            <w:bottom w:w="0" w:type="dxa"/>
            <w:right w:w="108" w:type="dxa"/>
          </w:tblCellMar>
        </w:tblPrEx>
        <w:trPr>
          <w:trHeight w:val="58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一般来说，企业的账面价值和市场价值之间有差异（）。</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58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合并会计报表的会计主体同时也一定是法律主体（）。</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4</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负债是企业由于未来的交易或事项所形成的（）。</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负债是指过去的交易或事项所形成的、预期导致经济利益流出企业的现时义务</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5</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所有者权益的来源包括所有者投入的资本，直接计入所有者权益的利得和损失和留存收益等（）。</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6</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企业以盈余公积向投资者分配现金股利，不会引起留存收益总额的变动（）。</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借记“盈余公积—法定盈余公积或任意盈余公积”科目，贷记“应付股利”科目</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7</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公司当期的财务费用、管理费用和销售费用一般将减少所有者权益（）。</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8</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留存利润是指通过企业的生产经营活动而形成的资本，即经营所得净收益的积累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58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9</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坏账损失应当作为一种费用来处理（）。</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10</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通过资产负债表可以计算流动比率、速动比率，以了解企业的短期偿债能力（）。</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11</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企业按年末应收账款余额的一定比例计算出的坏账准备，等于企业应计提的坏账准备金额（）。</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企业按年末应收账款余额的一定比例计算的坏账准备金额=坏账准备科目期末应保留余额</w:t>
            </w:r>
          </w:p>
        </w:tc>
      </w:tr>
      <w:tr>
        <w:tblPrEx>
          <w:tblCellMar>
            <w:top w:w="0" w:type="dxa"/>
            <w:left w:w="108" w:type="dxa"/>
            <w:bottom w:w="0" w:type="dxa"/>
            <w:right w:w="108" w:type="dxa"/>
          </w:tblCellMar>
        </w:tblPrEx>
        <w:trPr>
          <w:trHeight w:val="145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12</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企业的长期股权投资，只要其持股比例没有达到20%，就应按成本法核算该投资（）。</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企业对其他单位的长期股权投资，即使其持股比例不超过20%，只要能对被投资单位的财务和经营政策施加重大影响，仍应采用权益法进行核算</w:t>
            </w:r>
          </w:p>
        </w:tc>
      </w:tr>
      <w:tr>
        <w:tblPrEx>
          <w:tblCellMar>
            <w:top w:w="0" w:type="dxa"/>
            <w:left w:w="108" w:type="dxa"/>
            <w:bottom w:w="0" w:type="dxa"/>
            <w:right w:w="108" w:type="dxa"/>
          </w:tblCellMar>
        </w:tblPrEx>
        <w:trPr>
          <w:trHeight w:val="58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13</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计提资产减值准备会减少净利润，但不影响经营活动现金流（）。</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58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14</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无形资产摊销不影响当期净利润和经营活动现金流（）。</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减少净利润，但不影响经营活动现金流</w:t>
            </w:r>
          </w:p>
        </w:tc>
      </w:tr>
      <w:tr>
        <w:tblPrEx>
          <w:tblCellMar>
            <w:top w:w="0" w:type="dxa"/>
            <w:left w:w="108" w:type="dxa"/>
            <w:bottom w:w="0" w:type="dxa"/>
            <w:right w:w="108" w:type="dxa"/>
          </w:tblCellMar>
        </w:tblPrEx>
        <w:trPr>
          <w:trHeight w:val="174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15</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企业编制年度财务报表的时候如果没有需要可以不编制报表附注（）。</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附注是财务报表不可或缺的组成部分，是对资产负债表、利润表、现金流量表和所有者权益变动表等报表中列示项目的文字描述或明细资料，以及对未能在这些报表中列示项目的说明等</w:t>
            </w:r>
          </w:p>
        </w:tc>
      </w:tr>
      <w:tr>
        <w:tblPrEx>
          <w:tblCellMar>
            <w:top w:w="0" w:type="dxa"/>
            <w:left w:w="108" w:type="dxa"/>
            <w:bottom w:w="0" w:type="dxa"/>
            <w:right w:w="108" w:type="dxa"/>
          </w:tblCellMar>
        </w:tblPrEx>
        <w:trPr>
          <w:trHeight w:val="58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16</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对于企业取得的所有无形资产，均应当按期摊销（）。</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使用寿命不确定的无形资产不需要摊销</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17</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只要是由过去的交易、事项形成的并由企业拥有或控制的资源，均应确认为企业的一项资产（）。</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不能带来经济利益的资源不能作为资产</w:t>
            </w:r>
          </w:p>
        </w:tc>
      </w:tr>
      <w:tr>
        <w:tblPrEx>
          <w:tblCellMar>
            <w:top w:w="0" w:type="dxa"/>
            <w:left w:w="108" w:type="dxa"/>
            <w:bottom w:w="0" w:type="dxa"/>
            <w:right w:w="108" w:type="dxa"/>
          </w:tblCellMar>
        </w:tblPrEx>
        <w:trPr>
          <w:trHeight w:val="116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18</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企业将生产的电梯销售给某一客户，并负责电梯的安装工作，企业发出商品的时候应确认该电梯的销售收入（）。</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需要等完成电梯安装服务之后确认收入</w:t>
            </w:r>
          </w:p>
        </w:tc>
      </w:tr>
      <w:tr>
        <w:tblPrEx>
          <w:tblCellMar>
            <w:top w:w="0" w:type="dxa"/>
            <w:left w:w="108" w:type="dxa"/>
            <w:bottom w:w="0" w:type="dxa"/>
            <w:right w:w="108" w:type="dxa"/>
          </w:tblCellMar>
        </w:tblPrEx>
        <w:trPr>
          <w:trHeight w:val="58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19</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对于所有者来说，资产负债率越低，一般其偿债能力越好（）。</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资产负债率这个指标反映债权人所提供的负债占全部资本的比例</w:t>
            </w:r>
          </w:p>
        </w:tc>
      </w:tr>
      <w:tr>
        <w:tblPrEx>
          <w:tblCellMar>
            <w:top w:w="0" w:type="dxa"/>
            <w:left w:w="108" w:type="dxa"/>
            <w:bottom w:w="0" w:type="dxa"/>
            <w:right w:w="108" w:type="dxa"/>
          </w:tblCellMar>
        </w:tblPrEx>
        <w:trPr>
          <w:trHeight w:val="58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20</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及时性原则是为了保证会计信息的有用性（）。</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对</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错</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116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21</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企业用现金偿还了之前向银行借的短期借款1万元，对该企业当期资产、负债、所有者权益、收入、费用等的影响说法正确的是（）。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短期借款减少，负债不变，资产减少</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银行存款增加，负债增加，资产增加</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短期借款减少，负债减少，资产减少</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银行存款增加，负债不变，资产增加</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C</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22</w:t>
            </w:r>
          </w:p>
        </w:tc>
        <w:tc>
          <w:tcPr>
            <w:tcW w:w="3204" w:type="dxa"/>
            <w:tcBorders>
              <w:top w:val="nil"/>
              <w:left w:val="nil"/>
              <w:bottom w:val="single" w:color="auto" w:sz="4" w:space="0"/>
              <w:right w:val="single" w:color="auto" w:sz="4" w:space="0"/>
            </w:tcBorders>
            <w:shd w:val="clear" w:color="auto" w:fill="FFFFFF" w:themeFill="background1"/>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企业对其固定资产计提了折旧，对该企业当期资产、负债、所有者权益等的影响说法正确的是（）。</w:t>
            </w:r>
          </w:p>
        </w:tc>
        <w:tc>
          <w:tcPr>
            <w:tcW w:w="1630" w:type="dxa"/>
            <w:tcBorders>
              <w:top w:val="nil"/>
              <w:left w:val="nil"/>
              <w:bottom w:val="single" w:color="auto" w:sz="4" w:space="0"/>
              <w:right w:val="single" w:color="auto" w:sz="4" w:space="0"/>
            </w:tcBorders>
            <w:shd w:val="clear" w:color="auto" w:fill="FFFFFF" w:themeFill="background1"/>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资产减少，负债不变，所有者权益减少</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资产不变，负债不变，所有者权益不变</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资产不变，负债减少，所有者权益增加</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资产不变，负债增加，所有者权益减少</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借:管理费用/销售费用/制造费用等； 贷:累计折旧</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23</w:t>
            </w:r>
          </w:p>
        </w:tc>
        <w:tc>
          <w:tcPr>
            <w:tcW w:w="3204" w:type="dxa"/>
            <w:tcBorders>
              <w:top w:val="nil"/>
              <w:left w:val="nil"/>
              <w:bottom w:val="single" w:color="auto" w:sz="4" w:space="0"/>
              <w:right w:val="single" w:color="auto" w:sz="4" w:space="0"/>
            </w:tcBorders>
            <w:shd w:val="clear" w:color="auto" w:fill="FFFFFF" w:themeFill="background1"/>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企业对其固定资产计提了减值准备，对该企业当期收入、费用、利润等的影响说法正确的是（）。</w:t>
            </w:r>
          </w:p>
        </w:tc>
        <w:tc>
          <w:tcPr>
            <w:tcW w:w="1630" w:type="dxa"/>
            <w:tcBorders>
              <w:top w:val="nil"/>
              <w:left w:val="nil"/>
              <w:bottom w:val="single" w:color="auto" w:sz="4" w:space="0"/>
              <w:right w:val="single" w:color="auto" w:sz="4" w:space="0"/>
            </w:tcBorders>
            <w:shd w:val="clear" w:color="auto" w:fill="FFFFFF" w:themeFill="background1"/>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费用增加，利润减少</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费用不变，利润不变</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收入减少，利润减少</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费用减少，利润增加</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借:资产减值损失一一计提的固定资产减值准备 贷:固定资产减值准备</w:t>
            </w:r>
          </w:p>
        </w:tc>
      </w:tr>
      <w:tr>
        <w:tblPrEx>
          <w:tblCellMar>
            <w:top w:w="0" w:type="dxa"/>
            <w:left w:w="108" w:type="dxa"/>
            <w:bottom w:w="0" w:type="dxa"/>
            <w:right w:w="108" w:type="dxa"/>
          </w:tblCellMar>
        </w:tblPrEx>
        <w:trPr>
          <w:trHeight w:val="116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24</w:t>
            </w:r>
          </w:p>
        </w:tc>
        <w:tc>
          <w:tcPr>
            <w:tcW w:w="3204" w:type="dxa"/>
            <w:tcBorders>
              <w:top w:val="nil"/>
              <w:left w:val="nil"/>
              <w:bottom w:val="single" w:color="auto" w:sz="4" w:space="0"/>
              <w:right w:val="single" w:color="auto" w:sz="4" w:space="0"/>
            </w:tcBorders>
            <w:shd w:val="clear" w:color="auto" w:fill="FFFFFF" w:themeFill="background1"/>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企业对其固定资产计提了减值准备，对该企业当期资产、负债、所有者权益等的影响说法正确的是（）。</w:t>
            </w:r>
          </w:p>
        </w:tc>
        <w:tc>
          <w:tcPr>
            <w:tcW w:w="1630" w:type="dxa"/>
            <w:tcBorders>
              <w:top w:val="nil"/>
              <w:left w:val="nil"/>
              <w:bottom w:val="single" w:color="auto" w:sz="4" w:space="0"/>
              <w:right w:val="single" w:color="auto" w:sz="4" w:space="0"/>
            </w:tcBorders>
            <w:shd w:val="clear" w:color="auto" w:fill="FFFFFF" w:themeFill="background1"/>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资产减少，负债不变，所有者权益减少</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资产不变，负债不变，所有者权益不变</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资产不变，负债减少，所有者权益增加</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资产不变，负债增加，所有者权益减少</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借:资产减值损失一一计提的固定资产减值准备 贷:固定资产减值准备</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25</w:t>
            </w:r>
          </w:p>
        </w:tc>
        <w:tc>
          <w:tcPr>
            <w:tcW w:w="3204" w:type="dxa"/>
            <w:tcBorders>
              <w:top w:val="nil"/>
              <w:left w:val="nil"/>
              <w:bottom w:val="single" w:color="auto" w:sz="4" w:space="0"/>
              <w:right w:val="single" w:color="auto" w:sz="4" w:space="0"/>
            </w:tcBorders>
            <w:shd w:val="clear" w:color="auto" w:fill="FFFFFF" w:themeFill="background1"/>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企业对其无形资产进行了摊销，对该企业当期收入、费用、利润等的影响说法正确的是（）。</w:t>
            </w:r>
          </w:p>
        </w:tc>
        <w:tc>
          <w:tcPr>
            <w:tcW w:w="1630" w:type="dxa"/>
            <w:tcBorders>
              <w:top w:val="nil"/>
              <w:left w:val="nil"/>
              <w:bottom w:val="single" w:color="auto" w:sz="4" w:space="0"/>
              <w:right w:val="single" w:color="auto" w:sz="4" w:space="0"/>
            </w:tcBorders>
            <w:shd w:val="clear" w:color="auto" w:fill="FFFFFF" w:themeFill="background1"/>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费用增加，利润减少</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费用不变，利润不变</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收入减少，利润减少</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费用减少，利润增加</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借:管理费用-无形资产摊销 贷:累计摊销</w:t>
            </w:r>
          </w:p>
        </w:tc>
      </w:tr>
      <w:tr>
        <w:tblPrEx>
          <w:tblCellMar>
            <w:top w:w="0" w:type="dxa"/>
            <w:left w:w="108" w:type="dxa"/>
            <w:bottom w:w="0" w:type="dxa"/>
            <w:right w:w="108" w:type="dxa"/>
          </w:tblCellMar>
        </w:tblPrEx>
        <w:trPr>
          <w:trHeight w:val="174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26</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企业花了100万元银行存款投资了一家公司，获得20%股权，作为长期持有，对该企业该时点上的资产负债、所有者权益、收入、费用等的影响说法正确的是（）（不考虑交易费用、税费等）。</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资产增加，负债增加</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资产不变，负债不变</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资产增加，负债不变</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资产减少，负债减少</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116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27</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企业对其在建工程计提了减值准备，对该企业当期资产、负债、所有者权益、收入、费用等的影响说法正确的是（）。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资产减少，负债不变，所有者权益减少</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资产不变，负债不变，所有者权益不变</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资产不变，负债减少，所有者权益增加</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资产不变，负债增加，所有者权益减少</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借记：资产减值损失-在建工程减值损失；贷记：在建工程</w:t>
            </w:r>
          </w:p>
        </w:tc>
      </w:tr>
      <w:tr>
        <w:tblPrEx>
          <w:tblCellMar>
            <w:top w:w="0" w:type="dxa"/>
            <w:left w:w="108" w:type="dxa"/>
            <w:bottom w:w="0" w:type="dxa"/>
            <w:right w:w="108" w:type="dxa"/>
          </w:tblCellMar>
        </w:tblPrEx>
        <w:trPr>
          <w:trHeight w:val="116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28</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企业对其当期的研发支出全部资本化，对该企业当期资产、负债、所有者权益、收入、费用等的影响说法正确的是（）。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费用增加，所有者权益减少</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费用不变，所有者权益不变</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费用减少，所有者权益增加</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费用不变，所有者权益减少</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174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29</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企业以10000元价款购买甲公司发行的面值12000元4年期的债券，本事项对该企业当期资产、负债、所有者权益、收入、费用等的影响说法正确的是（ ）（不考虑交易费用）</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资产减少，负债不变，所有者权益减少</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资产减少，负债增加，所有者权益不变</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资产增加，负债不变，所有者权益增加</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资产不变，负债不变，所有者权益不变</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D</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145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30</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企业该年度增加对某重要联营企业的投资10000元，本投资事项对该企业当期资产、负债、所有者权益、收入、费用等的影响说法正确的是（）（不考虑交易费用）。</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资产减少，负债不变，所有者权益减少</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资产减少，负债增加，所有者权益不变</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资产增加，负债不变，所有者权益增加</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资产不变，负债不变，所有者权益不变</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D</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p>
        </w:tc>
      </w:tr>
      <w:tr>
        <w:tblPrEx>
          <w:tblCellMar>
            <w:top w:w="0" w:type="dxa"/>
            <w:left w:w="108" w:type="dxa"/>
            <w:bottom w:w="0" w:type="dxa"/>
            <w:right w:w="108" w:type="dxa"/>
          </w:tblCellMar>
        </w:tblPrEx>
        <w:trPr>
          <w:trHeight w:val="145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31</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企业本年度实施了</w:t>
            </w:r>
            <w:r>
              <w:rPr>
                <w:rFonts w:hint="eastAsia" w:ascii="宋体" w:hAnsi="宋体" w:eastAsia="宋体" w:cs="宋体"/>
                <w:color w:val="0000FF"/>
                <w:kern w:val="0"/>
                <w:sz w:val="18"/>
                <w:szCs w:val="18"/>
              </w:rPr>
              <w:t>上年度</w:t>
            </w:r>
            <w:r>
              <w:rPr>
                <w:rFonts w:hint="eastAsia" w:ascii="宋体" w:hAnsi="宋体" w:eastAsia="宋体" w:cs="宋体"/>
                <w:kern w:val="0"/>
                <w:sz w:val="18"/>
                <w:szCs w:val="18"/>
              </w:rPr>
              <w:t>的分红方案，支付现金红利10000元，对该企业当期资产、负债、所有者权益、收入、费用等的影响说法正确的是（ ）（不考虑交易费用和税费）</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资产减少，负债减少，所有者权益不变</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资产减少，负债减少，所有者权益减少</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资产减少，负债不变，所有者权益减少</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资产不变，负债不变，所有者权益不变</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2168"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借:应付股利； 贷:银行存款</w:t>
            </w:r>
          </w:p>
        </w:tc>
      </w:tr>
      <w:tr>
        <w:tblPrEx>
          <w:tblCellMar>
            <w:top w:w="0" w:type="dxa"/>
            <w:left w:w="108" w:type="dxa"/>
            <w:bottom w:w="0" w:type="dxa"/>
            <w:right w:w="108" w:type="dxa"/>
          </w:tblCellMar>
        </w:tblPrEx>
        <w:trPr>
          <w:trHeight w:val="145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32</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企业处置其账面净值为9000元的无形资产，获得5000元现金，该企业当期资产、负债、所有者权益、收入、费用等的影响说法正确的是（）。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借记资产处置损益，利润增加</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借记资产处置损益，利润减少</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贷记资产处置损益，利润增加</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贷记资产处置损益，利润减少</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B</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账面净值高于所获得现金，故为损失，在借方，并且造成利润减少</w:t>
            </w:r>
          </w:p>
        </w:tc>
      </w:tr>
      <w:tr>
        <w:tblPrEx>
          <w:tblCellMar>
            <w:top w:w="0" w:type="dxa"/>
            <w:left w:w="108" w:type="dxa"/>
            <w:bottom w:w="0" w:type="dxa"/>
            <w:right w:w="108" w:type="dxa"/>
          </w:tblCellMar>
        </w:tblPrEx>
        <w:trPr>
          <w:trHeight w:val="116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33</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企业当期发放给销售人员10万元佣金，对该企业当期资产、负债、所有者权益、收入、费用等的影响说法正确的是（）。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财务费用增加，利润减少</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研发费用增加，利润减少</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制造费用增加，利润减少</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销售费用增加，利润减少</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D</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145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34</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下列各项中，不属于收入的定义的是（）。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收入是企业在日常活动中形成的经济利益的总流入</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收入会导致企业所有者权益的增加</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收入形成的经济利益总流入的形式多种多样， 既可能表现为资产的增加，也可能表现为负债的减少。</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收入与所有者投入资本有关</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D</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收入是与所有者投入资本无关的经济利益的总流入</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35</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企业对其车间生产设备计提了10000元折旧，体现在该企业当期利润表中的是（）。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管理费用增加10000元</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销售费用增加10000元</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财务费用增加10000元</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制造费用增加10000元</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D</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生产车间的折旧费用归类为制造费用</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36</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企业给高管发放10000元的绩效工资，体现在该企业当期利润表中的是（）。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管理费用增加10000元</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销售费用增加10000元</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财务费用增加10000元</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制造费用增加10000元</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发放给高管的工资属于管理费用</w:t>
            </w:r>
          </w:p>
        </w:tc>
      </w:tr>
      <w:tr>
        <w:tblPrEx>
          <w:tblCellMar>
            <w:top w:w="0" w:type="dxa"/>
            <w:left w:w="108" w:type="dxa"/>
            <w:bottom w:w="0" w:type="dxa"/>
            <w:right w:w="108" w:type="dxa"/>
          </w:tblCellMar>
        </w:tblPrEx>
        <w:trPr>
          <w:trHeight w:val="232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37</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企业投入10000元进行研发，并在当期将其转为无形资产，从下期开始进行摊销，体现在该企业当期利润表中的是（）。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无变化</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营业成本增加10000元</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资产减值损失增加10000元</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研发费用增加10000元</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(1)发生研发支出时: 借：研发支出--资本化支出(符合资本化条件的开发阶段支出)；贷：银行存款、原材料、应付职工薪酬等；(2)将符合资本化条件的研发支出在无形资产达到可使用状态时转入无形资产成本：借：无形资产；贷：研发支出——资本化支出</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38</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企业以10000元的价格出售一批存货，体现在该企业当期利润表中的是（）。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净利润增加10000元</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营业外收入增加10000元</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销售收入增加10000元</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应收账款增加10000元</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C</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39</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企业向投资者支付10000元的债券利息，体现在该企业当期利润表中的是（）。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财务费用增加10000元</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营业成本增加10000元</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资产减值损失增加10000元</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营业外支出增加10000元</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A</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1</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CellMar>
            <w:top w:w="0" w:type="dxa"/>
            <w:left w:w="108" w:type="dxa"/>
            <w:bottom w:w="0" w:type="dxa"/>
            <w:right w:w="108" w:type="dxa"/>
          </w:tblCellMar>
        </w:tblPrEx>
        <w:trPr>
          <w:trHeight w:val="870" w:hRule="atLeast"/>
        </w:trPr>
        <w:tc>
          <w:tcPr>
            <w:tcW w:w="704"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40</w:t>
            </w:r>
          </w:p>
        </w:tc>
        <w:tc>
          <w:tcPr>
            <w:tcW w:w="3204"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企业出售其运输设备，并获净利10000元，体现在该企业当期利润表中的是（）。</w:t>
            </w:r>
          </w:p>
        </w:tc>
        <w:tc>
          <w:tcPr>
            <w:tcW w:w="1630"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投资收益增加10000元</w:t>
            </w:r>
          </w:p>
        </w:tc>
        <w:tc>
          <w:tcPr>
            <w:tcW w:w="1701"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营业外收入增加10000元</w:t>
            </w:r>
          </w:p>
        </w:tc>
        <w:tc>
          <w:tcPr>
            <w:tcW w:w="1545"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其他综合收益增加10000元</w:t>
            </w:r>
          </w:p>
        </w:tc>
        <w:tc>
          <w:tcPr>
            <w:tcW w:w="2187"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资产处置收益增加10000元</w:t>
            </w:r>
          </w:p>
        </w:tc>
        <w:tc>
          <w:tcPr>
            <w:tcW w:w="74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D</w:t>
            </w:r>
          </w:p>
        </w:tc>
        <w:tc>
          <w:tcPr>
            <w:tcW w:w="709"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2</w:t>
            </w:r>
          </w:p>
        </w:tc>
        <w:tc>
          <w:tcPr>
            <w:tcW w:w="2168" w:type="dxa"/>
            <w:tcBorders>
              <w:top w:val="nil"/>
              <w:left w:val="nil"/>
              <w:bottom w:val="single" w:color="auto" w:sz="4" w:space="0"/>
              <w:right w:val="single" w:color="auto" w:sz="4" w:space="0"/>
            </w:tcBorders>
            <w:shd w:val="clear" w:color="auto" w:fill="auto"/>
          </w:tcPr>
          <w:p>
            <w:pPr>
              <w:widowControl/>
              <w:jc w:val="left"/>
              <w:rPr>
                <w:rFonts w:ascii="宋体" w:hAnsi="宋体" w:eastAsia="宋体" w:cs="宋体"/>
                <w:kern w:val="0"/>
                <w:sz w:val="18"/>
                <w:szCs w:val="18"/>
              </w:rPr>
            </w:pPr>
            <w:r>
              <w:rPr>
                <w:rFonts w:hint="eastAsia" w:ascii="宋体" w:hAnsi="宋体" w:eastAsia="宋体" w:cs="宋体"/>
                <w:kern w:val="0"/>
                <w:sz w:val="18"/>
                <w:szCs w:val="18"/>
              </w:rPr>
              <w:t>企业处置固定资产取得收益应计入“资产处置损益”科目</w:t>
            </w:r>
          </w:p>
        </w:tc>
      </w:tr>
    </w:tbl>
    <w:p/>
    <w:p/>
    <w:p>
      <w:pPr>
        <w:sectPr>
          <w:pgSz w:w="16838" w:h="11906" w:orient="landscape"/>
          <w:pgMar w:top="1134" w:right="1134" w:bottom="1134" w:left="1134" w:header="851" w:footer="992" w:gutter="0"/>
          <w:cols w:space="425" w:num="1"/>
          <w:docGrid w:type="lines" w:linePitch="312" w:charSpace="0"/>
        </w:sectPr>
      </w:pPr>
    </w:p>
    <w:p>
      <w:pPr>
        <w:pStyle w:val="3"/>
        <w:numPr>
          <w:ilvl w:val="0"/>
          <w:numId w:val="30"/>
        </w:numPr>
        <w:jc w:val="left"/>
        <w:rPr>
          <w:rFonts w:asciiTheme="minorEastAsia" w:hAnsiTheme="minorEastAsia" w:eastAsiaTheme="minorEastAsia"/>
          <w:sz w:val="28"/>
          <w:szCs w:val="28"/>
        </w:rPr>
      </w:pPr>
      <w:bookmarkStart w:id="11" w:name="_Toc114675749"/>
      <w:r>
        <w:rPr>
          <w:rFonts w:hint="eastAsia" w:asciiTheme="minorEastAsia" w:hAnsiTheme="minorEastAsia" w:eastAsiaTheme="minorEastAsia"/>
          <w:sz w:val="28"/>
          <w:szCs w:val="28"/>
        </w:rPr>
        <w:t>样题二</w:t>
      </w:r>
      <w:bookmarkEnd w:id="11"/>
    </w:p>
    <w:p>
      <w:pPr>
        <w:numPr>
          <w:ilvl w:val="0"/>
          <w:numId w:val="31"/>
        </w:numPr>
        <w:spacing w:line="288" w:lineRule="auto"/>
        <w:jc w:val="left"/>
        <w:rPr>
          <w:rFonts w:ascii="宋体" w:hAnsi="宋体" w:eastAsia="宋体" w:cs="Times New Roman"/>
          <w:sz w:val="20"/>
          <w:szCs w:val="20"/>
        </w:rPr>
      </w:pPr>
      <w:r>
        <w:rPr>
          <w:rFonts w:ascii="宋体" w:hAnsi="宋体" w:eastAsia="宋体" w:cs="Times New Roman"/>
          <w:sz w:val="20"/>
          <w:szCs w:val="20"/>
        </w:rPr>
        <w:t>财务报告、税务报告、管理报告</w:t>
      </w:r>
      <w:r>
        <w:rPr>
          <w:rFonts w:hint="eastAsia" w:ascii="宋体" w:hAnsi="宋体" w:eastAsia="宋体" w:cs="Times New Roman"/>
          <w:sz w:val="20"/>
          <w:szCs w:val="20"/>
        </w:rPr>
        <w:t>等三种报告的制作规则不完全一样，但是使用的底层数据是一样的。</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（对</w:t>
      </w:r>
      <w:r>
        <w:rPr>
          <w:rFonts w:ascii="宋体" w:hAnsi="宋体" w:eastAsia="宋体" w:cs="Times New Roman"/>
          <w:sz w:val="20"/>
          <w:szCs w:val="20"/>
        </w:rPr>
        <w:t>）</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ascii="宋体" w:hAnsi="宋体" w:eastAsia="宋体" w:cs="Times New Roman"/>
          <w:sz w:val="20"/>
          <w:szCs w:val="20"/>
        </w:rPr>
        <w:t>股东权益变动表</w:t>
      </w:r>
      <w:r>
        <w:rPr>
          <w:rFonts w:hint="eastAsia" w:ascii="宋体" w:hAnsi="宋体" w:eastAsia="宋体" w:cs="Times New Roman"/>
          <w:sz w:val="20"/>
          <w:szCs w:val="20"/>
        </w:rPr>
        <w:t>反映的是一个公司股东权益在某一个时间期间里的变动情况。</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下图是深南电路2018年年报的部分附注信息，</w:t>
      </w:r>
      <w:r>
        <w:rPr>
          <w:rFonts w:ascii="宋体" w:hAnsi="宋体" w:eastAsia="宋体" w:cs="Times New Roman"/>
          <w:sz w:val="20"/>
          <w:szCs w:val="20"/>
        </w:rPr>
        <w:t>相比2018年初，深南电路2018年末的银行存款</w:t>
      </w:r>
      <w:r>
        <w:rPr>
          <w:rFonts w:hint="eastAsia" w:ascii="宋体" w:hAnsi="宋体" w:eastAsia="宋体" w:cs="Times New Roman"/>
          <w:sz w:val="20"/>
          <w:szCs w:val="20"/>
        </w:rPr>
        <w:t>有所</w:t>
      </w:r>
      <w:r>
        <w:rPr>
          <w:rFonts w:ascii="宋体" w:hAnsi="宋体" w:eastAsia="宋体" w:cs="Times New Roman"/>
          <w:sz w:val="20"/>
          <w:szCs w:val="20"/>
        </w:rPr>
        <w:t>减少</w:t>
      </w:r>
      <w:r>
        <w:rPr>
          <w:rFonts w:hint="eastAsia" w:ascii="宋体" w:hAnsi="宋体" w:eastAsia="宋体" w:cs="Times New Roman"/>
          <w:sz w:val="20"/>
          <w:szCs w:val="20"/>
        </w:rPr>
        <w:t>，</w:t>
      </w:r>
      <w:r>
        <w:rPr>
          <w:rFonts w:ascii="宋体" w:hAnsi="宋体" w:eastAsia="宋体" w:cs="Times New Roman"/>
          <w:sz w:val="20"/>
          <w:szCs w:val="20"/>
        </w:rPr>
        <w:t>假设这些减少的金额全部来自偿还当年的银行借款，相关会计分录</w:t>
      </w:r>
      <w:r>
        <w:rPr>
          <w:rFonts w:hint="eastAsia" w:ascii="宋体" w:hAnsi="宋体" w:eastAsia="宋体" w:cs="Times New Roman"/>
          <w:sz w:val="20"/>
          <w:szCs w:val="20"/>
        </w:rPr>
        <w:t>为“借：银行借款；贷：银行存款”</w:t>
      </w:r>
      <w:r>
        <w:rPr>
          <w:rFonts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1836420"/>
            <wp:effectExtent l="0" t="0" r="8890" b="1778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Picture 19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836420"/>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下图是深南电路2018年年报的部分附注信息，</w:t>
      </w:r>
      <w:r>
        <w:rPr>
          <w:rFonts w:ascii="宋体" w:hAnsi="宋体" w:eastAsia="宋体" w:cs="Times New Roman"/>
          <w:sz w:val="20"/>
          <w:szCs w:val="20"/>
        </w:rPr>
        <w:t>相比2018年初，深南电路2018年末的应收票据和应收账款</w:t>
      </w:r>
      <w:r>
        <w:rPr>
          <w:rFonts w:hint="eastAsia" w:ascii="宋体" w:hAnsi="宋体" w:eastAsia="宋体" w:cs="Times New Roman"/>
          <w:sz w:val="20"/>
          <w:szCs w:val="20"/>
        </w:rPr>
        <w:t>都有所增加，且该两科目都</w:t>
      </w:r>
      <w:r>
        <w:rPr>
          <w:rFonts w:ascii="宋体" w:hAnsi="宋体" w:eastAsia="宋体" w:cs="Times New Roman"/>
          <w:sz w:val="20"/>
          <w:szCs w:val="20"/>
        </w:rPr>
        <w:t>属于资产负债表</w:t>
      </w:r>
      <w:r>
        <w:rPr>
          <w:rFonts w:hint="eastAsia" w:ascii="宋体" w:hAnsi="宋体" w:eastAsia="宋体" w:cs="Times New Roman"/>
          <w:sz w:val="20"/>
          <w:szCs w:val="20"/>
        </w:rPr>
        <w:t>资产类</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1444625"/>
            <wp:effectExtent l="0" t="0" r="889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444625"/>
                    </a:xfrm>
                    <a:prstGeom prst="rect">
                      <a:avLst/>
                    </a:prstGeom>
                    <a:noFill/>
                    <a:ln>
                      <a:noFill/>
                    </a:ln>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下图是深南电路2018年年报的部分附注信息，</w:t>
      </w:r>
      <w:r>
        <w:rPr>
          <w:rFonts w:ascii="宋体" w:hAnsi="宋体" w:eastAsia="宋体" w:cs="Times New Roman"/>
          <w:sz w:val="20"/>
          <w:szCs w:val="20"/>
        </w:rPr>
        <w:t>相比2018年初，</w:t>
      </w:r>
      <w:r>
        <w:rPr>
          <w:rFonts w:hint="eastAsia" w:ascii="宋体" w:hAnsi="宋体" w:eastAsia="宋体" w:cs="Times New Roman"/>
          <w:sz w:val="20"/>
          <w:szCs w:val="20"/>
        </w:rPr>
        <w:t>假设</w:t>
      </w:r>
      <w:r>
        <w:rPr>
          <w:rFonts w:ascii="宋体" w:hAnsi="宋体" w:eastAsia="宋体" w:cs="Times New Roman"/>
          <w:sz w:val="20"/>
          <w:szCs w:val="20"/>
        </w:rPr>
        <w:t>深南电路2018年末的预付账款增加</w:t>
      </w:r>
      <w:r>
        <w:rPr>
          <w:rFonts w:hint="eastAsia" w:ascii="宋体" w:hAnsi="宋体" w:eastAsia="宋体" w:cs="Times New Roman"/>
          <w:sz w:val="20"/>
          <w:szCs w:val="20"/>
        </w:rPr>
        <w:t>的</w:t>
      </w:r>
      <w:r>
        <w:rPr>
          <w:rFonts w:ascii="宋体" w:hAnsi="宋体" w:eastAsia="宋体" w:cs="Times New Roman"/>
          <w:sz w:val="20"/>
          <w:szCs w:val="20"/>
        </w:rPr>
        <w:t>金额全部来自用现金支付的预付保险费用，相关会计分录</w:t>
      </w:r>
      <w:r>
        <w:rPr>
          <w:rFonts w:hint="eastAsia" w:ascii="宋体" w:hAnsi="宋体" w:eastAsia="宋体" w:cs="Times New Roman"/>
          <w:sz w:val="20"/>
          <w:szCs w:val="20"/>
        </w:rPr>
        <w:t>为“借：预付账款；贷：现金”</w:t>
      </w:r>
      <w:r>
        <w:rPr>
          <w:rFonts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775970"/>
            <wp:effectExtent l="0" t="0" r="8890" b="1143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775970"/>
                    </a:xfrm>
                    <a:prstGeom prst="rect">
                      <a:avLst/>
                    </a:prstGeom>
                    <a:noFill/>
                    <a:ln>
                      <a:noFill/>
                    </a:ln>
                  </pic:spPr>
                </pic:pic>
              </a:graphicData>
            </a:graphic>
          </wp:inline>
        </w:drawing>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1353185"/>
            <wp:effectExtent l="0" t="0" r="8890" b="184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353185"/>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下图是深南电路2018年年报的部分附注信息，</w:t>
      </w:r>
      <w:r>
        <w:rPr>
          <w:rFonts w:ascii="宋体" w:hAnsi="宋体" w:eastAsia="宋体" w:cs="Times New Roman"/>
          <w:sz w:val="20"/>
          <w:szCs w:val="20"/>
        </w:rPr>
        <w:t>相比2018年初，</w:t>
      </w:r>
      <w:r>
        <w:rPr>
          <w:rFonts w:hint="eastAsia" w:ascii="宋体" w:hAnsi="宋体" w:eastAsia="宋体" w:cs="Times New Roman"/>
          <w:sz w:val="20"/>
          <w:szCs w:val="20"/>
        </w:rPr>
        <w:t>假设</w:t>
      </w:r>
      <w:r>
        <w:rPr>
          <w:rFonts w:ascii="宋体" w:hAnsi="宋体" w:eastAsia="宋体" w:cs="Times New Roman"/>
          <w:sz w:val="20"/>
          <w:szCs w:val="20"/>
        </w:rPr>
        <w:t>深南电路2018年末的存货账面余额</w:t>
      </w:r>
      <w:r>
        <w:rPr>
          <w:rFonts w:hint="eastAsia" w:ascii="宋体" w:hAnsi="宋体" w:eastAsia="宋体" w:cs="Times New Roman"/>
          <w:sz w:val="20"/>
          <w:szCs w:val="20"/>
        </w:rPr>
        <w:t>的</w:t>
      </w:r>
      <w:r>
        <w:rPr>
          <w:rFonts w:ascii="宋体" w:hAnsi="宋体" w:eastAsia="宋体" w:cs="Times New Roman"/>
          <w:sz w:val="20"/>
          <w:szCs w:val="20"/>
        </w:rPr>
        <w:t>增加全部来自当年以应付账款购买的存货，相关会计分录</w:t>
      </w:r>
      <w:r>
        <w:rPr>
          <w:rFonts w:hint="eastAsia" w:ascii="宋体" w:hAnsi="宋体" w:eastAsia="宋体" w:cs="Times New Roman"/>
          <w:sz w:val="20"/>
          <w:szCs w:val="20"/>
        </w:rPr>
        <w:t>为“借：存货；贷：应付账款”</w:t>
      </w:r>
      <w:r>
        <w:rPr>
          <w:rFonts w:ascii="宋体" w:hAnsi="宋体" w:eastAsia="宋体" w:cs="Times New Roman"/>
          <w:sz w:val="20"/>
          <w:szCs w:val="20"/>
        </w:rPr>
        <w:t>。</w:t>
      </w:r>
    </w:p>
    <w:p>
      <w:pPr>
        <w:tabs>
          <w:tab w:val="left" w:pos="780"/>
        </w:tabs>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3054985"/>
            <wp:effectExtent l="0" t="0" r="8890"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54985"/>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tabs>
          <w:tab w:val="left" w:pos="780"/>
        </w:tabs>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国农科技</w:t>
      </w:r>
      <w:r>
        <w:rPr>
          <w:rFonts w:hint="eastAsia" w:ascii="宋体" w:hAnsi="宋体" w:eastAsia="宋体" w:cs="Times New Roman"/>
          <w:sz w:val="20"/>
          <w:szCs w:val="20"/>
        </w:rPr>
        <w:t>2018年年报的部分附注信息，</w:t>
      </w:r>
      <w:r>
        <w:rPr>
          <w:rFonts w:ascii="宋体" w:hAnsi="宋体" w:eastAsia="宋体" w:cs="Times New Roman"/>
          <w:sz w:val="20"/>
          <w:szCs w:val="20"/>
        </w:rPr>
        <w:t>2018年期间，国农科技新花费了</w:t>
      </w:r>
      <w:r>
        <w:rPr>
          <w:rFonts w:hint="eastAsia" w:ascii="宋体" w:hAnsi="宋体" w:eastAsia="宋体" w:cs="Times New Roman"/>
          <w:sz w:val="20"/>
          <w:szCs w:val="20"/>
        </w:rPr>
        <w:t>943396.20元人民币</w:t>
      </w:r>
      <w:r>
        <w:rPr>
          <w:rFonts w:ascii="宋体" w:hAnsi="宋体" w:eastAsia="宋体" w:cs="Times New Roman"/>
          <w:sz w:val="20"/>
          <w:szCs w:val="20"/>
        </w:rPr>
        <w:t>用于获得《天火斗魂》的独家代理权</w:t>
      </w:r>
      <w:r>
        <w:rPr>
          <w:rFonts w:hint="eastAsia" w:ascii="宋体" w:hAnsi="宋体" w:eastAsia="宋体" w:cs="Times New Roman"/>
          <w:sz w:val="20"/>
          <w:szCs w:val="20"/>
        </w:rPr>
        <w:t>，</w:t>
      </w:r>
      <w:r>
        <w:rPr>
          <w:rFonts w:ascii="宋体" w:hAnsi="宋体" w:eastAsia="宋体" w:cs="Times New Roman"/>
          <w:sz w:val="20"/>
          <w:szCs w:val="20"/>
        </w:rPr>
        <w:t>这些</w:t>
      </w:r>
      <w:r>
        <w:rPr>
          <w:rFonts w:hint="eastAsia" w:ascii="宋体" w:hAnsi="宋体" w:eastAsia="宋体" w:cs="Times New Roman"/>
          <w:sz w:val="20"/>
          <w:szCs w:val="20"/>
        </w:rPr>
        <w:t>支出</w:t>
      </w:r>
      <w:r>
        <w:rPr>
          <w:rFonts w:ascii="宋体" w:hAnsi="宋体" w:eastAsia="宋体" w:cs="Times New Roman"/>
          <w:sz w:val="20"/>
          <w:szCs w:val="20"/>
        </w:rPr>
        <w:t>作为费用处理</w:t>
      </w:r>
      <w:r>
        <w:rPr>
          <w:rFonts w:hint="eastAsia" w:ascii="宋体" w:hAnsi="宋体" w:eastAsia="宋体" w:cs="Times New Roman"/>
          <w:sz w:val="20"/>
          <w:szCs w:val="20"/>
        </w:rPr>
        <w:t>。</w:t>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2249805"/>
            <wp:effectExtent l="0" t="0" r="8890" b="10795"/>
            <wp:docPr id="159" name="图片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343"/>
                    <pic:cNvPicPr>
                      <a:picLocks noChangeAspect="1"/>
                    </pic:cNvPicPr>
                  </pic:nvPicPr>
                  <pic:blipFill>
                    <a:blip r:embed="rId11"/>
                    <a:stretch>
                      <a:fillRect/>
                    </a:stretch>
                  </pic:blipFill>
                  <pic:spPr>
                    <a:xfrm>
                      <a:off x="0" y="0"/>
                      <a:ext cx="5274310" cy="2249805"/>
                    </a:xfrm>
                    <a:prstGeom prst="rect">
                      <a:avLst/>
                    </a:prstGeom>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东阿阿胶</w:t>
      </w:r>
      <w:r>
        <w:rPr>
          <w:rFonts w:hint="eastAsia" w:ascii="宋体" w:hAnsi="宋体" w:eastAsia="宋体" w:cs="Times New Roman"/>
          <w:sz w:val="20"/>
          <w:szCs w:val="20"/>
        </w:rPr>
        <w:t>2018年年报的部分附注信息，</w:t>
      </w:r>
      <w:r>
        <w:rPr>
          <w:rFonts w:ascii="宋体" w:hAnsi="宋体" w:eastAsia="宋体" w:cs="Times New Roman"/>
          <w:sz w:val="20"/>
          <w:szCs w:val="20"/>
        </w:rPr>
        <w:t>2018年期间，东阿阿胶计入利润表的、确认为当期费用的装修费是</w:t>
      </w:r>
      <w:r>
        <w:rPr>
          <w:rFonts w:hint="eastAsia" w:ascii="宋体" w:hAnsi="宋体" w:eastAsia="宋体" w:cs="Times New Roman"/>
          <w:sz w:val="20"/>
          <w:szCs w:val="20"/>
        </w:rPr>
        <w:t>5565536.90元人民币，这将减少</w:t>
      </w:r>
      <w:r>
        <w:rPr>
          <w:rFonts w:ascii="宋体" w:hAnsi="宋体" w:eastAsia="宋体" w:cs="Times New Roman"/>
          <w:sz w:val="20"/>
          <w:szCs w:val="20"/>
        </w:rPr>
        <w:t>东阿阿胶的经营</w:t>
      </w:r>
      <w:r>
        <w:rPr>
          <w:rFonts w:hint="eastAsia" w:ascii="宋体" w:hAnsi="宋体" w:eastAsia="宋体" w:cs="Times New Roman"/>
          <w:sz w:val="20"/>
          <w:szCs w:val="20"/>
        </w:rPr>
        <w:t>活动净</w:t>
      </w:r>
      <w:r>
        <w:rPr>
          <w:rFonts w:ascii="宋体" w:hAnsi="宋体" w:eastAsia="宋体" w:cs="Times New Roman"/>
          <w:sz w:val="20"/>
          <w:szCs w:val="20"/>
        </w:rPr>
        <w:t>现金流</w:t>
      </w:r>
      <w:r>
        <w:rPr>
          <w:rFonts w:hint="eastAsia" w:ascii="宋体" w:hAnsi="宋体" w:eastAsia="宋体" w:cs="Times New Roman"/>
          <w:sz w:val="20"/>
          <w:szCs w:val="20"/>
        </w:rPr>
        <w:t>。</w:t>
      </w:r>
      <w:r>
        <w:rPr>
          <w:rFonts w:ascii="宋体" w:hAnsi="宋体" w:eastAsia="宋体" w:cs="Times New Roman"/>
          <w:sz w:val="20"/>
          <w:szCs w:val="20"/>
        </w:rPr>
        <w:drawing>
          <wp:inline distT="0" distB="0" distL="0" distR="0">
            <wp:extent cx="5274310" cy="2364740"/>
            <wp:effectExtent l="0" t="0" r="8890" b="22860"/>
            <wp:docPr id="162" name="图片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347"/>
                    <pic:cNvPicPr>
                      <a:picLocks noChangeAspect="1"/>
                    </pic:cNvPicPr>
                  </pic:nvPicPr>
                  <pic:blipFill>
                    <a:blip r:embed="rId12"/>
                    <a:stretch>
                      <a:fillRect/>
                    </a:stretch>
                  </pic:blipFill>
                  <pic:spPr>
                    <a:xfrm>
                      <a:off x="0" y="0"/>
                      <a:ext cx="5274310" cy="2364740"/>
                    </a:xfrm>
                    <a:prstGeom prst="rect">
                      <a:avLst/>
                    </a:prstGeom>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【答案解析】这部分装修费是摊销的，而摊销和折旧不是实际现金，所以不影响经营现金流</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贵州茅台</w:t>
      </w:r>
      <w:r>
        <w:rPr>
          <w:rFonts w:hint="eastAsia" w:ascii="宋体" w:hAnsi="宋体" w:eastAsia="宋体" w:cs="Times New Roman"/>
          <w:sz w:val="20"/>
          <w:szCs w:val="20"/>
        </w:rPr>
        <w:t>2018年年报的部分附注信息，</w:t>
      </w:r>
      <w:r>
        <w:rPr>
          <w:rFonts w:ascii="宋体" w:hAnsi="宋体" w:eastAsia="宋体" w:cs="Times New Roman"/>
          <w:sz w:val="20"/>
          <w:szCs w:val="20"/>
        </w:rPr>
        <w:t>2018年期间，贵州茅台计入利润表的、确认为当期费用的固定资产大修费</w:t>
      </w:r>
      <w:r>
        <w:rPr>
          <w:rFonts w:hint="eastAsia" w:ascii="宋体" w:hAnsi="宋体" w:eastAsia="宋体" w:cs="Times New Roman"/>
          <w:sz w:val="20"/>
          <w:szCs w:val="20"/>
        </w:rPr>
        <w:t>是886104.85元人民币，</w:t>
      </w:r>
      <w:r>
        <w:rPr>
          <w:rFonts w:ascii="宋体" w:hAnsi="宋体" w:eastAsia="宋体" w:cs="Times New Roman"/>
          <w:sz w:val="20"/>
          <w:szCs w:val="20"/>
        </w:rPr>
        <w:t>这些费用</w:t>
      </w:r>
      <w:r>
        <w:rPr>
          <w:rFonts w:hint="eastAsia" w:ascii="宋体" w:hAnsi="宋体" w:eastAsia="宋体" w:cs="Times New Roman"/>
          <w:sz w:val="20"/>
          <w:szCs w:val="20"/>
        </w:rPr>
        <w:t>会减少</w:t>
      </w:r>
      <w:r>
        <w:rPr>
          <w:rFonts w:ascii="宋体" w:hAnsi="宋体" w:eastAsia="宋体" w:cs="Times New Roman"/>
          <w:sz w:val="20"/>
          <w:szCs w:val="20"/>
        </w:rPr>
        <w:t>贵州茅台</w:t>
      </w:r>
      <w:r>
        <w:rPr>
          <w:rFonts w:hint="eastAsia" w:ascii="宋体" w:hAnsi="宋体" w:eastAsia="宋体" w:cs="Times New Roman"/>
          <w:sz w:val="20"/>
          <w:szCs w:val="20"/>
        </w:rPr>
        <w:t>当期的</w:t>
      </w:r>
      <w:r>
        <w:rPr>
          <w:rFonts w:ascii="宋体" w:hAnsi="宋体" w:eastAsia="宋体" w:cs="Times New Roman"/>
          <w:sz w:val="20"/>
          <w:szCs w:val="20"/>
        </w:rPr>
        <w:t>经营</w:t>
      </w:r>
      <w:r>
        <w:rPr>
          <w:rFonts w:hint="eastAsia" w:ascii="宋体" w:hAnsi="宋体" w:eastAsia="宋体" w:cs="Times New Roman"/>
          <w:sz w:val="20"/>
          <w:szCs w:val="20"/>
        </w:rPr>
        <w:t>活动净</w:t>
      </w:r>
      <w:r>
        <w:rPr>
          <w:rFonts w:ascii="宋体" w:hAnsi="宋体" w:eastAsia="宋体" w:cs="Times New Roman"/>
          <w:sz w:val="20"/>
          <w:szCs w:val="20"/>
        </w:rPr>
        <w:t>现金流</w:t>
      </w:r>
      <w:r>
        <w:rPr>
          <w:rFonts w:hint="eastAsia" w:ascii="宋体" w:hAnsi="宋体" w:eastAsia="宋体" w:cs="Times New Roman"/>
          <w:sz w:val="20"/>
          <w:szCs w:val="20"/>
        </w:rPr>
        <w:t>。</w:t>
      </w:r>
      <w:r>
        <w:rPr>
          <w:rFonts w:ascii="宋体" w:hAnsi="宋体" w:eastAsia="宋体" w:cs="Times New Roman"/>
          <w:sz w:val="20"/>
          <w:szCs w:val="20"/>
        </w:rPr>
        <w:drawing>
          <wp:inline distT="0" distB="0" distL="0" distR="0">
            <wp:extent cx="5274310" cy="1212215"/>
            <wp:effectExtent l="0" t="0" r="8890" b="6985"/>
            <wp:docPr id="166"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34"/>
                    <pic:cNvPicPr>
                      <a:picLocks noChangeAspect="1"/>
                    </pic:cNvPicPr>
                  </pic:nvPicPr>
                  <pic:blipFill>
                    <a:blip r:embed="rId13"/>
                    <a:stretch>
                      <a:fillRect/>
                    </a:stretch>
                  </pic:blipFill>
                  <pic:spPr>
                    <a:xfrm>
                      <a:off x="0" y="0"/>
                      <a:ext cx="5274310" cy="1212215"/>
                    </a:xfrm>
                    <a:prstGeom prst="rect">
                      <a:avLst/>
                    </a:prstGeom>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【答案解析】这部分装修费是摊销的，而摊销和折旧不是实际现金，所以不影响经营现金流</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巨人网络</w:t>
      </w:r>
      <w:r>
        <w:rPr>
          <w:rFonts w:hint="eastAsia" w:ascii="宋体" w:hAnsi="宋体" w:eastAsia="宋体" w:cs="Times New Roman"/>
          <w:sz w:val="20"/>
          <w:szCs w:val="20"/>
        </w:rPr>
        <w:t>2018年年报的部分附注信息，</w:t>
      </w:r>
      <w:r>
        <w:rPr>
          <w:rFonts w:ascii="宋体" w:hAnsi="宋体" w:eastAsia="宋体" w:cs="Times New Roman"/>
          <w:sz w:val="20"/>
          <w:szCs w:val="20"/>
        </w:rPr>
        <w:t>在2018年期间，巨人网络的主营业务成本率</w:t>
      </w:r>
      <w:r>
        <w:rPr>
          <w:rFonts w:hint="eastAsia" w:ascii="宋体" w:hAnsi="宋体" w:eastAsia="宋体" w:cs="Times New Roman"/>
          <w:sz w:val="20"/>
          <w:szCs w:val="20"/>
        </w:rPr>
        <w:t>（成本占收入的比率）比</w:t>
      </w:r>
      <w:r>
        <w:rPr>
          <w:rFonts w:ascii="宋体" w:hAnsi="宋体" w:eastAsia="宋体" w:cs="Times New Roman"/>
          <w:sz w:val="20"/>
          <w:szCs w:val="20"/>
        </w:rPr>
        <w:t>其他业务成本率高</w:t>
      </w:r>
      <w:r>
        <w:rPr>
          <w:rFonts w:hint="eastAsia" w:ascii="宋体" w:hAnsi="宋体" w:eastAsia="宋体" w:cs="Times New Roman"/>
          <w:sz w:val="20"/>
          <w:szCs w:val="20"/>
        </w:rPr>
        <w:t>。</w:t>
      </w:r>
    </w:p>
    <w:p>
      <w:pPr>
        <w:spacing w:line="288" w:lineRule="auto"/>
        <w:ind w:left="360"/>
        <w:jc w:val="left"/>
        <w:rPr>
          <w:rFonts w:ascii="宋体" w:hAnsi="宋体" w:eastAsia="宋体" w:cs="Times New Roman"/>
          <w:sz w:val="20"/>
          <w:szCs w:val="20"/>
        </w:rPr>
      </w:pP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797560"/>
            <wp:effectExtent l="0" t="0" r="8890" b="15240"/>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Picture 20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797560"/>
                    </a:xfrm>
                    <a:prstGeom prst="rect">
                      <a:avLst/>
                    </a:prstGeom>
                    <a:noFill/>
                    <a:ln>
                      <a:noFill/>
                    </a:ln>
                  </pic:spPr>
                </pic:pic>
              </a:graphicData>
            </a:graphic>
          </wp:inline>
        </w:drawing>
      </w:r>
      <w:r>
        <w:rPr>
          <w:rFonts w:ascii="宋体" w:hAnsi="宋体" w:eastAsia="宋体" w:cs="Times New Roman"/>
          <w:sz w:val="20"/>
          <w:szCs w:val="20"/>
        </w:rPr>
        <w:drawing>
          <wp:inline distT="0" distB="0" distL="0" distR="0">
            <wp:extent cx="5274310" cy="930275"/>
            <wp:effectExtent l="0" t="0" r="8890" b="9525"/>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 name="Picture 20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930275"/>
                    </a:xfrm>
                    <a:prstGeom prst="rect">
                      <a:avLst/>
                    </a:prstGeom>
                    <a:noFill/>
                    <a:ln>
                      <a:noFill/>
                    </a:ln>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完美世界</w:t>
      </w:r>
      <w:r>
        <w:rPr>
          <w:rFonts w:hint="eastAsia" w:ascii="宋体" w:hAnsi="宋体" w:eastAsia="宋体" w:cs="Times New Roman"/>
          <w:sz w:val="20"/>
          <w:szCs w:val="20"/>
        </w:rPr>
        <w:t>2018年年报的部分附注信息，</w:t>
      </w:r>
      <w:r>
        <w:rPr>
          <w:rFonts w:ascii="宋体" w:hAnsi="宋体" w:eastAsia="宋体" w:cs="Times New Roman"/>
          <w:sz w:val="20"/>
          <w:szCs w:val="20"/>
        </w:rPr>
        <w:t>和2017年相比，2018年完美世界的主营业务成本率</w:t>
      </w:r>
      <w:r>
        <w:rPr>
          <w:rFonts w:hint="eastAsia" w:ascii="宋体" w:hAnsi="宋体" w:eastAsia="宋体" w:cs="Times New Roman"/>
          <w:sz w:val="20"/>
          <w:szCs w:val="20"/>
        </w:rPr>
        <w:t>（成本占收入的比率）有所增加。</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035550" cy="1536700"/>
            <wp:effectExtent l="0" t="0" r="19050" b="12700"/>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 name="Picture 20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35550" cy="1536700"/>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深南电路</w:t>
      </w:r>
      <w:r>
        <w:rPr>
          <w:rFonts w:hint="eastAsia" w:ascii="宋体" w:hAnsi="宋体" w:eastAsia="宋体" w:cs="Times New Roman"/>
          <w:sz w:val="20"/>
          <w:szCs w:val="20"/>
        </w:rPr>
        <w:t>2018年年报的部分附注信息，</w:t>
      </w:r>
      <w:r>
        <w:rPr>
          <w:rFonts w:ascii="宋体" w:hAnsi="宋体" w:eastAsia="宋体" w:cs="Times New Roman"/>
          <w:sz w:val="20"/>
          <w:szCs w:val="20"/>
        </w:rPr>
        <w:t>2018年期间，深南电路对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在一定条件下都</w:t>
      </w:r>
      <w:r>
        <w:rPr>
          <w:rFonts w:ascii="宋体" w:hAnsi="宋体" w:eastAsia="宋体" w:cs="Times New Roman"/>
          <w:sz w:val="20"/>
          <w:szCs w:val="20"/>
        </w:rPr>
        <w:t>可以转回</w:t>
      </w:r>
      <w:r>
        <w:rPr>
          <w:rFonts w:hint="eastAsia" w:ascii="宋体" w:hAnsi="宋体" w:eastAsia="宋体" w:cs="Times New Roman"/>
          <w:sz w:val="20"/>
          <w:szCs w:val="20"/>
        </w:rPr>
        <w:t>。</w:t>
      </w:r>
      <w:r>
        <w:rPr>
          <w:rFonts w:ascii="宋体" w:hAnsi="宋体" w:eastAsia="宋体" w:cs="Times New Roman"/>
          <w:sz w:val="20"/>
          <w:szCs w:val="20"/>
        </w:rPr>
        <w:drawing>
          <wp:inline distT="0" distB="0" distL="0" distR="0">
            <wp:extent cx="5274310" cy="4032250"/>
            <wp:effectExtent l="0" t="0" r="8890" b="6350"/>
            <wp:docPr id="2020"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Picture 1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4032250"/>
                    </a:xfrm>
                    <a:prstGeom prst="rect">
                      <a:avLst/>
                    </a:prstGeom>
                    <a:noFill/>
                    <a:ln>
                      <a:noFill/>
                    </a:ln>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【答案解析】长期资产（固定资产、无形资产、商誉）减值损失一经确认，不得转回</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上汽集团</w:t>
      </w:r>
      <w:r>
        <w:rPr>
          <w:rFonts w:hint="eastAsia" w:ascii="宋体" w:hAnsi="宋体" w:eastAsia="宋体" w:cs="Times New Roman"/>
          <w:sz w:val="20"/>
          <w:szCs w:val="20"/>
        </w:rPr>
        <w:t>2018年年报的部分附注信息，</w:t>
      </w:r>
      <w:r>
        <w:rPr>
          <w:rFonts w:ascii="宋体" w:hAnsi="宋体" w:eastAsia="宋体" w:cs="Times New Roman"/>
          <w:sz w:val="20"/>
          <w:szCs w:val="20"/>
        </w:rPr>
        <w:t>2018年期间，上汽集团对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在一定条件下都</w:t>
      </w:r>
      <w:r>
        <w:rPr>
          <w:rFonts w:ascii="宋体" w:hAnsi="宋体" w:eastAsia="宋体" w:cs="Times New Roman"/>
          <w:sz w:val="20"/>
          <w:szCs w:val="20"/>
        </w:rPr>
        <w:t>可以转回</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2704465"/>
            <wp:effectExtent l="0" t="0" r="8890" b="13335"/>
            <wp:docPr id="2022"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Picture 2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704465"/>
                    </a:xfrm>
                    <a:prstGeom prst="rect">
                      <a:avLst/>
                    </a:prstGeom>
                    <a:noFill/>
                    <a:ln>
                      <a:noFill/>
                    </a:ln>
                  </pic:spPr>
                </pic:pic>
              </a:graphicData>
            </a:graphic>
          </wp:inline>
        </w:drawing>
      </w:r>
      <w:r>
        <w:rPr>
          <w:rFonts w:ascii="宋体" w:hAnsi="宋体" w:eastAsia="宋体" w:cs="Times New Roman"/>
          <w:sz w:val="20"/>
          <w:szCs w:val="20"/>
        </w:rPr>
        <w:tab/>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【答案解析】长期资产（固定资产、无形资产、商誉）减值损失一经确认，不得转回</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永鼎股份</w:t>
      </w:r>
      <w:r>
        <w:rPr>
          <w:rFonts w:hint="eastAsia" w:ascii="宋体" w:hAnsi="宋体" w:eastAsia="宋体" w:cs="Times New Roman"/>
          <w:sz w:val="20"/>
          <w:szCs w:val="20"/>
        </w:rPr>
        <w:t>2018年年报的部分附注信息，</w:t>
      </w:r>
      <w:r>
        <w:rPr>
          <w:rFonts w:ascii="宋体" w:hAnsi="宋体" w:eastAsia="宋体" w:cs="Times New Roman"/>
          <w:sz w:val="20"/>
          <w:szCs w:val="20"/>
        </w:rPr>
        <w:t>2018年期间，永鼎股份对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之后都不能</w:t>
      </w:r>
      <w:r>
        <w:rPr>
          <w:rFonts w:ascii="宋体" w:hAnsi="宋体" w:eastAsia="宋体" w:cs="Times New Roman"/>
          <w:sz w:val="20"/>
          <w:szCs w:val="20"/>
        </w:rPr>
        <w:t>转回</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4960620" cy="2948940"/>
            <wp:effectExtent l="0" t="0" r="17780" b="22860"/>
            <wp:docPr id="2036" name="图片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图片 871"/>
                    <pic:cNvPicPr>
                      <a:picLocks noChangeAspect="1"/>
                    </pic:cNvPicPr>
                  </pic:nvPicPr>
                  <pic:blipFill>
                    <a:blip r:embed="rId19"/>
                    <a:stretch>
                      <a:fillRect/>
                    </a:stretch>
                  </pic:blipFill>
                  <pic:spPr>
                    <a:xfrm>
                      <a:off x="0" y="0"/>
                      <a:ext cx="4961050" cy="2949196"/>
                    </a:xfrm>
                    <a:prstGeom prst="rect">
                      <a:avLst/>
                    </a:prstGeom>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【答案解析】应收账款和存货减值损失可以转回</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奇精机械</w:t>
      </w:r>
      <w:r>
        <w:rPr>
          <w:rFonts w:hint="eastAsia" w:ascii="宋体" w:hAnsi="宋体" w:eastAsia="宋体" w:cs="Times New Roman"/>
          <w:sz w:val="20"/>
          <w:szCs w:val="20"/>
        </w:rPr>
        <w:t>2019年年报的部分附注信息，</w:t>
      </w:r>
      <w:r>
        <w:rPr>
          <w:rFonts w:ascii="宋体" w:hAnsi="宋体" w:eastAsia="宋体" w:cs="Times New Roman"/>
          <w:sz w:val="20"/>
          <w:szCs w:val="20"/>
        </w:rPr>
        <w:t>2019年期间，奇精机械对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之后都不能</w:t>
      </w:r>
      <w:r>
        <w:rPr>
          <w:rFonts w:ascii="宋体" w:hAnsi="宋体" w:eastAsia="宋体" w:cs="Times New Roman"/>
          <w:sz w:val="20"/>
          <w:szCs w:val="20"/>
        </w:rPr>
        <w:t>转回</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3296920"/>
            <wp:effectExtent l="0" t="0" r="8890" b="508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Picture 20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296920"/>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【答案解析】同上</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汇通能源</w:t>
      </w:r>
      <w:r>
        <w:rPr>
          <w:rFonts w:hint="eastAsia" w:ascii="宋体" w:hAnsi="宋体" w:eastAsia="宋体" w:cs="Times New Roman"/>
          <w:sz w:val="20"/>
          <w:szCs w:val="20"/>
        </w:rPr>
        <w:t>2019年年报的部分附注信息，</w:t>
      </w:r>
      <w:r>
        <w:rPr>
          <w:rFonts w:ascii="宋体" w:hAnsi="宋体" w:eastAsia="宋体" w:cs="Times New Roman"/>
          <w:sz w:val="20"/>
          <w:szCs w:val="20"/>
        </w:rPr>
        <w:t>2019年期间，汇通能源对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之后在一定条件下可以</w:t>
      </w:r>
      <w:r>
        <w:rPr>
          <w:rFonts w:ascii="宋体" w:hAnsi="宋体" w:eastAsia="宋体" w:cs="Times New Roman"/>
          <w:sz w:val="20"/>
          <w:szCs w:val="20"/>
        </w:rPr>
        <w:t>转回</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2199640"/>
            <wp:effectExtent l="0" t="0" r="8890" b="1016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Picture 20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199640"/>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【答案解析】同上</w:t>
      </w:r>
    </w:p>
    <w:p>
      <w:pPr>
        <w:spacing w:line="288" w:lineRule="auto"/>
        <w:jc w:val="left"/>
        <w:rPr>
          <w:rFonts w:ascii="宋体" w:hAnsi="宋体" w:eastAsia="宋体" w:cs="Times New Roman"/>
          <w:sz w:val="20"/>
          <w:szCs w:val="20"/>
        </w:rPr>
      </w:pP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三峡水利</w:t>
      </w:r>
      <w:r>
        <w:rPr>
          <w:rFonts w:hint="eastAsia" w:ascii="宋体" w:hAnsi="宋体" w:eastAsia="宋体" w:cs="Times New Roman"/>
          <w:sz w:val="20"/>
          <w:szCs w:val="20"/>
        </w:rPr>
        <w:t>2019年年报的部分附注信息，</w:t>
      </w:r>
      <w:r>
        <w:rPr>
          <w:rFonts w:ascii="宋体" w:hAnsi="宋体" w:eastAsia="宋体" w:cs="Times New Roman"/>
          <w:sz w:val="20"/>
          <w:szCs w:val="20"/>
        </w:rPr>
        <w:t>2019年期间，三峡水利对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之后在一定条件下可以</w:t>
      </w:r>
      <w:r>
        <w:rPr>
          <w:rFonts w:ascii="宋体" w:hAnsi="宋体" w:eastAsia="宋体" w:cs="Times New Roman"/>
          <w:sz w:val="20"/>
          <w:szCs w:val="20"/>
        </w:rPr>
        <w:t>转回</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1079500"/>
            <wp:effectExtent l="0" t="0" r="8890" b="12700"/>
            <wp:docPr id="2042"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Picture 14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079500"/>
                    </a:xfrm>
                    <a:prstGeom prst="rect">
                      <a:avLst/>
                    </a:prstGeom>
                    <a:noFill/>
                    <a:ln>
                      <a:noFill/>
                    </a:ln>
                  </pic:spPr>
                </pic:pic>
              </a:graphicData>
            </a:graphic>
          </wp:inline>
        </w:drawing>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3273425"/>
            <wp:effectExtent l="0" t="0" r="8890" b="3175"/>
            <wp:docPr id="2043"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Picture 14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273425"/>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【答案解析】同上</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嘉澳环保</w:t>
      </w:r>
      <w:r>
        <w:rPr>
          <w:rFonts w:hint="eastAsia" w:ascii="宋体" w:hAnsi="宋体" w:eastAsia="宋体" w:cs="Times New Roman"/>
          <w:sz w:val="20"/>
          <w:szCs w:val="20"/>
        </w:rPr>
        <w:t>2019年年报的部分附注信息，</w:t>
      </w:r>
      <w:r>
        <w:rPr>
          <w:rFonts w:ascii="宋体" w:hAnsi="宋体" w:eastAsia="宋体" w:cs="Times New Roman"/>
          <w:sz w:val="20"/>
          <w:szCs w:val="20"/>
        </w:rPr>
        <w:t>2019年期间，嘉澳环保对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之后在一定条件下可以</w:t>
      </w:r>
      <w:r>
        <w:rPr>
          <w:rFonts w:ascii="宋体" w:hAnsi="宋体" w:eastAsia="宋体" w:cs="Times New Roman"/>
          <w:sz w:val="20"/>
          <w:szCs w:val="20"/>
        </w:rPr>
        <w:t>转回</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3168015"/>
            <wp:effectExtent l="0" t="0" r="8890" b="6985"/>
            <wp:docPr id="192"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4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168015"/>
                    </a:xfrm>
                    <a:prstGeom prst="rect">
                      <a:avLst/>
                    </a:prstGeom>
                    <a:noFill/>
                    <a:ln>
                      <a:noFill/>
                    </a:ln>
                  </pic:spPr>
                </pic:pic>
              </a:graphicData>
            </a:graphic>
          </wp:inline>
        </w:drawing>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2488565"/>
            <wp:effectExtent l="0" t="0" r="8890" b="635"/>
            <wp:docPr id="193"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4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488565"/>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【答案解析】同上</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海容冷链</w:t>
      </w:r>
      <w:r>
        <w:rPr>
          <w:rFonts w:hint="eastAsia" w:ascii="宋体" w:hAnsi="宋体" w:eastAsia="宋体" w:cs="Times New Roman"/>
          <w:sz w:val="20"/>
          <w:szCs w:val="20"/>
        </w:rPr>
        <w:t>2019年年报的部分附注信息，</w:t>
      </w:r>
      <w:r>
        <w:rPr>
          <w:rFonts w:ascii="宋体" w:hAnsi="宋体" w:eastAsia="宋体" w:cs="Times New Roman"/>
          <w:sz w:val="20"/>
          <w:szCs w:val="20"/>
        </w:rPr>
        <w:t>2019年期间，海容冷链对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之后在一定条件下可以</w:t>
      </w:r>
      <w:r>
        <w:rPr>
          <w:rFonts w:ascii="宋体" w:hAnsi="宋体" w:eastAsia="宋体" w:cs="Times New Roman"/>
          <w:sz w:val="20"/>
          <w:szCs w:val="20"/>
        </w:rPr>
        <w:t>转回</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2938145"/>
            <wp:effectExtent l="0" t="0" r="8890" b="8255"/>
            <wp:docPr id="196"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4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938145"/>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【答案解析】同上</w:t>
      </w:r>
    </w:p>
    <w:p>
      <w:pPr>
        <w:spacing w:line="288" w:lineRule="auto"/>
        <w:jc w:val="left"/>
        <w:rPr>
          <w:rFonts w:ascii="宋体" w:hAnsi="宋体" w:eastAsia="宋体" w:cs="Times New Roman"/>
          <w:sz w:val="20"/>
          <w:szCs w:val="20"/>
        </w:rPr>
      </w:pP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下图是三峡水利2019年年报的部分附注信息，总的来看，三峡水利</w:t>
      </w:r>
      <w:r>
        <w:rPr>
          <w:rFonts w:ascii="宋体" w:hAnsi="宋体" w:eastAsia="宋体" w:cs="Times New Roman"/>
          <w:sz w:val="20"/>
          <w:szCs w:val="20"/>
        </w:rPr>
        <w:t>在201</w:t>
      </w:r>
      <w:r>
        <w:rPr>
          <w:rFonts w:hint="eastAsia" w:ascii="宋体" w:hAnsi="宋体" w:eastAsia="宋体" w:cs="Times New Roman"/>
          <w:sz w:val="20"/>
          <w:szCs w:val="20"/>
        </w:rPr>
        <w:t>9</w:t>
      </w:r>
      <w:r>
        <w:rPr>
          <w:rFonts w:ascii="宋体" w:hAnsi="宋体" w:eastAsia="宋体" w:cs="Times New Roman"/>
          <w:sz w:val="20"/>
          <w:szCs w:val="20"/>
        </w:rPr>
        <w:t>年底预计未来</w:t>
      </w:r>
      <w:r>
        <w:rPr>
          <w:rFonts w:hint="eastAsia" w:ascii="宋体" w:hAnsi="宋体" w:eastAsia="宋体" w:cs="Times New Roman"/>
          <w:sz w:val="20"/>
          <w:szCs w:val="20"/>
        </w:rPr>
        <w:t>平均约有31%</w:t>
      </w:r>
      <w:r>
        <w:rPr>
          <w:rFonts w:ascii="宋体" w:hAnsi="宋体" w:eastAsia="宋体" w:cs="Times New Roman"/>
          <w:sz w:val="20"/>
          <w:szCs w:val="20"/>
        </w:rPr>
        <w:t>的应收账款不能够被收回</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704850"/>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704850"/>
                    </a:xfrm>
                    <a:prstGeom prst="rect">
                      <a:avLst/>
                    </a:prstGeom>
                    <a:noFill/>
                    <a:ln>
                      <a:noFill/>
                    </a:ln>
                  </pic:spPr>
                </pic:pic>
              </a:graphicData>
            </a:graphic>
          </wp:inline>
        </w:drawing>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2898140"/>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898140"/>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【答案解析】全部坏账准备/全部账面余额</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下图是奇精机械2019年年报的部分附注信息，</w:t>
      </w:r>
      <w:r>
        <w:rPr>
          <w:rFonts w:ascii="宋体" w:hAnsi="宋体" w:eastAsia="宋体" w:cs="Times New Roman"/>
          <w:sz w:val="20"/>
          <w:szCs w:val="20"/>
        </w:rPr>
        <w:t>奇精机械在2019年期间，新增或偿还</w:t>
      </w:r>
      <w:r>
        <w:rPr>
          <w:rFonts w:hint="eastAsia" w:ascii="宋体" w:hAnsi="宋体" w:eastAsia="宋体" w:cs="Times New Roman"/>
          <w:sz w:val="20"/>
          <w:szCs w:val="20"/>
        </w:rPr>
        <w:t>的</w:t>
      </w:r>
      <w:r>
        <w:rPr>
          <w:rFonts w:ascii="宋体" w:hAnsi="宋体" w:eastAsia="宋体" w:cs="Times New Roman"/>
          <w:sz w:val="20"/>
          <w:szCs w:val="20"/>
        </w:rPr>
        <w:t>短期借款如何影响该企业当年的现金流量</w:t>
      </w:r>
      <w:r>
        <w:rPr>
          <w:rFonts w:hint="eastAsia" w:ascii="宋体" w:hAnsi="宋体" w:eastAsia="宋体" w:cs="Times New Roman"/>
          <w:sz w:val="20"/>
          <w:szCs w:val="20"/>
        </w:rPr>
        <w:t>（只考虑净新增或者净偿还，假设用现金偿还或借到现金）</w:t>
      </w:r>
      <w:r>
        <w:rPr>
          <w:rFonts w:ascii="宋体" w:hAnsi="宋体" w:eastAsia="宋体" w:cs="Times New Roman"/>
          <w:sz w:val="20"/>
          <w:szCs w:val="20"/>
        </w:rPr>
        <w:t>？</w:t>
      </w:r>
    </w:p>
    <w:p>
      <w:pPr>
        <w:spacing w:line="288" w:lineRule="auto"/>
        <w:jc w:val="left"/>
        <w:rPr>
          <w:rFonts w:ascii="宋体" w:hAnsi="宋体" w:eastAsia="宋体"/>
          <w:sz w:val="20"/>
          <w:szCs w:val="20"/>
        </w:rPr>
      </w:pPr>
      <w:r>
        <w:rPr>
          <w:rFonts w:ascii="宋体" w:hAnsi="宋体" w:eastAsia="宋体"/>
          <w:sz w:val="20"/>
          <w:szCs w:val="20"/>
        </w:rPr>
        <w:drawing>
          <wp:inline distT="0" distB="0" distL="0" distR="0">
            <wp:extent cx="5486400" cy="1649730"/>
            <wp:effectExtent l="0" t="0" r="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86400" cy="1649730"/>
                    </a:xfrm>
                    <a:prstGeom prst="rect">
                      <a:avLst/>
                    </a:prstGeom>
                    <a:noFill/>
                    <a:ln>
                      <a:noFill/>
                    </a:ln>
                  </pic:spPr>
                </pic:pic>
              </a:graphicData>
            </a:graphic>
          </wp:inline>
        </w:drawing>
      </w:r>
    </w:p>
    <w:p>
      <w:pPr>
        <w:spacing w:line="288" w:lineRule="auto"/>
        <w:ind w:left="360"/>
        <w:contextualSpacing/>
        <w:jc w:val="left"/>
        <w:rPr>
          <w:rFonts w:ascii="宋体" w:hAnsi="宋体" w:eastAsia="宋体" w:cs="Times New Roman"/>
          <w:sz w:val="20"/>
          <w:szCs w:val="20"/>
        </w:rPr>
      </w:pPr>
      <w:r>
        <w:rPr>
          <w:rFonts w:hint="eastAsia" w:ascii="宋体" w:hAnsi="宋体" w:eastAsia="宋体" w:cs="Times New Roman"/>
          <w:sz w:val="20"/>
          <w:szCs w:val="20"/>
        </w:rPr>
        <w:t>A</w:t>
      </w:r>
      <w:r>
        <w:rPr>
          <w:rFonts w:ascii="宋体" w:hAnsi="宋体" w:eastAsia="宋体" w:cs="Times New Roman"/>
          <w:sz w:val="20"/>
          <w:szCs w:val="20"/>
        </w:rPr>
        <w:t xml:space="preserve"> </w:t>
      </w:r>
      <w:r>
        <w:rPr>
          <w:rFonts w:hint="eastAsia" w:ascii="宋体" w:hAnsi="宋体" w:eastAsia="宋体" w:cs="Times New Roman"/>
          <w:sz w:val="20"/>
          <w:szCs w:val="20"/>
        </w:rPr>
        <w:t>增加融资活动现金流</w:t>
      </w:r>
    </w:p>
    <w:p>
      <w:pPr>
        <w:spacing w:line="288" w:lineRule="auto"/>
        <w:ind w:left="360"/>
        <w:contextualSpacing/>
        <w:jc w:val="left"/>
        <w:rPr>
          <w:rFonts w:ascii="宋体" w:hAnsi="宋体" w:eastAsia="宋体" w:cs="Times New Roman"/>
          <w:sz w:val="20"/>
          <w:szCs w:val="20"/>
        </w:rPr>
      </w:pPr>
      <w:r>
        <w:rPr>
          <w:rFonts w:hint="eastAsia" w:ascii="宋体" w:hAnsi="宋体" w:eastAsia="宋体" w:cs="Times New Roman"/>
          <w:sz w:val="20"/>
          <w:szCs w:val="20"/>
        </w:rPr>
        <w:t>B</w:t>
      </w:r>
      <w:r>
        <w:rPr>
          <w:rFonts w:ascii="宋体" w:hAnsi="宋体" w:eastAsia="宋体" w:cs="Times New Roman"/>
          <w:sz w:val="20"/>
          <w:szCs w:val="20"/>
        </w:rPr>
        <w:t xml:space="preserve"> </w:t>
      </w:r>
      <w:r>
        <w:rPr>
          <w:rFonts w:hint="eastAsia" w:ascii="宋体" w:hAnsi="宋体" w:eastAsia="宋体" w:cs="Times New Roman"/>
          <w:sz w:val="20"/>
          <w:szCs w:val="20"/>
        </w:rPr>
        <w:t>增加投资活动现金流</w:t>
      </w:r>
    </w:p>
    <w:p>
      <w:pPr>
        <w:spacing w:line="288" w:lineRule="auto"/>
        <w:ind w:left="360"/>
        <w:contextualSpacing/>
        <w:jc w:val="left"/>
        <w:rPr>
          <w:rFonts w:ascii="宋体" w:hAnsi="宋体" w:eastAsia="宋体" w:cs="Times New Roman"/>
          <w:sz w:val="20"/>
          <w:szCs w:val="20"/>
        </w:rPr>
      </w:pPr>
      <w:r>
        <w:rPr>
          <w:rFonts w:hint="eastAsia" w:ascii="宋体" w:hAnsi="宋体" w:eastAsia="宋体" w:cs="Times New Roman"/>
          <w:sz w:val="20"/>
          <w:szCs w:val="20"/>
        </w:rPr>
        <w:t>C</w:t>
      </w:r>
      <w:r>
        <w:rPr>
          <w:rFonts w:ascii="宋体" w:hAnsi="宋体" w:eastAsia="宋体" w:cs="Times New Roman"/>
          <w:sz w:val="20"/>
          <w:szCs w:val="20"/>
        </w:rPr>
        <w:t xml:space="preserve"> </w:t>
      </w:r>
      <w:r>
        <w:rPr>
          <w:rFonts w:hint="eastAsia" w:ascii="宋体" w:hAnsi="宋体" w:eastAsia="宋体" w:cs="Times New Roman"/>
          <w:sz w:val="20"/>
          <w:szCs w:val="20"/>
        </w:rPr>
        <w:t>减少融资活动现金流</w:t>
      </w:r>
    </w:p>
    <w:p>
      <w:pPr>
        <w:spacing w:line="288" w:lineRule="auto"/>
        <w:ind w:left="360"/>
        <w:contextualSpacing/>
        <w:jc w:val="left"/>
        <w:rPr>
          <w:rFonts w:ascii="宋体" w:hAnsi="宋体" w:eastAsia="宋体" w:cs="Times New Roman"/>
          <w:sz w:val="20"/>
          <w:szCs w:val="20"/>
        </w:rPr>
      </w:pPr>
      <w:r>
        <w:rPr>
          <w:rFonts w:hint="eastAsia" w:ascii="宋体" w:hAnsi="宋体" w:eastAsia="宋体" w:cs="Times New Roman"/>
          <w:sz w:val="20"/>
          <w:szCs w:val="20"/>
        </w:rPr>
        <w:t>D</w:t>
      </w:r>
      <w:r>
        <w:rPr>
          <w:rFonts w:ascii="宋体" w:hAnsi="宋体" w:eastAsia="宋体" w:cs="Times New Roman"/>
          <w:sz w:val="20"/>
          <w:szCs w:val="20"/>
        </w:rPr>
        <w:t xml:space="preserve"> </w:t>
      </w:r>
      <w:r>
        <w:rPr>
          <w:rFonts w:hint="eastAsia" w:ascii="宋体" w:hAnsi="宋体" w:eastAsia="宋体" w:cs="Times New Roman"/>
          <w:sz w:val="20"/>
          <w:szCs w:val="20"/>
        </w:rPr>
        <w:t>减少投资活动现金流</w:t>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（C）</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【答案解析】短期借款属于融资，借款减少了现金</w:t>
      </w:r>
    </w:p>
    <w:p>
      <w:pPr>
        <w:spacing w:line="288" w:lineRule="auto"/>
        <w:jc w:val="left"/>
        <w:rPr>
          <w:rFonts w:ascii="宋体" w:hAnsi="宋体" w:eastAsia="宋体" w:cs="Times New Roman"/>
          <w:sz w:val="20"/>
          <w:szCs w:val="20"/>
        </w:rPr>
      </w:pP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ascii="宋体" w:hAnsi="宋体" w:eastAsia="宋体" w:cs="Times New Roman"/>
          <w:sz w:val="20"/>
          <w:szCs w:val="20"/>
        </w:rPr>
        <w:t>某企业在2019年期间，赊购了一台机器设备，这使得该企业当期</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A 经营活动现金流量增加</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B 经营活动现金流量减少</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C 经营活动现金流量不变</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D 投资活动现金流量减少</w:t>
      </w:r>
    </w:p>
    <w:p>
      <w:pPr>
        <w:spacing w:line="288" w:lineRule="auto"/>
        <w:ind w:firstLine="400" w:firstLineChars="200"/>
        <w:jc w:val="left"/>
        <w:rPr>
          <w:rFonts w:ascii="宋体" w:hAnsi="宋体" w:eastAsia="宋体" w:cs="Times New Roman"/>
          <w:sz w:val="20"/>
          <w:szCs w:val="20"/>
        </w:rPr>
      </w:pPr>
      <w:r>
        <w:rPr>
          <w:rFonts w:hint="eastAsia" w:ascii="宋体" w:hAnsi="宋体" w:eastAsia="宋体" w:cs="Times New Roman"/>
          <w:sz w:val="20"/>
          <w:szCs w:val="20"/>
        </w:rPr>
        <w:t>（C）</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【答案解析】机器设备属于经营活动，应付账款增加，不涉及现金</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ascii="宋体" w:hAnsi="宋体" w:eastAsia="宋体" w:cs="Times New Roman"/>
          <w:sz w:val="20"/>
          <w:szCs w:val="20"/>
        </w:rPr>
        <w:t>企业</w:t>
      </w:r>
      <w:r>
        <w:rPr>
          <w:rFonts w:hint="eastAsia" w:ascii="宋体" w:hAnsi="宋体" w:eastAsia="宋体" w:cs="Times New Roman"/>
          <w:sz w:val="20"/>
          <w:szCs w:val="20"/>
        </w:rPr>
        <w:t>在年底最后一天</w:t>
      </w:r>
      <w:r>
        <w:rPr>
          <w:rFonts w:ascii="宋体" w:hAnsi="宋体" w:eastAsia="宋体" w:cs="Times New Roman"/>
          <w:sz w:val="20"/>
          <w:szCs w:val="20"/>
        </w:rPr>
        <w:t>花费10000元购买了一台机器设备，</w:t>
      </w:r>
      <w:r>
        <w:rPr>
          <w:rFonts w:hint="eastAsia" w:ascii="宋体" w:hAnsi="宋体" w:eastAsia="宋体" w:cs="Times New Roman"/>
          <w:sz w:val="20"/>
          <w:szCs w:val="20"/>
        </w:rPr>
        <w:t>这一购买事项对</w:t>
      </w:r>
      <w:r>
        <w:rPr>
          <w:rFonts w:ascii="宋体" w:hAnsi="宋体" w:eastAsia="宋体" w:cs="Times New Roman"/>
          <w:sz w:val="20"/>
          <w:szCs w:val="20"/>
        </w:rPr>
        <w:t>该企业当期</w:t>
      </w:r>
      <w:r>
        <w:rPr>
          <w:rFonts w:hint="eastAsia" w:ascii="宋体" w:hAnsi="宋体" w:eastAsia="宋体" w:cs="Times New Roman"/>
          <w:sz w:val="20"/>
          <w:szCs w:val="20"/>
        </w:rPr>
        <w:t>的影响是：</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A 费用增加，利润减少</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B 费用降低，利润增加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C 费用不变，利润增加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D 费用不变，利润不变</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（D）</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【答案解析】机器设备属于固定资产</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ascii="宋体" w:hAnsi="宋体" w:eastAsia="宋体" w:cs="Times New Roman"/>
          <w:sz w:val="20"/>
          <w:szCs w:val="20"/>
        </w:rPr>
        <w:t>企业购买了1000元存货，该企业当期：</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A 费用增加，利润减少</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B 费用降低，利润增加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C 费用不变，利润增加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D 费用不变，利润不变</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（D）</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【答案解析】存货是流动资产，并未消耗</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ascii="宋体" w:hAnsi="宋体" w:eastAsia="宋体" w:cs="Times New Roman"/>
          <w:sz w:val="20"/>
          <w:szCs w:val="20"/>
        </w:rPr>
        <w:t>企业将当期发生的10000元的研发支出，全部资本化，该企业当期：</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A 费用增加，利润减少</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B 费用降低，利润增加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C 费用不变，利润增加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D 费用不变，利润不变</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（D）</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【答案解析】资本化后，研发支出进“开发支出”，</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ascii="宋体" w:hAnsi="宋体" w:eastAsia="宋体" w:cs="Times New Roman"/>
          <w:sz w:val="20"/>
          <w:szCs w:val="20"/>
        </w:rPr>
        <w:t>企业</w:t>
      </w:r>
      <w:r>
        <w:rPr>
          <w:rFonts w:hint="eastAsia" w:ascii="宋体" w:hAnsi="宋体" w:eastAsia="宋体" w:cs="Times New Roman"/>
          <w:sz w:val="20"/>
          <w:szCs w:val="20"/>
        </w:rPr>
        <w:t>在本年度最后一天从</w:t>
      </w:r>
      <w:r>
        <w:rPr>
          <w:rFonts w:ascii="宋体" w:hAnsi="宋体" w:eastAsia="宋体" w:cs="Times New Roman"/>
          <w:sz w:val="20"/>
          <w:szCs w:val="20"/>
        </w:rPr>
        <w:t xml:space="preserve">银行借了10万元的短期借款，该企业当期： </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A 费用增加，利润减少</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B 费用降低，利润增加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C 费用不变，利润增加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D 费用不变，利润不变</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（D）</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【答案解析】短期借款属于流动负债，不产生费用</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ascii="宋体" w:hAnsi="宋体" w:eastAsia="宋体" w:cs="Times New Roman"/>
          <w:sz w:val="20"/>
          <w:szCs w:val="20"/>
        </w:rPr>
        <w:t>企业以8000元的价格处置了一台账面净值为</w:t>
      </w:r>
      <w:r>
        <w:rPr>
          <w:rFonts w:hint="eastAsia" w:ascii="宋体" w:hAnsi="宋体" w:eastAsia="宋体" w:cs="Times New Roman"/>
          <w:sz w:val="20"/>
          <w:szCs w:val="20"/>
        </w:rPr>
        <w:t>1万元的</w:t>
      </w:r>
      <w:r>
        <w:rPr>
          <w:rFonts w:ascii="宋体" w:hAnsi="宋体" w:eastAsia="宋体" w:cs="Times New Roman"/>
          <w:sz w:val="20"/>
          <w:szCs w:val="20"/>
        </w:rPr>
        <w:t xml:space="preserve">机器设备，该企业当期： </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A 借记资产处置损益，利润增加</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B 借记资产处置损益，利润减少</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C 贷记资产处置损益，利润增加</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D 贷记资产处置损益，利润减少</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（B）</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【答案解析】固定资产报废，损失1</w:t>
      </w:r>
      <w:r>
        <w:rPr>
          <w:rFonts w:ascii="宋体" w:hAnsi="宋体" w:eastAsia="宋体" w:cs="Times New Roman"/>
          <w:sz w:val="20"/>
          <w:szCs w:val="20"/>
        </w:rPr>
        <w:t>000</w:t>
      </w:r>
      <w:r>
        <w:rPr>
          <w:rFonts w:hint="eastAsia" w:ascii="宋体" w:hAnsi="宋体" w:eastAsia="宋体" w:cs="Times New Roman"/>
          <w:sz w:val="20"/>
          <w:szCs w:val="20"/>
        </w:rPr>
        <w:t>元，故产生资产处置损益</w:t>
      </w:r>
    </w:p>
    <w:p>
      <w:pPr>
        <w:spacing w:line="288" w:lineRule="auto"/>
        <w:jc w:val="left"/>
        <w:rPr>
          <w:rFonts w:ascii="宋体" w:hAnsi="宋体" w:eastAsia="宋体" w:cs="Times New Roman"/>
          <w:sz w:val="20"/>
          <w:szCs w:val="20"/>
        </w:rPr>
      </w:pP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heme="majorBidi"/>
          <w:sz w:val="20"/>
          <w:szCs w:val="20"/>
        </w:rPr>
      </w:pPr>
      <w:r>
        <w:rPr>
          <w:rFonts w:hint="eastAsia" w:ascii="宋体" w:hAnsi="宋体" w:eastAsia="宋体" w:cstheme="majorBidi"/>
          <w:sz w:val="20"/>
          <w:szCs w:val="20"/>
        </w:rPr>
        <w:t>下列各项中，属于“累计折旧”账户对之调整的账户是</w:t>
      </w:r>
    </w:p>
    <w:p>
      <w:pPr>
        <w:spacing w:line="288" w:lineRule="auto"/>
        <w:ind w:firstLine="432"/>
        <w:jc w:val="left"/>
        <w:rPr>
          <w:rFonts w:ascii="宋体" w:hAnsi="宋体" w:eastAsia="宋体" w:cstheme="majorBidi"/>
          <w:sz w:val="20"/>
          <w:szCs w:val="20"/>
        </w:rPr>
      </w:pPr>
      <w:r>
        <w:rPr>
          <w:rFonts w:hint="eastAsia" w:ascii="宋体" w:hAnsi="宋体" w:eastAsia="宋体" w:cstheme="majorBidi"/>
          <w:sz w:val="20"/>
          <w:szCs w:val="20"/>
        </w:rPr>
        <w:t xml:space="preserve"> A 制造费用B 管理费用C 固定资产D 实收资本 </w:t>
      </w:r>
    </w:p>
    <w:p>
      <w:pPr>
        <w:spacing w:line="288" w:lineRule="auto"/>
        <w:ind w:firstLine="432"/>
        <w:jc w:val="left"/>
        <w:rPr>
          <w:rFonts w:ascii="宋体" w:hAnsi="宋体" w:eastAsia="宋体" w:cstheme="majorBidi"/>
          <w:sz w:val="20"/>
          <w:szCs w:val="20"/>
        </w:rPr>
      </w:pPr>
      <w:r>
        <w:rPr>
          <w:rFonts w:hint="eastAsia" w:ascii="宋体" w:hAnsi="宋体" w:eastAsia="宋体" w:cstheme="majorBidi"/>
          <w:sz w:val="20"/>
          <w:szCs w:val="20"/>
        </w:rPr>
        <w:t>（C）</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【答案解析】折旧是对固定资产</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 xml:space="preserve">2002年12月31日某企业甲存货的账面价值为100 000元，预计可变现净值为90 000元。2003年12月31日该存货的账面价值为100 000元，预计可变现净值为120 000元。则2003年末应冲减甲存货跌价准备 </w:t>
      </w:r>
    </w:p>
    <w:p>
      <w:pPr>
        <w:spacing w:line="288" w:lineRule="auto"/>
        <w:ind w:firstLine="432"/>
        <w:jc w:val="left"/>
        <w:rPr>
          <w:rFonts w:ascii="宋体" w:hAnsi="宋体" w:eastAsia="宋体" w:cs="Times New Roman"/>
          <w:sz w:val="20"/>
          <w:szCs w:val="20"/>
        </w:rPr>
      </w:pPr>
      <w:r>
        <w:rPr>
          <w:rFonts w:hint="eastAsia" w:ascii="宋体" w:hAnsi="宋体" w:eastAsia="宋体" w:cs="Times New Roman"/>
          <w:sz w:val="20"/>
          <w:szCs w:val="20"/>
        </w:rPr>
        <w:t>A 10</w:t>
      </w:r>
      <w:r>
        <w:rPr>
          <w:rFonts w:ascii="宋体" w:hAnsi="宋体" w:eastAsia="宋体" w:cs="Times New Roman"/>
          <w:sz w:val="20"/>
          <w:szCs w:val="20"/>
        </w:rPr>
        <w:t xml:space="preserve"> </w:t>
      </w:r>
      <w:r>
        <w:rPr>
          <w:rFonts w:hint="eastAsia" w:ascii="宋体" w:hAnsi="宋体" w:eastAsia="宋体" w:cs="Times New Roman"/>
          <w:sz w:val="20"/>
          <w:szCs w:val="20"/>
        </w:rPr>
        <w:t xml:space="preserve">000元 </w:t>
      </w:r>
    </w:p>
    <w:p>
      <w:pPr>
        <w:spacing w:line="288" w:lineRule="auto"/>
        <w:ind w:firstLine="432"/>
        <w:jc w:val="left"/>
        <w:rPr>
          <w:rFonts w:ascii="宋体" w:hAnsi="宋体" w:eastAsia="宋体" w:cs="Times New Roman"/>
          <w:sz w:val="20"/>
          <w:szCs w:val="20"/>
        </w:rPr>
      </w:pPr>
      <w:r>
        <w:rPr>
          <w:rFonts w:hint="eastAsia" w:ascii="宋体" w:hAnsi="宋体" w:eastAsia="宋体" w:cs="Times New Roman"/>
          <w:sz w:val="20"/>
          <w:szCs w:val="20"/>
        </w:rPr>
        <w:t>B 30</w:t>
      </w:r>
      <w:r>
        <w:rPr>
          <w:rFonts w:ascii="宋体" w:hAnsi="宋体" w:eastAsia="宋体" w:cs="Times New Roman"/>
          <w:sz w:val="20"/>
          <w:szCs w:val="20"/>
        </w:rPr>
        <w:t xml:space="preserve"> </w:t>
      </w:r>
      <w:r>
        <w:rPr>
          <w:rFonts w:hint="eastAsia" w:ascii="宋体" w:hAnsi="宋体" w:eastAsia="宋体" w:cs="Times New Roman"/>
          <w:sz w:val="20"/>
          <w:szCs w:val="20"/>
        </w:rPr>
        <w:t>000元</w:t>
      </w:r>
    </w:p>
    <w:p>
      <w:pPr>
        <w:spacing w:line="288" w:lineRule="auto"/>
        <w:ind w:firstLine="432"/>
        <w:jc w:val="left"/>
        <w:rPr>
          <w:rFonts w:ascii="宋体" w:hAnsi="宋体" w:eastAsia="宋体" w:cs="Times New Roman"/>
          <w:sz w:val="20"/>
          <w:szCs w:val="20"/>
        </w:rPr>
      </w:pPr>
      <w:r>
        <w:rPr>
          <w:rFonts w:hint="eastAsia" w:ascii="宋体" w:hAnsi="宋体" w:eastAsia="宋体" w:cs="Times New Roman"/>
          <w:sz w:val="20"/>
          <w:szCs w:val="20"/>
        </w:rPr>
        <w:t>C 0元</w:t>
      </w:r>
    </w:p>
    <w:p>
      <w:pPr>
        <w:spacing w:line="288" w:lineRule="auto"/>
        <w:ind w:firstLine="432"/>
        <w:jc w:val="left"/>
        <w:rPr>
          <w:rFonts w:ascii="宋体" w:hAnsi="宋体" w:eastAsia="宋体" w:cs="Times New Roman"/>
          <w:sz w:val="20"/>
          <w:szCs w:val="20"/>
        </w:rPr>
      </w:pPr>
      <w:r>
        <w:rPr>
          <w:rFonts w:hint="eastAsia" w:ascii="宋体" w:hAnsi="宋体" w:eastAsia="宋体" w:cs="Times New Roman"/>
          <w:sz w:val="20"/>
          <w:szCs w:val="20"/>
        </w:rPr>
        <w:t xml:space="preserve">D 20 000元 </w:t>
      </w:r>
    </w:p>
    <w:p>
      <w:pPr>
        <w:spacing w:line="288" w:lineRule="auto"/>
        <w:ind w:firstLine="432"/>
        <w:jc w:val="left"/>
        <w:rPr>
          <w:rFonts w:ascii="宋体" w:hAnsi="宋体" w:eastAsia="宋体" w:cs="Times New Roman"/>
          <w:sz w:val="20"/>
          <w:szCs w:val="20"/>
        </w:rPr>
      </w:pPr>
      <w:r>
        <w:rPr>
          <w:rFonts w:hint="eastAsia" w:ascii="宋体" w:hAnsi="宋体" w:eastAsia="宋体" w:cs="Times New Roman"/>
          <w:sz w:val="20"/>
          <w:szCs w:val="20"/>
        </w:rPr>
        <w:t>（A）</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【答案解析】2</w:t>
      </w:r>
      <w:r>
        <w:rPr>
          <w:rFonts w:ascii="宋体" w:hAnsi="宋体" w:eastAsia="宋体" w:cs="Times New Roman"/>
          <w:sz w:val="20"/>
          <w:szCs w:val="20"/>
        </w:rPr>
        <w:t>0000</w:t>
      </w:r>
      <w:r>
        <w:rPr>
          <w:rFonts w:hint="eastAsia" w:ascii="宋体" w:hAnsi="宋体" w:eastAsia="宋体" w:cs="Times New Roman"/>
          <w:sz w:val="20"/>
          <w:szCs w:val="20"/>
        </w:rPr>
        <w:t>-</w:t>
      </w:r>
      <w:r>
        <w:rPr>
          <w:rFonts w:ascii="宋体" w:hAnsi="宋体" w:eastAsia="宋体" w:cs="Times New Roman"/>
          <w:sz w:val="20"/>
          <w:szCs w:val="20"/>
        </w:rPr>
        <w:t>10000</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下列项目中，属于企业经营过程中因购买材料和接受劳务供应而发生的债务是</w:t>
      </w:r>
    </w:p>
    <w:p>
      <w:pPr>
        <w:spacing w:line="288" w:lineRule="auto"/>
        <w:ind w:firstLine="432"/>
        <w:jc w:val="left"/>
        <w:rPr>
          <w:rFonts w:ascii="宋体" w:hAnsi="宋体" w:eastAsia="宋体" w:cs="Times New Roman"/>
          <w:sz w:val="20"/>
          <w:szCs w:val="20"/>
        </w:rPr>
      </w:pPr>
      <w:r>
        <w:rPr>
          <w:rFonts w:hint="eastAsia" w:ascii="宋体" w:hAnsi="宋体" w:eastAsia="宋体" w:cs="Times New Roman"/>
          <w:sz w:val="20"/>
          <w:szCs w:val="20"/>
        </w:rPr>
        <w:t>A 应付账款   B 预收账款  C 其他应付款   D 长期应付款</w:t>
      </w:r>
    </w:p>
    <w:p>
      <w:pPr>
        <w:spacing w:line="288" w:lineRule="auto"/>
        <w:ind w:firstLine="432"/>
        <w:jc w:val="left"/>
        <w:rPr>
          <w:rFonts w:ascii="宋体" w:hAnsi="宋体" w:eastAsia="宋体" w:cs="Times New Roman"/>
          <w:sz w:val="20"/>
          <w:szCs w:val="20"/>
        </w:rPr>
      </w:pPr>
      <w:r>
        <w:rPr>
          <w:rFonts w:hint="eastAsia" w:ascii="宋体" w:hAnsi="宋体" w:eastAsia="宋体" w:cs="Times New Roman"/>
          <w:sz w:val="20"/>
          <w:szCs w:val="20"/>
        </w:rPr>
        <w:t>（A）</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 xml:space="preserve">下列各项，不影响企业营业利润的是 </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A 商品销售收入</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B 劳务收入</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C 罚款收入</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D 固定资产出租收入</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（C）</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【答案解析】罚款不属于营业收入</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在长期股权投资中，投资企业直接拥有被投资单位18%的表决权资本，另外被投资单位的生产经营需要依赖投资企业的技术资料，则该项长期股权投资的会计核算应采用</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A 成本法</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B 成本与市价孰低法</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C 权益法</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D 市价法</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（C）</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【答案解析】产生控制和影响，用权益法</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 xml:space="preserve">固定资产采用加速折旧法，相比平均年限法，会使企业加速期间 </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A 利润减少</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B 利润增加</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C 利润不受影响</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D A或B</w:t>
      </w:r>
    </w:p>
    <w:p>
      <w:pPr>
        <w:spacing w:line="288" w:lineRule="auto"/>
        <w:ind w:left="360" w:firstLine="100" w:firstLineChars="50"/>
        <w:jc w:val="left"/>
        <w:rPr>
          <w:rFonts w:ascii="宋体" w:hAnsi="宋体" w:eastAsia="宋体" w:cs="Times New Roman"/>
          <w:sz w:val="20"/>
          <w:szCs w:val="20"/>
        </w:rPr>
      </w:pPr>
      <w:r>
        <w:rPr>
          <w:rFonts w:hint="eastAsia" w:ascii="宋体" w:hAnsi="宋体" w:eastAsia="宋体" w:cs="Times New Roman"/>
          <w:sz w:val="20"/>
          <w:szCs w:val="20"/>
        </w:rPr>
        <w:t>（A）</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【答案解析】前期折旧较多</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企业出售无形资产的净收入，会计上应确认为</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A 资产处置损益</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B 主营业务收入</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C 其他业务收入</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D 投资收益</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（A）</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【答案解析】无形资产属于资产，处置类似于报废固定资产</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2002年12月30日A公司“坏账准备”账户有借方余额2000元，年末应收账款余额1000万元。如果按5‰提取坏账准备，则A公司“坏账准备”账户的年末余额为</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A 贷方余额48000元</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B 贷方余额50000元</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C 借方余额48000元</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D 借方余额52000元</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（B）</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【答案解析】1</w:t>
      </w:r>
      <w:r>
        <w:rPr>
          <w:rFonts w:ascii="宋体" w:hAnsi="宋体" w:eastAsia="宋体" w:cs="Times New Roman"/>
          <w:sz w:val="20"/>
          <w:szCs w:val="20"/>
        </w:rPr>
        <w:t>000000</w:t>
      </w:r>
      <w:r>
        <w:rPr>
          <w:rFonts w:hint="eastAsia" w:ascii="宋体" w:hAnsi="宋体" w:eastAsia="宋体" w:cs="Times New Roman"/>
          <w:sz w:val="20"/>
          <w:szCs w:val="20"/>
        </w:rPr>
        <w:t>*5‰，因为是余额概念相当于重新计算不能相加</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采用成本法核算长期股权投资时，当被投资企业宣告分派现金股利、投资企业对应分得的现金股利，会计上应</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A 贷记“应收股利”</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B 贷记“投资收益”</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C 贷记“银行存款”</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D 借记“长期股权投资”</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（B）</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【答案解析】成本法时长期股权作为资产，分红应作为收益。</w:t>
      </w:r>
    </w:p>
    <w:p>
      <w:pPr>
        <w:spacing w:line="288" w:lineRule="auto"/>
        <w:ind w:left="432"/>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下图是东方金钰2018年年报的部分财报信息，</w:t>
      </w:r>
      <w:r>
        <w:rPr>
          <w:rFonts w:ascii="宋体" w:hAnsi="宋体" w:eastAsia="宋体" w:cs="Times New Roman"/>
          <w:sz w:val="20"/>
          <w:szCs w:val="20"/>
        </w:rPr>
        <w:t>东方金钰的</w:t>
      </w:r>
      <w:r>
        <w:rPr>
          <w:rFonts w:hint="eastAsia" w:ascii="宋体" w:hAnsi="宋体" w:eastAsia="宋体" w:cs="Times New Roman"/>
          <w:sz w:val="20"/>
          <w:szCs w:val="20"/>
        </w:rPr>
        <w:t>应收账款</w:t>
      </w:r>
      <w:r>
        <w:rPr>
          <w:rFonts w:ascii="宋体" w:hAnsi="宋体" w:eastAsia="宋体" w:cs="Times New Roman"/>
          <w:sz w:val="20"/>
          <w:szCs w:val="20"/>
        </w:rPr>
        <w:t>的平均</w:t>
      </w:r>
      <w:r>
        <w:rPr>
          <w:rFonts w:hint="eastAsia" w:ascii="宋体" w:hAnsi="宋体" w:eastAsia="宋体" w:cs="Times New Roman"/>
          <w:sz w:val="20"/>
          <w:szCs w:val="20"/>
        </w:rPr>
        <w:t>回款天数约为</w:t>
      </w:r>
    </w:p>
    <w:p>
      <w:pPr>
        <w:pStyle w:val="36"/>
        <w:widowControl w:val="0"/>
        <w:spacing w:after="0" w:line="288" w:lineRule="auto"/>
        <w:ind w:left="315" w:leftChars="150" w:firstLine="400"/>
        <w:rPr>
          <w:rFonts w:ascii="宋体" w:hAnsi="宋体" w:eastAsia="宋体" w:cs="Times New Roman"/>
          <w:kern w:val="2"/>
          <w:sz w:val="20"/>
          <w:szCs w:val="20"/>
        </w:rPr>
      </w:pPr>
      <w:r>
        <w:rPr>
          <w:rFonts w:ascii="宋体" w:hAnsi="宋体" w:eastAsia="宋体" w:cs="Times New Roman"/>
          <w:kern w:val="2"/>
          <w:sz w:val="20"/>
          <w:szCs w:val="20"/>
        </w:rPr>
        <w:t>A 45</w:t>
      </w:r>
    </w:p>
    <w:p>
      <w:pPr>
        <w:pStyle w:val="36"/>
        <w:widowControl w:val="0"/>
        <w:spacing w:after="0" w:line="288" w:lineRule="auto"/>
        <w:ind w:left="315" w:leftChars="150" w:firstLine="400"/>
        <w:rPr>
          <w:rFonts w:ascii="宋体" w:hAnsi="宋体" w:eastAsia="宋体" w:cs="Times New Roman"/>
          <w:kern w:val="2"/>
          <w:sz w:val="20"/>
          <w:szCs w:val="20"/>
        </w:rPr>
      </w:pPr>
      <w:r>
        <w:rPr>
          <w:rFonts w:ascii="宋体" w:hAnsi="宋体" w:eastAsia="宋体" w:cs="Times New Roman"/>
          <w:kern w:val="2"/>
          <w:sz w:val="20"/>
          <w:szCs w:val="20"/>
        </w:rPr>
        <w:t>B 50</w:t>
      </w:r>
    </w:p>
    <w:p>
      <w:pPr>
        <w:pStyle w:val="36"/>
        <w:widowControl w:val="0"/>
        <w:spacing w:after="0" w:line="288" w:lineRule="auto"/>
        <w:ind w:left="315" w:leftChars="150" w:firstLine="400"/>
        <w:rPr>
          <w:rFonts w:ascii="宋体" w:hAnsi="宋体" w:eastAsia="宋体" w:cs="Times New Roman"/>
          <w:kern w:val="2"/>
          <w:sz w:val="20"/>
          <w:szCs w:val="20"/>
        </w:rPr>
      </w:pPr>
      <w:r>
        <w:rPr>
          <w:rFonts w:ascii="宋体" w:hAnsi="宋体" w:eastAsia="宋体" w:cs="Times New Roman"/>
          <w:kern w:val="2"/>
          <w:sz w:val="20"/>
          <w:szCs w:val="20"/>
        </w:rPr>
        <w:t>C 55</w:t>
      </w:r>
    </w:p>
    <w:p>
      <w:pPr>
        <w:pStyle w:val="36"/>
        <w:widowControl w:val="0"/>
        <w:spacing w:after="0" w:line="288" w:lineRule="auto"/>
        <w:ind w:left="315" w:leftChars="150" w:firstLine="400"/>
        <w:rPr>
          <w:rFonts w:ascii="宋体" w:hAnsi="宋体" w:eastAsia="宋体" w:cs="Times New Roman"/>
          <w:sz w:val="20"/>
          <w:szCs w:val="20"/>
        </w:rPr>
      </w:pPr>
      <w:r>
        <w:rPr>
          <w:rFonts w:ascii="宋体" w:hAnsi="宋体" w:eastAsia="宋体" w:cs="Times New Roman"/>
          <w:kern w:val="2"/>
          <w:sz w:val="20"/>
          <w:szCs w:val="20"/>
        </w:rPr>
        <w:t>D 60</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3418840"/>
            <wp:effectExtent l="0" t="0" r="8890" b="10160"/>
            <wp:docPr id="1939" name="图片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图片 1939"/>
                    <pic:cNvPicPr>
                      <a:picLocks noChangeAspect="1"/>
                    </pic:cNvPicPr>
                  </pic:nvPicPr>
                  <pic:blipFill>
                    <a:blip r:embed="rId30"/>
                    <a:stretch>
                      <a:fillRect/>
                    </a:stretch>
                  </pic:blipFill>
                  <pic:spPr>
                    <a:xfrm>
                      <a:off x="0" y="0"/>
                      <a:ext cx="5274310" cy="3418840"/>
                    </a:xfrm>
                    <a:prstGeom prst="rect">
                      <a:avLst/>
                    </a:prstGeom>
                  </pic:spPr>
                </pic:pic>
              </a:graphicData>
            </a:graphic>
          </wp:inline>
        </w:drawing>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2957830"/>
            <wp:effectExtent l="0" t="0" r="8890" b="13970"/>
            <wp:docPr id="1940" name="图片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图片 1940"/>
                    <pic:cNvPicPr>
                      <a:picLocks noChangeAspect="1"/>
                    </pic:cNvPicPr>
                  </pic:nvPicPr>
                  <pic:blipFill>
                    <a:blip r:embed="rId31"/>
                    <a:stretch>
                      <a:fillRect/>
                    </a:stretch>
                  </pic:blipFill>
                  <pic:spPr>
                    <a:xfrm>
                      <a:off x="0" y="0"/>
                      <a:ext cx="5274310" cy="2957830"/>
                    </a:xfrm>
                    <a:prstGeom prst="rect">
                      <a:avLst/>
                    </a:prstGeom>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（A）</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【答案解析】应收账款账期的计算公式</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下图是沙河股份2018年年报的部分财报信息，沙河股份</w:t>
      </w:r>
      <w:r>
        <w:rPr>
          <w:rFonts w:ascii="宋体" w:hAnsi="宋体" w:eastAsia="宋体" w:cs="Times New Roman"/>
          <w:sz w:val="20"/>
          <w:szCs w:val="20"/>
        </w:rPr>
        <w:t>的</w:t>
      </w:r>
      <w:r>
        <w:rPr>
          <w:rFonts w:hint="eastAsia" w:ascii="宋体" w:hAnsi="宋体" w:eastAsia="宋体" w:cs="Times New Roman"/>
          <w:sz w:val="20"/>
          <w:szCs w:val="20"/>
        </w:rPr>
        <w:t>应收账款</w:t>
      </w:r>
      <w:r>
        <w:rPr>
          <w:rFonts w:ascii="宋体" w:hAnsi="宋体" w:eastAsia="宋体" w:cs="Times New Roman"/>
          <w:sz w:val="20"/>
          <w:szCs w:val="20"/>
        </w:rPr>
        <w:t>的平均</w:t>
      </w:r>
      <w:r>
        <w:rPr>
          <w:rFonts w:hint="eastAsia" w:ascii="宋体" w:hAnsi="宋体" w:eastAsia="宋体" w:cs="Times New Roman"/>
          <w:sz w:val="20"/>
          <w:szCs w:val="20"/>
        </w:rPr>
        <w:t>回款天数约为</w:t>
      </w:r>
    </w:p>
    <w:p>
      <w:pPr>
        <w:pStyle w:val="36"/>
        <w:widowControl w:val="0"/>
        <w:spacing w:after="0" w:line="288" w:lineRule="auto"/>
        <w:ind w:left="420" w:leftChars="200" w:firstLine="400"/>
        <w:rPr>
          <w:rFonts w:ascii="宋体" w:hAnsi="宋体" w:eastAsia="宋体" w:cs="Times New Roman"/>
          <w:kern w:val="2"/>
          <w:sz w:val="20"/>
          <w:szCs w:val="20"/>
        </w:rPr>
      </w:pPr>
      <w:r>
        <w:rPr>
          <w:rFonts w:hint="eastAsia" w:ascii="宋体" w:hAnsi="宋体" w:eastAsia="宋体" w:cs="Times New Roman"/>
          <w:kern w:val="2"/>
          <w:sz w:val="20"/>
          <w:szCs w:val="20"/>
        </w:rPr>
        <w:t>A</w:t>
      </w:r>
      <w:r>
        <w:rPr>
          <w:rFonts w:ascii="宋体" w:hAnsi="宋体" w:eastAsia="宋体" w:cs="Times New Roman"/>
          <w:kern w:val="2"/>
          <w:sz w:val="20"/>
          <w:szCs w:val="20"/>
        </w:rPr>
        <w:t xml:space="preserve"> </w:t>
      </w:r>
      <w:r>
        <w:rPr>
          <w:rFonts w:hint="eastAsia" w:ascii="宋体" w:hAnsi="宋体" w:eastAsia="宋体" w:cs="Times New Roman"/>
          <w:kern w:val="2"/>
          <w:sz w:val="20"/>
          <w:szCs w:val="20"/>
        </w:rPr>
        <w:t>0.2</w:t>
      </w:r>
    </w:p>
    <w:p>
      <w:pPr>
        <w:pStyle w:val="36"/>
        <w:widowControl w:val="0"/>
        <w:spacing w:after="0" w:line="288" w:lineRule="auto"/>
        <w:ind w:left="420" w:leftChars="200" w:firstLine="400"/>
        <w:rPr>
          <w:rFonts w:ascii="宋体" w:hAnsi="宋体" w:eastAsia="宋体" w:cs="Times New Roman"/>
          <w:kern w:val="2"/>
          <w:sz w:val="20"/>
          <w:szCs w:val="20"/>
        </w:rPr>
      </w:pPr>
      <w:r>
        <w:rPr>
          <w:rFonts w:ascii="宋体" w:hAnsi="宋体" w:eastAsia="宋体" w:cs="Times New Roman"/>
          <w:kern w:val="2"/>
          <w:sz w:val="20"/>
          <w:szCs w:val="20"/>
        </w:rPr>
        <w:t xml:space="preserve">B </w:t>
      </w:r>
      <w:r>
        <w:rPr>
          <w:rFonts w:hint="eastAsia" w:ascii="宋体" w:hAnsi="宋体" w:eastAsia="宋体" w:cs="Times New Roman"/>
          <w:kern w:val="2"/>
          <w:sz w:val="20"/>
          <w:szCs w:val="20"/>
        </w:rPr>
        <w:t>0.4</w:t>
      </w:r>
    </w:p>
    <w:p>
      <w:pPr>
        <w:pStyle w:val="36"/>
        <w:widowControl w:val="0"/>
        <w:spacing w:after="0" w:line="288" w:lineRule="auto"/>
        <w:ind w:left="420" w:leftChars="200" w:firstLine="400"/>
        <w:rPr>
          <w:rFonts w:ascii="宋体" w:hAnsi="宋体" w:eastAsia="宋体" w:cs="Times New Roman"/>
          <w:kern w:val="2"/>
          <w:sz w:val="20"/>
          <w:szCs w:val="20"/>
        </w:rPr>
      </w:pPr>
      <w:r>
        <w:rPr>
          <w:rFonts w:ascii="宋体" w:hAnsi="宋体" w:eastAsia="宋体" w:cs="Times New Roman"/>
          <w:kern w:val="2"/>
          <w:sz w:val="20"/>
          <w:szCs w:val="20"/>
        </w:rPr>
        <w:t xml:space="preserve">C </w:t>
      </w:r>
      <w:r>
        <w:rPr>
          <w:rFonts w:hint="eastAsia" w:ascii="宋体" w:hAnsi="宋体" w:eastAsia="宋体" w:cs="Times New Roman"/>
          <w:kern w:val="2"/>
          <w:sz w:val="20"/>
          <w:szCs w:val="20"/>
        </w:rPr>
        <w:t>0.6</w:t>
      </w:r>
    </w:p>
    <w:p>
      <w:pPr>
        <w:pStyle w:val="36"/>
        <w:widowControl w:val="0"/>
        <w:spacing w:after="0" w:line="288" w:lineRule="auto"/>
        <w:ind w:left="420" w:leftChars="200" w:firstLine="400"/>
        <w:rPr>
          <w:rFonts w:ascii="宋体" w:hAnsi="宋体" w:eastAsia="宋体" w:cs="Times New Roman"/>
          <w:kern w:val="2"/>
          <w:sz w:val="20"/>
          <w:szCs w:val="20"/>
        </w:rPr>
      </w:pPr>
      <w:r>
        <w:rPr>
          <w:rFonts w:ascii="宋体" w:hAnsi="宋体" w:eastAsia="宋体" w:cs="Times New Roman"/>
          <w:kern w:val="2"/>
          <w:sz w:val="20"/>
          <w:szCs w:val="20"/>
        </w:rPr>
        <w:t xml:space="preserve">D </w:t>
      </w:r>
      <w:r>
        <w:rPr>
          <w:rFonts w:hint="eastAsia" w:ascii="宋体" w:hAnsi="宋体" w:eastAsia="宋体" w:cs="Times New Roman"/>
          <w:kern w:val="2"/>
          <w:sz w:val="20"/>
          <w:szCs w:val="20"/>
        </w:rPr>
        <w:t>0.8</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4973955" cy="3522345"/>
            <wp:effectExtent l="0" t="0" r="0" b="1905"/>
            <wp:docPr id="1960" name="图片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图片 1960"/>
                    <pic:cNvPicPr>
                      <a:picLocks noChangeAspect="1"/>
                    </pic:cNvPicPr>
                  </pic:nvPicPr>
                  <pic:blipFill>
                    <a:blip r:embed="rId32"/>
                    <a:stretch>
                      <a:fillRect/>
                    </a:stretch>
                  </pic:blipFill>
                  <pic:spPr>
                    <a:xfrm>
                      <a:off x="0" y="0"/>
                      <a:ext cx="4997498" cy="3539644"/>
                    </a:xfrm>
                    <a:prstGeom prst="rect">
                      <a:avLst/>
                    </a:prstGeom>
                  </pic:spPr>
                </pic:pic>
              </a:graphicData>
            </a:graphic>
          </wp:inline>
        </w:drawing>
      </w:r>
      <w:r>
        <w:rPr>
          <w:rFonts w:ascii="宋体" w:hAnsi="宋体" w:eastAsia="宋体" w:cs="Times New Roman"/>
          <w:sz w:val="20"/>
          <w:szCs w:val="20"/>
        </w:rPr>
        <w:drawing>
          <wp:inline distT="0" distB="0" distL="0" distR="0">
            <wp:extent cx="4973955" cy="3501390"/>
            <wp:effectExtent l="0" t="0" r="0" b="3810"/>
            <wp:docPr id="1961" name="图片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图片 1961"/>
                    <pic:cNvPicPr>
                      <a:picLocks noChangeAspect="1"/>
                    </pic:cNvPicPr>
                  </pic:nvPicPr>
                  <pic:blipFill>
                    <a:blip r:embed="rId33"/>
                    <a:stretch>
                      <a:fillRect/>
                    </a:stretch>
                  </pic:blipFill>
                  <pic:spPr>
                    <a:xfrm>
                      <a:off x="0" y="0"/>
                      <a:ext cx="4986777" cy="3510286"/>
                    </a:xfrm>
                    <a:prstGeom prst="rect">
                      <a:avLst/>
                    </a:prstGeom>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（B）</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【答案解析】应收账款账期的计算公式</w:t>
      </w:r>
    </w:p>
    <w:p>
      <w:pPr>
        <w:spacing w:line="288" w:lineRule="auto"/>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下图是深物业A</w:t>
      </w:r>
      <w:r>
        <w:rPr>
          <w:rFonts w:ascii="宋体" w:hAnsi="宋体" w:eastAsia="宋体" w:cs="Times New Roman"/>
          <w:sz w:val="20"/>
          <w:szCs w:val="20"/>
        </w:rPr>
        <w:t xml:space="preserve"> </w:t>
      </w:r>
      <w:r>
        <w:rPr>
          <w:rFonts w:hint="eastAsia" w:ascii="宋体" w:hAnsi="宋体" w:eastAsia="宋体" w:cs="Times New Roman"/>
          <w:sz w:val="20"/>
          <w:szCs w:val="20"/>
        </w:rPr>
        <w:t>2018年年报的部分财报信息，深物业A</w:t>
      </w:r>
      <w:r>
        <w:rPr>
          <w:rFonts w:ascii="宋体" w:hAnsi="宋体" w:eastAsia="宋体" w:cs="Times New Roman"/>
          <w:sz w:val="20"/>
          <w:szCs w:val="20"/>
        </w:rPr>
        <w:t>的</w:t>
      </w:r>
      <w:r>
        <w:rPr>
          <w:rFonts w:hint="eastAsia" w:ascii="宋体" w:hAnsi="宋体" w:eastAsia="宋体" w:cs="Times New Roman"/>
          <w:sz w:val="20"/>
          <w:szCs w:val="20"/>
        </w:rPr>
        <w:t>应收账款</w:t>
      </w:r>
      <w:r>
        <w:rPr>
          <w:rFonts w:ascii="宋体" w:hAnsi="宋体" w:eastAsia="宋体" w:cs="Times New Roman"/>
          <w:sz w:val="20"/>
          <w:szCs w:val="20"/>
        </w:rPr>
        <w:t>的平均</w:t>
      </w:r>
      <w:r>
        <w:rPr>
          <w:rFonts w:hint="eastAsia" w:ascii="宋体" w:hAnsi="宋体" w:eastAsia="宋体" w:cs="Times New Roman"/>
          <w:sz w:val="20"/>
          <w:szCs w:val="20"/>
          <w:lang w:val="en-US" w:eastAsia="zh-CN"/>
        </w:rPr>
        <w:t>周转率</w:t>
      </w:r>
      <w:r>
        <w:rPr>
          <w:rFonts w:hint="eastAsia" w:ascii="宋体" w:hAnsi="宋体" w:eastAsia="宋体" w:cs="Times New Roman"/>
          <w:sz w:val="20"/>
          <w:szCs w:val="20"/>
        </w:rPr>
        <w:t>约为</w:t>
      </w:r>
    </w:p>
    <w:p>
      <w:pPr>
        <w:pStyle w:val="36"/>
        <w:widowControl w:val="0"/>
        <w:spacing w:after="0" w:line="288" w:lineRule="auto"/>
        <w:ind w:left="360" w:firstLine="400"/>
        <w:rPr>
          <w:rFonts w:ascii="宋体" w:hAnsi="宋体" w:eastAsia="宋体" w:cs="Times New Roman"/>
          <w:kern w:val="2"/>
          <w:sz w:val="20"/>
          <w:szCs w:val="20"/>
        </w:rPr>
      </w:pPr>
      <w:r>
        <w:rPr>
          <w:rFonts w:ascii="宋体" w:hAnsi="宋体" w:eastAsia="宋体" w:cs="Times New Roman"/>
          <w:kern w:val="2"/>
          <w:sz w:val="20"/>
          <w:szCs w:val="20"/>
        </w:rPr>
        <w:t xml:space="preserve">A </w:t>
      </w:r>
      <w:r>
        <w:rPr>
          <w:rFonts w:hint="eastAsia" w:ascii="宋体" w:hAnsi="宋体" w:eastAsia="宋体" w:cs="Times New Roman"/>
          <w:kern w:val="2"/>
          <w:sz w:val="20"/>
          <w:szCs w:val="20"/>
        </w:rPr>
        <w:t>40</w:t>
      </w:r>
    </w:p>
    <w:p>
      <w:pPr>
        <w:pStyle w:val="36"/>
        <w:widowControl w:val="0"/>
        <w:spacing w:after="0" w:line="288" w:lineRule="auto"/>
        <w:ind w:left="360" w:firstLine="400"/>
        <w:rPr>
          <w:rFonts w:ascii="宋体" w:hAnsi="宋体" w:eastAsia="宋体" w:cs="Times New Roman"/>
          <w:kern w:val="2"/>
          <w:sz w:val="20"/>
          <w:szCs w:val="20"/>
        </w:rPr>
      </w:pPr>
      <w:r>
        <w:rPr>
          <w:rFonts w:ascii="宋体" w:hAnsi="宋体" w:eastAsia="宋体" w:cs="Times New Roman"/>
          <w:kern w:val="2"/>
          <w:sz w:val="20"/>
          <w:szCs w:val="20"/>
        </w:rPr>
        <w:t xml:space="preserve">B </w:t>
      </w:r>
      <w:r>
        <w:rPr>
          <w:rFonts w:hint="eastAsia" w:ascii="宋体" w:hAnsi="宋体" w:eastAsia="宋体" w:cs="Times New Roman"/>
          <w:kern w:val="2"/>
          <w:sz w:val="20"/>
          <w:szCs w:val="20"/>
        </w:rPr>
        <w:t>50</w:t>
      </w:r>
    </w:p>
    <w:p>
      <w:pPr>
        <w:pStyle w:val="36"/>
        <w:widowControl w:val="0"/>
        <w:spacing w:after="0" w:line="288" w:lineRule="auto"/>
        <w:ind w:left="360" w:firstLine="400"/>
        <w:rPr>
          <w:rFonts w:ascii="宋体" w:hAnsi="宋体" w:eastAsia="宋体" w:cs="Times New Roman"/>
          <w:kern w:val="2"/>
          <w:sz w:val="20"/>
          <w:szCs w:val="20"/>
        </w:rPr>
      </w:pPr>
      <w:r>
        <w:rPr>
          <w:rFonts w:ascii="宋体" w:hAnsi="宋体" w:eastAsia="宋体" w:cs="Times New Roman"/>
          <w:kern w:val="2"/>
          <w:sz w:val="20"/>
          <w:szCs w:val="20"/>
        </w:rPr>
        <w:t xml:space="preserve">C </w:t>
      </w:r>
      <w:r>
        <w:rPr>
          <w:rFonts w:hint="eastAsia" w:ascii="宋体" w:hAnsi="宋体" w:eastAsia="宋体" w:cs="Times New Roman"/>
          <w:kern w:val="2"/>
          <w:sz w:val="20"/>
          <w:szCs w:val="20"/>
        </w:rPr>
        <w:t>60</w:t>
      </w:r>
    </w:p>
    <w:p>
      <w:pPr>
        <w:pStyle w:val="36"/>
        <w:widowControl w:val="0"/>
        <w:spacing w:after="0" w:line="288" w:lineRule="auto"/>
        <w:ind w:left="360" w:firstLine="400"/>
        <w:rPr>
          <w:rFonts w:ascii="宋体" w:hAnsi="宋体" w:eastAsia="宋体" w:cs="Times New Roman"/>
          <w:kern w:val="2"/>
          <w:sz w:val="20"/>
          <w:szCs w:val="20"/>
        </w:rPr>
      </w:pPr>
      <w:r>
        <w:rPr>
          <w:rFonts w:ascii="宋体" w:hAnsi="宋体" w:eastAsia="宋体" w:cs="Times New Roman"/>
          <w:kern w:val="2"/>
          <w:sz w:val="20"/>
          <w:szCs w:val="20"/>
        </w:rPr>
        <w:t xml:space="preserve">D </w:t>
      </w:r>
      <w:r>
        <w:rPr>
          <w:rFonts w:hint="eastAsia" w:ascii="宋体" w:hAnsi="宋体" w:eastAsia="宋体" w:cs="Times New Roman"/>
          <w:kern w:val="2"/>
          <w:sz w:val="20"/>
          <w:szCs w:val="20"/>
        </w:rPr>
        <w:t>70</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4747260" cy="4713605"/>
            <wp:effectExtent l="0" t="0" r="0" b="0"/>
            <wp:docPr id="1967" name="图片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图片 1967"/>
                    <pic:cNvPicPr>
                      <a:picLocks noChangeAspect="1"/>
                    </pic:cNvPicPr>
                  </pic:nvPicPr>
                  <pic:blipFill>
                    <a:blip r:embed="rId34"/>
                    <a:stretch>
                      <a:fillRect/>
                    </a:stretch>
                  </pic:blipFill>
                  <pic:spPr>
                    <a:xfrm>
                      <a:off x="0" y="0"/>
                      <a:ext cx="4751432" cy="4717682"/>
                    </a:xfrm>
                    <a:prstGeom prst="rect">
                      <a:avLst/>
                    </a:prstGeom>
                  </pic:spPr>
                </pic:pic>
              </a:graphicData>
            </a:graphic>
          </wp:inline>
        </w:drawing>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4791075" cy="3398520"/>
            <wp:effectExtent l="0" t="0" r="0" b="0"/>
            <wp:docPr id="1968" name="图片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图片 1968"/>
                    <pic:cNvPicPr>
                      <a:picLocks noChangeAspect="1"/>
                    </pic:cNvPicPr>
                  </pic:nvPicPr>
                  <pic:blipFill>
                    <a:blip r:embed="rId35"/>
                    <a:stretch>
                      <a:fillRect/>
                    </a:stretch>
                  </pic:blipFill>
                  <pic:spPr>
                    <a:xfrm>
                      <a:off x="0" y="0"/>
                      <a:ext cx="4812861" cy="3414082"/>
                    </a:xfrm>
                    <a:prstGeom prst="rect">
                      <a:avLst/>
                    </a:prstGeom>
                  </pic:spPr>
                </pic:pic>
              </a:graphicData>
            </a:graphic>
          </wp:inline>
        </w:drawing>
      </w:r>
    </w:p>
    <w:p>
      <w:pPr>
        <w:spacing w:line="288" w:lineRule="auto"/>
        <w:ind w:firstLine="420"/>
        <w:jc w:val="left"/>
        <w:rPr>
          <w:rFonts w:ascii="宋体" w:hAnsi="宋体" w:eastAsia="宋体" w:cs="Times New Roman"/>
          <w:sz w:val="20"/>
          <w:szCs w:val="20"/>
        </w:rPr>
      </w:pPr>
      <w:r>
        <w:rPr>
          <w:rFonts w:hint="eastAsia" w:ascii="宋体" w:hAnsi="宋体" w:eastAsia="宋体" w:cs="Times New Roman"/>
          <w:sz w:val="20"/>
          <w:szCs w:val="20"/>
        </w:rPr>
        <w:t>（B）</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【答案解析】应收账款账期的计算公式</w:t>
      </w:r>
    </w:p>
    <w:p>
      <w:pPr>
        <w:jc w:val="left"/>
        <w:rPr>
          <w:rFonts w:ascii="宋体" w:hAnsi="宋体" w:eastAsia="宋体" w:cs="Times New Roman"/>
          <w:sz w:val="20"/>
          <w:szCs w:val="20"/>
        </w:rPr>
      </w:pPr>
    </w:p>
    <w:p>
      <w:pPr>
        <w:numPr>
          <w:ilvl w:val="0"/>
          <w:numId w:val="31"/>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南玻</w:t>
      </w:r>
      <w:r>
        <w:rPr>
          <w:rFonts w:hint="eastAsia" w:ascii="宋体" w:hAnsi="宋体" w:eastAsia="宋体" w:cs="Times New Roman"/>
          <w:sz w:val="20"/>
          <w:szCs w:val="20"/>
        </w:rPr>
        <w:t>A</w:t>
      </w:r>
      <w:r>
        <w:rPr>
          <w:rFonts w:ascii="宋体" w:hAnsi="宋体" w:eastAsia="宋体" w:cs="Times New Roman"/>
          <w:sz w:val="20"/>
          <w:szCs w:val="20"/>
        </w:rPr>
        <w:t xml:space="preserve"> </w:t>
      </w:r>
      <w:r>
        <w:rPr>
          <w:rFonts w:hint="eastAsia" w:ascii="宋体" w:hAnsi="宋体" w:eastAsia="宋体" w:cs="Times New Roman"/>
          <w:sz w:val="20"/>
          <w:szCs w:val="20"/>
        </w:rPr>
        <w:t>2018年年报的部分财报信息，</w:t>
      </w:r>
      <w:r>
        <w:rPr>
          <w:rFonts w:ascii="宋体" w:hAnsi="宋体" w:eastAsia="宋体" w:cs="Times New Roman"/>
          <w:sz w:val="20"/>
          <w:szCs w:val="20"/>
        </w:rPr>
        <w:t>南玻A的</w:t>
      </w:r>
      <w:r>
        <w:rPr>
          <w:rFonts w:hint="eastAsia" w:ascii="宋体" w:hAnsi="宋体" w:eastAsia="宋体" w:cs="Times New Roman"/>
          <w:sz w:val="20"/>
          <w:szCs w:val="20"/>
        </w:rPr>
        <w:t>应收账款</w:t>
      </w:r>
      <w:r>
        <w:rPr>
          <w:rFonts w:ascii="宋体" w:hAnsi="宋体" w:eastAsia="宋体" w:cs="Times New Roman"/>
          <w:sz w:val="20"/>
          <w:szCs w:val="20"/>
        </w:rPr>
        <w:t>的平均</w:t>
      </w:r>
      <w:r>
        <w:rPr>
          <w:rFonts w:hint="eastAsia" w:ascii="宋体" w:hAnsi="宋体" w:eastAsia="宋体" w:cs="Times New Roman"/>
          <w:sz w:val="20"/>
          <w:szCs w:val="20"/>
          <w:lang w:val="en-US" w:eastAsia="zh-CN"/>
        </w:rPr>
        <w:t>周转率</w:t>
      </w:r>
      <w:r>
        <w:rPr>
          <w:rFonts w:hint="eastAsia" w:ascii="宋体" w:hAnsi="宋体" w:eastAsia="宋体" w:cs="Times New Roman"/>
          <w:sz w:val="20"/>
          <w:szCs w:val="20"/>
        </w:rPr>
        <w:t>约为</w:t>
      </w:r>
    </w:p>
    <w:p>
      <w:pPr>
        <w:pStyle w:val="36"/>
        <w:widowControl w:val="0"/>
        <w:spacing w:after="0" w:line="288" w:lineRule="auto"/>
        <w:ind w:left="360" w:firstLine="400"/>
        <w:rPr>
          <w:rFonts w:ascii="宋体" w:hAnsi="宋体" w:eastAsia="宋体" w:cs="Times New Roman"/>
          <w:kern w:val="2"/>
          <w:sz w:val="20"/>
          <w:szCs w:val="20"/>
        </w:rPr>
      </w:pPr>
      <w:r>
        <w:rPr>
          <w:rFonts w:ascii="宋体" w:hAnsi="宋体" w:eastAsia="宋体" w:cs="Times New Roman"/>
          <w:kern w:val="2"/>
          <w:sz w:val="20"/>
          <w:szCs w:val="20"/>
        </w:rPr>
        <w:t xml:space="preserve">A </w:t>
      </w:r>
      <w:r>
        <w:rPr>
          <w:rFonts w:hint="eastAsia" w:ascii="宋体" w:hAnsi="宋体" w:eastAsia="宋体" w:cs="Times New Roman"/>
          <w:kern w:val="2"/>
          <w:sz w:val="20"/>
          <w:szCs w:val="20"/>
        </w:rPr>
        <w:t>7</w:t>
      </w:r>
    </w:p>
    <w:p>
      <w:pPr>
        <w:pStyle w:val="36"/>
        <w:widowControl w:val="0"/>
        <w:spacing w:after="0" w:line="288" w:lineRule="auto"/>
        <w:ind w:left="360" w:firstLine="400"/>
        <w:rPr>
          <w:rFonts w:ascii="宋体" w:hAnsi="宋体" w:eastAsia="宋体" w:cs="Times New Roman"/>
          <w:kern w:val="2"/>
          <w:sz w:val="20"/>
          <w:szCs w:val="20"/>
        </w:rPr>
      </w:pPr>
      <w:r>
        <w:rPr>
          <w:rFonts w:ascii="宋体" w:hAnsi="宋体" w:eastAsia="宋体" w:cs="Times New Roman"/>
          <w:kern w:val="2"/>
          <w:sz w:val="20"/>
          <w:szCs w:val="20"/>
        </w:rPr>
        <w:t xml:space="preserve">B </w:t>
      </w:r>
      <w:r>
        <w:rPr>
          <w:rFonts w:hint="eastAsia" w:ascii="宋体" w:hAnsi="宋体" w:eastAsia="宋体" w:cs="Times New Roman"/>
          <w:kern w:val="2"/>
          <w:sz w:val="20"/>
          <w:szCs w:val="20"/>
        </w:rPr>
        <w:t>17</w:t>
      </w:r>
    </w:p>
    <w:p>
      <w:pPr>
        <w:pStyle w:val="36"/>
        <w:widowControl w:val="0"/>
        <w:spacing w:after="0" w:line="288" w:lineRule="auto"/>
        <w:ind w:left="360" w:firstLine="400"/>
        <w:rPr>
          <w:rFonts w:ascii="宋体" w:hAnsi="宋体" w:eastAsia="宋体" w:cs="Times New Roman"/>
          <w:kern w:val="2"/>
          <w:sz w:val="20"/>
          <w:szCs w:val="20"/>
        </w:rPr>
      </w:pPr>
      <w:r>
        <w:rPr>
          <w:rFonts w:ascii="宋体" w:hAnsi="宋体" w:eastAsia="宋体" w:cs="Times New Roman"/>
          <w:kern w:val="2"/>
          <w:sz w:val="20"/>
          <w:szCs w:val="20"/>
        </w:rPr>
        <w:t xml:space="preserve">C </w:t>
      </w:r>
      <w:r>
        <w:rPr>
          <w:rFonts w:hint="eastAsia" w:ascii="宋体" w:hAnsi="宋体" w:eastAsia="宋体" w:cs="Times New Roman"/>
          <w:kern w:val="2"/>
          <w:sz w:val="20"/>
          <w:szCs w:val="20"/>
        </w:rPr>
        <w:t>27</w:t>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t xml:space="preserve">D </w:t>
      </w:r>
      <w:r>
        <w:rPr>
          <w:rFonts w:hint="eastAsia" w:ascii="宋体" w:hAnsi="宋体" w:eastAsia="宋体" w:cs="Times New Roman"/>
          <w:sz w:val="20"/>
          <w:szCs w:val="20"/>
        </w:rPr>
        <w:t>37</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3062605"/>
            <wp:effectExtent l="0" t="0" r="8890" b="10795"/>
            <wp:docPr id="1974" name="图片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图片 1974"/>
                    <pic:cNvPicPr>
                      <a:picLocks noChangeAspect="1"/>
                    </pic:cNvPicPr>
                  </pic:nvPicPr>
                  <pic:blipFill>
                    <a:blip r:embed="rId36"/>
                    <a:stretch>
                      <a:fillRect/>
                    </a:stretch>
                  </pic:blipFill>
                  <pic:spPr>
                    <a:xfrm>
                      <a:off x="0" y="0"/>
                      <a:ext cx="5274310" cy="3062605"/>
                    </a:xfrm>
                    <a:prstGeom prst="rect">
                      <a:avLst/>
                    </a:prstGeom>
                  </pic:spPr>
                </pic:pic>
              </a:graphicData>
            </a:graphic>
          </wp:inline>
        </w:drawing>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3470910"/>
            <wp:effectExtent l="0" t="0" r="8890" b="8890"/>
            <wp:docPr id="1975" name="图片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图片 1975"/>
                    <pic:cNvPicPr>
                      <a:picLocks noChangeAspect="1"/>
                    </pic:cNvPicPr>
                  </pic:nvPicPr>
                  <pic:blipFill>
                    <a:blip r:embed="rId37"/>
                    <a:stretch>
                      <a:fillRect/>
                    </a:stretch>
                  </pic:blipFill>
                  <pic:spPr>
                    <a:xfrm>
                      <a:off x="0" y="0"/>
                      <a:ext cx="5274310" cy="3470910"/>
                    </a:xfrm>
                    <a:prstGeom prst="rect">
                      <a:avLst/>
                    </a:prstGeom>
                  </pic:spPr>
                </pic:pic>
              </a:graphicData>
            </a:graphic>
          </wp:inline>
        </w:drawing>
      </w:r>
    </w:p>
    <w:p>
      <w:pPr>
        <w:spacing w:line="288" w:lineRule="auto"/>
        <w:ind w:firstLine="420"/>
        <w:jc w:val="left"/>
        <w:rPr>
          <w:rFonts w:ascii="宋体" w:hAnsi="宋体" w:eastAsia="宋体" w:cs="Times New Roman"/>
          <w:sz w:val="20"/>
          <w:szCs w:val="20"/>
        </w:rPr>
      </w:pPr>
      <w:r>
        <w:rPr>
          <w:rFonts w:hint="eastAsia" w:ascii="宋体" w:hAnsi="宋体" w:eastAsia="宋体" w:cs="Times New Roman"/>
          <w:sz w:val="20"/>
          <w:szCs w:val="20"/>
        </w:rPr>
        <w:t>（B）</w:t>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【答案解析】应收账款账期的计算公式</w:t>
      </w:r>
    </w:p>
    <w:p>
      <w:pPr>
        <w:spacing w:line="288" w:lineRule="auto"/>
        <w:ind w:firstLine="420"/>
        <w:jc w:val="left"/>
        <w:rPr>
          <w:rFonts w:ascii="宋体" w:hAnsi="宋体" w:eastAsia="宋体" w:cs="Times New Roman"/>
          <w:sz w:val="20"/>
          <w:szCs w:val="20"/>
        </w:rPr>
      </w:pPr>
    </w:p>
    <w:p>
      <w:pPr>
        <w:jc w:val="left"/>
      </w:pPr>
    </w:p>
    <w:p>
      <w:pPr>
        <w:jc w:val="left"/>
      </w:pPr>
    </w:p>
    <w:p>
      <w:pPr>
        <w:jc w:val="left"/>
        <w:sectPr>
          <w:pgSz w:w="11906" w:h="16838"/>
          <w:pgMar w:top="1134" w:right="1134" w:bottom="1134" w:left="1134" w:header="851" w:footer="992" w:gutter="0"/>
          <w:cols w:space="425" w:num="1"/>
          <w:docGrid w:type="lines" w:linePitch="312" w:charSpace="0"/>
        </w:sectPr>
      </w:pPr>
    </w:p>
    <w:p>
      <w:pPr>
        <w:pStyle w:val="3"/>
        <w:numPr>
          <w:ilvl w:val="0"/>
          <w:numId w:val="30"/>
        </w:numPr>
        <w:jc w:val="left"/>
        <w:rPr>
          <w:rFonts w:asciiTheme="minorEastAsia" w:hAnsiTheme="minorEastAsia" w:eastAsiaTheme="minorEastAsia"/>
          <w:sz w:val="28"/>
          <w:szCs w:val="28"/>
        </w:rPr>
      </w:pPr>
      <w:bookmarkStart w:id="12" w:name="_Toc114675750"/>
      <w:r>
        <w:rPr>
          <w:rFonts w:hint="eastAsia" w:asciiTheme="minorEastAsia" w:hAnsiTheme="minorEastAsia" w:eastAsiaTheme="minorEastAsia"/>
          <w:sz w:val="28"/>
          <w:szCs w:val="28"/>
        </w:rPr>
        <w:t>样题三</w:t>
      </w:r>
      <w:bookmarkEnd w:id="12"/>
    </w:p>
    <w:p>
      <w:pPr>
        <w:jc w:val="left"/>
      </w:pPr>
    </w:p>
    <w:p>
      <w:pPr>
        <w:numPr>
          <w:ilvl w:val="0"/>
          <w:numId w:val="32"/>
        </w:numPr>
        <w:spacing w:line="288" w:lineRule="auto"/>
        <w:ind w:left="426" w:hanging="426"/>
        <w:jc w:val="left"/>
        <w:rPr>
          <w:rFonts w:ascii="宋体" w:hAnsi="宋体" w:eastAsia="宋体" w:cs="Times New Roman"/>
          <w:sz w:val="20"/>
          <w:szCs w:val="20"/>
        </w:rPr>
      </w:pPr>
      <w:r>
        <w:rPr>
          <w:rFonts w:hint="eastAsia" w:ascii="宋体" w:hAnsi="宋体" w:eastAsia="宋体" w:cs="Times New Roman"/>
          <w:sz w:val="20"/>
          <w:szCs w:val="20"/>
        </w:rPr>
        <w:t>中国A股上市公司需要每个季度发布一次财务报告。</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一般来说，企业的账面价值和市场价值之间有差异。</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ascii="宋体" w:hAnsi="宋体" w:eastAsia="宋体" w:cs="Times New Roman"/>
          <w:sz w:val="20"/>
          <w:szCs w:val="20"/>
        </w:rPr>
        <w:t>长期</w:t>
      </w:r>
      <w:r>
        <w:rPr>
          <w:rFonts w:hint="eastAsia" w:ascii="宋体" w:hAnsi="宋体" w:eastAsia="宋体" w:cs="Times New Roman"/>
          <w:sz w:val="20"/>
          <w:szCs w:val="20"/>
        </w:rPr>
        <w:t>应付款</w:t>
      </w:r>
      <w:r>
        <w:rPr>
          <w:rFonts w:ascii="宋体" w:hAnsi="宋体" w:eastAsia="宋体" w:cs="Times New Roman"/>
          <w:sz w:val="20"/>
          <w:szCs w:val="20"/>
        </w:rPr>
        <w:t>属于负债</w:t>
      </w:r>
      <w:r>
        <w:rPr>
          <w:rFonts w:hint="eastAsia" w:ascii="宋体" w:hAnsi="宋体" w:eastAsia="宋体" w:cs="Times New Roman"/>
          <w:sz w:val="20"/>
          <w:szCs w:val="20"/>
        </w:rPr>
        <w:t>，且</w:t>
      </w:r>
      <w:r>
        <w:rPr>
          <w:rFonts w:ascii="宋体" w:hAnsi="宋体" w:eastAsia="宋体" w:cs="Times New Roman"/>
          <w:sz w:val="20"/>
          <w:szCs w:val="20"/>
        </w:rPr>
        <w:t>属于</w:t>
      </w:r>
      <w:r>
        <w:rPr>
          <w:rFonts w:hint="eastAsia" w:ascii="宋体" w:hAnsi="宋体" w:eastAsia="宋体" w:cs="Times New Roman"/>
          <w:sz w:val="20"/>
          <w:szCs w:val="20"/>
        </w:rPr>
        <w:t>非</w:t>
      </w:r>
      <w:r>
        <w:rPr>
          <w:rFonts w:ascii="宋体" w:hAnsi="宋体" w:eastAsia="宋体" w:cs="Times New Roman"/>
          <w:sz w:val="20"/>
          <w:szCs w:val="20"/>
        </w:rPr>
        <w:t>流动</w:t>
      </w:r>
      <w:r>
        <w:rPr>
          <w:rFonts w:hint="eastAsia" w:ascii="宋体" w:hAnsi="宋体" w:eastAsia="宋体" w:cs="Times New Roman"/>
          <w:sz w:val="20"/>
          <w:szCs w:val="20"/>
        </w:rPr>
        <w:t>负债。</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ascii="宋体" w:hAnsi="宋体" w:eastAsia="宋体" w:cs="Times New Roman"/>
          <w:sz w:val="20"/>
          <w:szCs w:val="20"/>
        </w:rPr>
        <w:t>资本公积</w:t>
      </w:r>
      <w:r>
        <w:rPr>
          <w:rFonts w:hint="eastAsia" w:ascii="宋体" w:hAnsi="宋体" w:eastAsia="宋体" w:cs="Times New Roman"/>
          <w:sz w:val="20"/>
          <w:szCs w:val="20"/>
        </w:rPr>
        <w:t>包括资本溢价和其他资本公积，都属于所有者权益。</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ascii="宋体" w:hAnsi="宋体" w:eastAsia="宋体" w:cs="Times New Roman"/>
          <w:sz w:val="20"/>
          <w:szCs w:val="20"/>
        </w:rPr>
        <w:t>盈余公积</w:t>
      </w:r>
      <w:r>
        <w:rPr>
          <w:rFonts w:hint="eastAsia" w:ascii="宋体" w:hAnsi="宋体" w:eastAsia="宋体" w:cs="Times New Roman"/>
          <w:sz w:val="20"/>
          <w:szCs w:val="20"/>
        </w:rPr>
        <w:t>包括法定盈余公积、任意盈余公积、股本溢价等，都属于</w:t>
      </w:r>
      <w:r>
        <w:rPr>
          <w:rFonts w:ascii="宋体" w:hAnsi="宋体" w:eastAsia="宋体" w:cs="Times New Roman"/>
          <w:sz w:val="20"/>
          <w:szCs w:val="20"/>
        </w:rPr>
        <w:t>所有者权益</w:t>
      </w:r>
      <w:r>
        <w:rPr>
          <w:rFonts w:hint="eastAsia" w:ascii="宋体" w:hAnsi="宋体" w:eastAsia="宋体" w:cs="Times New Roman"/>
          <w:sz w:val="20"/>
          <w:szCs w:val="20"/>
        </w:rPr>
        <w:t>。</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ascii="宋体" w:hAnsi="宋体" w:eastAsia="宋体" w:cs="Times New Roman"/>
          <w:sz w:val="20"/>
          <w:szCs w:val="20"/>
        </w:rPr>
        <w:t>乙公司经营一家健身俱乐部。2018年2月1日，某客户与乙公司签订合同，成为乙公司的会员，并向乙公司支付会员费3600元（不含税价），可在未来的12个月内在该俱乐部健身，且没有次数的限制。</w:t>
      </w:r>
      <w:r>
        <w:rPr>
          <w:rFonts w:hint="eastAsia" w:ascii="宋体" w:hAnsi="宋体" w:eastAsia="宋体" w:cs="Times New Roman"/>
          <w:sz w:val="20"/>
          <w:szCs w:val="20"/>
        </w:rPr>
        <w:t>乙公司通常应</w:t>
      </w:r>
      <w:r>
        <w:rPr>
          <w:rFonts w:ascii="宋体" w:hAnsi="宋体" w:eastAsia="宋体" w:cs="Times New Roman"/>
          <w:sz w:val="20"/>
          <w:szCs w:val="20"/>
        </w:rPr>
        <w:t>按照直线法确认收入</w:t>
      </w:r>
      <w:r>
        <w:rPr>
          <w:rFonts w:hint="eastAsia" w:ascii="宋体" w:hAnsi="宋体" w:eastAsia="宋体" w:cs="Times New Roman"/>
          <w:sz w:val="20"/>
          <w:szCs w:val="20"/>
        </w:rPr>
        <w:t>。</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下图是深南电路2018年年报的部分附注信息，</w:t>
      </w:r>
      <w:r>
        <w:rPr>
          <w:rFonts w:ascii="宋体" w:hAnsi="宋体" w:eastAsia="宋体" w:cs="Times New Roman"/>
          <w:sz w:val="20"/>
          <w:szCs w:val="20"/>
        </w:rPr>
        <w:t>相比2018年初，</w:t>
      </w:r>
      <w:r>
        <w:rPr>
          <w:rFonts w:hint="eastAsia" w:ascii="宋体" w:hAnsi="宋体" w:eastAsia="宋体" w:cs="Times New Roman"/>
          <w:sz w:val="20"/>
          <w:szCs w:val="20"/>
        </w:rPr>
        <w:t>假设</w:t>
      </w:r>
      <w:r>
        <w:rPr>
          <w:rFonts w:ascii="宋体" w:hAnsi="宋体" w:eastAsia="宋体" w:cs="Times New Roman"/>
          <w:sz w:val="20"/>
          <w:szCs w:val="20"/>
        </w:rPr>
        <w:t>深南电路2018年末的应收账款</w:t>
      </w:r>
      <w:r>
        <w:rPr>
          <w:rFonts w:hint="eastAsia" w:ascii="宋体" w:hAnsi="宋体" w:eastAsia="宋体" w:cs="Times New Roman"/>
          <w:sz w:val="20"/>
          <w:szCs w:val="20"/>
        </w:rPr>
        <w:t>的</w:t>
      </w:r>
      <w:r>
        <w:rPr>
          <w:rFonts w:ascii="宋体" w:hAnsi="宋体" w:eastAsia="宋体" w:cs="Times New Roman"/>
          <w:sz w:val="20"/>
          <w:szCs w:val="20"/>
        </w:rPr>
        <w:t>变动全部来自</w:t>
      </w:r>
      <w:r>
        <w:rPr>
          <w:rFonts w:hint="eastAsia" w:ascii="宋体" w:hAnsi="宋体" w:eastAsia="宋体" w:cs="Times New Roman"/>
          <w:sz w:val="20"/>
          <w:szCs w:val="20"/>
        </w:rPr>
        <w:t>新发生的</w:t>
      </w:r>
      <w:r>
        <w:rPr>
          <w:rFonts w:ascii="宋体" w:hAnsi="宋体" w:eastAsia="宋体" w:cs="Times New Roman"/>
          <w:sz w:val="20"/>
          <w:szCs w:val="20"/>
        </w:rPr>
        <w:t>销售</w:t>
      </w:r>
      <w:r>
        <w:rPr>
          <w:rFonts w:hint="eastAsia" w:ascii="宋体" w:hAnsi="宋体" w:eastAsia="宋体" w:cs="Times New Roman"/>
          <w:sz w:val="20"/>
          <w:szCs w:val="20"/>
        </w:rPr>
        <w:t>收入</w:t>
      </w:r>
      <w:r>
        <w:rPr>
          <w:rFonts w:ascii="宋体" w:hAnsi="宋体" w:eastAsia="宋体" w:cs="Times New Roman"/>
          <w:sz w:val="20"/>
          <w:szCs w:val="20"/>
        </w:rPr>
        <w:t>，相关会计分录</w:t>
      </w:r>
      <w:r>
        <w:rPr>
          <w:rFonts w:hint="eastAsia" w:ascii="宋体" w:hAnsi="宋体" w:eastAsia="宋体" w:cs="Times New Roman"/>
          <w:sz w:val="20"/>
          <w:szCs w:val="20"/>
        </w:rPr>
        <w:t>为“借：应收账款；贷：销售收入”</w:t>
      </w:r>
      <w:r>
        <w:rPr>
          <w:rFonts w:ascii="宋体" w:hAnsi="宋体" w:eastAsia="宋体" w:cs="Times New Roman"/>
          <w:sz w:val="20"/>
          <w:szCs w:val="20"/>
        </w:rPr>
        <w:t>。</w:t>
      </w:r>
      <w:r>
        <w:rPr>
          <w:rFonts w:ascii="宋体" w:hAnsi="宋体" w:eastAsia="宋体" w:cs="Times New Roman"/>
          <w:sz w:val="20"/>
          <w:szCs w:val="20"/>
        </w:rPr>
        <w:drawing>
          <wp:inline distT="0" distB="0" distL="0" distR="0">
            <wp:extent cx="5274310" cy="1444625"/>
            <wp:effectExtent l="0" t="0" r="889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444625"/>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下图是深南电路2018年年报的部分附注信息，</w:t>
      </w:r>
      <w:r>
        <w:rPr>
          <w:rFonts w:ascii="宋体" w:hAnsi="宋体" w:eastAsia="宋体" w:cs="Times New Roman"/>
          <w:sz w:val="20"/>
          <w:szCs w:val="20"/>
        </w:rPr>
        <w:t>相比2018年初，</w:t>
      </w:r>
      <w:r>
        <w:rPr>
          <w:rFonts w:hint="eastAsia" w:ascii="宋体" w:hAnsi="宋体" w:eastAsia="宋体" w:cs="Times New Roman"/>
          <w:sz w:val="20"/>
          <w:szCs w:val="20"/>
        </w:rPr>
        <w:t>假设</w:t>
      </w:r>
      <w:r>
        <w:rPr>
          <w:rFonts w:ascii="宋体" w:hAnsi="宋体" w:eastAsia="宋体" w:cs="Times New Roman"/>
          <w:sz w:val="20"/>
          <w:szCs w:val="20"/>
        </w:rPr>
        <w:t>深南电路2018年末的存货账面余额</w:t>
      </w:r>
      <w:r>
        <w:rPr>
          <w:rFonts w:hint="eastAsia" w:ascii="宋体" w:hAnsi="宋体" w:eastAsia="宋体" w:cs="Times New Roman"/>
          <w:sz w:val="20"/>
          <w:szCs w:val="20"/>
        </w:rPr>
        <w:t>的</w:t>
      </w:r>
      <w:r>
        <w:rPr>
          <w:rFonts w:ascii="宋体" w:hAnsi="宋体" w:eastAsia="宋体" w:cs="Times New Roman"/>
          <w:sz w:val="20"/>
          <w:szCs w:val="20"/>
        </w:rPr>
        <w:t>增加全部来自当年用现金购买的存货，相关会计分录</w:t>
      </w:r>
      <w:r>
        <w:rPr>
          <w:rFonts w:hint="eastAsia" w:ascii="宋体" w:hAnsi="宋体" w:eastAsia="宋体" w:cs="Times New Roman"/>
          <w:sz w:val="20"/>
          <w:szCs w:val="20"/>
        </w:rPr>
        <w:t>为“借：存货；贷：现金”</w:t>
      </w:r>
      <w:r>
        <w:rPr>
          <w:rFonts w:ascii="宋体" w:hAnsi="宋体" w:eastAsia="宋体" w:cs="Times New Roman"/>
          <w:sz w:val="20"/>
          <w:szCs w:val="20"/>
        </w:rPr>
        <w:t>。</w:t>
      </w:r>
      <w:r>
        <w:rPr>
          <w:rFonts w:ascii="宋体" w:hAnsi="宋体" w:eastAsia="宋体" w:cs="Times New Roman"/>
          <w:sz w:val="20"/>
          <w:szCs w:val="20"/>
        </w:rPr>
        <w:drawing>
          <wp:inline distT="0" distB="0" distL="0" distR="0">
            <wp:extent cx="5274310" cy="3054985"/>
            <wp:effectExtent l="0" t="0" r="889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54985"/>
                    </a:xfrm>
                    <a:prstGeom prst="rect">
                      <a:avLst/>
                    </a:prstGeom>
                    <a:noFill/>
                    <a:ln>
                      <a:noFill/>
                    </a:ln>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（对）</w:t>
      </w:r>
    </w:p>
    <w:p>
      <w:pPr>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辅仁药业</w:t>
      </w:r>
      <w:r>
        <w:rPr>
          <w:rFonts w:hint="eastAsia" w:ascii="宋体" w:hAnsi="宋体" w:eastAsia="宋体" w:cs="Times New Roman"/>
          <w:sz w:val="20"/>
          <w:szCs w:val="20"/>
        </w:rPr>
        <w:t>2018年年报的合并利润表，</w:t>
      </w:r>
      <w:r>
        <w:rPr>
          <w:rFonts w:ascii="宋体" w:hAnsi="宋体" w:eastAsia="宋体" w:cs="Times New Roman"/>
          <w:sz w:val="20"/>
          <w:szCs w:val="20"/>
        </w:rPr>
        <w:t>辅仁药业2018年期间的三费（销售费用、管理费用、财务费用）的费用</w:t>
      </w:r>
      <w:r>
        <w:rPr>
          <w:rFonts w:hint="eastAsia" w:ascii="宋体" w:hAnsi="宋体" w:eastAsia="宋体" w:cs="Times New Roman"/>
          <w:sz w:val="20"/>
          <w:szCs w:val="20"/>
        </w:rPr>
        <w:t>占总</w:t>
      </w:r>
      <w:r>
        <w:rPr>
          <w:rFonts w:ascii="宋体" w:hAnsi="宋体" w:eastAsia="宋体" w:cs="Times New Roman"/>
          <w:sz w:val="20"/>
          <w:szCs w:val="20"/>
        </w:rPr>
        <w:t>收入</w:t>
      </w:r>
      <w:r>
        <w:rPr>
          <w:rFonts w:hint="eastAsia" w:ascii="宋体" w:hAnsi="宋体" w:eastAsia="宋体" w:cs="Times New Roman"/>
          <w:sz w:val="20"/>
          <w:szCs w:val="20"/>
        </w:rPr>
        <w:t>的比重</w:t>
      </w:r>
      <w:r>
        <w:rPr>
          <w:rFonts w:ascii="宋体" w:hAnsi="宋体" w:eastAsia="宋体" w:cs="Times New Roman"/>
          <w:sz w:val="20"/>
          <w:szCs w:val="20"/>
        </w:rPr>
        <w:t>，和2017年相比</w:t>
      </w:r>
      <w:r>
        <w:rPr>
          <w:rFonts w:hint="eastAsia" w:ascii="宋体" w:hAnsi="宋体" w:eastAsia="宋体" w:cs="Times New Roman"/>
          <w:sz w:val="20"/>
          <w:szCs w:val="20"/>
        </w:rPr>
        <w:t>有所</w:t>
      </w:r>
      <w:r>
        <w:rPr>
          <w:rFonts w:ascii="宋体" w:hAnsi="宋体" w:eastAsia="宋体" w:cs="Times New Roman"/>
          <w:sz w:val="20"/>
          <w:szCs w:val="20"/>
        </w:rPr>
        <w:t>增加</w:t>
      </w:r>
      <w:r>
        <w:rPr>
          <w:rFonts w:hint="eastAsia" w:ascii="宋体" w:hAnsi="宋体" w:eastAsia="宋体" w:cs="Times New Roman"/>
          <w:sz w:val="20"/>
          <w:szCs w:val="20"/>
        </w:rPr>
        <w:t>。</w:t>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3644265"/>
            <wp:effectExtent l="0" t="0" r="8890" b="133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3644265"/>
                    </a:xfrm>
                    <a:prstGeom prst="rect">
                      <a:avLst/>
                    </a:prstGeom>
                    <a:noFill/>
                    <a:ln>
                      <a:noFill/>
                    </a:ln>
                  </pic:spPr>
                </pic:pic>
              </a:graphicData>
            </a:graphic>
          </wp:inline>
        </w:drawing>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949960"/>
            <wp:effectExtent l="0" t="0" r="8890" b="152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949960"/>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（错</w:t>
      </w:r>
      <w:r>
        <w:rPr>
          <w:rFonts w:ascii="宋体" w:hAnsi="宋体" w:eastAsia="宋体" w:cs="Times New Roman"/>
          <w:sz w:val="20"/>
          <w:szCs w:val="20"/>
        </w:rPr>
        <w:t>）</w:t>
      </w:r>
    </w:p>
    <w:p>
      <w:pPr>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下图是深南电路2018年年报的部分附注信息，</w:t>
      </w:r>
      <w:r>
        <w:rPr>
          <w:rFonts w:ascii="宋体" w:hAnsi="宋体" w:eastAsia="宋体" w:cs="Times New Roman"/>
          <w:sz w:val="20"/>
          <w:szCs w:val="20"/>
        </w:rPr>
        <w:t>相比2018年初，深南电路2018年末的预收货款</w:t>
      </w:r>
      <w:r>
        <w:rPr>
          <w:rFonts w:hint="eastAsia" w:ascii="宋体" w:hAnsi="宋体" w:eastAsia="宋体" w:cs="Times New Roman"/>
          <w:sz w:val="20"/>
          <w:szCs w:val="20"/>
        </w:rPr>
        <w:t>有所增加，</w:t>
      </w:r>
      <w:r>
        <w:rPr>
          <w:rFonts w:ascii="宋体" w:hAnsi="宋体" w:eastAsia="宋体" w:cs="Times New Roman"/>
          <w:sz w:val="20"/>
          <w:szCs w:val="20"/>
        </w:rPr>
        <w:t>属于资产负债表的</w:t>
      </w:r>
      <w:r>
        <w:rPr>
          <w:rFonts w:hint="eastAsia" w:ascii="宋体" w:hAnsi="宋体" w:eastAsia="宋体" w:cs="Times New Roman"/>
          <w:sz w:val="20"/>
          <w:szCs w:val="20"/>
        </w:rPr>
        <w:t>负债类。</w:t>
      </w:r>
      <w:r>
        <w:rPr>
          <w:rFonts w:ascii="宋体" w:hAnsi="宋体" w:eastAsia="宋体" w:cs="Times New Roman"/>
          <w:sz w:val="20"/>
          <w:szCs w:val="20"/>
        </w:rPr>
        <w:drawing>
          <wp:inline distT="0" distB="0" distL="0" distR="0">
            <wp:extent cx="5274310" cy="1624965"/>
            <wp:effectExtent l="0" t="0" r="889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1624965"/>
                    </a:xfrm>
                    <a:prstGeom prst="rect">
                      <a:avLst/>
                    </a:prstGeom>
                    <a:noFill/>
                    <a:ln>
                      <a:noFill/>
                    </a:ln>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w:t>
      </w:r>
      <w:r>
        <w:rPr>
          <w:rFonts w:hint="eastAsia" w:ascii="宋体" w:hAnsi="宋体" w:eastAsia="宋体" w:cs="Times New Roman"/>
          <w:sz w:val="20"/>
          <w:szCs w:val="20"/>
          <w:lang w:val="en-US" w:eastAsia="zh-CN"/>
        </w:rPr>
        <w:t>对</w:t>
      </w:r>
      <w:bookmarkStart w:id="13" w:name="_GoBack"/>
      <w:bookmarkEnd w:id="13"/>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九州通</w:t>
      </w:r>
      <w:r>
        <w:rPr>
          <w:rFonts w:hint="eastAsia" w:ascii="宋体" w:hAnsi="宋体" w:eastAsia="宋体" w:cs="Times New Roman"/>
          <w:sz w:val="20"/>
          <w:szCs w:val="20"/>
        </w:rPr>
        <w:t>2018年年报的部分附注信息，</w:t>
      </w:r>
      <w:r>
        <w:rPr>
          <w:rFonts w:ascii="宋体" w:hAnsi="宋体" w:eastAsia="宋体" w:cs="Times New Roman"/>
          <w:sz w:val="20"/>
          <w:szCs w:val="20"/>
        </w:rPr>
        <w:t>2018年期间，九州通计入利润表的、确认为当期费用的库房改造</w:t>
      </w:r>
      <w:r>
        <w:rPr>
          <w:rFonts w:hint="eastAsia" w:ascii="宋体" w:hAnsi="宋体" w:eastAsia="宋体" w:cs="Times New Roman"/>
          <w:sz w:val="20"/>
          <w:szCs w:val="20"/>
        </w:rPr>
        <w:t>支出是2611610.16元人民币，</w:t>
      </w:r>
      <w:r>
        <w:rPr>
          <w:rFonts w:ascii="宋体" w:hAnsi="宋体" w:eastAsia="宋体" w:cs="Times New Roman"/>
          <w:sz w:val="20"/>
          <w:szCs w:val="20"/>
        </w:rPr>
        <w:t>这些费用</w:t>
      </w:r>
      <w:r>
        <w:rPr>
          <w:rFonts w:hint="eastAsia" w:ascii="宋体" w:hAnsi="宋体" w:eastAsia="宋体" w:cs="Times New Roman"/>
          <w:sz w:val="20"/>
          <w:szCs w:val="20"/>
        </w:rPr>
        <w:t>不</w:t>
      </w:r>
      <w:r>
        <w:rPr>
          <w:rFonts w:ascii="宋体" w:hAnsi="宋体" w:eastAsia="宋体" w:cs="Times New Roman"/>
          <w:sz w:val="20"/>
          <w:szCs w:val="20"/>
        </w:rPr>
        <w:t>影响九州通</w:t>
      </w:r>
      <w:r>
        <w:rPr>
          <w:rFonts w:hint="eastAsia" w:ascii="宋体" w:hAnsi="宋体" w:eastAsia="宋体" w:cs="Times New Roman"/>
          <w:sz w:val="20"/>
          <w:szCs w:val="20"/>
        </w:rPr>
        <w:t>在2</w:t>
      </w:r>
      <w:r>
        <w:rPr>
          <w:rFonts w:ascii="宋体" w:hAnsi="宋体" w:eastAsia="宋体" w:cs="Times New Roman"/>
          <w:sz w:val="20"/>
          <w:szCs w:val="20"/>
        </w:rPr>
        <w:t>018</w:t>
      </w:r>
      <w:r>
        <w:rPr>
          <w:rFonts w:hint="eastAsia" w:ascii="宋体" w:hAnsi="宋体" w:eastAsia="宋体" w:cs="Times New Roman"/>
          <w:sz w:val="20"/>
          <w:szCs w:val="20"/>
        </w:rPr>
        <w:t>年期间</w:t>
      </w:r>
      <w:r>
        <w:rPr>
          <w:rFonts w:ascii="宋体" w:hAnsi="宋体" w:eastAsia="宋体" w:cs="Times New Roman"/>
          <w:sz w:val="20"/>
          <w:szCs w:val="20"/>
        </w:rPr>
        <w:t>的经营现金流</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1536065"/>
            <wp:effectExtent l="0" t="0" r="8890" b="13335"/>
            <wp:docPr id="16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90"/>
                    <pic:cNvPicPr>
                      <a:picLocks noChangeAspect="1"/>
                    </pic:cNvPicPr>
                  </pic:nvPicPr>
                  <pic:blipFill>
                    <a:blip r:embed="rId41"/>
                    <a:stretch>
                      <a:fillRect/>
                    </a:stretch>
                  </pic:blipFill>
                  <pic:spPr>
                    <a:xfrm>
                      <a:off x="0" y="0"/>
                      <a:ext cx="5274310" cy="1536065"/>
                    </a:xfrm>
                    <a:prstGeom prst="rect">
                      <a:avLst/>
                    </a:prstGeom>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辅仁药业</w:t>
      </w:r>
      <w:r>
        <w:rPr>
          <w:rFonts w:hint="eastAsia" w:ascii="宋体" w:hAnsi="宋体" w:eastAsia="宋体" w:cs="Times New Roman"/>
          <w:sz w:val="20"/>
          <w:szCs w:val="20"/>
        </w:rPr>
        <w:t>2018年年报的部分附注信息，</w:t>
      </w:r>
      <w:r>
        <w:rPr>
          <w:rFonts w:ascii="宋体" w:hAnsi="宋体" w:eastAsia="宋体" w:cs="Times New Roman"/>
          <w:sz w:val="20"/>
          <w:szCs w:val="20"/>
        </w:rPr>
        <w:t>在2018年期间，辅仁药业的主营业务成本率</w:t>
      </w:r>
      <w:r>
        <w:rPr>
          <w:rFonts w:hint="eastAsia" w:ascii="宋体" w:hAnsi="宋体" w:eastAsia="宋体" w:cs="Times New Roman"/>
          <w:sz w:val="20"/>
          <w:szCs w:val="20"/>
        </w:rPr>
        <w:t>（成本占收入的比率）比</w:t>
      </w:r>
      <w:r>
        <w:rPr>
          <w:rFonts w:ascii="宋体" w:hAnsi="宋体" w:eastAsia="宋体" w:cs="Times New Roman"/>
          <w:sz w:val="20"/>
          <w:szCs w:val="20"/>
        </w:rPr>
        <w:t>其他业务成本率高</w:t>
      </w:r>
      <w:r>
        <w:rPr>
          <w:rFonts w:hint="eastAsia" w:ascii="宋体" w:hAnsi="宋体" w:eastAsia="宋体" w:cs="Times New Roman"/>
          <w:sz w:val="20"/>
          <w:szCs w:val="20"/>
        </w:rPr>
        <w:t>。</w:t>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1594485"/>
            <wp:effectExtent l="0" t="0" r="8890" b="5715"/>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Picture 200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1594485"/>
                    </a:xfrm>
                    <a:prstGeom prst="rect">
                      <a:avLst/>
                    </a:prstGeom>
                    <a:noFill/>
                    <a:ln>
                      <a:noFill/>
                    </a:ln>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大豪科技</w:t>
      </w:r>
      <w:r>
        <w:rPr>
          <w:rFonts w:hint="eastAsia" w:ascii="宋体" w:hAnsi="宋体" w:eastAsia="宋体" w:cs="Times New Roman"/>
          <w:sz w:val="20"/>
          <w:szCs w:val="20"/>
        </w:rPr>
        <w:t>2019年年报的部分附注信息，</w:t>
      </w:r>
      <w:r>
        <w:rPr>
          <w:rFonts w:ascii="宋体" w:hAnsi="宋体" w:eastAsia="宋体" w:cs="Times New Roman"/>
          <w:sz w:val="20"/>
          <w:szCs w:val="20"/>
        </w:rPr>
        <w:t>2019年期间，大豪科技对</w:t>
      </w:r>
      <w:r>
        <w:rPr>
          <w:rFonts w:hint="eastAsia" w:ascii="宋体" w:hAnsi="宋体" w:eastAsia="宋体" w:cs="Times New Roman"/>
          <w:sz w:val="20"/>
          <w:szCs w:val="20"/>
        </w:rPr>
        <w:t>存货</w:t>
      </w:r>
      <w:r>
        <w:rPr>
          <w:rFonts w:ascii="宋体" w:hAnsi="宋体" w:eastAsia="宋体" w:cs="Times New Roman"/>
          <w:sz w:val="20"/>
          <w:szCs w:val="20"/>
        </w:rPr>
        <w:t>计提的减值</w:t>
      </w:r>
      <w:r>
        <w:rPr>
          <w:rFonts w:hint="eastAsia" w:ascii="宋体" w:hAnsi="宋体" w:eastAsia="宋体" w:cs="Times New Roman"/>
          <w:sz w:val="20"/>
          <w:szCs w:val="20"/>
        </w:rPr>
        <w:t>准备不</w:t>
      </w:r>
      <w:r>
        <w:rPr>
          <w:rFonts w:ascii="宋体" w:hAnsi="宋体" w:eastAsia="宋体" w:cs="Times New Roman"/>
          <w:sz w:val="20"/>
          <w:szCs w:val="20"/>
        </w:rPr>
        <w:t>影响该公司当年的资产、负债、所有者权益</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3023235"/>
            <wp:effectExtent l="0" t="0" r="8890" b="24765"/>
            <wp:docPr id="195"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4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3023235"/>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jc w:val="left"/>
        <w:rPr>
          <w:rFonts w:ascii="宋体" w:hAnsi="宋体" w:eastAsia="宋体" w:cs="Times New Roman"/>
          <w:sz w:val="20"/>
          <w:szCs w:val="20"/>
        </w:rPr>
      </w:pPr>
    </w:p>
    <w:p>
      <w:pPr>
        <w:numPr>
          <w:ilvl w:val="0"/>
          <w:numId w:val="32"/>
        </w:num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格力电器</w:t>
      </w:r>
      <w:r>
        <w:rPr>
          <w:rFonts w:hint="eastAsia" w:ascii="宋体" w:hAnsi="宋体" w:eastAsia="宋体" w:cs="Times New Roman"/>
          <w:sz w:val="20"/>
          <w:szCs w:val="20"/>
        </w:rPr>
        <w:t>2018年年报的部分附注信息，</w:t>
      </w:r>
      <w:r>
        <w:rPr>
          <w:rFonts w:ascii="宋体" w:hAnsi="宋体" w:eastAsia="宋体" w:cs="Times New Roman"/>
          <w:sz w:val="20"/>
          <w:szCs w:val="20"/>
        </w:rPr>
        <w:t>2018年期间，格力电器对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在一定条件下都</w:t>
      </w:r>
      <w:r>
        <w:rPr>
          <w:rFonts w:ascii="宋体" w:hAnsi="宋体" w:eastAsia="宋体" w:cs="Times New Roman"/>
          <w:sz w:val="20"/>
          <w:szCs w:val="20"/>
        </w:rPr>
        <w:t>可以转回</w:t>
      </w:r>
      <w:r>
        <w:rPr>
          <w:rFonts w:hint="eastAsia" w:ascii="宋体" w:hAnsi="宋体" w:eastAsia="宋体" w:cs="Times New Roman"/>
          <w:sz w:val="20"/>
          <w:szCs w:val="20"/>
        </w:rPr>
        <w:t>。</w:t>
      </w:r>
      <w:r>
        <w:rPr>
          <w:rFonts w:ascii="宋体" w:hAnsi="宋体" w:eastAsia="宋体" w:cs="Times New Roman"/>
          <w:sz w:val="20"/>
          <w:szCs w:val="20"/>
        </w:rPr>
        <w:drawing>
          <wp:inline distT="0" distB="0" distL="0" distR="0">
            <wp:extent cx="4869180" cy="1592580"/>
            <wp:effectExtent l="0" t="0" r="7620" b="7620"/>
            <wp:docPr id="20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图片 523"/>
                    <pic:cNvPicPr>
                      <a:picLocks noChangeAspect="1"/>
                    </pic:cNvPicPr>
                  </pic:nvPicPr>
                  <pic:blipFill>
                    <a:blip r:embed="rId44"/>
                    <a:stretch>
                      <a:fillRect/>
                    </a:stretch>
                  </pic:blipFill>
                  <pic:spPr>
                    <a:xfrm>
                      <a:off x="0" y="0"/>
                      <a:ext cx="4869602" cy="1592718"/>
                    </a:xfrm>
                    <a:prstGeom prst="rect">
                      <a:avLst/>
                    </a:prstGeom>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（错）</w:t>
      </w:r>
    </w:p>
    <w:p>
      <w:pPr>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下图是亚</w:t>
      </w:r>
      <w:r>
        <w:rPr>
          <w:rFonts w:ascii="宋体" w:hAnsi="宋体" w:eastAsia="宋体" w:cs="Times New Roman"/>
          <w:sz w:val="20"/>
          <w:szCs w:val="20"/>
        </w:rPr>
        <w:t>盛集团</w:t>
      </w:r>
      <w:r>
        <w:rPr>
          <w:rFonts w:hint="eastAsia" w:ascii="宋体" w:hAnsi="宋体" w:eastAsia="宋体" w:cs="Times New Roman"/>
          <w:sz w:val="20"/>
          <w:szCs w:val="20"/>
        </w:rPr>
        <w:t>2018年年报的部分附注信息，</w:t>
      </w:r>
      <w:r>
        <w:rPr>
          <w:rFonts w:ascii="宋体" w:hAnsi="宋体" w:eastAsia="宋体" w:cs="Times New Roman"/>
          <w:sz w:val="20"/>
          <w:szCs w:val="20"/>
        </w:rPr>
        <w:t>2018年期间，亚盛集团对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之后都不能</w:t>
      </w:r>
      <w:r>
        <w:rPr>
          <w:rFonts w:ascii="宋体" w:hAnsi="宋体" w:eastAsia="宋体" w:cs="Times New Roman"/>
          <w:sz w:val="20"/>
          <w:szCs w:val="20"/>
        </w:rPr>
        <w:t>转回</w:t>
      </w:r>
      <w:r>
        <w:rPr>
          <w:rFonts w:hint="eastAsia" w:ascii="宋体" w:hAnsi="宋体" w:eastAsia="宋体" w:cs="Times New Roman"/>
          <w:sz w:val="20"/>
          <w:szCs w:val="20"/>
        </w:rPr>
        <w:t>。</w:t>
      </w:r>
      <w:r>
        <w:rPr>
          <w:rFonts w:ascii="宋体" w:hAnsi="宋体" w:eastAsia="宋体" w:cs="Times New Roman"/>
          <w:sz w:val="20"/>
          <w:szCs w:val="20"/>
        </w:rPr>
        <w:drawing>
          <wp:inline distT="0" distB="0" distL="0" distR="0">
            <wp:extent cx="5274310" cy="1690370"/>
            <wp:effectExtent l="0" t="0" r="8890" b="11430"/>
            <wp:docPr id="2037"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图片 872"/>
                    <pic:cNvPicPr>
                      <a:picLocks noChangeAspect="1"/>
                    </pic:cNvPicPr>
                  </pic:nvPicPr>
                  <pic:blipFill>
                    <a:blip r:embed="rId45"/>
                    <a:stretch>
                      <a:fillRect/>
                    </a:stretch>
                  </pic:blipFill>
                  <pic:spPr>
                    <a:xfrm>
                      <a:off x="0" y="0"/>
                      <a:ext cx="5274310" cy="1690370"/>
                    </a:xfrm>
                    <a:prstGeom prst="rect">
                      <a:avLst/>
                    </a:prstGeom>
                  </pic:spPr>
                </pic:pic>
              </a:graphicData>
            </a:graphic>
          </wp:inline>
        </w:drawing>
      </w:r>
    </w:p>
    <w:p>
      <w:pPr>
        <w:spacing w:line="288" w:lineRule="auto"/>
        <w:ind w:left="720"/>
        <w:jc w:val="left"/>
        <w:rPr>
          <w:rFonts w:ascii="宋体" w:hAnsi="宋体" w:eastAsia="宋体" w:cs="Times New Roman"/>
          <w:sz w:val="20"/>
          <w:szCs w:val="20"/>
        </w:rPr>
      </w:pPr>
      <w:r>
        <w:rPr>
          <w:rFonts w:hint="eastAsia" w:ascii="宋体" w:hAnsi="宋体" w:eastAsia="宋体" w:cs="Times New Roman"/>
          <w:sz w:val="20"/>
          <w:szCs w:val="20"/>
        </w:rPr>
        <w:t>（错）</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上海家化</w:t>
      </w:r>
      <w:r>
        <w:rPr>
          <w:rFonts w:hint="eastAsia" w:ascii="宋体" w:hAnsi="宋体" w:eastAsia="宋体" w:cs="Times New Roman"/>
          <w:sz w:val="20"/>
          <w:szCs w:val="20"/>
        </w:rPr>
        <w:t>2019年年报的部分附注信息，</w:t>
      </w:r>
      <w:r>
        <w:rPr>
          <w:rFonts w:ascii="宋体" w:hAnsi="宋体" w:eastAsia="宋体" w:cs="Times New Roman"/>
          <w:sz w:val="20"/>
          <w:szCs w:val="20"/>
        </w:rPr>
        <w:t>2019年期间，上海家化对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之后在一定条件下可以</w:t>
      </w:r>
      <w:r>
        <w:rPr>
          <w:rFonts w:ascii="宋体" w:hAnsi="宋体" w:eastAsia="宋体" w:cs="Times New Roman"/>
          <w:sz w:val="20"/>
          <w:szCs w:val="20"/>
        </w:rPr>
        <w:t>转回</w:t>
      </w:r>
      <w:r>
        <w:rPr>
          <w:rFonts w:hint="eastAsia" w:ascii="宋体" w:hAnsi="宋体" w:eastAsia="宋体" w:cs="Times New Roman"/>
          <w:sz w:val="20"/>
          <w:szCs w:val="20"/>
        </w:rPr>
        <w:t>。</w:t>
      </w:r>
      <w:r>
        <w:rPr>
          <w:rFonts w:ascii="宋体" w:hAnsi="宋体" w:eastAsia="宋体" w:cs="Times New Roman"/>
          <w:sz w:val="20"/>
          <w:szCs w:val="20"/>
        </w:rPr>
        <w:drawing>
          <wp:inline distT="0" distB="0" distL="0" distR="0">
            <wp:extent cx="5092700" cy="3448050"/>
            <wp:effectExtent l="0" t="0" r="12700" b="635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Picture 20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092700" cy="3448050"/>
                    </a:xfrm>
                    <a:prstGeom prst="rect">
                      <a:avLst/>
                    </a:prstGeom>
                    <a:noFill/>
                    <a:ln>
                      <a:noFill/>
                    </a:ln>
                  </pic:spPr>
                </pic:pic>
              </a:graphicData>
            </a:graphic>
          </wp:inline>
        </w:drawing>
      </w:r>
    </w:p>
    <w:p>
      <w:pPr>
        <w:spacing w:line="288" w:lineRule="auto"/>
        <w:ind w:left="720"/>
        <w:jc w:val="left"/>
        <w:rPr>
          <w:rFonts w:ascii="宋体" w:hAnsi="宋体" w:eastAsia="宋体" w:cs="Times New Roman"/>
          <w:sz w:val="20"/>
          <w:szCs w:val="20"/>
        </w:rPr>
      </w:pPr>
      <w:r>
        <w:rPr>
          <w:rFonts w:hint="eastAsia" w:ascii="宋体" w:hAnsi="宋体" w:eastAsia="宋体" w:cs="Times New Roman"/>
          <w:sz w:val="20"/>
          <w:szCs w:val="20"/>
        </w:rPr>
        <w:t>（对）</w:t>
      </w:r>
    </w:p>
    <w:p>
      <w:pPr>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方大特钢</w:t>
      </w:r>
      <w:r>
        <w:rPr>
          <w:rFonts w:hint="eastAsia" w:ascii="宋体" w:hAnsi="宋体" w:eastAsia="宋体" w:cs="Times New Roman"/>
          <w:sz w:val="20"/>
          <w:szCs w:val="20"/>
        </w:rPr>
        <w:t>2019年年报的部分附注信息，</w:t>
      </w:r>
      <w:r>
        <w:rPr>
          <w:rFonts w:ascii="宋体" w:hAnsi="宋体" w:eastAsia="宋体" w:cs="Times New Roman"/>
          <w:sz w:val="20"/>
          <w:szCs w:val="20"/>
        </w:rPr>
        <w:t>2019年期间，方大特钢对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之后在一定条件下可以</w:t>
      </w:r>
      <w:r>
        <w:rPr>
          <w:rFonts w:ascii="宋体" w:hAnsi="宋体" w:eastAsia="宋体" w:cs="Times New Roman"/>
          <w:sz w:val="20"/>
          <w:szCs w:val="20"/>
        </w:rPr>
        <w:t>转回</w:t>
      </w:r>
      <w:r>
        <w:rPr>
          <w:rFonts w:hint="eastAsia" w:ascii="宋体" w:hAnsi="宋体" w:eastAsia="宋体" w:cs="Times New Roman"/>
          <w:sz w:val="20"/>
          <w:szCs w:val="20"/>
        </w:rPr>
        <w:t>。</w:t>
      </w:r>
      <w:r>
        <w:rPr>
          <w:rFonts w:ascii="宋体" w:hAnsi="宋体" w:eastAsia="宋体" w:cs="Times New Roman"/>
          <w:sz w:val="20"/>
          <w:szCs w:val="20"/>
        </w:rPr>
        <w:drawing>
          <wp:inline distT="0" distB="0" distL="0" distR="0">
            <wp:extent cx="4832350" cy="1689100"/>
            <wp:effectExtent l="0" t="0" r="19050" b="12700"/>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Picture 20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32350" cy="1689100"/>
                    </a:xfrm>
                    <a:prstGeom prst="rect">
                      <a:avLst/>
                    </a:prstGeom>
                    <a:noFill/>
                    <a:ln>
                      <a:noFill/>
                    </a:ln>
                  </pic:spPr>
                </pic:pic>
              </a:graphicData>
            </a:graphic>
          </wp:inline>
        </w:drawing>
      </w:r>
    </w:p>
    <w:p>
      <w:pPr>
        <w:spacing w:line="288" w:lineRule="auto"/>
        <w:ind w:left="72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大豪科技</w:t>
      </w:r>
      <w:r>
        <w:rPr>
          <w:rFonts w:hint="eastAsia" w:ascii="宋体" w:hAnsi="宋体" w:eastAsia="宋体" w:cs="Times New Roman"/>
          <w:sz w:val="20"/>
          <w:szCs w:val="20"/>
        </w:rPr>
        <w:t>2019年年报的部分附注信息，</w:t>
      </w:r>
      <w:r>
        <w:rPr>
          <w:rFonts w:ascii="宋体" w:hAnsi="宋体" w:eastAsia="宋体" w:cs="Times New Roman"/>
          <w:sz w:val="20"/>
          <w:szCs w:val="20"/>
        </w:rPr>
        <w:t>2019年期间，大豪科技对</w:t>
      </w:r>
      <w:r>
        <w:rPr>
          <w:rFonts w:hint="eastAsia" w:ascii="宋体" w:hAnsi="宋体" w:eastAsia="宋体" w:cs="Times New Roman"/>
          <w:sz w:val="20"/>
          <w:szCs w:val="20"/>
        </w:rPr>
        <w:t>一些类别的</w:t>
      </w:r>
      <w:r>
        <w:rPr>
          <w:rFonts w:ascii="宋体" w:hAnsi="宋体" w:eastAsia="宋体" w:cs="Times New Roman"/>
          <w:sz w:val="20"/>
          <w:szCs w:val="20"/>
        </w:rPr>
        <w:t>资产计提了减值准备</w:t>
      </w:r>
      <w:r>
        <w:rPr>
          <w:rFonts w:hint="eastAsia" w:ascii="宋体" w:hAnsi="宋体" w:eastAsia="宋体" w:cs="Times New Roman"/>
          <w:sz w:val="20"/>
          <w:szCs w:val="20"/>
        </w:rPr>
        <w:t>，这</w:t>
      </w:r>
      <w:r>
        <w:rPr>
          <w:rFonts w:ascii="宋体" w:hAnsi="宋体" w:eastAsia="宋体" w:cs="Times New Roman"/>
          <w:sz w:val="20"/>
          <w:szCs w:val="20"/>
        </w:rPr>
        <w:t>些减值准备</w:t>
      </w:r>
      <w:r>
        <w:rPr>
          <w:rFonts w:hint="eastAsia" w:ascii="宋体" w:hAnsi="宋体" w:eastAsia="宋体" w:cs="Times New Roman"/>
          <w:sz w:val="20"/>
          <w:szCs w:val="20"/>
        </w:rPr>
        <w:t>之后在一定条件下可以</w:t>
      </w:r>
      <w:r>
        <w:rPr>
          <w:rFonts w:ascii="宋体" w:hAnsi="宋体" w:eastAsia="宋体" w:cs="Times New Roman"/>
          <w:sz w:val="20"/>
          <w:szCs w:val="20"/>
        </w:rPr>
        <w:t>转回</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3023235"/>
            <wp:effectExtent l="0" t="0" r="8890" b="24765"/>
            <wp:docPr id="194"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4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3023235"/>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（对）</w:t>
      </w:r>
    </w:p>
    <w:p>
      <w:pPr>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海容冷链</w:t>
      </w:r>
      <w:r>
        <w:rPr>
          <w:rFonts w:hint="eastAsia" w:ascii="宋体" w:hAnsi="宋体" w:eastAsia="宋体" w:cs="Times New Roman"/>
          <w:sz w:val="20"/>
          <w:szCs w:val="20"/>
        </w:rPr>
        <w:t>2019年年报的部分附注信息，</w:t>
      </w:r>
      <w:r>
        <w:rPr>
          <w:rFonts w:ascii="宋体" w:hAnsi="宋体" w:eastAsia="宋体" w:cs="Times New Roman"/>
          <w:sz w:val="20"/>
          <w:szCs w:val="20"/>
        </w:rPr>
        <w:t>2019年期间，</w:t>
      </w:r>
      <w:r>
        <w:rPr>
          <w:rFonts w:hint="eastAsia" w:ascii="宋体" w:hAnsi="宋体" w:eastAsia="宋体" w:cs="Times New Roman"/>
          <w:sz w:val="20"/>
          <w:szCs w:val="20"/>
        </w:rPr>
        <w:t>在各类信用减值和资产减值损失中，</w:t>
      </w:r>
      <w:r>
        <w:rPr>
          <w:rFonts w:ascii="宋体" w:hAnsi="宋体" w:eastAsia="宋体" w:cs="Times New Roman"/>
          <w:sz w:val="20"/>
          <w:szCs w:val="20"/>
        </w:rPr>
        <w:t>海容冷链对</w:t>
      </w:r>
      <w:r>
        <w:rPr>
          <w:rFonts w:hint="eastAsia" w:ascii="宋体" w:hAnsi="宋体" w:eastAsia="宋体" w:cs="Times New Roman"/>
          <w:sz w:val="20"/>
          <w:szCs w:val="20"/>
        </w:rPr>
        <w:t>应收账款</w:t>
      </w:r>
      <w:r>
        <w:rPr>
          <w:rFonts w:ascii="宋体" w:hAnsi="宋体" w:eastAsia="宋体" w:cs="Times New Roman"/>
          <w:sz w:val="20"/>
          <w:szCs w:val="20"/>
        </w:rPr>
        <w:t>计提的减值准备最大</w:t>
      </w:r>
      <w:r>
        <w:rPr>
          <w:rFonts w:hint="eastAsia" w:ascii="宋体" w:hAnsi="宋体" w:eastAsia="宋体" w:cs="Times New Roman"/>
          <w:sz w:val="20"/>
          <w:szCs w:val="20"/>
        </w:rPr>
        <w:t>，计提应收账款减值准备会减少公司的</w:t>
      </w:r>
      <w:r>
        <w:rPr>
          <w:rFonts w:ascii="宋体" w:hAnsi="宋体" w:eastAsia="宋体" w:cs="Times New Roman"/>
          <w:sz w:val="20"/>
          <w:szCs w:val="20"/>
        </w:rPr>
        <w:t>资产、负债</w:t>
      </w:r>
      <w:r>
        <w:rPr>
          <w:rFonts w:hint="eastAsia" w:ascii="宋体" w:hAnsi="宋体" w:eastAsia="宋体" w:cs="Times New Roman"/>
          <w:sz w:val="20"/>
          <w:szCs w:val="20"/>
        </w:rPr>
        <w:t>和</w:t>
      </w:r>
      <w:r>
        <w:rPr>
          <w:rFonts w:ascii="宋体" w:hAnsi="宋体" w:eastAsia="宋体" w:cs="Times New Roman"/>
          <w:sz w:val="20"/>
          <w:szCs w:val="20"/>
        </w:rPr>
        <w:t>所有者权益</w:t>
      </w:r>
      <w:r>
        <w:rPr>
          <w:rFonts w:hint="eastAsia" w:ascii="宋体" w:hAnsi="宋体" w:eastAsia="宋体" w:cs="Times New Roman"/>
          <w:sz w:val="20"/>
          <w:szCs w:val="20"/>
        </w:rPr>
        <w:t>。</w:t>
      </w:r>
      <w:r>
        <w:rPr>
          <w:rFonts w:ascii="宋体" w:hAnsi="宋体" w:eastAsia="宋体" w:cs="Times New Roman"/>
          <w:sz w:val="20"/>
          <w:szCs w:val="20"/>
        </w:rPr>
        <w:drawing>
          <wp:inline distT="0" distB="0" distL="0" distR="0">
            <wp:extent cx="5274310" cy="2938145"/>
            <wp:effectExtent l="0" t="0" r="8890" b="8255"/>
            <wp:docPr id="197"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4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938145"/>
                    </a:xfrm>
                    <a:prstGeom prst="rect">
                      <a:avLst/>
                    </a:prstGeom>
                    <a:noFill/>
                    <a:ln>
                      <a:noFill/>
                    </a:ln>
                  </pic:spPr>
                </pic:pic>
              </a:graphicData>
            </a:graphic>
          </wp:inline>
        </w:drawing>
      </w:r>
    </w:p>
    <w:p>
      <w:pPr>
        <w:spacing w:line="288" w:lineRule="auto"/>
        <w:ind w:left="720"/>
        <w:jc w:val="left"/>
        <w:rPr>
          <w:rFonts w:ascii="宋体" w:hAnsi="宋体" w:eastAsia="宋体" w:cs="Times New Roman"/>
          <w:sz w:val="20"/>
          <w:szCs w:val="20"/>
        </w:rPr>
      </w:pPr>
      <w:r>
        <w:rPr>
          <w:rFonts w:hint="eastAsia" w:ascii="宋体" w:hAnsi="宋体" w:eastAsia="宋体" w:cs="Times New Roman"/>
          <w:sz w:val="20"/>
          <w:szCs w:val="20"/>
        </w:rPr>
        <w:t>（错）</w:t>
      </w:r>
    </w:p>
    <w:p>
      <w:pPr>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w:t>
      </w:r>
      <w:r>
        <w:rPr>
          <w:rFonts w:ascii="宋体" w:hAnsi="宋体" w:eastAsia="宋体" w:cs="Times New Roman"/>
          <w:sz w:val="20"/>
          <w:szCs w:val="20"/>
        </w:rPr>
        <w:t>方大特钢</w:t>
      </w:r>
      <w:r>
        <w:rPr>
          <w:rFonts w:hint="eastAsia" w:ascii="宋体" w:hAnsi="宋体" w:eastAsia="宋体" w:cs="Times New Roman"/>
          <w:sz w:val="20"/>
          <w:szCs w:val="20"/>
        </w:rPr>
        <w:t>2019年年报的部分附注信息，</w:t>
      </w:r>
      <w:r>
        <w:rPr>
          <w:rFonts w:ascii="宋体" w:hAnsi="宋体" w:eastAsia="宋体" w:cs="Times New Roman"/>
          <w:sz w:val="20"/>
          <w:szCs w:val="20"/>
        </w:rPr>
        <w:t>2019年期间，方大特钢实际核销了</w:t>
      </w:r>
      <w:r>
        <w:rPr>
          <w:rFonts w:hint="eastAsia" w:ascii="宋体" w:hAnsi="宋体" w:eastAsia="宋体" w:cs="Times New Roman"/>
          <w:sz w:val="20"/>
          <w:szCs w:val="20"/>
        </w:rPr>
        <w:t>7847759.44元</w:t>
      </w:r>
      <w:r>
        <w:rPr>
          <w:rFonts w:ascii="宋体" w:hAnsi="宋体" w:eastAsia="宋体" w:cs="Times New Roman"/>
          <w:sz w:val="20"/>
          <w:szCs w:val="20"/>
        </w:rPr>
        <w:t>坏账准备，</w:t>
      </w:r>
      <w:r>
        <w:rPr>
          <w:rFonts w:hint="eastAsia" w:ascii="宋体" w:hAnsi="宋体" w:eastAsia="宋体" w:cs="Times New Roman"/>
          <w:sz w:val="20"/>
          <w:szCs w:val="20"/>
        </w:rPr>
        <w:t>这不影响该</w:t>
      </w:r>
      <w:r>
        <w:rPr>
          <w:rFonts w:ascii="宋体" w:hAnsi="宋体" w:eastAsia="宋体" w:cs="Times New Roman"/>
          <w:sz w:val="20"/>
          <w:szCs w:val="20"/>
        </w:rPr>
        <w:t>公司的资产、负债和股东权益</w:t>
      </w:r>
      <w:r>
        <w:rPr>
          <w:rFonts w:hint="eastAsia" w:ascii="宋体" w:hAnsi="宋体" w:eastAsia="宋体" w:cs="Times New Roman"/>
          <w:sz w:val="20"/>
          <w:szCs w:val="20"/>
        </w:rPr>
        <w:t>。</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74310" cy="3396615"/>
            <wp:effectExtent l="0" t="0" r="8890" b="698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3396615"/>
                    </a:xfrm>
                    <a:prstGeom prst="rect">
                      <a:avLst/>
                    </a:prstGeom>
                    <a:noFill/>
                    <a:ln>
                      <a:noFill/>
                    </a:ln>
                  </pic:spPr>
                </pic:pic>
              </a:graphicData>
            </a:graphic>
          </wp:inline>
        </w:drawing>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（对）</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企业对</w:t>
      </w:r>
      <w:r>
        <w:rPr>
          <w:rFonts w:hint="eastAsia" w:ascii="宋体" w:hAnsi="宋体" w:eastAsia="宋体" w:cs="Times New Roman"/>
          <w:sz w:val="20"/>
          <w:szCs w:val="20"/>
        </w:rPr>
        <w:t>某</w:t>
      </w:r>
      <w:r>
        <w:rPr>
          <w:rFonts w:ascii="宋体" w:hAnsi="宋体" w:eastAsia="宋体" w:cs="Times New Roman"/>
          <w:sz w:val="20"/>
          <w:szCs w:val="20"/>
        </w:rPr>
        <w:t>台机器设备在当期计提了1000元折旧，该企业当期：</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A 费用增加，利润减少</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B 费用降低，利润增加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C 费用不变，利润增加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D 费用不变，利润不变</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（A）</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下列各项资产减值准备中在一定条件下能转回的是</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A 存货跌价准备</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B 固定资产减值准备</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C 长期股权投资减值准备</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D 商誉减值准备</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（A）</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企业将当期发生的10000元的研发支出，全部费用化，该企业当期：</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A 费用增加，利润减少</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B 费用降低，利润增加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C 费用不变，利润增加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D 费用不变，利润不变</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（A）</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企业当期获得了一笔政府补助，该企业当期：</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A 收入增加，费用不变，利润增加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B 收入增加，费用降低，利润增加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C 收入不变，费用减少，利润增加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D 收入不变，费用不变，利润增加</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（A）</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heme="majorBidi"/>
          <w:sz w:val="20"/>
          <w:szCs w:val="20"/>
        </w:rPr>
      </w:pPr>
      <w:r>
        <w:rPr>
          <w:rFonts w:hint="eastAsia" w:ascii="宋体" w:hAnsi="宋体" w:eastAsia="宋体" w:cstheme="majorBidi"/>
          <w:sz w:val="20"/>
          <w:szCs w:val="20"/>
        </w:rPr>
        <w:t>某企业A材料的期初结存数量为1000件，单价为10元；本月3日购进1000件，单价为11元；6日发出1500件；10日购进2000件，单价10.50元，27日发出2100件，如果该企业采用先进先出法对存货进行核算，则本月结存A材料的成本为</w:t>
      </w:r>
    </w:p>
    <w:p>
      <w:pPr>
        <w:spacing w:line="288" w:lineRule="auto"/>
        <w:ind w:firstLine="432"/>
        <w:jc w:val="left"/>
        <w:rPr>
          <w:rFonts w:ascii="宋体" w:hAnsi="宋体" w:eastAsia="宋体" w:cstheme="majorBidi"/>
          <w:sz w:val="20"/>
          <w:szCs w:val="20"/>
        </w:rPr>
      </w:pPr>
      <w:r>
        <w:rPr>
          <w:rFonts w:hint="eastAsia" w:ascii="宋体" w:hAnsi="宋体" w:eastAsia="宋体" w:cstheme="majorBidi"/>
          <w:sz w:val="20"/>
          <w:szCs w:val="20"/>
        </w:rPr>
        <w:t>A 4000元 B 4200元 C 4300元 D 4400元</w:t>
      </w:r>
    </w:p>
    <w:p>
      <w:pPr>
        <w:spacing w:line="288" w:lineRule="auto"/>
        <w:ind w:firstLine="432"/>
        <w:jc w:val="left"/>
        <w:rPr>
          <w:rFonts w:ascii="宋体" w:hAnsi="宋体" w:eastAsia="宋体" w:cstheme="majorBidi"/>
          <w:sz w:val="20"/>
          <w:szCs w:val="20"/>
        </w:rPr>
      </w:pPr>
      <w:r>
        <w:rPr>
          <w:rFonts w:hint="eastAsia" w:ascii="宋体" w:hAnsi="宋体" w:eastAsia="宋体" w:cstheme="majorBidi"/>
          <w:sz w:val="20"/>
          <w:szCs w:val="20"/>
        </w:rPr>
        <w:t>（B）</w:t>
      </w:r>
    </w:p>
    <w:p>
      <w:pPr>
        <w:spacing w:line="288" w:lineRule="auto"/>
        <w:jc w:val="left"/>
        <w:rPr>
          <w:rFonts w:ascii="宋体" w:hAnsi="宋体" w:eastAsia="宋体" w:cstheme="majorBidi"/>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对固定资产多提折旧，将使企业的资产负债表中的</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A 资产净值减少</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B 资产净值增加</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C 负债增加</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D 负债减少</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（A）</w:t>
      </w:r>
    </w:p>
    <w:p>
      <w:pPr>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下图是沙河股份2018年年报的部分财报信息，</w:t>
      </w:r>
      <w:r>
        <w:rPr>
          <w:rFonts w:ascii="宋体" w:hAnsi="宋体" w:eastAsia="宋体" w:cs="Times New Roman"/>
          <w:sz w:val="20"/>
          <w:szCs w:val="20"/>
        </w:rPr>
        <w:t>沙河股份</w:t>
      </w:r>
      <w:r>
        <w:rPr>
          <w:rFonts w:hint="eastAsia" w:ascii="宋体" w:hAnsi="宋体" w:eastAsia="宋体" w:cs="Times New Roman"/>
          <w:sz w:val="20"/>
          <w:szCs w:val="20"/>
        </w:rPr>
        <w:t>2018年</w:t>
      </w:r>
      <w:r>
        <w:rPr>
          <w:rFonts w:ascii="宋体" w:hAnsi="宋体" w:eastAsia="宋体" w:cs="Times New Roman"/>
          <w:sz w:val="20"/>
          <w:szCs w:val="20"/>
        </w:rPr>
        <w:t>存货</w:t>
      </w:r>
      <w:r>
        <w:rPr>
          <w:rFonts w:hint="eastAsia" w:ascii="宋体" w:hAnsi="宋体" w:eastAsia="宋体" w:cs="Times New Roman"/>
          <w:sz w:val="20"/>
          <w:szCs w:val="20"/>
        </w:rPr>
        <w:t>的</w:t>
      </w:r>
      <w:r>
        <w:rPr>
          <w:rFonts w:ascii="宋体" w:hAnsi="宋体" w:eastAsia="宋体" w:cs="Times New Roman"/>
          <w:sz w:val="20"/>
          <w:szCs w:val="20"/>
        </w:rPr>
        <w:t>平均</w:t>
      </w:r>
      <w:r>
        <w:rPr>
          <w:rFonts w:hint="eastAsia" w:ascii="宋体" w:hAnsi="宋体" w:eastAsia="宋体" w:cs="Times New Roman"/>
          <w:sz w:val="20"/>
          <w:szCs w:val="20"/>
        </w:rPr>
        <w:t>周转天数约为</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A 1600</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B 1900</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C 2100</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D 2400</w:t>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4937760" cy="3496945"/>
            <wp:effectExtent l="0" t="0" r="0" b="8255"/>
            <wp:docPr id="1962" name="图片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图片 1962"/>
                    <pic:cNvPicPr>
                      <a:picLocks noChangeAspect="1"/>
                    </pic:cNvPicPr>
                  </pic:nvPicPr>
                  <pic:blipFill>
                    <a:blip r:embed="rId32"/>
                    <a:stretch>
                      <a:fillRect/>
                    </a:stretch>
                  </pic:blipFill>
                  <pic:spPr>
                    <a:xfrm>
                      <a:off x="0" y="0"/>
                      <a:ext cx="4952763" cy="3507958"/>
                    </a:xfrm>
                    <a:prstGeom prst="rect">
                      <a:avLst/>
                    </a:prstGeom>
                  </pic:spPr>
                </pic:pic>
              </a:graphicData>
            </a:graphic>
          </wp:inline>
        </w:drawing>
      </w:r>
    </w:p>
    <w:p>
      <w:pPr>
        <w:spacing w:line="288" w:lineRule="auto"/>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4863465" cy="3423285"/>
            <wp:effectExtent l="0" t="0" r="0" b="5715"/>
            <wp:docPr id="1963" name="图片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图片 1963"/>
                    <pic:cNvPicPr>
                      <a:picLocks noChangeAspect="1"/>
                    </pic:cNvPicPr>
                  </pic:nvPicPr>
                  <pic:blipFill>
                    <a:blip r:embed="rId33"/>
                    <a:stretch>
                      <a:fillRect/>
                    </a:stretch>
                  </pic:blipFill>
                  <pic:spPr>
                    <a:xfrm>
                      <a:off x="0" y="0"/>
                      <a:ext cx="4883037" cy="3437261"/>
                    </a:xfrm>
                    <a:prstGeom prst="rect">
                      <a:avLst/>
                    </a:prstGeom>
                  </pic:spPr>
                </pic:pic>
              </a:graphicData>
            </a:graphic>
          </wp:inline>
        </w:drawing>
      </w:r>
    </w:p>
    <w:p>
      <w:pPr>
        <w:spacing w:line="288" w:lineRule="auto"/>
        <w:jc w:val="left"/>
        <w:rPr>
          <w:rFonts w:ascii="宋体" w:hAnsi="宋体" w:eastAsia="宋体" w:cs="Times New Roman"/>
          <w:sz w:val="20"/>
          <w:szCs w:val="20"/>
        </w:rPr>
      </w:pPr>
      <w:r>
        <w:rPr>
          <w:rFonts w:hint="eastAsia" w:ascii="宋体" w:hAnsi="宋体" w:eastAsia="宋体" w:cs="Times New Roman"/>
          <w:sz w:val="20"/>
          <w:szCs w:val="20"/>
        </w:rPr>
        <w:t>（B）</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某企业在2019年期间，对无形资产进行了1万元的摊销，这使得该企业当期</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A 经营活动现金流量增加</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B 经营活动现金流量减少</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C 经营活动现金流量不变</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D 投资活动现金流量减少</w:t>
      </w:r>
    </w:p>
    <w:p>
      <w:pPr>
        <w:spacing w:line="288" w:lineRule="auto"/>
        <w:ind w:left="360"/>
        <w:jc w:val="left"/>
        <w:rPr>
          <w:rFonts w:ascii="宋体" w:hAnsi="宋体" w:eastAsia="宋体" w:cs="Times New Roman"/>
          <w:sz w:val="20"/>
          <w:szCs w:val="20"/>
        </w:rPr>
      </w:pPr>
      <w:r>
        <w:rPr>
          <w:rFonts w:hint="eastAsia" w:ascii="宋体" w:hAnsi="宋体" w:eastAsia="宋体" w:cs="Times New Roman"/>
          <w:sz w:val="20"/>
          <w:szCs w:val="20"/>
        </w:rPr>
        <w:t>（C）</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下图是贵州茅台2018年年报的部分信息，对贵州茅台</w:t>
      </w:r>
      <w:r>
        <w:rPr>
          <w:rFonts w:ascii="宋体" w:hAnsi="宋体" w:eastAsia="宋体" w:cs="Times New Roman"/>
          <w:sz w:val="20"/>
          <w:szCs w:val="20"/>
        </w:rPr>
        <w:t>2018年的合并报表财务数据做杜邦分析</w:t>
      </w:r>
      <w:r>
        <w:rPr>
          <w:rFonts w:hint="eastAsia" w:ascii="宋体" w:hAnsi="宋体" w:eastAsia="宋体" w:cs="Times New Roman"/>
          <w:sz w:val="20"/>
          <w:szCs w:val="20"/>
        </w:rPr>
        <w:t>，贵州茅台2018年的利润率、资产周转率和杠杆比率分别为</w:t>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34940" cy="220980"/>
            <wp:effectExtent l="0" t="0" r="22860" b="7620"/>
            <wp:docPr id="1989" name="图片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图片 1989"/>
                    <pic:cNvPicPr>
                      <a:picLocks noChangeAspect="1"/>
                    </pic:cNvPicPr>
                  </pic:nvPicPr>
                  <pic:blipFill>
                    <a:blip r:embed="rId49"/>
                    <a:stretch>
                      <a:fillRect/>
                    </a:stretch>
                  </pic:blipFill>
                  <pic:spPr>
                    <a:xfrm>
                      <a:off x="0" y="0"/>
                      <a:ext cx="5235394" cy="220999"/>
                    </a:xfrm>
                    <a:prstGeom prst="rect">
                      <a:avLst/>
                    </a:prstGeom>
                  </pic:spPr>
                </pic:pic>
              </a:graphicData>
            </a:graphic>
          </wp:inline>
        </w:drawing>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250180" cy="228600"/>
            <wp:effectExtent l="0" t="0" r="7620" b="0"/>
            <wp:docPr id="1990" name="图片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 name="图片 1990"/>
                    <pic:cNvPicPr>
                      <a:picLocks noChangeAspect="1"/>
                    </pic:cNvPicPr>
                  </pic:nvPicPr>
                  <pic:blipFill>
                    <a:blip r:embed="rId50"/>
                    <a:stretch>
                      <a:fillRect/>
                    </a:stretch>
                  </pic:blipFill>
                  <pic:spPr>
                    <a:xfrm>
                      <a:off x="0" y="0"/>
                      <a:ext cx="5250635" cy="228620"/>
                    </a:xfrm>
                    <a:prstGeom prst="rect">
                      <a:avLst/>
                    </a:prstGeom>
                  </pic:spPr>
                </pic:pic>
              </a:graphicData>
            </a:graphic>
          </wp:inline>
        </w:drawing>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173980" cy="236220"/>
            <wp:effectExtent l="0" t="0" r="7620" b="17780"/>
            <wp:docPr id="1991" name="图片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图片 1991"/>
                    <pic:cNvPicPr>
                      <a:picLocks noChangeAspect="1"/>
                    </pic:cNvPicPr>
                  </pic:nvPicPr>
                  <pic:blipFill>
                    <a:blip r:embed="rId51"/>
                    <a:stretch>
                      <a:fillRect/>
                    </a:stretch>
                  </pic:blipFill>
                  <pic:spPr>
                    <a:xfrm>
                      <a:off x="0" y="0"/>
                      <a:ext cx="5174428" cy="236240"/>
                    </a:xfrm>
                    <a:prstGeom prst="rect">
                      <a:avLst/>
                    </a:prstGeom>
                  </pic:spPr>
                </pic:pic>
              </a:graphicData>
            </a:graphic>
          </wp:inline>
        </w:drawing>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5158740" cy="236220"/>
            <wp:effectExtent l="0" t="0" r="22860" b="17780"/>
            <wp:docPr id="1992" name="图片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图片 1992"/>
                    <pic:cNvPicPr>
                      <a:picLocks noChangeAspect="1"/>
                    </pic:cNvPicPr>
                  </pic:nvPicPr>
                  <pic:blipFill>
                    <a:blip r:embed="rId52"/>
                    <a:stretch>
                      <a:fillRect/>
                    </a:stretch>
                  </pic:blipFill>
                  <pic:spPr>
                    <a:xfrm>
                      <a:off x="0" y="0"/>
                      <a:ext cx="5159187" cy="236240"/>
                    </a:xfrm>
                    <a:prstGeom prst="rect">
                      <a:avLst/>
                    </a:prstGeom>
                  </pic:spPr>
                </pic:pic>
              </a:graphicData>
            </a:graphic>
          </wp:inline>
        </w:drawing>
      </w:r>
    </w:p>
    <w:p>
      <w:pPr>
        <w:spacing w:line="288" w:lineRule="auto"/>
        <w:jc w:val="left"/>
        <w:rPr>
          <w:rFonts w:ascii="宋体" w:hAnsi="宋体" w:eastAsia="宋体" w:cs="Times New Roman"/>
          <w:sz w:val="20"/>
          <w:szCs w:val="20"/>
        </w:rPr>
      </w:pPr>
      <w:r>
        <w:rPr>
          <w:rFonts w:ascii="宋体" w:hAnsi="宋体" w:eastAsia="宋体" w:cs="Times New Roman"/>
          <w:sz w:val="20"/>
          <w:szCs w:val="20"/>
        </w:rPr>
        <w:tab/>
      </w:r>
      <w:r>
        <w:rPr>
          <w:rFonts w:ascii="宋体" w:hAnsi="宋体" w:eastAsia="宋体" w:cs="Times New Roman"/>
          <w:sz w:val="20"/>
          <w:szCs w:val="20"/>
        </w:rPr>
        <w:t>A</w:t>
      </w:r>
      <w:r>
        <w:rPr>
          <w:rFonts w:hint="eastAsia" w:ascii="宋体" w:hAnsi="宋体" w:eastAsia="宋体" w:cs="Times New Roman"/>
          <w:sz w:val="20"/>
          <w:szCs w:val="20"/>
        </w:rPr>
        <w:t xml:space="preserve"> 41.6%</w:t>
      </w:r>
      <w:r>
        <w:rPr>
          <w:rFonts w:ascii="宋体" w:hAnsi="宋体" w:eastAsia="宋体" w:cs="Times New Roman"/>
          <w:sz w:val="20"/>
          <w:szCs w:val="20"/>
        </w:rPr>
        <w:t xml:space="preserve"> </w:t>
      </w:r>
      <w:r>
        <w:rPr>
          <w:rFonts w:hint="eastAsia" w:ascii="宋体" w:hAnsi="宋体" w:eastAsia="宋体" w:cs="Times New Roman"/>
          <w:sz w:val="20"/>
          <w:szCs w:val="20"/>
        </w:rPr>
        <w:t>46.1</w:t>
      </w:r>
      <w:r>
        <w:rPr>
          <w:rFonts w:ascii="宋体" w:hAnsi="宋体" w:eastAsia="宋体" w:cs="Times New Roman"/>
          <w:sz w:val="20"/>
          <w:szCs w:val="20"/>
        </w:rPr>
        <w:t xml:space="preserve"> </w:t>
      </w:r>
      <w:r>
        <w:rPr>
          <w:rFonts w:hint="eastAsia" w:ascii="宋体" w:hAnsi="宋体" w:eastAsia="宋体" w:cs="Times New Roman"/>
          <w:sz w:val="20"/>
          <w:szCs w:val="20"/>
        </w:rPr>
        <w:t>1.4</w:t>
      </w:r>
    </w:p>
    <w:p>
      <w:pPr>
        <w:spacing w:line="288" w:lineRule="auto"/>
        <w:jc w:val="left"/>
        <w:rPr>
          <w:rFonts w:ascii="宋体" w:hAnsi="宋体" w:eastAsia="宋体" w:cs="Times New Roman"/>
          <w:sz w:val="20"/>
          <w:szCs w:val="20"/>
        </w:rPr>
      </w:pPr>
      <w:r>
        <w:rPr>
          <w:rFonts w:ascii="宋体" w:hAnsi="宋体" w:eastAsia="宋体" w:cs="Times New Roman"/>
          <w:sz w:val="20"/>
          <w:szCs w:val="20"/>
        </w:rPr>
        <w:tab/>
      </w:r>
      <w:r>
        <w:rPr>
          <w:rFonts w:hint="eastAsia" w:ascii="宋体" w:hAnsi="宋体" w:eastAsia="宋体" w:cs="Times New Roman"/>
          <w:sz w:val="20"/>
          <w:szCs w:val="20"/>
        </w:rPr>
        <w:t>B 41.6%</w:t>
      </w:r>
      <w:r>
        <w:rPr>
          <w:rFonts w:ascii="宋体" w:hAnsi="宋体" w:eastAsia="宋体" w:cs="Times New Roman"/>
          <w:sz w:val="20"/>
          <w:szCs w:val="20"/>
        </w:rPr>
        <w:t xml:space="preserve"> </w:t>
      </w:r>
      <w:r>
        <w:rPr>
          <w:rFonts w:hint="eastAsia" w:ascii="宋体" w:hAnsi="宋体" w:eastAsia="宋体" w:cs="Times New Roman"/>
          <w:sz w:val="20"/>
          <w:szCs w:val="20"/>
        </w:rPr>
        <w:t>23.5</w:t>
      </w:r>
      <w:r>
        <w:rPr>
          <w:rFonts w:ascii="宋体" w:hAnsi="宋体" w:eastAsia="宋体" w:cs="Times New Roman"/>
          <w:sz w:val="20"/>
          <w:szCs w:val="20"/>
        </w:rPr>
        <w:t xml:space="preserve"> </w:t>
      </w:r>
      <w:r>
        <w:rPr>
          <w:rFonts w:hint="eastAsia" w:ascii="宋体" w:hAnsi="宋体" w:eastAsia="宋体" w:cs="Times New Roman"/>
          <w:sz w:val="20"/>
          <w:szCs w:val="20"/>
        </w:rPr>
        <w:t>2.4</w:t>
      </w:r>
    </w:p>
    <w:p>
      <w:pPr>
        <w:spacing w:line="288" w:lineRule="auto"/>
        <w:ind w:firstLine="432"/>
        <w:jc w:val="left"/>
        <w:rPr>
          <w:rFonts w:ascii="宋体" w:hAnsi="宋体" w:eastAsia="宋体" w:cs="Times New Roman"/>
          <w:sz w:val="20"/>
          <w:szCs w:val="20"/>
        </w:rPr>
      </w:pPr>
      <w:r>
        <w:rPr>
          <w:rFonts w:hint="eastAsia" w:ascii="宋体" w:hAnsi="宋体" w:eastAsia="宋体" w:cs="Times New Roman"/>
          <w:sz w:val="20"/>
          <w:szCs w:val="20"/>
        </w:rPr>
        <w:t>C 51.4%</w:t>
      </w:r>
      <w:r>
        <w:rPr>
          <w:rFonts w:ascii="宋体" w:hAnsi="宋体" w:eastAsia="宋体" w:cs="Times New Roman"/>
          <w:sz w:val="20"/>
          <w:szCs w:val="20"/>
        </w:rPr>
        <w:t xml:space="preserve"> </w:t>
      </w:r>
      <w:r>
        <w:rPr>
          <w:rFonts w:hint="eastAsia" w:ascii="宋体" w:hAnsi="宋体" w:eastAsia="宋体" w:cs="Times New Roman"/>
          <w:sz w:val="20"/>
          <w:szCs w:val="20"/>
        </w:rPr>
        <w:t>23.5</w:t>
      </w:r>
      <w:r>
        <w:rPr>
          <w:rFonts w:ascii="宋体" w:hAnsi="宋体" w:eastAsia="宋体" w:cs="Times New Roman"/>
          <w:sz w:val="20"/>
          <w:szCs w:val="20"/>
        </w:rPr>
        <w:t xml:space="preserve"> </w:t>
      </w:r>
      <w:r>
        <w:rPr>
          <w:rFonts w:hint="eastAsia" w:ascii="宋体" w:hAnsi="宋体" w:eastAsia="宋体" w:cs="Times New Roman"/>
          <w:sz w:val="20"/>
          <w:szCs w:val="20"/>
        </w:rPr>
        <w:t>2.4</w:t>
      </w:r>
    </w:p>
    <w:p>
      <w:pPr>
        <w:spacing w:line="288" w:lineRule="auto"/>
        <w:ind w:firstLine="432"/>
        <w:jc w:val="left"/>
        <w:rPr>
          <w:rFonts w:ascii="宋体" w:hAnsi="宋体" w:eastAsia="宋体" w:cs="Times New Roman"/>
          <w:sz w:val="20"/>
          <w:szCs w:val="20"/>
        </w:rPr>
      </w:pPr>
      <w:r>
        <w:rPr>
          <w:rFonts w:hint="eastAsia" w:ascii="宋体" w:hAnsi="宋体" w:eastAsia="宋体" w:cs="Times New Roman"/>
          <w:sz w:val="20"/>
          <w:szCs w:val="20"/>
        </w:rPr>
        <w:t>D 51.4%</w:t>
      </w:r>
      <w:r>
        <w:rPr>
          <w:rFonts w:ascii="宋体" w:hAnsi="宋体" w:eastAsia="宋体" w:cs="Times New Roman"/>
          <w:sz w:val="20"/>
          <w:szCs w:val="20"/>
        </w:rPr>
        <w:t xml:space="preserve"> </w:t>
      </w:r>
      <w:r>
        <w:rPr>
          <w:rFonts w:hint="eastAsia" w:ascii="宋体" w:hAnsi="宋体" w:eastAsia="宋体" w:cs="Times New Roman"/>
          <w:sz w:val="20"/>
          <w:szCs w:val="20"/>
        </w:rPr>
        <w:t>46.1</w:t>
      </w:r>
      <w:r>
        <w:rPr>
          <w:rFonts w:ascii="宋体" w:hAnsi="宋体" w:eastAsia="宋体" w:cs="Times New Roman"/>
          <w:sz w:val="20"/>
          <w:szCs w:val="20"/>
        </w:rPr>
        <w:t xml:space="preserve"> </w:t>
      </w:r>
      <w:r>
        <w:rPr>
          <w:rFonts w:hint="eastAsia" w:ascii="宋体" w:hAnsi="宋体" w:eastAsia="宋体" w:cs="Times New Roman"/>
          <w:sz w:val="20"/>
          <w:szCs w:val="20"/>
        </w:rPr>
        <w:t>1.4</w:t>
      </w:r>
    </w:p>
    <w:p>
      <w:pPr>
        <w:spacing w:line="288" w:lineRule="auto"/>
        <w:ind w:firstLine="432"/>
        <w:jc w:val="left"/>
        <w:rPr>
          <w:rFonts w:ascii="宋体" w:hAnsi="宋体" w:eastAsia="宋体" w:cs="Times New Roman"/>
          <w:sz w:val="20"/>
          <w:szCs w:val="20"/>
        </w:rPr>
      </w:pPr>
      <w:r>
        <w:rPr>
          <w:rFonts w:hint="eastAsia" w:ascii="宋体" w:hAnsi="宋体" w:eastAsia="宋体" w:cs="Times New Roman"/>
          <w:sz w:val="20"/>
          <w:szCs w:val="20"/>
        </w:rPr>
        <w:t>（D）</w:t>
      </w:r>
    </w:p>
    <w:p>
      <w:pPr>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下图是东旭光电2018年年报的部分信息，对东旭光电</w:t>
      </w:r>
      <w:r>
        <w:rPr>
          <w:rFonts w:ascii="宋体" w:hAnsi="宋体" w:eastAsia="宋体" w:cs="Times New Roman"/>
          <w:sz w:val="20"/>
          <w:szCs w:val="20"/>
        </w:rPr>
        <w:t>2018年的合并报表财务数据做杜邦分析</w:t>
      </w:r>
      <w:r>
        <w:rPr>
          <w:rFonts w:hint="eastAsia" w:ascii="宋体" w:hAnsi="宋体" w:eastAsia="宋体" w:cs="Times New Roman"/>
          <w:sz w:val="20"/>
          <w:szCs w:val="20"/>
        </w:rPr>
        <w:t>，东旭光电2018年的利润率、资产周转率和杠杆比率分别为</w:t>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3867150" cy="234950"/>
            <wp:effectExtent l="0" t="0" r="19050" b="19050"/>
            <wp:docPr id="1998"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 name="Picture 3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867150" cy="234950"/>
                    </a:xfrm>
                    <a:prstGeom prst="rect">
                      <a:avLst/>
                    </a:prstGeom>
                    <a:noFill/>
                    <a:ln>
                      <a:noFill/>
                    </a:ln>
                  </pic:spPr>
                </pic:pic>
              </a:graphicData>
            </a:graphic>
          </wp:inline>
        </w:drawing>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3854450" cy="285750"/>
            <wp:effectExtent l="0" t="0" r="6350" b="19050"/>
            <wp:docPr id="1999"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 name="Picture 3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854450" cy="285750"/>
                    </a:xfrm>
                    <a:prstGeom prst="rect">
                      <a:avLst/>
                    </a:prstGeom>
                    <a:noFill/>
                    <a:ln>
                      <a:noFill/>
                    </a:ln>
                  </pic:spPr>
                </pic:pic>
              </a:graphicData>
            </a:graphic>
          </wp:inline>
        </w:drawing>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3695700" cy="533400"/>
            <wp:effectExtent l="0" t="0" r="12700" b="0"/>
            <wp:docPr id="2000"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Picture 3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695700" cy="533400"/>
                    </a:xfrm>
                    <a:prstGeom prst="rect">
                      <a:avLst/>
                    </a:prstGeom>
                    <a:noFill/>
                    <a:ln>
                      <a:noFill/>
                    </a:ln>
                  </pic:spPr>
                </pic:pic>
              </a:graphicData>
            </a:graphic>
          </wp:inline>
        </w:drawing>
      </w:r>
    </w:p>
    <w:p>
      <w:pPr>
        <w:spacing w:line="288" w:lineRule="auto"/>
        <w:ind w:left="360"/>
        <w:jc w:val="left"/>
        <w:rPr>
          <w:rFonts w:ascii="宋体" w:hAnsi="宋体" w:eastAsia="宋体" w:cs="Times New Roman"/>
          <w:sz w:val="20"/>
          <w:szCs w:val="20"/>
        </w:rPr>
      </w:pPr>
      <w:r>
        <w:rPr>
          <w:rFonts w:ascii="宋体" w:hAnsi="宋体" w:eastAsia="宋体" w:cs="Times New Roman"/>
          <w:sz w:val="20"/>
          <w:szCs w:val="20"/>
        </w:rPr>
        <w:drawing>
          <wp:inline distT="0" distB="0" distL="0" distR="0">
            <wp:extent cx="3676650" cy="1638300"/>
            <wp:effectExtent l="0" t="0" r="6350" b="12700"/>
            <wp:docPr id="2001"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Picture 3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676650" cy="1638300"/>
                    </a:xfrm>
                    <a:prstGeom prst="rect">
                      <a:avLst/>
                    </a:prstGeom>
                    <a:noFill/>
                    <a:ln>
                      <a:noFill/>
                    </a:ln>
                  </pic:spPr>
                </pic:pic>
              </a:graphicData>
            </a:graphic>
          </wp:inline>
        </w:drawing>
      </w:r>
    </w:p>
    <w:p>
      <w:pPr>
        <w:spacing w:line="288" w:lineRule="auto"/>
        <w:ind w:firstLine="360"/>
        <w:jc w:val="left"/>
        <w:rPr>
          <w:rFonts w:ascii="宋体" w:hAnsi="宋体" w:eastAsia="宋体" w:cs="Times New Roman"/>
          <w:sz w:val="20"/>
          <w:szCs w:val="20"/>
        </w:rPr>
      </w:pPr>
      <w:r>
        <w:rPr>
          <w:rFonts w:ascii="宋体" w:hAnsi="宋体" w:eastAsia="宋体" w:cs="Times New Roman"/>
          <w:sz w:val="20"/>
          <w:szCs w:val="20"/>
        </w:rPr>
        <w:t>A</w:t>
      </w:r>
      <w:r>
        <w:rPr>
          <w:rFonts w:hint="eastAsia" w:ascii="宋体" w:hAnsi="宋体" w:eastAsia="宋体" w:cs="Times New Roman"/>
          <w:sz w:val="20"/>
          <w:szCs w:val="20"/>
        </w:rPr>
        <w:t xml:space="preserve"> 6%</w:t>
      </w:r>
      <w:r>
        <w:rPr>
          <w:rFonts w:ascii="宋体" w:hAnsi="宋体" w:eastAsia="宋体" w:cs="Times New Roman"/>
          <w:sz w:val="20"/>
          <w:szCs w:val="20"/>
        </w:rPr>
        <w:t xml:space="preserve"> </w:t>
      </w:r>
      <w:r>
        <w:rPr>
          <w:rFonts w:hint="eastAsia" w:ascii="宋体" w:hAnsi="宋体" w:eastAsia="宋体" w:cs="Times New Roman"/>
          <w:sz w:val="20"/>
          <w:szCs w:val="20"/>
        </w:rPr>
        <w:t>0.9</w:t>
      </w:r>
      <w:r>
        <w:rPr>
          <w:rFonts w:ascii="宋体" w:hAnsi="宋体" w:eastAsia="宋体" w:cs="Times New Roman"/>
          <w:sz w:val="20"/>
          <w:szCs w:val="20"/>
        </w:rPr>
        <w:t xml:space="preserve"> </w:t>
      </w:r>
      <w:r>
        <w:rPr>
          <w:rFonts w:hint="eastAsia" w:ascii="宋体" w:hAnsi="宋体" w:eastAsia="宋体" w:cs="Times New Roman"/>
          <w:sz w:val="20"/>
          <w:szCs w:val="20"/>
        </w:rPr>
        <w:t>1.6</w:t>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B 6%</w:t>
      </w:r>
      <w:r>
        <w:rPr>
          <w:rFonts w:ascii="宋体" w:hAnsi="宋体" w:eastAsia="宋体" w:cs="Times New Roman"/>
          <w:sz w:val="20"/>
          <w:szCs w:val="20"/>
        </w:rPr>
        <w:t xml:space="preserve"> </w:t>
      </w:r>
      <w:r>
        <w:rPr>
          <w:rFonts w:hint="eastAsia" w:ascii="宋体" w:hAnsi="宋体" w:eastAsia="宋体" w:cs="Times New Roman"/>
          <w:sz w:val="20"/>
          <w:szCs w:val="20"/>
        </w:rPr>
        <w:t>0.4</w:t>
      </w:r>
      <w:r>
        <w:rPr>
          <w:rFonts w:ascii="宋体" w:hAnsi="宋体" w:eastAsia="宋体" w:cs="Times New Roman"/>
          <w:sz w:val="20"/>
          <w:szCs w:val="20"/>
        </w:rPr>
        <w:t xml:space="preserve"> </w:t>
      </w:r>
      <w:r>
        <w:rPr>
          <w:rFonts w:hint="eastAsia" w:ascii="宋体" w:hAnsi="宋体" w:eastAsia="宋体" w:cs="Times New Roman"/>
          <w:sz w:val="20"/>
          <w:szCs w:val="20"/>
        </w:rPr>
        <w:t>2.2</w:t>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C 8%</w:t>
      </w:r>
      <w:r>
        <w:rPr>
          <w:rFonts w:ascii="宋体" w:hAnsi="宋体" w:eastAsia="宋体" w:cs="Times New Roman"/>
          <w:sz w:val="20"/>
          <w:szCs w:val="20"/>
        </w:rPr>
        <w:t xml:space="preserve"> </w:t>
      </w:r>
      <w:r>
        <w:rPr>
          <w:rFonts w:hint="eastAsia" w:ascii="宋体" w:hAnsi="宋体" w:eastAsia="宋体" w:cs="Times New Roman"/>
          <w:sz w:val="20"/>
          <w:szCs w:val="20"/>
        </w:rPr>
        <w:t>0.4</w:t>
      </w:r>
      <w:r>
        <w:rPr>
          <w:rFonts w:ascii="宋体" w:hAnsi="宋体" w:eastAsia="宋体" w:cs="Times New Roman"/>
          <w:sz w:val="20"/>
          <w:szCs w:val="20"/>
        </w:rPr>
        <w:t xml:space="preserve"> </w:t>
      </w:r>
      <w:r>
        <w:rPr>
          <w:rFonts w:hint="eastAsia" w:ascii="宋体" w:hAnsi="宋体" w:eastAsia="宋体" w:cs="Times New Roman"/>
          <w:sz w:val="20"/>
          <w:szCs w:val="20"/>
        </w:rPr>
        <w:t>2.2</w:t>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D 8%</w:t>
      </w:r>
      <w:r>
        <w:rPr>
          <w:rFonts w:ascii="宋体" w:hAnsi="宋体" w:eastAsia="宋体" w:cs="Times New Roman"/>
          <w:sz w:val="20"/>
          <w:szCs w:val="20"/>
        </w:rPr>
        <w:t xml:space="preserve"> </w:t>
      </w:r>
      <w:r>
        <w:rPr>
          <w:rFonts w:hint="eastAsia" w:ascii="宋体" w:hAnsi="宋体" w:eastAsia="宋体" w:cs="Times New Roman"/>
          <w:sz w:val="20"/>
          <w:szCs w:val="20"/>
        </w:rPr>
        <w:t>0.9</w:t>
      </w:r>
      <w:r>
        <w:rPr>
          <w:rFonts w:ascii="宋体" w:hAnsi="宋体" w:eastAsia="宋体" w:cs="Times New Roman"/>
          <w:sz w:val="20"/>
          <w:szCs w:val="20"/>
        </w:rPr>
        <w:t xml:space="preserve"> </w:t>
      </w:r>
      <w:r>
        <w:rPr>
          <w:rFonts w:hint="eastAsia" w:ascii="宋体" w:hAnsi="宋体" w:eastAsia="宋体" w:cs="Times New Roman"/>
          <w:sz w:val="20"/>
          <w:szCs w:val="20"/>
        </w:rPr>
        <w:t>1.6</w:t>
      </w:r>
    </w:p>
    <w:p>
      <w:pPr>
        <w:spacing w:line="288" w:lineRule="auto"/>
        <w:ind w:firstLine="360"/>
        <w:jc w:val="left"/>
        <w:rPr>
          <w:rFonts w:ascii="宋体" w:hAnsi="宋体" w:eastAsia="宋体" w:cs="Times New Roman"/>
          <w:sz w:val="20"/>
          <w:szCs w:val="20"/>
        </w:rPr>
      </w:pPr>
      <w:r>
        <w:rPr>
          <w:rFonts w:hint="eastAsia" w:ascii="宋体" w:hAnsi="宋体" w:eastAsia="宋体" w:cs="Times New Roman"/>
          <w:sz w:val="20"/>
          <w:szCs w:val="20"/>
        </w:rPr>
        <w:t>（C）</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下列各项中，属于企业会计核算的基础是</w:t>
      </w:r>
    </w:p>
    <w:p>
      <w:pPr>
        <w:spacing w:line="288" w:lineRule="auto"/>
        <w:ind w:firstLine="360"/>
        <w:contextualSpacing/>
        <w:jc w:val="left"/>
        <w:rPr>
          <w:rFonts w:ascii="宋体" w:hAnsi="宋体" w:eastAsia="宋体" w:cs="Times New Roman"/>
          <w:sz w:val="20"/>
          <w:szCs w:val="20"/>
        </w:rPr>
      </w:pPr>
      <w:r>
        <w:rPr>
          <w:rFonts w:ascii="宋体" w:hAnsi="宋体" w:eastAsia="宋体" w:cs="Times New Roman"/>
          <w:sz w:val="20"/>
          <w:szCs w:val="20"/>
        </w:rPr>
        <w:t>A 收付实现制 B 持续经营 C会计分期 D 权责发生制</w:t>
      </w:r>
    </w:p>
    <w:p>
      <w:pPr>
        <w:spacing w:line="288" w:lineRule="auto"/>
        <w:ind w:firstLine="360"/>
        <w:contextualSpacing/>
        <w:jc w:val="left"/>
        <w:rPr>
          <w:rFonts w:ascii="宋体" w:hAnsi="宋体" w:eastAsia="宋体" w:cs="Times New Roman"/>
          <w:sz w:val="20"/>
          <w:szCs w:val="20"/>
        </w:rPr>
      </w:pPr>
      <w:r>
        <w:rPr>
          <w:rFonts w:ascii="宋体" w:hAnsi="宋体" w:eastAsia="宋体" w:cs="Times New Roman"/>
          <w:sz w:val="20"/>
          <w:szCs w:val="20"/>
        </w:rPr>
        <w:t>（</w:t>
      </w:r>
      <w:r>
        <w:rPr>
          <w:rFonts w:hint="eastAsia" w:ascii="宋体" w:hAnsi="宋体" w:eastAsia="宋体" w:cs="Times New Roman"/>
          <w:sz w:val="20"/>
          <w:szCs w:val="20"/>
        </w:rPr>
        <w:t>D</w:t>
      </w:r>
      <w:r>
        <w:rPr>
          <w:rFonts w:ascii="宋体" w:hAnsi="宋体" w:eastAsia="宋体" w:cs="Times New Roman"/>
          <w:sz w:val="20"/>
          <w:szCs w:val="20"/>
        </w:rPr>
        <w:t>）</w:t>
      </w:r>
    </w:p>
    <w:p>
      <w:pPr>
        <w:spacing w:line="288" w:lineRule="auto"/>
        <w:contextualSpacing/>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企业的项目经理出差，公司借给他10000元，现在以对该企业当期资产、负债、所有者权益、收入、费用等的影响说法正确的是</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A 资产不变，负债不变，利润增加</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B 资产增加，负债增加，利润不变</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C 资产增加，负债不变，利润不变</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D 资产不变，负债不变，利润不变</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w:t>
      </w:r>
      <w:r>
        <w:rPr>
          <w:rFonts w:hint="eastAsia" w:ascii="宋体" w:hAnsi="宋体" w:eastAsia="宋体" w:cs="Times New Roman"/>
          <w:sz w:val="20"/>
          <w:szCs w:val="20"/>
        </w:rPr>
        <w:t>D</w:t>
      </w:r>
      <w:r>
        <w:rPr>
          <w:rFonts w:ascii="宋体" w:hAnsi="宋体" w:eastAsia="宋体" w:cs="Times New Roman"/>
          <w:sz w:val="20"/>
          <w:szCs w:val="20"/>
        </w:rPr>
        <w:t>）</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企业购买了10000元的机器设备用于生产经营，</w:t>
      </w:r>
      <w:r>
        <w:rPr>
          <w:rFonts w:hint="eastAsia" w:ascii="宋体" w:hAnsi="宋体" w:eastAsia="宋体" w:cs="Times New Roman"/>
          <w:sz w:val="20"/>
          <w:szCs w:val="20"/>
        </w:rPr>
        <w:t>这一购买行为对本期成本</w:t>
      </w:r>
      <w:r>
        <w:rPr>
          <w:rFonts w:ascii="宋体" w:hAnsi="宋体" w:eastAsia="宋体" w:cs="Times New Roman"/>
          <w:sz w:val="20"/>
          <w:szCs w:val="20"/>
        </w:rPr>
        <w:t>费用等的影响说法正确的是</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A 销售费用增加10000元</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B 销售费用减少10000元</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C 销售成本增加10000元</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D 销售成本不变</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w:t>
      </w:r>
      <w:r>
        <w:rPr>
          <w:rFonts w:hint="eastAsia" w:ascii="宋体" w:hAnsi="宋体" w:eastAsia="宋体" w:cs="Times New Roman"/>
          <w:sz w:val="20"/>
          <w:szCs w:val="20"/>
        </w:rPr>
        <w:t>D</w:t>
      </w:r>
      <w:r>
        <w:rPr>
          <w:rFonts w:ascii="宋体" w:hAnsi="宋体" w:eastAsia="宋体" w:cs="Times New Roman"/>
          <w:sz w:val="20"/>
          <w:szCs w:val="20"/>
        </w:rPr>
        <w:t>）</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企业计提固定资产折旧，其中车间设备折旧1万元，公司办公室设备折旧4000元，对该企业当期资产、负债、所有者权益、收入、费用等的影响说法正确的是</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A 资产减少，制造费用和生产成本增加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B 资产减少，管理费用和销售费用增加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C 资产减少，制造费用和</w:t>
      </w:r>
      <w:r>
        <w:rPr>
          <w:rFonts w:hint="eastAsia" w:ascii="宋体" w:hAnsi="宋体" w:eastAsia="宋体" w:cs="Times New Roman"/>
          <w:sz w:val="20"/>
          <w:szCs w:val="20"/>
        </w:rPr>
        <w:t>管理</w:t>
      </w:r>
      <w:r>
        <w:rPr>
          <w:rFonts w:ascii="宋体" w:hAnsi="宋体" w:eastAsia="宋体" w:cs="Times New Roman"/>
          <w:sz w:val="20"/>
          <w:szCs w:val="20"/>
        </w:rPr>
        <w:t>费用增加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D 资产增加，制造费用和管理费用增加</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w:t>
      </w:r>
      <w:r>
        <w:rPr>
          <w:rFonts w:hint="eastAsia" w:ascii="宋体" w:hAnsi="宋体" w:eastAsia="宋体" w:cs="Times New Roman"/>
          <w:sz w:val="20"/>
          <w:szCs w:val="20"/>
        </w:rPr>
        <w:t>C</w:t>
      </w:r>
      <w:r>
        <w:rPr>
          <w:rFonts w:ascii="宋体" w:hAnsi="宋体" w:eastAsia="宋体" w:cs="Times New Roman"/>
          <w:sz w:val="20"/>
          <w:szCs w:val="20"/>
        </w:rPr>
        <w:t>）</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企业将1万元在建工程转入固定资产科目，该企业</w:t>
      </w:r>
      <w:r>
        <w:rPr>
          <w:rFonts w:hint="eastAsia" w:ascii="宋体" w:hAnsi="宋体" w:eastAsia="宋体" w:cs="Times New Roman"/>
          <w:sz w:val="20"/>
          <w:szCs w:val="20"/>
        </w:rPr>
        <w:t>在转入时：</w:t>
      </w:r>
      <w:r>
        <w:rPr>
          <w:rFonts w:ascii="宋体" w:hAnsi="宋体" w:eastAsia="宋体" w:cs="Times New Roman"/>
          <w:sz w:val="20"/>
          <w:szCs w:val="20"/>
        </w:rPr>
        <w:t xml:space="preserve"> </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A 费用增加，利润减少</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B 费用降低，利润增加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C 费用不变，利润增加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D 费用不变，利润不变</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（D）</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企业当期</w:t>
      </w:r>
      <w:r>
        <w:rPr>
          <w:rFonts w:hint="eastAsia" w:ascii="宋体" w:hAnsi="宋体" w:eastAsia="宋体" w:cs="Times New Roman"/>
          <w:sz w:val="20"/>
          <w:szCs w:val="20"/>
        </w:rPr>
        <w:t>确认</w:t>
      </w:r>
      <w:r>
        <w:rPr>
          <w:rFonts w:ascii="宋体" w:hAnsi="宋体" w:eastAsia="宋体" w:cs="Times New Roman"/>
          <w:sz w:val="20"/>
          <w:szCs w:val="20"/>
        </w:rPr>
        <w:t xml:space="preserve">了一笔投资收益，该企业当期： </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A 收入增加，费用不变，利润增加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B 收入增加，费用降低，利润增加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C 收入不变，费用减少，利润增加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D 收入不变，费用不变，利润不变</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（A）</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 xml:space="preserve">企业发生并缴纳了1万元的土地流转税，该企业当期： </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A 收入减少，费用不变，利润减少</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B 收入增加，费用降低，利润增加</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C 收入减少，费用增加，利润减少</w:t>
      </w:r>
    </w:p>
    <w:p>
      <w:pPr>
        <w:spacing w:line="288" w:lineRule="auto"/>
        <w:ind w:left="420" w:leftChars="200"/>
        <w:jc w:val="left"/>
        <w:rPr>
          <w:rFonts w:ascii="宋体" w:hAnsi="宋体" w:eastAsia="宋体" w:cs="Times New Roman"/>
          <w:sz w:val="20"/>
          <w:szCs w:val="20"/>
        </w:rPr>
      </w:pPr>
      <w:r>
        <w:rPr>
          <w:rFonts w:ascii="宋体" w:hAnsi="宋体" w:eastAsia="宋体" w:cs="Times New Roman"/>
          <w:sz w:val="20"/>
          <w:szCs w:val="20"/>
        </w:rPr>
        <w:t>D 收入不变，费用增加，利润减少</w:t>
      </w:r>
    </w:p>
    <w:p>
      <w:pPr>
        <w:spacing w:line="288" w:lineRule="auto"/>
        <w:ind w:left="420" w:leftChars="200"/>
        <w:jc w:val="left"/>
        <w:rPr>
          <w:rFonts w:ascii="宋体" w:hAnsi="宋体" w:eastAsia="宋体" w:cs="Times New Roman"/>
          <w:sz w:val="20"/>
          <w:szCs w:val="20"/>
        </w:rPr>
      </w:pPr>
      <w:r>
        <w:rPr>
          <w:rFonts w:hint="eastAsia" w:ascii="宋体" w:hAnsi="宋体" w:eastAsia="宋体" w:cs="Times New Roman"/>
          <w:sz w:val="20"/>
          <w:szCs w:val="20"/>
        </w:rPr>
        <w:t>（D）</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ascii="宋体" w:hAnsi="宋体" w:eastAsia="宋体" w:cs="Times New Roman"/>
          <w:sz w:val="20"/>
          <w:szCs w:val="20"/>
        </w:rPr>
        <w:t>企业对其无形资产进行了摊销，对该企业当期资产、负债、所有者权益等的影响说法正确的是</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A 资产减少，负债不变，所有者权益减少</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B 资产不变，负债不变，所有者权益不变</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C 资产不变，负债减少，所有者权益增加</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D 资产不变，负债增加，所有者权益减少</w:t>
      </w:r>
    </w:p>
    <w:p>
      <w:pPr>
        <w:spacing w:line="288" w:lineRule="auto"/>
        <w:ind w:firstLine="400" w:firstLineChars="200"/>
        <w:jc w:val="left"/>
        <w:rPr>
          <w:rFonts w:ascii="宋体" w:hAnsi="宋体" w:eastAsia="宋体" w:cs="Times New Roman"/>
          <w:sz w:val="20"/>
          <w:szCs w:val="20"/>
        </w:rPr>
      </w:pPr>
      <w:r>
        <w:rPr>
          <w:rFonts w:ascii="宋体" w:hAnsi="宋体" w:eastAsia="宋体" w:cs="Times New Roman"/>
          <w:sz w:val="20"/>
          <w:szCs w:val="20"/>
        </w:rPr>
        <w:t>（</w:t>
      </w:r>
      <w:r>
        <w:rPr>
          <w:rFonts w:hint="eastAsia" w:ascii="宋体" w:hAnsi="宋体" w:eastAsia="宋体" w:cs="Times New Roman"/>
          <w:sz w:val="20"/>
          <w:szCs w:val="20"/>
        </w:rPr>
        <w:t>A</w:t>
      </w:r>
      <w:r>
        <w:rPr>
          <w:rFonts w:ascii="宋体" w:hAnsi="宋体" w:eastAsia="宋体" w:cs="Times New Roman"/>
          <w:sz w:val="20"/>
          <w:szCs w:val="20"/>
        </w:rPr>
        <w:t>）</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imes New Roman"/>
          <w:sz w:val="20"/>
          <w:szCs w:val="20"/>
        </w:rPr>
      </w:pPr>
      <w:r>
        <w:rPr>
          <w:rFonts w:hint="eastAsia" w:ascii="宋体" w:hAnsi="宋体" w:eastAsia="宋体" w:cs="Times New Roman"/>
          <w:sz w:val="20"/>
          <w:szCs w:val="20"/>
        </w:rPr>
        <w:t xml:space="preserve">编制现金流量表时，企业因资金短缺，变卖旧汽车收到的现金一般属于 </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A 经营活动的现金流量</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B 投资活动的现金流量</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C 筹资活动的现金流量</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D 非正常活动的现金流量</w:t>
      </w:r>
    </w:p>
    <w:p>
      <w:pPr>
        <w:spacing w:line="288" w:lineRule="auto"/>
        <w:ind w:left="432"/>
        <w:jc w:val="left"/>
        <w:rPr>
          <w:rFonts w:ascii="宋体" w:hAnsi="宋体" w:eastAsia="宋体" w:cs="Times New Roman"/>
          <w:sz w:val="20"/>
          <w:szCs w:val="20"/>
        </w:rPr>
      </w:pPr>
      <w:r>
        <w:rPr>
          <w:rFonts w:hint="eastAsia" w:ascii="宋体" w:hAnsi="宋体" w:eastAsia="宋体" w:cs="Times New Roman"/>
          <w:sz w:val="20"/>
          <w:szCs w:val="20"/>
        </w:rPr>
        <w:t>（B）</w:t>
      </w:r>
    </w:p>
    <w:p>
      <w:pPr>
        <w:spacing w:line="288" w:lineRule="auto"/>
        <w:jc w:val="left"/>
        <w:rPr>
          <w:rFonts w:ascii="宋体" w:hAnsi="宋体" w:eastAsia="宋体" w:cs="Times New Roman"/>
          <w:sz w:val="20"/>
          <w:szCs w:val="20"/>
        </w:rPr>
      </w:pPr>
    </w:p>
    <w:p>
      <w:pPr>
        <w:numPr>
          <w:ilvl w:val="0"/>
          <w:numId w:val="32"/>
        </w:numPr>
        <w:spacing w:line="288" w:lineRule="auto"/>
        <w:jc w:val="left"/>
        <w:rPr>
          <w:rFonts w:ascii="宋体" w:hAnsi="宋体" w:eastAsia="宋体" w:cstheme="majorBidi"/>
          <w:sz w:val="20"/>
          <w:szCs w:val="20"/>
        </w:rPr>
      </w:pPr>
      <w:r>
        <w:rPr>
          <w:rFonts w:hint="eastAsia" w:ascii="宋体" w:hAnsi="宋体" w:eastAsia="宋体" w:cstheme="majorBidi"/>
          <w:sz w:val="20"/>
          <w:szCs w:val="20"/>
        </w:rPr>
        <w:t>“预收账款”账户的性质是</w:t>
      </w:r>
    </w:p>
    <w:p>
      <w:pPr>
        <w:spacing w:line="288" w:lineRule="auto"/>
        <w:ind w:firstLine="432"/>
        <w:jc w:val="left"/>
        <w:rPr>
          <w:rFonts w:ascii="宋体" w:hAnsi="宋体" w:eastAsia="宋体" w:cstheme="majorBidi"/>
          <w:sz w:val="20"/>
          <w:szCs w:val="20"/>
        </w:rPr>
      </w:pPr>
      <w:r>
        <w:rPr>
          <w:rFonts w:hint="eastAsia" w:ascii="宋体" w:hAnsi="宋体" w:eastAsia="宋体" w:cstheme="majorBidi"/>
          <w:sz w:val="20"/>
          <w:szCs w:val="20"/>
        </w:rPr>
        <w:t xml:space="preserve">A 资产B 负债C 损益 D 成本 </w:t>
      </w:r>
    </w:p>
    <w:p>
      <w:pPr>
        <w:spacing w:line="288" w:lineRule="auto"/>
        <w:ind w:firstLine="420"/>
        <w:jc w:val="left"/>
        <w:rPr>
          <w:rFonts w:ascii="宋体" w:hAnsi="宋体" w:eastAsia="宋体" w:cs="Times New Roman"/>
          <w:sz w:val="20"/>
          <w:szCs w:val="20"/>
        </w:rPr>
      </w:pPr>
      <w:r>
        <w:rPr>
          <w:rFonts w:hint="eastAsia" w:ascii="宋体" w:hAnsi="宋体" w:eastAsia="宋体" w:cstheme="majorBidi"/>
          <w:sz w:val="20"/>
          <w:szCs w:val="20"/>
        </w:rPr>
        <w:t>（B）</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宋体">
    <w:altName w:val="宋体"/>
    <w:panose1 w:val="02010600040101010101"/>
    <w:charset w:val="86"/>
    <w:family w:val="auto"/>
    <w:pitch w:val="default"/>
    <w:sig w:usb0="00000000" w:usb1="00000000" w:usb2="00000010" w:usb3="00000000" w:csb0="000400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2726817"/>
      <w:docPartObj>
        <w:docPartGallery w:val="AutoText"/>
      </w:docPartObj>
    </w:sdtPr>
    <w:sdtContent>
      <w:p>
        <w:pPr>
          <w:pStyle w:val="9"/>
          <w:jc w:val="center"/>
        </w:pPr>
        <w:r>
          <w:fldChar w:fldCharType="begin"/>
        </w:r>
        <w:r>
          <w:instrText xml:space="preserve"> PAGE   \* MERGEFORMAT </w:instrText>
        </w:r>
        <w:r>
          <w:fldChar w:fldCharType="separate"/>
        </w:r>
        <w:r>
          <w:t>1</w:t>
        </w:r>
        <w:r>
          <w:fldChar w:fldCharType="end"/>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00351836"/>
      <w:docPartObj>
        <w:docPartGallery w:val="AutoText"/>
      </w:docPartObj>
    </w:sdtPr>
    <w:sdtContent>
      <w:p>
        <w:pPr>
          <w:pStyle w:val="9"/>
          <w:jc w:val="center"/>
        </w:pPr>
        <w:r>
          <w:fldChar w:fldCharType="begin"/>
        </w:r>
        <w:r>
          <w:instrText xml:space="preserve"> PAGE   \* MERGEFORMAT </w:instrText>
        </w:r>
        <w:r>
          <w:fldChar w:fldCharType="separate"/>
        </w:r>
        <w:r>
          <w:t>3</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8355E4"/>
    <w:multiLevelType w:val="multilevel"/>
    <w:tmpl w:val="008355E4"/>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1">
    <w:nsid w:val="01E90036"/>
    <w:multiLevelType w:val="multilevel"/>
    <w:tmpl w:val="01E90036"/>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2">
    <w:nsid w:val="023E2DC6"/>
    <w:multiLevelType w:val="multilevel"/>
    <w:tmpl w:val="023E2DC6"/>
    <w:lvl w:ilvl="0" w:tentative="0">
      <w:start w:val="1"/>
      <w:numFmt w:val="bullet"/>
      <w:lvlText w:val=""/>
      <w:lvlJc w:val="left"/>
      <w:pPr>
        <w:ind w:left="485" w:hanging="420"/>
      </w:pPr>
      <w:rPr>
        <w:rFonts w:hint="default" w:ascii="Wingdings" w:hAnsi="Wingdings"/>
      </w:rPr>
    </w:lvl>
    <w:lvl w:ilvl="1" w:tentative="0">
      <w:start w:val="1"/>
      <w:numFmt w:val="bullet"/>
      <w:lvlText w:val=""/>
      <w:lvlJc w:val="left"/>
      <w:pPr>
        <w:ind w:left="905" w:hanging="420"/>
      </w:pPr>
      <w:rPr>
        <w:rFonts w:hint="default" w:ascii="Wingdings" w:hAnsi="Wingdings"/>
      </w:rPr>
    </w:lvl>
    <w:lvl w:ilvl="2" w:tentative="0">
      <w:start w:val="1"/>
      <w:numFmt w:val="bullet"/>
      <w:lvlText w:val=""/>
      <w:lvlJc w:val="left"/>
      <w:pPr>
        <w:ind w:left="1325" w:hanging="420"/>
      </w:pPr>
      <w:rPr>
        <w:rFonts w:hint="default" w:ascii="Wingdings" w:hAnsi="Wingdings"/>
      </w:rPr>
    </w:lvl>
    <w:lvl w:ilvl="3" w:tentative="0">
      <w:start w:val="1"/>
      <w:numFmt w:val="bullet"/>
      <w:lvlText w:val=""/>
      <w:lvlJc w:val="left"/>
      <w:pPr>
        <w:ind w:left="1745" w:hanging="420"/>
      </w:pPr>
      <w:rPr>
        <w:rFonts w:hint="default" w:ascii="Wingdings" w:hAnsi="Wingdings"/>
      </w:rPr>
    </w:lvl>
    <w:lvl w:ilvl="4" w:tentative="0">
      <w:start w:val="1"/>
      <w:numFmt w:val="bullet"/>
      <w:lvlText w:val=""/>
      <w:lvlJc w:val="left"/>
      <w:pPr>
        <w:ind w:left="2165" w:hanging="420"/>
      </w:pPr>
      <w:rPr>
        <w:rFonts w:hint="default" w:ascii="Wingdings" w:hAnsi="Wingdings"/>
      </w:rPr>
    </w:lvl>
    <w:lvl w:ilvl="5" w:tentative="0">
      <w:start w:val="1"/>
      <w:numFmt w:val="bullet"/>
      <w:lvlText w:val=""/>
      <w:lvlJc w:val="left"/>
      <w:pPr>
        <w:ind w:left="2585" w:hanging="420"/>
      </w:pPr>
      <w:rPr>
        <w:rFonts w:hint="default" w:ascii="Wingdings" w:hAnsi="Wingdings"/>
      </w:rPr>
    </w:lvl>
    <w:lvl w:ilvl="6" w:tentative="0">
      <w:start w:val="1"/>
      <w:numFmt w:val="bullet"/>
      <w:lvlText w:val=""/>
      <w:lvlJc w:val="left"/>
      <w:pPr>
        <w:ind w:left="3005" w:hanging="420"/>
      </w:pPr>
      <w:rPr>
        <w:rFonts w:hint="default" w:ascii="Wingdings" w:hAnsi="Wingdings"/>
      </w:rPr>
    </w:lvl>
    <w:lvl w:ilvl="7" w:tentative="0">
      <w:start w:val="1"/>
      <w:numFmt w:val="bullet"/>
      <w:lvlText w:val=""/>
      <w:lvlJc w:val="left"/>
      <w:pPr>
        <w:ind w:left="3425" w:hanging="420"/>
      </w:pPr>
      <w:rPr>
        <w:rFonts w:hint="default" w:ascii="Wingdings" w:hAnsi="Wingdings"/>
      </w:rPr>
    </w:lvl>
    <w:lvl w:ilvl="8" w:tentative="0">
      <w:start w:val="1"/>
      <w:numFmt w:val="bullet"/>
      <w:lvlText w:val=""/>
      <w:lvlJc w:val="left"/>
      <w:pPr>
        <w:ind w:left="3845" w:hanging="420"/>
      </w:pPr>
      <w:rPr>
        <w:rFonts w:hint="default" w:ascii="Wingdings" w:hAnsi="Wingdings"/>
      </w:rPr>
    </w:lvl>
  </w:abstractNum>
  <w:abstractNum w:abstractNumId="3">
    <w:nsid w:val="07B37E4D"/>
    <w:multiLevelType w:val="multilevel"/>
    <w:tmpl w:val="07B37E4D"/>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4">
    <w:nsid w:val="0A324237"/>
    <w:multiLevelType w:val="multilevel"/>
    <w:tmpl w:val="0A324237"/>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5">
    <w:nsid w:val="0C053A97"/>
    <w:multiLevelType w:val="multilevel"/>
    <w:tmpl w:val="0C053A97"/>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6">
    <w:nsid w:val="11B50A83"/>
    <w:multiLevelType w:val="multilevel"/>
    <w:tmpl w:val="11B50A83"/>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7">
    <w:nsid w:val="1AB838FC"/>
    <w:multiLevelType w:val="multilevel"/>
    <w:tmpl w:val="1AB83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22237B6"/>
    <w:multiLevelType w:val="multilevel"/>
    <w:tmpl w:val="222237B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68D3673"/>
    <w:multiLevelType w:val="multilevel"/>
    <w:tmpl w:val="268D367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DA66DC8"/>
    <w:multiLevelType w:val="multilevel"/>
    <w:tmpl w:val="2DA66DC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29373B9"/>
    <w:multiLevelType w:val="multilevel"/>
    <w:tmpl w:val="329373B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2DE32F2"/>
    <w:multiLevelType w:val="multilevel"/>
    <w:tmpl w:val="32DE32F2"/>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9D3063C"/>
    <w:multiLevelType w:val="multilevel"/>
    <w:tmpl w:val="39D3063C"/>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14">
    <w:nsid w:val="3D786E25"/>
    <w:multiLevelType w:val="multilevel"/>
    <w:tmpl w:val="3D786E25"/>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15">
    <w:nsid w:val="40DD0D4E"/>
    <w:multiLevelType w:val="multilevel"/>
    <w:tmpl w:val="40DD0D4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8983CAC"/>
    <w:multiLevelType w:val="multilevel"/>
    <w:tmpl w:val="48983CAC"/>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17">
    <w:nsid w:val="4D895657"/>
    <w:multiLevelType w:val="multilevel"/>
    <w:tmpl w:val="4D895657"/>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18">
    <w:nsid w:val="525E3829"/>
    <w:multiLevelType w:val="multilevel"/>
    <w:tmpl w:val="525E3829"/>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19">
    <w:nsid w:val="53151B0E"/>
    <w:multiLevelType w:val="multilevel"/>
    <w:tmpl w:val="53151B0E"/>
    <w:lvl w:ilvl="0" w:tentative="0">
      <w:start w:val="1"/>
      <w:numFmt w:val="bullet"/>
      <w:lvlText w:val=""/>
      <w:lvlJc w:val="left"/>
      <w:pPr>
        <w:ind w:left="840" w:hanging="420"/>
      </w:pPr>
      <w:rPr>
        <w:rFonts w:hint="default" w:ascii="Wingdings" w:hAnsi="Wingdings" w:eastAsiaTheme="minorEastAsia" w:cstheme="minorBidi"/>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0">
    <w:nsid w:val="5C97500C"/>
    <w:multiLevelType w:val="multilevel"/>
    <w:tmpl w:val="5C97500C"/>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21">
    <w:nsid w:val="5DD32B07"/>
    <w:multiLevelType w:val="multilevel"/>
    <w:tmpl w:val="5DD32B0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627E3956"/>
    <w:multiLevelType w:val="multilevel"/>
    <w:tmpl w:val="627E3956"/>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23">
    <w:nsid w:val="633E1A7E"/>
    <w:multiLevelType w:val="multilevel"/>
    <w:tmpl w:val="633E1A7E"/>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24">
    <w:nsid w:val="67586151"/>
    <w:multiLevelType w:val="multilevel"/>
    <w:tmpl w:val="67586151"/>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25">
    <w:nsid w:val="683637D2"/>
    <w:multiLevelType w:val="multilevel"/>
    <w:tmpl w:val="683637D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6BC955C3"/>
    <w:multiLevelType w:val="multilevel"/>
    <w:tmpl w:val="6BC955C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FAA276E"/>
    <w:multiLevelType w:val="multilevel"/>
    <w:tmpl w:val="6FAA276E"/>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28">
    <w:nsid w:val="706A6A56"/>
    <w:multiLevelType w:val="multilevel"/>
    <w:tmpl w:val="706A6A56"/>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29">
    <w:nsid w:val="7E7812F3"/>
    <w:multiLevelType w:val="multilevel"/>
    <w:tmpl w:val="7E7812F3"/>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30">
    <w:nsid w:val="7F1B0E6F"/>
    <w:multiLevelType w:val="multilevel"/>
    <w:tmpl w:val="7F1B0E6F"/>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abstractNum w:abstractNumId="31">
    <w:nsid w:val="7FC62355"/>
    <w:multiLevelType w:val="multilevel"/>
    <w:tmpl w:val="7FC62355"/>
    <w:lvl w:ilvl="0" w:tentative="0">
      <w:start w:val="1"/>
      <w:numFmt w:val="decimal"/>
      <w:lvlText w:val="（%1）"/>
      <w:lvlJc w:val="left"/>
      <w:pPr>
        <w:ind w:left="785" w:hanging="720"/>
      </w:pPr>
      <w:rPr>
        <w:rFonts w:hint="default"/>
      </w:rPr>
    </w:lvl>
    <w:lvl w:ilvl="1" w:tentative="0">
      <w:start w:val="1"/>
      <w:numFmt w:val="lowerLetter"/>
      <w:lvlText w:val="%2)"/>
      <w:lvlJc w:val="left"/>
      <w:pPr>
        <w:ind w:left="905" w:hanging="420"/>
      </w:pPr>
    </w:lvl>
    <w:lvl w:ilvl="2" w:tentative="0">
      <w:start w:val="1"/>
      <w:numFmt w:val="lowerRoman"/>
      <w:lvlText w:val="%3."/>
      <w:lvlJc w:val="right"/>
      <w:pPr>
        <w:ind w:left="1325" w:hanging="420"/>
      </w:pPr>
    </w:lvl>
    <w:lvl w:ilvl="3" w:tentative="0">
      <w:start w:val="1"/>
      <w:numFmt w:val="decimal"/>
      <w:lvlText w:val="%4."/>
      <w:lvlJc w:val="left"/>
      <w:pPr>
        <w:ind w:left="1745" w:hanging="420"/>
      </w:pPr>
    </w:lvl>
    <w:lvl w:ilvl="4" w:tentative="0">
      <w:start w:val="1"/>
      <w:numFmt w:val="lowerLetter"/>
      <w:lvlText w:val="%5)"/>
      <w:lvlJc w:val="left"/>
      <w:pPr>
        <w:ind w:left="2165" w:hanging="420"/>
      </w:pPr>
    </w:lvl>
    <w:lvl w:ilvl="5" w:tentative="0">
      <w:start w:val="1"/>
      <w:numFmt w:val="lowerRoman"/>
      <w:lvlText w:val="%6."/>
      <w:lvlJc w:val="right"/>
      <w:pPr>
        <w:ind w:left="2585" w:hanging="420"/>
      </w:pPr>
    </w:lvl>
    <w:lvl w:ilvl="6" w:tentative="0">
      <w:start w:val="1"/>
      <w:numFmt w:val="decimal"/>
      <w:lvlText w:val="%7."/>
      <w:lvlJc w:val="left"/>
      <w:pPr>
        <w:ind w:left="3005" w:hanging="420"/>
      </w:pPr>
    </w:lvl>
    <w:lvl w:ilvl="7" w:tentative="0">
      <w:start w:val="1"/>
      <w:numFmt w:val="lowerLetter"/>
      <w:lvlText w:val="%8)"/>
      <w:lvlJc w:val="left"/>
      <w:pPr>
        <w:ind w:left="3425" w:hanging="420"/>
      </w:pPr>
    </w:lvl>
    <w:lvl w:ilvl="8" w:tentative="0">
      <w:start w:val="1"/>
      <w:numFmt w:val="lowerRoman"/>
      <w:lvlText w:val="%9."/>
      <w:lvlJc w:val="right"/>
      <w:pPr>
        <w:ind w:left="3845" w:hanging="420"/>
      </w:pPr>
    </w:lvl>
  </w:abstractNum>
  <w:num w:numId="1">
    <w:abstractNumId w:val="12"/>
  </w:num>
  <w:num w:numId="2">
    <w:abstractNumId w:val="25"/>
  </w:num>
  <w:num w:numId="3">
    <w:abstractNumId w:val="19"/>
  </w:num>
  <w:num w:numId="4">
    <w:abstractNumId w:val="8"/>
  </w:num>
  <w:num w:numId="5">
    <w:abstractNumId w:val="9"/>
  </w:num>
  <w:num w:numId="6">
    <w:abstractNumId w:val="26"/>
  </w:num>
  <w:num w:numId="7">
    <w:abstractNumId w:val="31"/>
  </w:num>
  <w:num w:numId="8">
    <w:abstractNumId w:val="24"/>
  </w:num>
  <w:num w:numId="9">
    <w:abstractNumId w:val="6"/>
  </w:num>
  <w:num w:numId="10">
    <w:abstractNumId w:val="2"/>
  </w:num>
  <w:num w:numId="11">
    <w:abstractNumId w:val="23"/>
  </w:num>
  <w:num w:numId="12">
    <w:abstractNumId w:val="15"/>
  </w:num>
  <w:num w:numId="13">
    <w:abstractNumId w:val="10"/>
  </w:num>
  <w:num w:numId="14">
    <w:abstractNumId w:val="13"/>
  </w:num>
  <w:num w:numId="15">
    <w:abstractNumId w:val="18"/>
  </w:num>
  <w:num w:numId="16">
    <w:abstractNumId w:val="14"/>
  </w:num>
  <w:num w:numId="17">
    <w:abstractNumId w:val="0"/>
  </w:num>
  <w:num w:numId="18">
    <w:abstractNumId w:val="4"/>
  </w:num>
  <w:num w:numId="19">
    <w:abstractNumId w:val="27"/>
  </w:num>
  <w:num w:numId="20">
    <w:abstractNumId w:val="22"/>
  </w:num>
  <w:num w:numId="21">
    <w:abstractNumId w:val="5"/>
  </w:num>
  <w:num w:numId="22">
    <w:abstractNumId w:val="3"/>
  </w:num>
  <w:num w:numId="23">
    <w:abstractNumId w:val="1"/>
  </w:num>
  <w:num w:numId="24">
    <w:abstractNumId w:val="17"/>
  </w:num>
  <w:num w:numId="25">
    <w:abstractNumId w:val="28"/>
  </w:num>
  <w:num w:numId="26">
    <w:abstractNumId w:val="30"/>
  </w:num>
  <w:num w:numId="27">
    <w:abstractNumId w:val="29"/>
  </w:num>
  <w:num w:numId="28">
    <w:abstractNumId w:val="16"/>
  </w:num>
  <w:num w:numId="29">
    <w:abstractNumId w:val="20"/>
  </w:num>
  <w:num w:numId="30">
    <w:abstractNumId w:val="21"/>
  </w:num>
  <w:num w:numId="31">
    <w:abstractNumId w:val="7"/>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hiYzFiMTFkNGNiNGIyMTdlM2Y4ODRkZjE2YjZkZDIifQ=="/>
  </w:docVars>
  <w:rsids>
    <w:rsidRoot w:val="007B74D2"/>
    <w:rsid w:val="00001B7B"/>
    <w:rsid w:val="0000369A"/>
    <w:rsid w:val="000152BE"/>
    <w:rsid w:val="00015FED"/>
    <w:rsid w:val="00020629"/>
    <w:rsid w:val="0002724D"/>
    <w:rsid w:val="00027CED"/>
    <w:rsid w:val="0003412F"/>
    <w:rsid w:val="0003539A"/>
    <w:rsid w:val="000370A2"/>
    <w:rsid w:val="00037890"/>
    <w:rsid w:val="000406CC"/>
    <w:rsid w:val="000518CD"/>
    <w:rsid w:val="000614BE"/>
    <w:rsid w:val="00072F5B"/>
    <w:rsid w:val="0007560F"/>
    <w:rsid w:val="000779BF"/>
    <w:rsid w:val="000A3C16"/>
    <w:rsid w:val="000A5119"/>
    <w:rsid w:val="000A51AA"/>
    <w:rsid w:val="000A78DC"/>
    <w:rsid w:val="000C733F"/>
    <w:rsid w:val="000D435B"/>
    <w:rsid w:val="000D5E73"/>
    <w:rsid w:val="000E1CD2"/>
    <w:rsid w:val="000E20FC"/>
    <w:rsid w:val="00100155"/>
    <w:rsid w:val="001012FE"/>
    <w:rsid w:val="00121625"/>
    <w:rsid w:val="00121976"/>
    <w:rsid w:val="00121F0F"/>
    <w:rsid w:val="00124719"/>
    <w:rsid w:val="0012540F"/>
    <w:rsid w:val="00127C8C"/>
    <w:rsid w:val="001305A8"/>
    <w:rsid w:val="00133646"/>
    <w:rsid w:val="00140CE1"/>
    <w:rsid w:val="00147CF2"/>
    <w:rsid w:val="00162CCF"/>
    <w:rsid w:val="00163769"/>
    <w:rsid w:val="00165609"/>
    <w:rsid w:val="001719A1"/>
    <w:rsid w:val="00172223"/>
    <w:rsid w:val="001777BB"/>
    <w:rsid w:val="00182140"/>
    <w:rsid w:val="00191AB3"/>
    <w:rsid w:val="00191D0A"/>
    <w:rsid w:val="001A7849"/>
    <w:rsid w:val="001B4A72"/>
    <w:rsid w:val="001D5717"/>
    <w:rsid w:val="001D7E05"/>
    <w:rsid w:val="001E251A"/>
    <w:rsid w:val="001E6414"/>
    <w:rsid w:val="001E77C2"/>
    <w:rsid w:val="001F0D36"/>
    <w:rsid w:val="001F45ED"/>
    <w:rsid w:val="00201791"/>
    <w:rsid w:val="00201D6E"/>
    <w:rsid w:val="00202665"/>
    <w:rsid w:val="002043D0"/>
    <w:rsid w:val="002126A5"/>
    <w:rsid w:val="002244B7"/>
    <w:rsid w:val="00234E93"/>
    <w:rsid w:val="002511EE"/>
    <w:rsid w:val="00262A13"/>
    <w:rsid w:val="002652A0"/>
    <w:rsid w:val="002661F9"/>
    <w:rsid w:val="00273AEB"/>
    <w:rsid w:val="00276558"/>
    <w:rsid w:val="00280EFB"/>
    <w:rsid w:val="00282224"/>
    <w:rsid w:val="00285730"/>
    <w:rsid w:val="00294A79"/>
    <w:rsid w:val="002A35B1"/>
    <w:rsid w:val="002A555C"/>
    <w:rsid w:val="002B138D"/>
    <w:rsid w:val="002B4563"/>
    <w:rsid w:val="002B6921"/>
    <w:rsid w:val="002C6F54"/>
    <w:rsid w:val="002C7E00"/>
    <w:rsid w:val="002D2F3E"/>
    <w:rsid w:val="002E2666"/>
    <w:rsid w:val="002E6ECA"/>
    <w:rsid w:val="002F40D4"/>
    <w:rsid w:val="002F67BD"/>
    <w:rsid w:val="0030540A"/>
    <w:rsid w:val="00305E25"/>
    <w:rsid w:val="0030711A"/>
    <w:rsid w:val="00312096"/>
    <w:rsid w:val="003133B7"/>
    <w:rsid w:val="003230E8"/>
    <w:rsid w:val="003243A9"/>
    <w:rsid w:val="00333471"/>
    <w:rsid w:val="00337D58"/>
    <w:rsid w:val="003456B9"/>
    <w:rsid w:val="003615A1"/>
    <w:rsid w:val="0036504D"/>
    <w:rsid w:val="0037037C"/>
    <w:rsid w:val="0037607E"/>
    <w:rsid w:val="00377960"/>
    <w:rsid w:val="00381977"/>
    <w:rsid w:val="0038491D"/>
    <w:rsid w:val="00384CF5"/>
    <w:rsid w:val="00385FFC"/>
    <w:rsid w:val="003948D7"/>
    <w:rsid w:val="00394E50"/>
    <w:rsid w:val="003A79E1"/>
    <w:rsid w:val="003B4A94"/>
    <w:rsid w:val="003B632B"/>
    <w:rsid w:val="003B7464"/>
    <w:rsid w:val="003C1F57"/>
    <w:rsid w:val="003D10C4"/>
    <w:rsid w:val="003D361D"/>
    <w:rsid w:val="003D3EB6"/>
    <w:rsid w:val="003D6DE9"/>
    <w:rsid w:val="003D7F13"/>
    <w:rsid w:val="003E5942"/>
    <w:rsid w:val="003E5F74"/>
    <w:rsid w:val="003E78B1"/>
    <w:rsid w:val="003F0626"/>
    <w:rsid w:val="003F2335"/>
    <w:rsid w:val="003F29EB"/>
    <w:rsid w:val="0041661E"/>
    <w:rsid w:val="004217AC"/>
    <w:rsid w:val="004240B7"/>
    <w:rsid w:val="00436AB4"/>
    <w:rsid w:val="004374A5"/>
    <w:rsid w:val="0044516E"/>
    <w:rsid w:val="0045015A"/>
    <w:rsid w:val="00453E46"/>
    <w:rsid w:val="00466656"/>
    <w:rsid w:val="004712C6"/>
    <w:rsid w:val="004A35A9"/>
    <w:rsid w:val="004A4C51"/>
    <w:rsid w:val="004B323E"/>
    <w:rsid w:val="004B408C"/>
    <w:rsid w:val="004B4C10"/>
    <w:rsid w:val="004B73F1"/>
    <w:rsid w:val="004D4FAD"/>
    <w:rsid w:val="004D53A8"/>
    <w:rsid w:val="004D7B5E"/>
    <w:rsid w:val="004E5F28"/>
    <w:rsid w:val="004F10C1"/>
    <w:rsid w:val="004F58DA"/>
    <w:rsid w:val="004F7788"/>
    <w:rsid w:val="00500265"/>
    <w:rsid w:val="00500FCE"/>
    <w:rsid w:val="00504B78"/>
    <w:rsid w:val="00513EB5"/>
    <w:rsid w:val="00523874"/>
    <w:rsid w:val="0053450C"/>
    <w:rsid w:val="00534609"/>
    <w:rsid w:val="00535E5D"/>
    <w:rsid w:val="00541CBE"/>
    <w:rsid w:val="005445AA"/>
    <w:rsid w:val="00553264"/>
    <w:rsid w:val="00555C2B"/>
    <w:rsid w:val="00566678"/>
    <w:rsid w:val="00571BD1"/>
    <w:rsid w:val="00573F79"/>
    <w:rsid w:val="00576D54"/>
    <w:rsid w:val="00593E23"/>
    <w:rsid w:val="005B0867"/>
    <w:rsid w:val="005B5E16"/>
    <w:rsid w:val="005D5C28"/>
    <w:rsid w:val="005D687E"/>
    <w:rsid w:val="005D76A6"/>
    <w:rsid w:val="005E643B"/>
    <w:rsid w:val="00612B02"/>
    <w:rsid w:val="0062226F"/>
    <w:rsid w:val="006355E8"/>
    <w:rsid w:val="006467D4"/>
    <w:rsid w:val="006475C9"/>
    <w:rsid w:val="00655473"/>
    <w:rsid w:val="00657537"/>
    <w:rsid w:val="0066405F"/>
    <w:rsid w:val="006642BA"/>
    <w:rsid w:val="00664D68"/>
    <w:rsid w:val="00680B74"/>
    <w:rsid w:val="006944F5"/>
    <w:rsid w:val="006A109A"/>
    <w:rsid w:val="006A7AED"/>
    <w:rsid w:val="006B13FC"/>
    <w:rsid w:val="007017F5"/>
    <w:rsid w:val="00703321"/>
    <w:rsid w:val="007136CA"/>
    <w:rsid w:val="00717D78"/>
    <w:rsid w:val="00722579"/>
    <w:rsid w:val="00734E85"/>
    <w:rsid w:val="00740456"/>
    <w:rsid w:val="0074389C"/>
    <w:rsid w:val="007464E4"/>
    <w:rsid w:val="007528D9"/>
    <w:rsid w:val="007629B3"/>
    <w:rsid w:val="00764D1A"/>
    <w:rsid w:val="00765C52"/>
    <w:rsid w:val="0077298C"/>
    <w:rsid w:val="00774098"/>
    <w:rsid w:val="00786649"/>
    <w:rsid w:val="007902C9"/>
    <w:rsid w:val="00794CAE"/>
    <w:rsid w:val="00795166"/>
    <w:rsid w:val="007A57F3"/>
    <w:rsid w:val="007A5801"/>
    <w:rsid w:val="007B2C7E"/>
    <w:rsid w:val="007B74D2"/>
    <w:rsid w:val="007C0969"/>
    <w:rsid w:val="007C410D"/>
    <w:rsid w:val="007C67FB"/>
    <w:rsid w:val="007C6D4A"/>
    <w:rsid w:val="007D39B1"/>
    <w:rsid w:val="007D3EAF"/>
    <w:rsid w:val="007D6AB9"/>
    <w:rsid w:val="007D6EF0"/>
    <w:rsid w:val="007E016B"/>
    <w:rsid w:val="007E0C90"/>
    <w:rsid w:val="007F402F"/>
    <w:rsid w:val="007F6F22"/>
    <w:rsid w:val="00802FF1"/>
    <w:rsid w:val="00807D39"/>
    <w:rsid w:val="00811154"/>
    <w:rsid w:val="0081335D"/>
    <w:rsid w:val="00822593"/>
    <w:rsid w:val="008450EF"/>
    <w:rsid w:val="00851080"/>
    <w:rsid w:val="008528E6"/>
    <w:rsid w:val="00861127"/>
    <w:rsid w:val="00866E7C"/>
    <w:rsid w:val="00875513"/>
    <w:rsid w:val="008838DA"/>
    <w:rsid w:val="00891381"/>
    <w:rsid w:val="008A0BF7"/>
    <w:rsid w:val="008A15E8"/>
    <w:rsid w:val="008A3A34"/>
    <w:rsid w:val="008A4B77"/>
    <w:rsid w:val="008C658E"/>
    <w:rsid w:val="008C74A5"/>
    <w:rsid w:val="008C7CD3"/>
    <w:rsid w:val="008D0AFB"/>
    <w:rsid w:val="008D2ED3"/>
    <w:rsid w:val="008D3B03"/>
    <w:rsid w:val="008D436B"/>
    <w:rsid w:val="008D44A6"/>
    <w:rsid w:val="008E5CF7"/>
    <w:rsid w:val="008E6F61"/>
    <w:rsid w:val="008F5798"/>
    <w:rsid w:val="008F7A64"/>
    <w:rsid w:val="008F7C15"/>
    <w:rsid w:val="009013A9"/>
    <w:rsid w:val="00906A64"/>
    <w:rsid w:val="00934D88"/>
    <w:rsid w:val="00942344"/>
    <w:rsid w:val="009504A4"/>
    <w:rsid w:val="009527D0"/>
    <w:rsid w:val="009572B1"/>
    <w:rsid w:val="00960510"/>
    <w:rsid w:val="00960B87"/>
    <w:rsid w:val="009633BF"/>
    <w:rsid w:val="00966BD0"/>
    <w:rsid w:val="00970562"/>
    <w:rsid w:val="00971431"/>
    <w:rsid w:val="0098302C"/>
    <w:rsid w:val="009933B9"/>
    <w:rsid w:val="00993A2A"/>
    <w:rsid w:val="0099459B"/>
    <w:rsid w:val="009A2E75"/>
    <w:rsid w:val="009A7C6A"/>
    <w:rsid w:val="009C401F"/>
    <w:rsid w:val="009C6A67"/>
    <w:rsid w:val="009E20C2"/>
    <w:rsid w:val="009E5826"/>
    <w:rsid w:val="009E5913"/>
    <w:rsid w:val="009F36CA"/>
    <w:rsid w:val="009F3F68"/>
    <w:rsid w:val="009F62C1"/>
    <w:rsid w:val="009F6D19"/>
    <w:rsid w:val="009F75EE"/>
    <w:rsid w:val="009F7D70"/>
    <w:rsid w:val="00A037BB"/>
    <w:rsid w:val="00A140FC"/>
    <w:rsid w:val="00A151D7"/>
    <w:rsid w:val="00A21208"/>
    <w:rsid w:val="00A22108"/>
    <w:rsid w:val="00A23447"/>
    <w:rsid w:val="00A237B1"/>
    <w:rsid w:val="00A23869"/>
    <w:rsid w:val="00A27E1E"/>
    <w:rsid w:val="00A3275A"/>
    <w:rsid w:val="00A35EDC"/>
    <w:rsid w:val="00A37EA3"/>
    <w:rsid w:val="00A40358"/>
    <w:rsid w:val="00A4091C"/>
    <w:rsid w:val="00A45ADD"/>
    <w:rsid w:val="00A530B1"/>
    <w:rsid w:val="00A55C00"/>
    <w:rsid w:val="00A572C1"/>
    <w:rsid w:val="00A818AD"/>
    <w:rsid w:val="00A8347F"/>
    <w:rsid w:val="00A876CD"/>
    <w:rsid w:val="00A94A5D"/>
    <w:rsid w:val="00AA7B62"/>
    <w:rsid w:val="00AB2984"/>
    <w:rsid w:val="00AC6A35"/>
    <w:rsid w:val="00AC7EF2"/>
    <w:rsid w:val="00AD049F"/>
    <w:rsid w:val="00AD0B46"/>
    <w:rsid w:val="00AD12CC"/>
    <w:rsid w:val="00AD3C88"/>
    <w:rsid w:val="00AE003D"/>
    <w:rsid w:val="00B0252D"/>
    <w:rsid w:val="00B031EC"/>
    <w:rsid w:val="00B0344D"/>
    <w:rsid w:val="00B0649B"/>
    <w:rsid w:val="00B066A2"/>
    <w:rsid w:val="00B101B4"/>
    <w:rsid w:val="00B152D3"/>
    <w:rsid w:val="00B16BE9"/>
    <w:rsid w:val="00B233F0"/>
    <w:rsid w:val="00B312CA"/>
    <w:rsid w:val="00B36C2A"/>
    <w:rsid w:val="00B40950"/>
    <w:rsid w:val="00B46EA4"/>
    <w:rsid w:val="00B621F4"/>
    <w:rsid w:val="00B75266"/>
    <w:rsid w:val="00B81264"/>
    <w:rsid w:val="00B93CEA"/>
    <w:rsid w:val="00B9453F"/>
    <w:rsid w:val="00BA3986"/>
    <w:rsid w:val="00BA5E86"/>
    <w:rsid w:val="00BA7433"/>
    <w:rsid w:val="00BB3513"/>
    <w:rsid w:val="00BC4DE6"/>
    <w:rsid w:val="00BC56F8"/>
    <w:rsid w:val="00BD04ED"/>
    <w:rsid w:val="00BD5D34"/>
    <w:rsid w:val="00BE4300"/>
    <w:rsid w:val="00BF024C"/>
    <w:rsid w:val="00BF341B"/>
    <w:rsid w:val="00BF64A6"/>
    <w:rsid w:val="00C02893"/>
    <w:rsid w:val="00C031DB"/>
    <w:rsid w:val="00C039F1"/>
    <w:rsid w:val="00C10B6D"/>
    <w:rsid w:val="00C12F2E"/>
    <w:rsid w:val="00C14010"/>
    <w:rsid w:val="00C26DC2"/>
    <w:rsid w:val="00C331D2"/>
    <w:rsid w:val="00C34AB8"/>
    <w:rsid w:val="00C41C4C"/>
    <w:rsid w:val="00C45B2A"/>
    <w:rsid w:val="00C514AF"/>
    <w:rsid w:val="00C517CB"/>
    <w:rsid w:val="00C577AD"/>
    <w:rsid w:val="00C72142"/>
    <w:rsid w:val="00C840D6"/>
    <w:rsid w:val="00C97B6E"/>
    <w:rsid w:val="00CA1A53"/>
    <w:rsid w:val="00CA5049"/>
    <w:rsid w:val="00CA613E"/>
    <w:rsid w:val="00CB413A"/>
    <w:rsid w:val="00CB4E96"/>
    <w:rsid w:val="00CC08AF"/>
    <w:rsid w:val="00CC48EB"/>
    <w:rsid w:val="00CD3E68"/>
    <w:rsid w:val="00CE15AE"/>
    <w:rsid w:val="00CE3D70"/>
    <w:rsid w:val="00CF0F35"/>
    <w:rsid w:val="00CF36E4"/>
    <w:rsid w:val="00D230E4"/>
    <w:rsid w:val="00D24393"/>
    <w:rsid w:val="00D3053E"/>
    <w:rsid w:val="00D313A7"/>
    <w:rsid w:val="00D428AA"/>
    <w:rsid w:val="00D44B25"/>
    <w:rsid w:val="00D53CD1"/>
    <w:rsid w:val="00D54454"/>
    <w:rsid w:val="00D54FB0"/>
    <w:rsid w:val="00D60ECD"/>
    <w:rsid w:val="00D72EA8"/>
    <w:rsid w:val="00D73EA6"/>
    <w:rsid w:val="00D75B18"/>
    <w:rsid w:val="00D82A33"/>
    <w:rsid w:val="00D82FE5"/>
    <w:rsid w:val="00D846D3"/>
    <w:rsid w:val="00D91402"/>
    <w:rsid w:val="00D93461"/>
    <w:rsid w:val="00DA0A76"/>
    <w:rsid w:val="00DC293D"/>
    <w:rsid w:val="00DD0188"/>
    <w:rsid w:val="00DD2664"/>
    <w:rsid w:val="00DD59CD"/>
    <w:rsid w:val="00DD5B27"/>
    <w:rsid w:val="00E4480C"/>
    <w:rsid w:val="00E448EE"/>
    <w:rsid w:val="00E47E8C"/>
    <w:rsid w:val="00E64A2C"/>
    <w:rsid w:val="00E70038"/>
    <w:rsid w:val="00E85E4F"/>
    <w:rsid w:val="00E9220E"/>
    <w:rsid w:val="00E92C0D"/>
    <w:rsid w:val="00E9740A"/>
    <w:rsid w:val="00EB2FD3"/>
    <w:rsid w:val="00EC4E1E"/>
    <w:rsid w:val="00ED5120"/>
    <w:rsid w:val="00EE281B"/>
    <w:rsid w:val="00EE5B7B"/>
    <w:rsid w:val="00EE5BF6"/>
    <w:rsid w:val="00F01EF3"/>
    <w:rsid w:val="00F05EBE"/>
    <w:rsid w:val="00F11EDB"/>
    <w:rsid w:val="00F155C5"/>
    <w:rsid w:val="00F177AD"/>
    <w:rsid w:val="00F246C6"/>
    <w:rsid w:val="00F24B27"/>
    <w:rsid w:val="00F25A95"/>
    <w:rsid w:val="00F35F0D"/>
    <w:rsid w:val="00F44348"/>
    <w:rsid w:val="00F51DE5"/>
    <w:rsid w:val="00F6211F"/>
    <w:rsid w:val="00F90282"/>
    <w:rsid w:val="00F92A9E"/>
    <w:rsid w:val="00F958ED"/>
    <w:rsid w:val="00F975D4"/>
    <w:rsid w:val="00FB3735"/>
    <w:rsid w:val="00FB4297"/>
    <w:rsid w:val="00FB4E6B"/>
    <w:rsid w:val="00FB4F64"/>
    <w:rsid w:val="00FB5627"/>
    <w:rsid w:val="00FD3A50"/>
    <w:rsid w:val="00FD7851"/>
    <w:rsid w:val="00FD7D97"/>
    <w:rsid w:val="00FE4F48"/>
    <w:rsid w:val="00FF2861"/>
    <w:rsid w:val="00FF4696"/>
    <w:rsid w:val="00FF4E11"/>
    <w:rsid w:val="178B0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4">
    <w:name w:val="toc 7"/>
    <w:basedOn w:val="1"/>
    <w:next w:val="1"/>
    <w:unhideWhenUsed/>
    <w:uiPriority w:val="39"/>
    <w:pPr>
      <w:ind w:left="1260"/>
      <w:jc w:val="left"/>
    </w:pPr>
    <w:rPr>
      <w:rFonts w:cstheme="minorHAnsi"/>
      <w:sz w:val="18"/>
      <w:szCs w:val="18"/>
    </w:rPr>
  </w:style>
  <w:style w:type="paragraph" w:styleId="5">
    <w:name w:val="annotation text"/>
    <w:basedOn w:val="1"/>
    <w:link w:val="37"/>
    <w:semiHidden/>
    <w:unhideWhenUsed/>
    <w:uiPriority w:val="99"/>
    <w:pPr>
      <w:jc w:val="left"/>
    </w:pPr>
  </w:style>
  <w:style w:type="paragraph" w:styleId="6">
    <w:name w:val="toc 5"/>
    <w:basedOn w:val="1"/>
    <w:next w:val="1"/>
    <w:unhideWhenUsed/>
    <w:uiPriority w:val="39"/>
    <w:pPr>
      <w:ind w:left="840"/>
      <w:jc w:val="left"/>
    </w:pPr>
    <w:rPr>
      <w:rFonts w:cstheme="minorHAnsi"/>
      <w:sz w:val="18"/>
      <w:szCs w:val="18"/>
    </w:rPr>
  </w:style>
  <w:style w:type="paragraph" w:styleId="7">
    <w:name w:val="toc 3"/>
    <w:basedOn w:val="1"/>
    <w:next w:val="1"/>
    <w:unhideWhenUsed/>
    <w:qFormat/>
    <w:uiPriority w:val="39"/>
    <w:pPr>
      <w:ind w:left="420"/>
      <w:jc w:val="left"/>
    </w:pPr>
    <w:rPr>
      <w:rFonts w:cstheme="minorHAnsi"/>
      <w:i/>
      <w:iCs/>
      <w:sz w:val="20"/>
      <w:szCs w:val="20"/>
    </w:rPr>
  </w:style>
  <w:style w:type="paragraph" w:styleId="8">
    <w:name w:val="toc 8"/>
    <w:basedOn w:val="1"/>
    <w:next w:val="1"/>
    <w:unhideWhenUsed/>
    <w:uiPriority w:val="39"/>
    <w:pPr>
      <w:ind w:left="1470"/>
      <w:jc w:val="left"/>
    </w:pPr>
    <w:rPr>
      <w:rFonts w:cstheme="minorHAnsi"/>
      <w:sz w:val="18"/>
      <w:szCs w:val="18"/>
    </w:rPr>
  </w:style>
  <w:style w:type="paragraph" w:styleId="9">
    <w:name w:val="footer"/>
    <w:basedOn w:val="1"/>
    <w:link w:val="31"/>
    <w:unhideWhenUsed/>
    <w:qFormat/>
    <w:uiPriority w:val="99"/>
    <w:pPr>
      <w:tabs>
        <w:tab w:val="center" w:pos="4153"/>
        <w:tab w:val="right" w:pos="8306"/>
      </w:tabs>
      <w:snapToGrid w:val="0"/>
      <w:jc w:val="left"/>
    </w:pPr>
    <w:rPr>
      <w:sz w:val="18"/>
      <w:szCs w:val="18"/>
    </w:rPr>
  </w:style>
  <w:style w:type="paragraph" w:styleId="10">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spacing w:before="120" w:after="120"/>
      <w:jc w:val="left"/>
    </w:pPr>
    <w:rPr>
      <w:rFonts w:cstheme="minorHAnsi"/>
      <w:b/>
      <w:bCs/>
      <w:caps/>
      <w:sz w:val="20"/>
      <w:szCs w:val="20"/>
    </w:rPr>
  </w:style>
  <w:style w:type="paragraph" w:styleId="12">
    <w:name w:val="toc 4"/>
    <w:basedOn w:val="1"/>
    <w:next w:val="1"/>
    <w:unhideWhenUsed/>
    <w:uiPriority w:val="39"/>
    <w:pPr>
      <w:ind w:left="630"/>
      <w:jc w:val="left"/>
    </w:pPr>
    <w:rPr>
      <w:rFonts w:cstheme="minorHAnsi"/>
      <w:sz w:val="18"/>
      <w:szCs w:val="18"/>
    </w:rPr>
  </w:style>
  <w:style w:type="paragraph" w:styleId="13">
    <w:name w:val="toc 6"/>
    <w:basedOn w:val="1"/>
    <w:next w:val="1"/>
    <w:unhideWhenUsed/>
    <w:uiPriority w:val="39"/>
    <w:pPr>
      <w:ind w:left="1050"/>
      <w:jc w:val="left"/>
    </w:pPr>
    <w:rPr>
      <w:rFonts w:cstheme="minorHAnsi"/>
      <w:sz w:val="18"/>
      <w:szCs w:val="18"/>
    </w:rPr>
  </w:style>
  <w:style w:type="paragraph" w:styleId="14">
    <w:name w:val="toc 2"/>
    <w:basedOn w:val="1"/>
    <w:next w:val="1"/>
    <w:unhideWhenUsed/>
    <w:qFormat/>
    <w:uiPriority w:val="39"/>
    <w:pPr>
      <w:ind w:left="210"/>
      <w:jc w:val="left"/>
    </w:pPr>
    <w:rPr>
      <w:rFonts w:cstheme="minorHAnsi"/>
      <w:smallCaps/>
      <w:sz w:val="20"/>
      <w:szCs w:val="20"/>
    </w:rPr>
  </w:style>
  <w:style w:type="paragraph" w:styleId="15">
    <w:name w:val="toc 9"/>
    <w:basedOn w:val="1"/>
    <w:next w:val="1"/>
    <w:unhideWhenUsed/>
    <w:qFormat/>
    <w:uiPriority w:val="39"/>
    <w:pPr>
      <w:ind w:left="1680"/>
      <w:jc w:val="left"/>
    </w:pPr>
    <w:rPr>
      <w:rFonts w:cstheme="minorHAnsi"/>
      <w:sz w:val="18"/>
      <w:szCs w:val="18"/>
    </w:rPr>
  </w:style>
  <w:style w:type="paragraph" w:styleId="16">
    <w:name w:val="annotation subject"/>
    <w:basedOn w:val="5"/>
    <w:next w:val="5"/>
    <w:link w:val="38"/>
    <w:semiHidden/>
    <w:unhideWhenUsed/>
    <w:uiPriority w:val="99"/>
    <w:rPr>
      <w:b/>
      <w:bCs/>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FollowedHyperlink"/>
    <w:basedOn w:val="19"/>
    <w:semiHidden/>
    <w:unhideWhenUsed/>
    <w:uiPriority w:val="99"/>
    <w:rPr>
      <w:color w:val="954F72"/>
      <w:u w:val="single"/>
    </w:rPr>
  </w:style>
  <w:style w:type="character" w:styleId="21">
    <w:name w:val="Hyperlink"/>
    <w:basedOn w:val="19"/>
    <w:unhideWhenUsed/>
    <w:qFormat/>
    <w:uiPriority w:val="99"/>
    <w:rPr>
      <w:color w:val="0563C1"/>
      <w:u w:val="single"/>
    </w:rPr>
  </w:style>
  <w:style w:type="character" w:styleId="22">
    <w:name w:val="annotation reference"/>
    <w:basedOn w:val="19"/>
    <w:semiHidden/>
    <w:unhideWhenUsed/>
    <w:uiPriority w:val="99"/>
    <w:rPr>
      <w:sz w:val="21"/>
      <w:szCs w:val="21"/>
    </w:rPr>
  </w:style>
  <w:style w:type="paragraph" w:styleId="23">
    <w:name w:val="List Paragraph"/>
    <w:basedOn w:val="1"/>
    <w:qFormat/>
    <w:uiPriority w:val="34"/>
    <w:pPr>
      <w:ind w:firstLine="420" w:firstLineChars="200"/>
    </w:pPr>
  </w:style>
  <w:style w:type="paragraph" w:customStyle="1" w:styleId="24">
    <w:name w:val="msonormal"/>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25">
    <w:name w:val="xl63"/>
    <w:basedOn w:val="1"/>
    <w:qFormat/>
    <w:uiPriority w:val="0"/>
    <w:pPr>
      <w:widowControl/>
      <w:spacing w:before="100" w:beforeAutospacing="1" w:after="100" w:afterAutospacing="1"/>
      <w:jc w:val="left"/>
    </w:pPr>
    <w:rPr>
      <w:rFonts w:ascii="宋体" w:hAnsi="宋体" w:eastAsia="宋体" w:cs="宋体"/>
      <w:kern w:val="0"/>
      <w:sz w:val="20"/>
      <w:szCs w:val="20"/>
    </w:rPr>
  </w:style>
  <w:style w:type="paragraph" w:customStyle="1" w:styleId="26">
    <w:name w:val="xl64"/>
    <w:basedOn w:val="1"/>
    <w:qFormat/>
    <w:uiPriority w:val="0"/>
    <w:pPr>
      <w:widowControl/>
      <w:pBdr>
        <w:top w:val="single" w:color="auto" w:sz="4" w:space="0"/>
        <w:left w:val="single" w:color="auto" w:sz="4" w:space="0"/>
        <w:bottom w:val="single" w:color="auto" w:sz="4" w:space="0"/>
        <w:right w:val="single" w:color="auto" w:sz="4" w:space="0"/>
      </w:pBdr>
      <w:shd w:val="clear" w:color="000000" w:fill="BFBFBF"/>
      <w:spacing w:before="100" w:beforeAutospacing="1" w:after="100" w:afterAutospacing="1"/>
      <w:jc w:val="center"/>
    </w:pPr>
    <w:rPr>
      <w:rFonts w:ascii="华文宋体" w:hAnsi="华文宋体" w:eastAsia="华文宋体" w:cs="宋体"/>
      <w:kern w:val="0"/>
      <w:sz w:val="20"/>
      <w:szCs w:val="20"/>
    </w:rPr>
  </w:style>
  <w:style w:type="paragraph" w:customStyle="1" w:styleId="27">
    <w:name w:val="xl65"/>
    <w:basedOn w:val="1"/>
    <w:qFormat/>
    <w:uiPriority w:val="0"/>
    <w:pPr>
      <w:widowControl/>
      <w:pBdr>
        <w:top w:val="single" w:color="auto" w:sz="4" w:space="0"/>
        <w:left w:val="single" w:color="auto" w:sz="4" w:space="0"/>
        <w:bottom w:val="single" w:color="auto" w:sz="4" w:space="0"/>
      </w:pBdr>
      <w:shd w:val="clear" w:color="000000" w:fill="BFBFBF"/>
      <w:spacing w:before="100" w:beforeAutospacing="1" w:after="100" w:afterAutospacing="1"/>
      <w:jc w:val="center"/>
    </w:pPr>
    <w:rPr>
      <w:rFonts w:ascii="华文宋体" w:hAnsi="华文宋体" w:eastAsia="华文宋体" w:cs="宋体"/>
      <w:kern w:val="0"/>
      <w:sz w:val="20"/>
      <w:szCs w:val="20"/>
    </w:rPr>
  </w:style>
  <w:style w:type="paragraph" w:customStyle="1" w:styleId="28">
    <w:name w:val="xl6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eastAsia="宋体" w:cs="宋体"/>
      <w:kern w:val="0"/>
      <w:sz w:val="20"/>
      <w:szCs w:val="20"/>
    </w:rPr>
  </w:style>
  <w:style w:type="paragraph" w:styleId="29">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0">
    <w:name w:val="页眉 字符"/>
    <w:basedOn w:val="19"/>
    <w:link w:val="10"/>
    <w:qFormat/>
    <w:uiPriority w:val="99"/>
    <w:rPr>
      <w:sz w:val="18"/>
      <w:szCs w:val="18"/>
    </w:rPr>
  </w:style>
  <w:style w:type="character" w:customStyle="1" w:styleId="31">
    <w:name w:val="页脚 字符"/>
    <w:basedOn w:val="19"/>
    <w:link w:val="9"/>
    <w:qFormat/>
    <w:uiPriority w:val="99"/>
    <w:rPr>
      <w:sz w:val="18"/>
      <w:szCs w:val="18"/>
    </w:rPr>
  </w:style>
  <w:style w:type="character" w:customStyle="1" w:styleId="32">
    <w:name w:val="标题 1 字符"/>
    <w:basedOn w:val="19"/>
    <w:link w:val="2"/>
    <w:qFormat/>
    <w:uiPriority w:val="9"/>
    <w:rPr>
      <w:b/>
      <w:bCs/>
      <w:kern w:val="44"/>
      <w:sz w:val="44"/>
      <w:szCs w:val="44"/>
    </w:rPr>
  </w:style>
  <w:style w:type="character" w:customStyle="1" w:styleId="33">
    <w:name w:val="标题 2 字符"/>
    <w:basedOn w:val="19"/>
    <w:link w:val="3"/>
    <w:qFormat/>
    <w:uiPriority w:val="9"/>
    <w:rPr>
      <w:rFonts w:asciiTheme="majorHAnsi" w:hAnsiTheme="majorHAnsi" w:eastAsiaTheme="majorEastAsia" w:cstheme="majorBidi"/>
      <w:b/>
      <w:bCs/>
      <w:sz w:val="32"/>
      <w:szCs w:val="32"/>
    </w:rPr>
  </w:style>
  <w:style w:type="character" w:customStyle="1" w:styleId="34">
    <w:name w:val="Unresolved Mention"/>
    <w:basedOn w:val="19"/>
    <w:semiHidden/>
    <w:unhideWhenUsed/>
    <w:uiPriority w:val="99"/>
    <w:rPr>
      <w:color w:val="605E5C"/>
      <w:shd w:val="clear" w:color="auto" w:fill="E1DFDD"/>
    </w:rPr>
  </w:style>
  <w:style w:type="character" w:styleId="35">
    <w:name w:val="Placeholder Text"/>
    <w:basedOn w:val="19"/>
    <w:semiHidden/>
    <w:uiPriority w:val="99"/>
    <w:rPr>
      <w:color w:val="808080"/>
    </w:rPr>
  </w:style>
  <w:style w:type="paragraph" w:customStyle="1" w:styleId="36">
    <w:name w:val="列表段落1"/>
    <w:basedOn w:val="1"/>
    <w:qFormat/>
    <w:uiPriority w:val="34"/>
    <w:pPr>
      <w:widowControl/>
      <w:spacing w:after="160" w:line="259" w:lineRule="auto"/>
      <w:ind w:left="720"/>
      <w:contextualSpacing/>
      <w:jc w:val="left"/>
    </w:pPr>
    <w:rPr>
      <w:rFonts w:cs="微软雅黑"/>
      <w:kern w:val="0"/>
      <w:sz w:val="22"/>
      <w:szCs w:val="24"/>
    </w:rPr>
  </w:style>
  <w:style w:type="character" w:customStyle="1" w:styleId="37">
    <w:name w:val="批注文字 字符"/>
    <w:basedOn w:val="19"/>
    <w:link w:val="5"/>
    <w:semiHidden/>
    <w:uiPriority w:val="99"/>
  </w:style>
  <w:style w:type="character" w:customStyle="1" w:styleId="38">
    <w:name w:val="批注主题 字符"/>
    <w:basedOn w:val="37"/>
    <w:link w:val="16"/>
    <w:semiHidden/>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numbering" Target="numbering.xml"/><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C5D1C-5144-49CD-A8D3-2E9916995D72}">
  <ds:schemaRefs/>
</ds:datastoreItem>
</file>

<file path=docProps/app.xml><?xml version="1.0" encoding="utf-8"?>
<Properties xmlns="http://schemas.openxmlformats.org/officeDocument/2006/extended-properties" xmlns:vt="http://schemas.openxmlformats.org/officeDocument/2006/docPropsVTypes">
  <Template>Normal</Template>
  <Company>FICO</Company>
  <Pages>42</Pages>
  <Words>12366</Words>
  <Characters>13252</Characters>
  <Lines>112</Lines>
  <Paragraphs>31</Paragraphs>
  <TotalTime>872</TotalTime>
  <ScaleCrop>false</ScaleCrop>
  <LinksUpToDate>false</LinksUpToDate>
  <CharactersWithSpaces>13606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2021-10-10T00:28:00Z</dcterms:created>
  <dc:creator>WeiZhang</dc:creator>
  <cp:lastModifiedBy>EDZ</cp:lastModifiedBy>
  <cp:lastPrinted>2021-10-29T12:49:00Z</cp:lastPrinted>
  <dcterms:modified xsi:type="dcterms:W3CDTF">2023-04-04T03:45:10Z</dcterms:modified>
  <cp:revision>360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7A9B7AB123CD462CBA765FAE16EA51CA</vt:lpwstr>
  </property>
</Properties>
</file>