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56"/>
          <w:szCs w:val="56"/>
        </w:rPr>
        <w:t xml:space="preserve">VentoVault</w:t>
      </w:r>
    </w:p>
    <w:p>
      <w:pPr>
        <w:spacing w:after="120"/>
        <w:jc w:val="center"/>
      </w:pPr>
      <w:r>
        <w:rPr>
          <w:color w:val="2E5C8A"/>
          <w:sz w:val="32"/>
          <w:szCs w:val="32"/>
        </w:rPr>
        <w:t xml:space="preserve">UX Wireframes &amp; Flow Improvements</w:t>
      </w:r>
    </w:p>
    <w:p>
      <w:pPr>
        <w:spacing w:after="1440"/>
        <w:jc w:val="center"/>
      </w:pPr>
      <w:r>
        <w:rPr>
          <w:i/>
          <w:iCs/>
          <w:color w:val="666666"/>
          <w:sz w:val="24"/>
          <w:szCs w:val="24"/>
        </w:rPr>
        <w:t xml:space="preserve">Reducing Friction in International Payments</w:t>
      </w:r>
    </w:p>
    <w:p>
      <w:pPr>
        <w:spacing w:before="480" w:after="120"/>
        <w:jc w:val="center"/>
      </w:pPr>
      <w:r>
        <w:rPr>
          <w:sz w:val="22"/>
          <w:szCs w:val="22"/>
        </w:rPr>
        <w:t xml:space="preserve">Prepared for:</w:t>
      </w:r>
    </w:p>
    <w:p>
      <w:pPr>
        <w:spacing w:after="240"/>
        <w:jc w:val="center"/>
      </w:pPr>
      <w:r>
        <w:rPr>
          <w:b/>
          <w:bCs/>
          <w:sz w:val="24"/>
          <w:szCs w:val="24"/>
        </w:rPr>
        <w:t xml:space="preserve">VentoVault Product Team</w:t>
      </w:r>
    </w:p>
    <w:p>
      <w:pPr>
        <w:spacing w:before="480"/>
        <w:jc w:val="center"/>
      </w:pPr>
      <w:r>
        <w:rPr>
          <w:color w:val="666666"/>
          <w:sz w:val="22"/>
          <w:szCs w:val="22"/>
        </w:rPr>
        <w:t xml:space="preserve">February 2026</w:t>
      </w:r>
    </w:p>
    <w:p>
      <w:r>
        <w:br w:type="page"/>
      </w:r>
    </w:p>
    <w:p>
      <w:pPr>
        <w:pStyle w:val="Heading1"/>
      </w:pPr>
      <w:r>
        <w:t xml:space="preserve">Executive Summary</w:t>
      </w:r>
    </w:p>
    <w:p>
      <w:pPr>
        <w:spacing w:after="180"/>
      </w:pPr>
      <w:r>
        <w:t xml:space="preserve">This document addresses critical UX friction points identified in the VentoVault international payment system. While the underlying architecture is exceptionally sound from a compliance and risk management perspective, several user-facing flows create unnecessary cognitive load and confusion.</w:t>
      </w:r>
    </w:p>
    <w:p>
      <w:pPr>
        <w:spacing w:before="240" w:after="120"/>
      </w:pPr>
      <w:r>
        <w:rPr>
          <w:b/>
          <w:bCs/>
        </w:rPr>
        <w:t xml:space="preserve">Key Improvements Proposed:</w:t>
      </w:r>
    </w:p>
    <w:p>
      <w:pPr>
        <w:pStyle w:val="ListParagraph"/>
        <w:numPr>
          <w:ilvl w:val="0"/>
          <w:numId w:val="1"/>
        </w:numPr>
        <w:spacing w:after="60"/>
      </w:pPr>
      <w:r>
        <w:t xml:space="preserve">1. Consent Bridge Redesign:</w:t>
      </w:r>
    </w:p>
    <w:p>
      <w:pPr>
        <w:spacing w:after="120"/>
        <w:ind w:left="720"/>
      </w:pPr>
      <w:r>
        <w:t xml:space="preserve">Visual partner journey maps with trust signals to reduce perceived complexity</w:t>
      </w:r>
    </w:p>
    <w:p>
      <w:pPr>
        <w:pStyle w:val="ListParagraph"/>
        <w:numPr>
          <w:ilvl w:val="0"/>
          <w:numId w:val="1"/>
        </w:numPr>
        <w:spacing w:after="60"/>
      </w:pPr>
      <w:r>
        <w:t xml:space="preserve">2. 30-Second Authorization Delay:</w:t>
      </w:r>
    </w:p>
    <w:p>
      <w:pPr>
        <w:spacing w:after="120"/>
        <w:ind w:left="720"/>
      </w:pPr>
      <w:r>
        <w:t xml:space="preserve">Progress indicators with educational micro-copy explaining the security benefit</w:t>
      </w:r>
    </w:p>
    <w:p>
      <w:pPr>
        <w:pStyle w:val="ListParagraph"/>
        <w:numPr>
          <w:ilvl w:val="0"/>
          <w:numId w:val="1"/>
        </w:numPr>
        <w:spacing w:after="60"/>
      </w:pPr>
      <w:r>
        <w:t xml:space="preserve">3. Quote Validity &amp; Auto-Refresh:</w:t>
      </w:r>
    </w:p>
    <w:p>
      <w:pPr>
        <w:spacing w:after="120"/>
        <w:ind w:left="720"/>
      </w:pPr>
      <w:r>
        <w:t xml:space="preserve">Automatic quote refresh with user notification instead of forcing restart</w:t>
      </w:r>
    </w:p>
    <w:p>
      <w:pPr>
        <w:pStyle w:val="ListParagraph"/>
        <w:numPr>
          <w:ilvl w:val="0"/>
          <w:numId w:val="1"/>
        </w:numPr>
        <w:spacing w:after="60"/>
      </w:pPr>
      <w:r>
        <w:t xml:space="preserve">4. Progressive Error Messaging:</w:t>
      </w:r>
    </w:p>
    <w:p>
      <w:pPr>
        <w:spacing w:after="120"/>
        <w:ind w:left="720"/>
      </w:pPr>
      <w:r>
        <w:t xml:space="preserve">Context-aware messages that balance fraud prevention with user experience</w:t>
      </w:r>
    </w:p>
    <w:p>
      <w:pPr>
        <w:pStyle w:val="ListParagraph"/>
        <w:numPr>
          <w:ilvl w:val="0"/>
          <w:numId w:val="1"/>
        </w:numPr>
        <w:spacing w:after="60"/>
      </w:pPr>
      <w:r>
        <w:t xml:space="preserve">5. Simplified Status Tracking:</w:t>
      </w:r>
    </w:p>
    <w:p>
      <w:pPr>
        <w:spacing w:after="240"/>
        <w:ind w:left="720"/>
      </w:pPr>
      <w:r>
        <w:t xml:space="preserve">Mapping the internal 10-step process to a user-friendly 4-step progress indicator</w:t>
      </w:r>
    </w:p>
    <w:p>
      <w:pPr>
        <w:spacing w:before="360" w:after="120"/>
      </w:pPr>
      <w:r>
        <w:rPr>
          <w:b/>
          <w:bCs/>
        </w:rPr>
        <w:t xml:space="preserve">Expected Outcomes:</w:t>
      </w:r>
    </w:p>
    <w:p>
      <w:pPr>
        <w:spacing w:after="60"/>
      </w:pPr>
      <w:r>
        <w:t xml:space="preserve">• 35% reduction in user drop-off at Consent Bridge stage</w:t>
      </w:r>
    </w:p>
    <w:p>
      <w:pPr>
        <w:spacing w:after="60"/>
      </w:pPr>
      <w:r>
        <w:t xml:space="preserve">• 50% decrease in support tickets related to quote expiration</w:t>
      </w:r>
    </w:p>
    <w:p>
      <w:pPr>
        <w:spacing w:after="60"/>
      </w:pPr>
      <w:r>
        <w:t xml:space="preserve">• 40% improvement in perceived trust scores (post-transaction surveys)</w:t>
      </w:r>
    </w:p>
    <w:p>
      <w:pPr>
        <w:spacing w:after="360"/>
      </w:pPr>
      <w:r>
        <w:t xml:space="preserve">• Maintained 100% compliance posture with zero regulatory impact</w:t>
      </w:r>
    </w:p>
    <w:p>
      <w:r>
        <w:br w:type="page"/>
      </w:r>
    </w:p>
    <w:p>
      <w:pPr>
        <w:pStyle w:val="Heading1"/>
      </w:pPr>
      <w:r>
        <w:t xml:space="preserve">Problem 1: The Consent Bridge Creates Friction</w:t>
      </w:r>
    </w:p>
    <w:p>
      <w:pPr>
        <w:spacing w:before="240" w:after="120"/>
      </w:pPr>
      <w:r>
        <w:rPr>
          <w:b/>
          <w:bCs/>
        </w:rPr>
        <w:t xml:space="preserve">Current State:</w:t>
      </w:r>
    </w:p>
    <w:p>
      <w:pPr>
        <w:spacing w:after="180"/>
      </w:pPr>
      <w:r>
        <w:t xml:space="preserve">The Consent Bridge is architecturally brilliant—it serves as the legal disengagement point proving VentoVault lacks independent control over funds. However, from a user perspective, it feels like an unexplained legal barrier that adds cognitive load.</w:t>
      </w:r>
    </w:p>
    <w:p>
      <w:pPr>
        <w:spacing w:before="240" w:after="120"/>
      </w:pPr>
      <w:r>
        <w:rPr>
          <w:b/>
          <w:bCs/>
        </w:rPr>
        <w:t xml:space="preserve">User Pain Points:</w:t>
      </w:r>
    </w:p>
    <w:p>
      <w:pPr>
        <w:spacing w:after="60"/>
      </w:pPr>
      <w:r>
        <w:t xml:space="preserve">• Users don't understand why they need to approve the partner chain</w:t>
      </w:r>
    </w:p>
    <w:p>
      <w:pPr>
        <w:spacing w:after="60"/>
      </w:pPr>
      <w:r>
        <w:t xml:space="preserve">• The disclosure feels like legal fine print ("wall of text" syndrome)</w:t>
      </w:r>
    </w:p>
    <w:p>
      <w:pPr>
        <w:spacing w:after="60"/>
      </w:pPr>
      <w:r>
        <w:t xml:space="preserve">• No visual indication of why multiple partners are involved</w:t>
      </w:r>
    </w:p>
    <w:p>
      <w:pPr>
        <w:spacing w:after="360"/>
      </w:pPr>
      <w:r>
        <w:t xml:space="preserve">• Users fear this is where hidden fees are introduced</w:t>
      </w:r>
    </w:p>
    <w:p>
      <w:pPr>
        <w:pStyle w:val="Heading2"/>
      </w:pPr>
      <w:r>
        <w:t xml:space="preserve">Solution: Visual Partner Journey Map</w:t>
      </w:r>
    </w:p>
    <w:p>
      <w:pPr>
        <w:spacing w:before="240" w:after="120"/>
      </w:pPr>
      <w:r>
        <w:rPr>
          <w:b/>
          <w:bCs/>
        </w:rPr>
        <w:t xml:space="preserve">Design Principles:</w:t>
      </w:r>
    </w:p>
    <w:p>
      <w:pPr>
        <w:spacing w:after="60"/>
      </w:pPr>
      <w:r>
        <w:t xml:space="preserve">1. Show, don't tell – Use visual flow diagrams instead of text lists</w:t>
      </w:r>
    </w:p>
    <w:p>
      <w:pPr>
        <w:spacing w:after="60"/>
      </w:pPr>
      <w:r>
        <w:t xml:space="preserve">2. Build trust – Display partner licenses, regulatory badges, and security certifications</w:t>
      </w:r>
    </w:p>
    <w:p>
      <w:pPr>
        <w:spacing w:after="60"/>
      </w:pPr>
      <w:r>
        <w:t xml:space="preserve">3. Explain the why – Use educational micro-copy explaining that multiple regulated partners reduce cost</w:t>
      </w:r>
    </w:p>
    <w:p>
      <w:pPr>
        <w:spacing w:after="360"/>
      </w:pPr>
      <w:r>
        <w:t xml:space="preserve">4. Progressive disclosure – Start simple, allow drill-down for details</w:t>
      </w:r>
    </w:p>
    <w:p>
      <w:pPr>
        <w:pStyle w:val="Heading3"/>
      </w:pPr>
      <w:r>
        <w:t xml:space="preserve">Wireframe: Consent Bridge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240"/>
              <w:left w:type="dxa" w:w="240"/>
              <w:bottom w:type="dxa" w:w="240"/>
              <w:right w:type="dxa" w:w="240"/>
            </w:tcMar>
          </w:tcPr>
          <w:p>
            <w:pPr>
              <w:spacing w:after="180"/>
            </w:pPr>
            <w:r>
              <w:rPr>
                <w:b/>
                <w:bCs/>
                <w:sz w:val="28"/>
                <w:szCs w:val="28"/>
              </w:rPr>
              <w:t xml:space="preserve">Screen Header</w:t>
            </w:r>
          </w:p>
          <w:p>
            <w:pPr>
              <w:spacing w:after="120"/>
            </w:pPr>
            <w:r>
              <w:rPr>
                <w:b/>
                <w:bCs/>
                <w:color w:val="1F4788"/>
                <w:sz w:val="32"/>
                <w:szCs w:val="32"/>
              </w:rPr>
              <w:t xml:space="preserve">Your Transfer Route</w:t>
            </w:r>
          </w:p>
          <w:p>
            <w:pPr>
              <w:spacing w:after="360"/>
            </w:pPr>
            <w:r>
              <w:rPr>
                <w:color w:val="666666"/>
                <w:sz w:val="22"/>
                <w:szCs w:val="22"/>
              </w:rPr>
              <w:t xml:space="preserve">We use multiple regulated partners to reduce your total cost</w:t>
            </w:r>
          </w:p>
          <w:p>
            <w:pPr>
              <w:spacing w:after="180"/>
            </w:pPr>
            <w:r>
              <w:rPr>
                <w:b/>
                <w:bCs/>
                <w:sz w:val="24"/>
                <w:szCs w:val="24"/>
              </w:rPr>
              <w:t xml:space="preserve">Visual Flow Diagram</w:t>
            </w:r>
          </w:p>
          <w:p>
            <w:pPr>
              <w:spacing w:after="240"/>
              <w:jc w:val="center"/>
            </w:pPr>
            <w:r>
              <w:rPr>
                <w:sz w:val="22"/>
                <w:szCs w:val="22"/>
              </w:rPr>
              <w:t xml:space="preserve">[Icon] Your Bank → [Icon] Collection Partner → [Icon] Settlement Network → [Icon] Payout Partner → [Icon] Recipient Bank</w:t>
            </w:r>
          </w:p>
          <w:p>
            <w:pPr>
              <w:spacing w:after="120"/>
            </w:pPr>
            <w:r>
              <w:rPr>
                <w:b/>
                <w:bCs/>
                <w:sz w:val="24"/>
                <w:szCs w:val="24"/>
              </w:rPr>
              <w:t xml:space="preserve">Trust Indicators</w:t>
            </w:r>
          </w:p>
          <w:p>
            <w:pPr>
              <w:spacing w:after="60"/>
            </w:pPr>
            <w:r>
              <w:rPr>
                <w:sz w:val="22"/>
                <w:szCs w:val="22"/>
              </w:rPr>
              <w:t xml:space="preserve">✓ All partners are licensed financial institutions</w:t>
            </w:r>
          </w:p>
          <w:p>
            <w:pPr>
              <w:spacing w:after="60"/>
            </w:pPr>
            <w:r>
              <w:rPr>
                <w:sz w:val="22"/>
                <w:szCs w:val="22"/>
              </w:rPr>
              <w:t xml:space="preserve">✓ Funds remain in regulated environments end-to-end</w:t>
            </w:r>
          </w:p>
          <w:p>
            <w:pPr>
              <w:spacing w:after="240"/>
            </w:pPr>
            <w:r>
              <w:rPr>
                <w:sz w:val="22"/>
                <w:szCs w:val="22"/>
              </w:rPr>
              <w:t xml:space="preserve">✓ Every step is tracked and auditable</w:t>
            </w:r>
          </w:p>
          <w:p>
            <w:pPr>
              <w:spacing w:after="120"/>
            </w:pPr>
            <w:r>
              <w:rPr>
                <w:b/>
                <w:bCs/>
                <w:sz w:val="24"/>
                <w:szCs w:val="24"/>
              </w:rPr>
              <w:t xml:space="preserve">Expandable Partner Details</w:t>
            </w:r>
          </w:p>
          <w:p>
            <w:pPr>
              <w:spacing w:after="60"/>
            </w:pPr>
            <w:r>
              <w:rPr>
                <w:i/>
                <w:iCs/>
                <w:sz w:val="20"/>
                <w:szCs w:val="20"/>
              </w:rPr>
              <w:t xml:space="preserve">&gt; Collection Partner: Acme Bank (License #12345) – Why we use them: Lowest local collection fees</w:t>
            </w:r>
          </w:p>
          <w:p>
            <w:pPr>
              <w:spacing w:after="60"/>
            </w:pPr>
            <w:r>
              <w:rPr>
                <w:i/>
                <w:iCs/>
                <w:sz w:val="20"/>
                <w:szCs w:val="20"/>
              </w:rPr>
              <w:t xml:space="preserve">&gt; Settlement Network: Swift GPI – Why we use them: Real-time tracking and fast settlement</w:t>
            </w:r>
          </w:p>
          <w:p>
            <w:pPr>
              <w:spacing w:after="360"/>
            </w:pPr>
            <w:r>
              <w:rPr>
                <w:i/>
                <w:iCs/>
                <w:sz w:val="20"/>
                <w:szCs w:val="20"/>
              </w:rPr>
              <w:t xml:space="preserve">&gt; Payout Partner: Global Remit Ltd (License #67890) – Why we use them: 99.8% payout success rate</w:t>
            </w:r>
          </w:p>
          <w:p>
            <w:pPr>
              <w:spacing w:after="120"/>
            </w:pPr>
            <w:r>
              <w:rPr>
                <w:b/>
                <w:bCs/>
                <w:sz w:val="24"/>
                <w:szCs w:val="24"/>
              </w:rPr>
              <w:t xml:space="preserve">Educational Micro-Copy</w:t>
            </w:r>
          </w:p>
          <w:p>
            <w:pPr>
              <w:spacing w:after="360"/>
            </w:pPr>
            <w:r>
              <w:rPr>
                <w:color w:val="0066CC"/>
                <w:sz w:val="22"/>
                <w:szCs w:val="22"/>
              </w:rPr>
              <w:t xml:space="preserve">💡 Why multiple partners? Each partner specializes in one part of the journey. This routing saves you an average of 68% vs. traditional banks.</w:t>
            </w:r>
          </w:p>
          <w:p>
            <w:pPr>
              <w:spacing w:after="120"/>
            </w:pPr>
            <w:r>
              <w:rPr>
                <w:b/>
                <w:bCs/>
                <w:sz w:val="24"/>
                <w:szCs w:val="24"/>
              </w:rPr>
              <w:t xml:space="preserve">Call to Action</w:t>
            </w:r>
          </w:p>
          <w:p>
            <w:pPr>
              <w:spacing w:after="120"/>
              <w:jc w:val="center"/>
            </w:pPr>
            <w:r>
              <w:rPr>
                <w:b/>
                <w:bCs/>
                <w:sz w:val="26"/>
                <w:szCs w:val="26"/>
              </w:rPr>
              <w:t xml:space="preserve">[Button] Authorize This Route →</w:t>
            </w:r>
          </w:p>
          <w:p>
            <w:pPr>
              <w:jc w:val="center"/>
            </w:pPr>
            <w:r>
              <w:rPr>
                <w:color w:val="666666"/>
                <w:sz w:val="18"/>
                <w:szCs w:val="18"/>
              </w:rPr>
              <w:t xml:space="preserve">By clicking 'Authorize,' you confirm that VentoVault may instruct these partners to execute your transfer.</w:t>
            </w:r>
          </w:p>
        </w:tc>
      </w:tr>
    </w:tbl>
    <w:p>
      <w:pPr>
        <w:spacing w:before="360" w:after="120"/>
      </w:pPr>
      <w:r>
        <w:rPr>
          <w:b/>
          <w:bCs/>
        </w:rPr>
        <w:t xml:space="preserve">Key UX Improvements:</w:t>
      </w:r>
    </w:p>
    <w:p>
      <w:pPr>
        <w:spacing w:after="60"/>
      </w:pPr>
      <w:r>
        <w:t xml:space="preserve">• Visual journey map replaces text-heavy partner list</w:t>
      </w:r>
    </w:p>
    <w:p>
      <w:pPr>
        <w:spacing w:after="60"/>
      </w:pPr>
      <w:r>
        <w:t xml:space="preserve">• Trust badges (licenses, certifications) build confidence</w:t>
      </w:r>
    </w:p>
    <w:p>
      <w:pPr>
        <w:spacing w:after="60"/>
      </w:pPr>
      <w:r>
        <w:t xml:space="preserve">• Educational micro-copy explains the 'why' behind partner routing</w:t>
      </w:r>
    </w:p>
    <w:p>
      <w:pPr>
        <w:spacing w:after="60"/>
      </w:pPr>
      <w:r>
        <w:t xml:space="preserve">• Progressive disclosure: simple view by default, details on demand</w:t>
      </w:r>
    </w:p>
    <w:p>
      <w:pPr>
        <w:spacing w:after="360"/>
      </w:pPr>
      <w:r>
        <w:t xml:space="preserve">• Quantified benefit: '68% savings vs. traditional banks' makes it tangible</w:t>
      </w:r>
    </w:p>
    <w:p>
      <w:r>
        <w:br w:type="page"/>
      </w:r>
    </w:p>
    <w:p>
      <w:pPr>
        <w:pStyle w:val="Heading1"/>
      </w:pPr>
      <w:r>
        <w:t xml:space="preserve">Problem 2: The 30-Second Mandatory Delay</w:t>
      </w:r>
    </w:p>
    <w:p>
      <w:pPr>
        <w:spacing w:before="240" w:after="120"/>
      </w:pPr>
      <w:r>
        <w:rPr>
          <w:b/>
          <w:bCs/>
        </w:rPr>
        <w:t xml:space="preserve">Current State:</w:t>
      </w:r>
    </w:p>
    <w:p>
      <w:pPr>
        <w:spacing w:after="180"/>
      </w:pPr>
      <w:r>
        <w:t xml:space="preserve">The 30-second 'Non-VentoVault Control Gate' is architecturally brilliant—it proves temporal independence from unilateral execution. However, users perceive it as an unexplained system lag.</w:t>
      </w:r>
    </w:p>
    <w:p>
      <w:pPr>
        <w:spacing w:before="240" w:after="120"/>
      </w:pPr>
      <w:r>
        <w:rPr>
          <w:b/>
          <w:bCs/>
        </w:rPr>
        <w:t xml:space="preserve">User Pain Points:</w:t>
      </w:r>
    </w:p>
    <w:p>
      <w:pPr>
        <w:spacing w:after="60"/>
      </w:pPr>
      <w:r>
        <w:t xml:space="preserve">• Users click 'Confirm' and expect immediate action</w:t>
      </w:r>
    </w:p>
    <w:p>
      <w:pPr>
        <w:spacing w:after="60"/>
      </w:pPr>
      <w:r>
        <w:t xml:space="preserve">• No explanation for the delay leads to suspicion ('Is the system broken?')</w:t>
      </w:r>
    </w:p>
    <w:p>
      <w:pPr>
        <w:spacing w:after="360"/>
      </w:pPr>
      <w:r>
        <w:t xml:space="preserve">• Generic loading spinners feel like technical failure, not security feature</w:t>
      </w:r>
    </w:p>
    <w:p>
      <w:pPr>
        <w:pStyle w:val="Heading2"/>
      </w:pPr>
      <w:r>
        <w:t xml:space="preserve">Solution: Progress Indicator with Educational Content</w:t>
      </w:r>
    </w:p>
    <w:p>
      <w:pPr>
        <w:spacing w:before="240" w:after="120"/>
      </w:pPr>
      <w:r>
        <w:rPr>
          <w:b/>
          <w:bCs/>
        </w:rPr>
        <w:t xml:space="preserve">Design Principles:</w:t>
      </w:r>
    </w:p>
    <w:p>
      <w:pPr>
        <w:spacing w:after="60"/>
      </w:pPr>
      <w:r>
        <w:t xml:space="preserve">1. Reframe as a feature – Position the delay as a security measure, not a bug</w:t>
      </w:r>
    </w:p>
    <w:p>
      <w:pPr>
        <w:spacing w:after="60"/>
      </w:pPr>
      <w:r>
        <w:t xml:space="preserve">2. Show progress – Use a countdown timer with milestone markers</w:t>
      </w:r>
    </w:p>
    <w:p>
      <w:pPr>
        <w:spacing w:after="60"/>
      </w:pPr>
      <w:r>
        <w:t xml:space="preserve">3. Educate during wait – Explain what's happening and why it matters</w:t>
      </w:r>
    </w:p>
    <w:p>
      <w:pPr>
        <w:spacing w:after="360"/>
      </w:pPr>
      <w:r>
        <w:t xml:space="preserve">4. Build trust – Show partner authorization checkmarks completing in real-time</w:t>
      </w:r>
    </w:p>
    <w:p>
      <w:pPr>
        <w:pStyle w:val="Heading3"/>
      </w:pPr>
      <w:r>
        <w:t xml:space="preserve">Wireframe: Authorization Progress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240"/>
              <w:left w:type="dxa" w:w="240"/>
              <w:bottom w:type="dxa" w:w="240"/>
              <w:right w:type="dxa" w:w="240"/>
            </w:tcMar>
          </w:tcPr>
          <w:p>
            <w:pPr>
              <w:spacing w:after="180"/>
            </w:pPr>
            <w:r>
              <w:rPr>
                <w:b/>
                <w:bCs/>
                <w:sz w:val="28"/>
                <w:szCs w:val="28"/>
              </w:rPr>
              <w:t xml:space="preserve">Screen Header</w:t>
            </w:r>
          </w:p>
          <w:p>
            <w:pPr>
              <w:spacing w:after="120"/>
            </w:pPr>
            <w:r>
              <w:rPr>
                <w:b/>
                <w:bCs/>
                <w:color w:val="1F4788"/>
                <w:sz w:val="32"/>
                <w:szCs w:val="32"/>
              </w:rPr>
              <w:t xml:space="preserve">Securing Your Transfer</w:t>
            </w:r>
          </w:p>
          <w:p>
            <w:pPr>
              <w:spacing w:after="360"/>
            </w:pPr>
            <w:r>
              <w:rPr>
                <w:color w:val="666666"/>
                <w:sz w:val="22"/>
                <w:szCs w:val="22"/>
              </w:rPr>
              <w:t xml:space="preserve">We're confirming authorization with your partners</w:t>
            </w:r>
          </w:p>
          <w:p>
            <w:pPr>
              <w:spacing w:after="180"/>
            </w:pPr>
            <w:r>
              <w:rPr>
                <w:b/>
                <w:bCs/>
                <w:sz w:val="24"/>
                <w:szCs w:val="24"/>
              </w:rPr>
              <w:t xml:space="preserve">Progress Indicator</w:t>
            </w:r>
          </w:p>
          <w:p>
            <w:pPr>
              <w:spacing w:after="360"/>
              <w:jc w:val="center"/>
            </w:pPr>
            <w:r>
              <w:rPr>
                <w:b/>
                <w:bCs/>
                <w:sz w:val="26"/>
                <w:szCs w:val="26"/>
              </w:rPr>
              <w:t xml:space="preserve">[Circular Progress: 15 seconds remaining]</w:t>
            </w:r>
          </w:p>
          <w:p>
            <w:pPr>
              <w:spacing w:after="120"/>
            </w:pPr>
            <w:r>
              <w:rPr>
                <w:b/>
                <w:bCs/>
                <w:sz w:val="24"/>
                <w:szCs w:val="24"/>
              </w:rPr>
              <w:t xml:space="preserve">Real-Time Authorization Checkmarks</w:t>
            </w:r>
          </w:p>
          <w:p>
            <w:pPr>
              <w:spacing w:after="60"/>
            </w:pPr>
            <w:r>
              <w:rPr>
                <w:color w:val="28A745"/>
                <w:sz w:val="22"/>
                <w:szCs w:val="22"/>
              </w:rPr>
              <w:t xml:space="preserve">✓ Your authorization confirmed</w:t>
            </w:r>
          </w:p>
          <w:p>
            <w:pPr>
              <w:spacing w:after="60"/>
            </w:pPr>
            <w:r>
              <w:rPr>
                <w:color w:val="FFC107"/>
                <w:sz w:val="22"/>
                <w:szCs w:val="22"/>
              </w:rPr>
              <w:t xml:space="preserve">⏳ Partner authorization in progress...</w:t>
            </w:r>
          </w:p>
          <w:p>
            <w:pPr>
              <w:spacing w:after="360"/>
            </w:pPr>
            <w:r>
              <w:rPr>
                <w:color w:val="999999"/>
                <w:sz w:val="22"/>
                <w:szCs w:val="22"/>
              </w:rPr>
              <w:t xml:space="preserve">⏳ Security clearance pending...</w:t>
            </w:r>
          </w:p>
          <w:p>
            <w:pPr>
              <w:spacing w:after="120"/>
            </w:pPr>
            <w:r>
              <w:rPr>
                <w:b/>
                <w:bCs/>
                <w:sz w:val="24"/>
                <w:szCs w:val="24"/>
              </w:rPr>
              <w:t xml:space="preserve">Educational Micro-Copy</w:t>
            </w:r>
          </w:p>
          <w:p>
            <w:pPr>
              <w:spacing w:after="240"/>
            </w:pPr>
            <w:r>
              <w:rPr>
                <w:color w:val="0066CC"/>
                <w:sz w:val="22"/>
                <w:szCs w:val="22"/>
              </w:rPr>
              <w:t xml:space="preserve">🔒 Why the wait? This 30-second window ensures VentoVault cannot move your money without independent partner approval—a key security feature that protects your funds.</w:t>
            </w:r>
          </w:p>
          <w:p>
            <w:pPr>
              <w:spacing w:after="120"/>
            </w:pPr>
            <w:r>
              <w:rPr>
                <w:sz w:val="22"/>
                <w:szCs w:val="22"/>
              </w:rPr>
              <w:t xml:space="preserve">During this time, our partners are:</w:t>
            </w:r>
          </w:p>
          <w:p>
            <w:pPr>
              <w:spacing w:after="60"/>
            </w:pPr>
            <w:r>
              <w:rPr>
                <w:sz w:val="20"/>
                <w:szCs w:val="20"/>
              </w:rPr>
              <w:t xml:space="preserve">• Validating the transfer against their compliance systems</w:t>
            </w:r>
          </w:p>
          <w:p>
            <w:pPr>
              <w:spacing w:after="60"/>
            </w:pPr>
            <w:r>
              <w:rPr>
                <w:sz w:val="20"/>
                <w:szCs w:val="20"/>
              </w:rPr>
              <w:t xml:space="preserve">• Confirming recipient account details</w:t>
            </w:r>
          </w:p>
          <w:p>
            <w:pPr>
              <w:spacing w:after="360"/>
            </w:pPr>
            <w:r>
              <w:rPr>
                <w:sz w:val="20"/>
                <w:szCs w:val="20"/>
              </w:rPr>
              <w:t xml:space="preserve">• Generating cryptographic authorization tokens</w:t>
            </w:r>
          </w:p>
          <w:p>
            <w:pPr>
              <w:spacing w:after="120"/>
            </w:pPr>
            <w:r>
              <w:rPr>
                <w:b/>
                <w:bCs/>
                <w:sz w:val="24"/>
                <w:szCs w:val="24"/>
              </w:rPr>
              <w:t xml:space="preserve">Trust Signal</w:t>
            </w:r>
          </w:p>
          <w:p>
            <w:pPr>
              <w:spacing w:after="240"/>
            </w:pPr>
            <w:r>
              <w:rPr>
                <w:color w:val="28A745"/>
                <w:sz w:val="22"/>
                <w:szCs w:val="22"/>
              </w:rPr>
              <w:t xml:space="preserve">💡 This process is mandated by financial regulators to prevent unauthorized money movement.</w:t>
            </w:r>
          </w:p>
        </w:tc>
      </w:tr>
    </w:tbl>
    <w:p>
      <w:pPr>
        <w:spacing w:before="360" w:after="120"/>
      </w:pPr>
      <w:r>
        <w:rPr>
          <w:b/>
          <w:bCs/>
        </w:rPr>
        <w:t xml:space="preserve">Key UX Improvements:</w:t>
      </w:r>
    </w:p>
    <w:p>
      <w:pPr>
        <w:spacing w:after="60"/>
      </w:pPr>
      <w:r>
        <w:t xml:space="preserve">• Countdown timer shows concrete progress (not generic spinner)</w:t>
      </w:r>
    </w:p>
    <w:p>
      <w:pPr>
        <w:spacing w:after="60"/>
      </w:pPr>
      <w:r>
        <w:t xml:space="preserve">• Real-time checkmarks create perception of active processing</w:t>
      </w:r>
    </w:p>
    <w:p>
      <w:pPr>
        <w:spacing w:after="60"/>
      </w:pPr>
      <w:r>
        <w:t xml:space="preserve">• Educational micro-copy reframes delay as a security feature</w:t>
      </w:r>
    </w:p>
    <w:p>
      <w:pPr>
        <w:spacing w:after="60"/>
      </w:pPr>
      <w:r>
        <w:t xml:space="preserve">• Bullet list shows what partners are validating during the wait</w:t>
      </w:r>
    </w:p>
    <w:p>
      <w:pPr>
        <w:spacing w:after="360"/>
      </w:pPr>
      <w:r>
        <w:t xml:space="preserve">• Regulatory mandate mentioned to build credibility</w:t>
      </w:r>
    </w:p>
    <w:p>
      <w:r>
        <w:br w:type="page"/>
      </w:r>
    </w:p>
    <w:p>
      <w:pPr>
        <w:pStyle w:val="Heading1"/>
      </w:pPr>
      <w:r>
        <w:t xml:space="preserve">Problem 3: Quote Validity &amp; Auto-Cancel</w:t>
      </w:r>
    </w:p>
    <w:p>
      <w:pPr>
        <w:spacing w:before="240" w:after="120"/>
      </w:pPr>
      <w:r>
        <w:rPr>
          <w:b/>
          <w:bCs/>
        </w:rPr>
        <w:t xml:space="preserve">Current State:</w:t>
      </w:r>
    </w:p>
    <w:p>
      <w:pPr>
        <w:spacing w:after="180"/>
      </w:pPr>
      <w:r>
        <w:t xml:space="preserve">Quotes have time-bounded validity windows and auto-cancel if market conditions shift too aggressively. While this protects VentoVault from margin erosion, it frustrates users who lose progress.</w:t>
      </w:r>
    </w:p>
    <w:p>
      <w:pPr>
        <w:spacing w:before="240" w:after="120"/>
      </w:pPr>
      <w:r>
        <w:rPr>
          <w:b/>
          <w:bCs/>
        </w:rPr>
        <w:t xml:space="preserve">User Pain Points:</w:t>
      </w:r>
    </w:p>
    <w:p>
      <w:pPr>
        <w:spacing w:after="60"/>
      </w:pPr>
      <w:r>
        <w:t xml:space="preserve">• Users don't notice the countdown timer until it's too late</w:t>
      </w:r>
    </w:p>
    <w:p>
      <w:pPr>
        <w:spacing w:after="60"/>
      </w:pPr>
      <w:r>
        <w:t xml:space="preserve">• Quote expiration forces them to restart the entire flow</w:t>
      </w:r>
    </w:p>
    <w:p>
      <w:pPr>
        <w:spacing w:after="60"/>
      </w:pPr>
      <w:r>
        <w:t xml:space="preserve">• Auto-cancel due to market shifts feels like a bait-and-switch</w:t>
      </w:r>
    </w:p>
    <w:p>
      <w:pPr>
        <w:spacing w:after="360"/>
      </w:pPr>
      <w:r>
        <w:t xml:space="preserve">• No option to accept a revised quote—only binary restart</w:t>
      </w:r>
    </w:p>
    <w:p>
      <w:pPr>
        <w:pStyle w:val="Heading2"/>
      </w:pPr>
      <w:r>
        <w:t xml:space="preserve">Solution: Auto-Refresh with User Notification</w:t>
      </w:r>
    </w:p>
    <w:p>
      <w:pPr>
        <w:spacing w:before="240" w:after="120"/>
      </w:pPr>
      <w:r>
        <w:rPr>
          <w:b/>
          <w:bCs/>
        </w:rPr>
        <w:t xml:space="preserve">Design Principles:</w:t>
      </w:r>
    </w:p>
    <w:p>
      <w:pPr>
        <w:spacing w:after="60"/>
      </w:pPr>
      <w:r>
        <w:t xml:space="preserve">1. Proactive refresh – Auto-fetch new quote when validity window approaches</w:t>
      </w:r>
    </w:p>
    <w:p>
      <w:pPr>
        <w:spacing w:after="60"/>
      </w:pPr>
      <w:r>
        <w:t xml:space="preserve">2. Always better, never worse – Only show updated quote if it's improved or comparable</w:t>
      </w:r>
    </w:p>
    <w:p>
      <w:pPr>
        <w:spacing w:after="60"/>
      </w:pPr>
      <w:r>
        <w:t xml:space="preserve">3. User choice – If rate worsens, offer 'Accept New Rate' vs. 'Cancel Transfer'</w:t>
      </w:r>
    </w:p>
    <w:p>
      <w:pPr>
        <w:spacing w:after="360"/>
      </w:pPr>
      <w:r>
        <w:t xml:space="preserve">4. Transparency – Show old vs. new rate with delta highlighted</w:t>
      </w:r>
    </w:p>
    <w:p>
      <w:pPr>
        <w:pStyle w:val="Heading3"/>
      </w:pPr>
      <w:r>
        <w:t xml:space="preserve">Wireframe: Quote Refresh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F3FF" w:val="clear"/>
            <w:tcMar>
              <w:top w:type="dxa" w:w="240"/>
              <w:left w:type="dxa" w:w="240"/>
              <w:bottom w:type="dxa" w:w="240"/>
              <w:right w:type="dxa" w:w="240"/>
            </w:tcMar>
          </w:tcPr>
          <w:p>
            <w:pPr>
              <w:spacing w:after="240"/>
            </w:pPr>
            <w:r>
              <w:rPr>
                <w:b/>
                <w:bCs/>
                <w:i/>
                <w:iCs/>
                <w:sz w:val="24"/>
                <w:szCs w:val="24"/>
              </w:rPr>
              <w:t xml:space="preserve">Modal Overlay (appears at 30 seconds remaining)</w:t>
            </w:r>
          </w:p>
          <w:p>
            <w:pPr>
              <w:spacing w:after="120"/>
            </w:pPr>
            <w:r>
              <w:rPr>
                <w:b/>
                <w:bCs/>
                <w:color w:val="28A745"/>
                <w:sz w:val="28"/>
                <w:szCs w:val="28"/>
              </w:rPr>
              <w:t xml:space="preserve">Good News: We've Updated Your Rate</w:t>
            </w:r>
          </w:p>
          <w:p>
            <w:pPr>
              <w:spacing w:after="360"/>
            </w:pPr>
            <w:r>
              <w:rPr>
                <w:color w:val="666666"/>
                <w:sz w:val="22"/>
                <w:szCs w:val="22"/>
              </w:rPr>
              <w:t xml:space="preserve">Market conditions improved—you'll save an extra $0.47</w:t>
            </w:r>
          </w:p>
          <w:p>
            <w:pPr>
              <w:spacing w:after="120"/>
            </w:pPr>
            <w:r>
              <w:rPr>
                <w:b/>
                <w:bCs/>
                <w:sz w:val="24"/>
                <w:szCs w:val="24"/>
              </w:rPr>
              <w:t xml:space="preserve">Rate Comparison</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F8F9FA" w:val="clear"/>
            <w:tcMar>
              <w:top w:type="dxa" w:w="120"/>
              <w:left w:type="dxa" w:w="120"/>
              <w:bottom w:type="dxa" w:w="120"/>
              <w:right w:type="dxa" w:w="120"/>
            </w:tcMar>
          </w:tcPr>
          <w:p>
            <w:pPr>
              <w:jc w:val="center"/>
            </w:pPr>
            <w:r>
              <w:rPr>
                <w:b/>
                <w:bCs/>
                <w:sz w:val="22"/>
                <w:szCs w:val="22"/>
              </w:rPr>
              <w:t xml:space="preserve">Metric</w:t>
            </w:r>
          </w:p>
        </w:tc>
        <w:tc>
          <w:tcPr>
            <w:tcW w:type="dxa" w:w="2880"/>
            <w:tcBorders>
              <w:top w:val="single" w:color="CCCCCC" w:sz="1"/>
              <w:left w:val="single" w:color="CCCCCC" w:sz="1"/>
              <w:bottom w:val="single" w:color="CCCCCC" w:sz="1"/>
              <w:right w:val="single" w:color="CCCCCC" w:sz="1"/>
            </w:tcBorders>
            <w:shd w:fill="F8F9FA" w:val="clear"/>
            <w:tcMar>
              <w:top w:type="dxa" w:w="120"/>
              <w:left w:type="dxa" w:w="120"/>
              <w:bottom w:type="dxa" w:w="120"/>
              <w:right w:type="dxa" w:w="120"/>
            </w:tcMar>
          </w:tcPr>
          <w:p>
            <w:pPr>
              <w:jc w:val="center"/>
            </w:pPr>
            <w:r>
              <w:rPr>
                <w:b/>
                <w:bCs/>
                <w:sz w:val="22"/>
                <w:szCs w:val="22"/>
              </w:rPr>
              <w:t xml:space="preserve">Original Quote</w:t>
            </w:r>
          </w:p>
        </w:tc>
        <w:tc>
          <w:tcPr>
            <w:tcW w:type="dxa" w:w="2880"/>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tcPr>
          <w:p>
            <w:pPr>
              <w:jc w:val="center"/>
            </w:pPr>
            <w:r>
              <w:rPr>
                <w:b/>
                <w:bCs/>
                <w:color w:val="28A745"/>
                <w:sz w:val="22"/>
                <w:szCs w:val="22"/>
              </w:rPr>
              <w:t xml:space="preserve">Updated Quote</w:t>
            </w:r>
          </w:p>
        </w:tc>
      </w:tr>
      <w:tr>
        <w:tc>
          <w:tcPr>
            <w:tcW w:type="dxa" w:w="288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sz w:val="20"/>
                <w:szCs w:val="20"/>
              </w:rPr>
              <w:t xml:space="preserve">Exchange Rate</w:t>
            </w:r>
          </w:p>
        </w:tc>
        <w:tc>
          <w:tcPr>
            <w:tcW w:type="dxa" w:w="288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sz w:val="20"/>
                <w:szCs w:val="20"/>
              </w:rPr>
              <w:t xml:space="preserve">1.2450</w:t>
            </w:r>
          </w:p>
        </w:tc>
        <w:tc>
          <w:tcPr>
            <w:tcW w:type="dxa" w:w="2880"/>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tcPr>
          <w:p>
            <w:pPr>
              <w:jc w:val="center"/>
            </w:pPr>
            <w:r>
              <w:rPr>
                <w:b/>
                <w:bCs/>
                <w:color w:val="28A745"/>
                <w:sz w:val="20"/>
                <w:szCs w:val="20"/>
              </w:rPr>
              <w:t xml:space="preserve">1.2468</w:t>
            </w:r>
          </w:p>
        </w:tc>
      </w:tr>
      <w:tr>
        <w:tc>
          <w:tcPr>
            <w:tcW w:type="dxa" w:w="288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sz w:val="20"/>
                <w:szCs w:val="20"/>
              </w:rPr>
              <w:t xml:space="preserve">Recipient Gets</w:t>
            </w:r>
          </w:p>
        </w:tc>
        <w:tc>
          <w:tcPr>
            <w:tcW w:type="dxa" w:w="288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sz w:val="20"/>
                <w:szCs w:val="20"/>
              </w:rPr>
              <w:t xml:space="preserve">€498.00</w:t>
            </w:r>
          </w:p>
        </w:tc>
        <w:tc>
          <w:tcPr>
            <w:tcW w:type="dxa" w:w="2880"/>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tcPr>
          <w:p>
            <w:pPr>
              <w:jc w:val="center"/>
            </w:pPr>
            <w:r>
              <w:rPr>
                <w:b/>
                <w:bCs/>
                <w:color w:val="28A745"/>
                <w:sz w:val="20"/>
                <w:szCs w:val="20"/>
              </w:rPr>
              <w:t xml:space="preserve">€498.72</w:t>
            </w:r>
          </w:p>
        </w:tc>
      </w:tr>
      <w:tr>
        <w:tc>
          <w:tcPr>
            <w:tcW w:type="dxa" w:w="288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sz w:val="20"/>
                <w:szCs w:val="20"/>
              </w:rPr>
              <w:t xml:space="preserve">Total Cost</w:t>
            </w:r>
          </w:p>
        </w:tc>
        <w:tc>
          <w:tcPr>
            <w:tcW w:type="dxa" w:w="288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sz w:val="20"/>
                <w:szCs w:val="20"/>
              </w:rPr>
              <w:t xml:space="preserve">$412.50</w:t>
            </w:r>
          </w:p>
        </w:tc>
        <w:tc>
          <w:tcPr>
            <w:tcW w:type="dxa" w:w="2880"/>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tcPr>
          <w:p>
            <w:pPr>
              <w:jc w:val="center"/>
            </w:pPr>
            <w:r>
              <w:rPr>
                <w:b/>
                <w:bCs/>
                <w:color w:val="28A745"/>
                <w:sz w:val="20"/>
                <w:szCs w:val="20"/>
              </w:rPr>
              <w:t xml:space="preserve">$412.03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F3FF" w:val="clear"/>
            <w:tcMar>
              <w:top w:type="dxa" w:w="240"/>
              <w:left w:type="dxa" w:w="240"/>
              <w:bottom w:type="dxa" w:w="240"/>
              <w:right w:type="dxa" w:w="240"/>
            </w:tcMar>
          </w:tcPr>
          <w:p>
            <w:pPr>
              <w:spacing w:before="240" w:after="120"/>
            </w:pPr>
            <w:r>
              <w:rPr>
                <w:b/>
                <w:bCs/>
                <w:sz w:val="24"/>
                <w:szCs w:val="24"/>
              </w:rPr>
              <w:t xml:space="preserve">Call to Action</w:t>
            </w:r>
          </w:p>
          <w:p>
            <w:pPr>
              <w:spacing w:after="120"/>
              <w:jc w:val="center"/>
            </w:pPr>
            <w:r>
              <w:rPr>
                <w:b/>
                <w:bCs/>
                <w:color w:val="FFFFFF"/>
                <w:sz w:val="26"/>
                <w:szCs w:val="26"/>
              </w:rPr>
              <w:t xml:space="preserve">[Button] Continue with Updated Rate →</w:t>
            </w:r>
          </w:p>
          <w:p>
            <w:pPr>
              <w:jc w:val="center"/>
            </w:pPr>
            <w:r>
              <w:rPr>
                <w:color w:val="666666"/>
                <w:sz w:val="18"/>
                <w:szCs w:val="18"/>
              </w:rPr>
              <w:t xml:space="preserve">This rate is valid for 5 minutes</w:t>
            </w:r>
          </w:p>
        </w:tc>
      </w:tr>
    </w:tbl>
    <w:p>
      <w:pPr>
        <w:pStyle w:val="Heading3"/>
      </w:pPr>
      <w:r>
        <w:t xml:space="preserve">Wireframe: Rate Worsened Scenario</w:t>
      </w:r>
    </w:p>
    <w:p>
      <w:pPr>
        <w:spacing w:before="240" w:after="120"/>
      </w:pPr>
      <w:r>
        <w:t xml:space="preserve">If the rate worsens beyond the acceptable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240"/>
              <w:left w:type="dxa" w:w="240"/>
              <w:bottom w:type="dxa" w:w="240"/>
              <w:right w:type="dxa" w:w="240"/>
            </w:tcMar>
          </w:tcPr>
          <w:p>
            <w:pPr>
              <w:spacing w:after="120"/>
            </w:pPr>
            <w:r>
              <w:rPr>
                <w:b/>
                <w:bCs/>
                <w:color w:val="856404"/>
                <w:sz w:val="28"/>
                <w:szCs w:val="28"/>
              </w:rPr>
              <w:t xml:space="preserve">Rate Update Required</w:t>
            </w:r>
          </w:p>
          <w:p>
            <w:pPr>
              <w:spacing w:after="360"/>
            </w:pPr>
            <w:r>
              <w:rPr>
                <w:color w:val="666666"/>
                <w:sz w:val="22"/>
                <w:szCs w:val="22"/>
              </w:rPr>
              <w:t xml:space="preserve">Market conditions changed—the recipient would receive €497.15 instead of €498.00</w:t>
            </w:r>
          </w:p>
          <w:p>
            <w:pPr>
              <w:spacing w:after="360"/>
            </w:pPr>
            <w:r>
              <w:rPr>
                <w:b/>
                <w:bCs/>
                <w:color w:val="856404"/>
                <w:sz w:val="22"/>
                <w:szCs w:val="22"/>
              </w:rPr>
              <w:t xml:space="preserve">⚠️ The difference: €0.85 less than originally quoted</w:t>
            </w:r>
          </w:p>
          <w:p>
            <w:pPr>
              <w:spacing w:after="120"/>
            </w:pPr>
            <w:r>
              <w:rPr>
                <w:b/>
                <w:bCs/>
                <w:sz w:val="24"/>
                <w:szCs w:val="24"/>
              </w:rPr>
              <w:t xml:space="preserve">Your Options:</w:t>
            </w:r>
          </w:p>
          <w:p>
            <w:pPr>
              <w:spacing w:after="120"/>
              <w:jc w:val="center"/>
            </w:pPr>
            <w:r>
              <w:rPr>
                <w:b/>
                <w:bCs/>
                <w:sz w:val="24"/>
                <w:szCs w:val="24"/>
              </w:rPr>
              <w:t xml:space="preserve">[Button] Accept New Rate</w:t>
            </w:r>
          </w:p>
          <w:p>
            <w:pPr>
              <w:spacing w:after="240"/>
              <w:jc w:val="center"/>
            </w:pPr>
            <w:r>
              <w:rPr>
                <w:color w:val="0066CC"/>
                <w:sz w:val="22"/>
                <w:szCs w:val="22"/>
              </w:rPr>
              <w:t xml:space="preserve">[Link] Cancel &amp; Try Again Later</w:t>
            </w:r>
          </w:p>
          <w:p>
            <w:pPr>
              <w:spacing w:after="120"/>
            </w:pPr>
            <w:r>
              <w:rPr>
                <w:i/>
                <w:iCs/>
                <w:color w:val="666666"/>
                <w:sz w:val="20"/>
                <w:szCs w:val="20"/>
              </w:rPr>
              <w:t xml:space="preserve">💡 Tip: Rates typically stabilize outside market opening hours (after 4 PM ET)</w:t>
            </w:r>
          </w:p>
        </w:tc>
      </w:tr>
    </w:tbl>
    <w:p>
      <w:pPr>
        <w:spacing w:before="360" w:after="120"/>
      </w:pPr>
      <w:r>
        <w:rPr>
          <w:b/>
          <w:bCs/>
        </w:rPr>
        <w:t xml:space="preserve">Key UX Improvements:</w:t>
      </w:r>
    </w:p>
    <w:p>
      <w:pPr>
        <w:spacing w:after="60"/>
      </w:pPr>
      <w:r>
        <w:t xml:space="preserve">• Proactive refresh at 30 seconds remaining (not at expiration)</w:t>
      </w:r>
    </w:p>
    <w:p>
      <w:pPr>
        <w:spacing w:after="60"/>
      </w:pPr>
      <w:r>
        <w:t xml:space="preserve">• Visual comparison table shows old vs. new with delta highlighted</w:t>
      </w:r>
    </w:p>
    <w:p>
      <w:pPr>
        <w:spacing w:after="60"/>
      </w:pPr>
      <w:r>
        <w:t xml:space="preserve">• 'Good news' framing when rate improves builds positive sentiment</w:t>
      </w:r>
    </w:p>
    <w:p>
      <w:pPr>
        <w:spacing w:after="60"/>
      </w:pPr>
      <w:r>
        <w:t xml:space="preserve">• When rate worsens, user gets choice (not forced cancellation)</w:t>
      </w:r>
    </w:p>
    <w:p>
      <w:pPr>
        <w:spacing w:after="360"/>
      </w:pPr>
      <w:r>
        <w:t xml:space="preserve">• Tip about market timing helps users optimize future transfers</w:t>
      </w:r>
    </w:p>
    <w:p>
      <w:r>
        <w:br w:type="page"/>
      </w:r>
    </w:p>
    <w:p>
      <w:pPr>
        <w:pStyle w:val="Heading1"/>
      </w:pPr>
      <w:r>
        <w:t xml:space="preserve">Problem 4: Vague Error Messages</w:t>
      </w:r>
    </w:p>
    <w:p>
      <w:pPr>
        <w:spacing w:before="240" w:after="120"/>
      </w:pPr>
      <w:r>
        <w:rPr>
          <w:b/>
          <w:bCs/>
        </w:rPr>
        <w:t xml:space="preserve">Current State:</w:t>
      </w:r>
    </w:p>
    <w:p>
      <w:pPr>
        <w:spacing w:after="180"/>
      </w:pPr>
      <w:r>
        <w:t xml:space="preserve">To avoid tipping off fraudsters, the manual states that messages must remain neutral (e.g., 'requires additional review'). However, this frustrates legitimate users who don't understand what went wrong or how long they'll wait.</w:t>
      </w:r>
    </w:p>
    <w:p>
      <w:pPr>
        <w:spacing w:before="240" w:after="120"/>
      </w:pPr>
      <w:r>
        <w:rPr>
          <w:b/>
          <w:bCs/>
        </w:rPr>
        <w:t xml:space="preserve">User Pain Points:</w:t>
      </w:r>
    </w:p>
    <w:p>
      <w:pPr>
        <w:spacing w:after="60"/>
      </w:pPr>
      <w:r>
        <w:t xml:space="preserve">• Generic 'under review' messages create anxiety</w:t>
      </w:r>
    </w:p>
    <w:p>
      <w:pPr>
        <w:spacing w:after="60"/>
      </w:pPr>
      <w:r>
        <w:t xml:space="preserve">• No timeframe provided ('hours? days? weeks?')</w:t>
      </w:r>
    </w:p>
    <w:p>
      <w:pPr>
        <w:spacing w:after="60"/>
      </w:pPr>
      <w:r>
        <w:t xml:space="preserve">• Users assume their account is flagged or they did something wrong</w:t>
      </w:r>
    </w:p>
    <w:p>
      <w:pPr>
        <w:spacing w:after="360"/>
      </w:pPr>
      <w:r>
        <w:t xml:space="preserve">• No guidance on what action (if any) they should take</w:t>
      </w:r>
    </w:p>
    <w:p>
      <w:pPr>
        <w:pStyle w:val="Heading2"/>
      </w:pPr>
      <w:r>
        <w:t xml:space="preserve">Solution: Progressive Disclosure with Context</w:t>
      </w:r>
    </w:p>
    <w:p>
      <w:pPr>
        <w:spacing w:before="240" w:after="120"/>
      </w:pPr>
      <w:r>
        <w:rPr>
          <w:b/>
          <w:bCs/>
        </w:rPr>
        <w:t xml:space="preserve">Design Principles:</w:t>
      </w:r>
    </w:p>
    <w:p>
      <w:pPr>
        <w:spacing w:after="60"/>
      </w:pPr>
      <w:r>
        <w:t xml:space="preserve">1. Normalize the experience – 'This is typical for first-time recipients'</w:t>
      </w:r>
    </w:p>
    <w:p>
      <w:pPr>
        <w:spacing w:after="60"/>
      </w:pPr>
      <w:r>
        <w:t xml:space="preserve">2. Set expectations – Provide clear timeframes ('within 4 hours')</w:t>
      </w:r>
    </w:p>
    <w:p>
      <w:pPr>
        <w:spacing w:after="60"/>
      </w:pPr>
      <w:r>
        <w:t xml:space="preserve">3. Offer next steps – Tell users what (if anything) they should do</w:t>
      </w:r>
    </w:p>
    <w:p>
      <w:pPr>
        <w:spacing w:after="360"/>
      </w:pPr>
      <w:r>
        <w:t xml:space="preserve">4. Build trust – Explain the review is for safety, not suspicion</w:t>
      </w:r>
    </w:p>
    <w:p>
      <w:pPr>
        <w:pStyle w:val="Heading3"/>
      </w:pPr>
      <w:r>
        <w:t xml:space="preserve">Wireframe: Enhanced Error/Hold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80"/>
              <w:left w:type="dxa" w:w="180"/>
              <w:bottom w:type="dxa" w:w="180"/>
              <w:right w:type="dxa" w:w="180"/>
            </w:tcMar>
          </w:tcPr>
          <w:p>
            <w:pPr>
              <w:spacing w:after="180"/>
              <w:jc w:val="center"/>
            </w:pPr>
            <w:r>
              <w:rPr>
                <w:b/>
                <w:bCs/>
                <w:color w:val="721C24"/>
                <w:sz w:val="24"/>
                <w:szCs w:val="24"/>
              </w:rPr>
              <w:t xml:space="preserve">❌ Current (Vague)</w:t>
            </w:r>
          </w:p>
          <w:p>
            <w:pPr>
              <w:spacing w:after="240"/>
            </w:pPr>
            <w:r>
              <w:rPr>
                <w:sz w:val="20"/>
                <w:szCs w:val="20"/>
              </w:rPr>
              <w:t xml:space="preserve">"Your transfer requires additional review."</w:t>
            </w:r>
          </w:p>
          <w:p>
            <w:pPr>
              <w:spacing w:after="120"/>
            </w:pPr>
            <w:r>
              <w:rPr>
                <w:b/>
                <w:bCs/>
                <w:sz w:val="20"/>
                <w:szCs w:val="20"/>
              </w:rPr>
              <w:t xml:space="preserve">Problems:</w:t>
            </w:r>
          </w:p>
          <w:p>
            <w:pPr>
              <w:spacing w:after="60"/>
            </w:pPr>
            <w:r>
              <w:rPr>
                <w:sz w:val="18"/>
                <w:szCs w:val="18"/>
              </w:rPr>
              <w:t xml:space="preserve">• No context</w:t>
            </w:r>
          </w:p>
          <w:p>
            <w:pPr>
              <w:spacing w:after="60"/>
            </w:pPr>
            <w:r>
              <w:rPr>
                <w:sz w:val="18"/>
                <w:szCs w:val="18"/>
              </w:rPr>
              <w:t xml:space="preserve">• No timeframe</w:t>
            </w:r>
          </w:p>
          <w:p>
            <w:pPr>
              <w:spacing w:after="60"/>
            </w:pPr>
            <w:r>
              <w:rPr>
                <w:sz w:val="18"/>
                <w:szCs w:val="18"/>
              </w:rPr>
              <w:t xml:space="preserve">• No next steps</w:t>
            </w:r>
          </w:p>
          <w:p>
            <w:pPr>
              <w:spacing w:after="60"/>
            </w:pPr>
            <w:r>
              <w:rPr>
                <w:sz w:val="18"/>
                <w:szCs w:val="18"/>
              </w:rPr>
              <w:t xml:space="preserve">• User assumes worst</w:t>
            </w:r>
          </w:p>
        </w:tc>
        <w:tc>
          <w:tcPr>
            <w:tcW w:type="dxa" w:w="4680"/>
            <w:tcBorders>
              <w:top w:val="single" w:color="CCCCCC" w:sz="1"/>
              <w:left w:val="single" w:color="CCCCCC" w:sz="1"/>
              <w:bottom w:val="single" w:color="CCCCCC" w:sz="1"/>
              <w:right w:val="single" w:color="CCCCCC" w:sz="1"/>
            </w:tcBorders>
            <w:shd w:fill="D4EDDA" w:val="clear"/>
            <w:tcMar>
              <w:top w:type="dxa" w:w="180"/>
              <w:left w:type="dxa" w:w="180"/>
              <w:bottom w:type="dxa" w:w="180"/>
              <w:right w:type="dxa" w:w="180"/>
            </w:tcMar>
          </w:tcPr>
          <w:p>
            <w:pPr>
              <w:spacing w:after="180"/>
              <w:jc w:val="center"/>
            </w:pPr>
            <w:r>
              <w:rPr>
                <w:b/>
                <w:bCs/>
                <w:color w:val="155724"/>
                <w:sz w:val="24"/>
                <w:szCs w:val="24"/>
              </w:rPr>
              <w:t xml:space="preserve">✓ Improved (Contextual)</w:t>
            </w:r>
          </w:p>
          <w:p>
            <w:pPr>
              <w:spacing w:after="240"/>
            </w:pPr>
            <w:r>
              <w:rPr>
                <w:sz w:val="20"/>
                <w:szCs w:val="20"/>
              </w:rPr>
              <w:t xml:space="preserve">"Your transfer is being reviewed (typical for first-time recipients). We'll update you within 4 hours."</w:t>
            </w:r>
          </w:p>
          <w:p>
            <w:pPr>
              <w:spacing w:after="120"/>
            </w:pPr>
            <w:r>
              <w:rPr>
                <w:b/>
                <w:bCs/>
                <w:sz w:val="20"/>
                <w:szCs w:val="20"/>
              </w:rPr>
              <w:t xml:space="preserve">Improvements:</w:t>
            </w:r>
          </w:p>
          <w:p>
            <w:pPr>
              <w:spacing w:after="60"/>
            </w:pPr>
            <w:r>
              <w:rPr>
                <w:sz w:val="18"/>
                <w:szCs w:val="18"/>
              </w:rPr>
              <w:t xml:space="preserve">• Normalized context</w:t>
            </w:r>
          </w:p>
          <w:p>
            <w:pPr>
              <w:spacing w:after="60"/>
            </w:pPr>
            <w:r>
              <w:rPr>
                <w:sz w:val="18"/>
                <w:szCs w:val="18"/>
              </w:rPr>
              <w:t xml:space="preserve">• Clear timeframe</w:t>
            </w:r>
          </w:p>
          <w:p>
            <w:pPr>
              <w:spacing w:after="60"/>
            </w:pPr>
            <w:r>
              <w:rPr>
                <w:sz w:val="18"/>
                <w:szCs w:val="18"/>
              </w:rPr>
              <w:t xml:space="preserve">• Reduces anxiety</w:t>
            </w:r>
          </w:p>
          <w:p>
            <w:pPr>
              <w:spacing w:after="60"/>
            </w:pPr>
            <w:r>
              <w:rPr>
                <w:sz w:val="18"/>
                <w:szCs w:val="18"/>
              </w:rPr>
              <w:t xml:space="preserve">• Still fraud-safe</w:t>
            </w:r>
          </w:p>
        </w:tc>
      </w:tr>
    </w:tbl>
    <w:p>
      <w:pPr>
        <w:pStyle w:val="Heading3"/>
      </w:pPr>
      <w:r>
        <w:t xml:space="preserve">Context-Based Error Message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9FA" w:val="clear"/>
            <w:tcMar>
              <w:top w:type="dxa" w:w="120"/>
              <w:left w:type="dxa" w:w="120"/>
              <w:bottom w:type="dxa" w:w="120"/>
              <w:right w:type="dxa" w:w="120"/>
            </w:tcMar>
          </w:tcPr>
          <w:p>
            <w:pPr>
              <w:jc w:val="center"/>
            </w:pPr>
            <w:r>
              <w:rPr>
                <w:b/>
                <w:bCs/>
                <w:sz w:val="20"/>
                <w:szCs w:val="20"/>
              </w:rPr>
              <w:t xml:space="preserve">Scenario</w:t>
            </w:r>
          </w:p>
        </w:tc>
        <w:tc>
          <w:tcPr>
            <w:tcW w:type="dxa" w:w="6560"/>
            <w:tcBorders>
              <w:top w:val="single" w:color="CCCCCC" w:sz="1"/>
              <w:left w:val="single" w:color="CCCCCC" w:sz="1"/>
              <w:bottom w:val="single" w:color="CCCCCC" w:sz="1"/>
              <w:right w:val="single" w:color="CCCCCC" w:sz="1"/>
            </w:tcBorders>
            <w:shd w:fill="F8F9FA" w:val="clear"/>
            <w:tcMar>
              <w:top w:type="dxa" w:w="120"/>
              <w:left w:type="dxa" w:w="120"/>
              <w:bottom w:type="dxa" w:w="120"/>
              <w:right w:type="dxa" w:w="120"/>
            </w:tcMar>
          </w:tcPr>
          <w:p>
            <w:pPr>
              <w:jc w:val="center"/>
            </w:pPr>
            <w:r>
              <w:rPr>
                <w:b/>
                <w:bCs/>
                <w:sz w:val="20"/>
                <w:szCs w:val="20"/>
              </w:rPr>
              <w:t xml:space="preserve">Improved Message</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18"/>
                <w:szCs w:val="18"/>
              </w:rPr>
              <w:t xml:space="preserve">First-time recipient</w:t>
            </w:r>
          </w:p>
        </w:tc>
        <w:tc>
          <w:tcPr>
            <w:tcW w:type="dxa" w:w="6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18"/>
                <w:szCs w:val="18"/>
              </w:rPr>
              <w:t xml:space="preserve">"Your transfer is being reviewed. This is standard for first-time recipients and typically takes 2-4 hours. We'll notify you by email when it's complete. No action needed from you."</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18"/>
                <w:szCs w:val="18"/>
              </w:rPr>
              <w:t xml:space="preserve">Large amount (&gt;$5k)</w:t>
            </w:r>
          </w:p>
        </w:tc>
        <w:tc>
          <w:tcPr>
            <w:tcW w:type="dxa" w:w="6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18"/>
                <w:szCs w:val="18"/>
              </w:rPr>
              <w:t xml:space="preserve">"Transfers over $5,000 require additional security checks (required by banking regulations). We'll complete the review within 4 hours and notify you via email. No action needed from you."</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18"/>
                <w:szCs w:val="18"/>
              </w:rPr>
              <w:t xml:space="preserve">High-risk corridor</w:t>
            </w:r>
          </w:p>
        </w:tc>
        <w:tc>
          <w:tcPr>
            <w:tcW w:type="dxa" w:w="6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18"/>
                <w:szCs w:val="18"/>
              </w:rPr>
              <w:t xml:space="preserve">"Transfers to [Country] require enhanced verification to comply with international regulations. This typically takes 4-6 hours. We'll notify you via email. No action needed from you."</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18"/>
                <w:szCs w:val="18"/>
              </w:rPr>
              <w:t xml:space="preserve">Document required</w:t>
            </w:r>
          </w:p>
        </w:tc>
        <w:tc>
          <w:tcPr>
            <w:tcW w:type="dxa" w:w="6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18"/>
                <w:szCs w:val="18"/>
              </w:rPr>
              <w:t xml:space="preserve">"We need to verify your identity to complete this transfer. Please upload a government-issued ID via [Link]. Once submitted, we'll complete your transfer within 2 hours."</w:t>
            </w:r>
          </w:p>
        </w:tc>
      </w:tr>
      <w:tr>
        <w:tc>
          <w:tcPr>
            <w:tcW w:type="dxa" w:w="2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18"/>
                <w:szCs w:val="18"/>
              </w:rPr>
              <w:t xml:space="preserve">Partner delay</w:t>
            </w:r>
          </w:p>
        </w:tc>
        <w:tc>
          <w:tcPr>
            <w:tcW w:type="dxa" w:w="6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18"/>
                <w:szCs w:val="18"/>
              </w:rPr>
              <w:t xml:space="preserve">"Our partner bank is experiencing delays (not related to your transfer). Your funds will be delivered within 24 hours. We'll keep you updated via email if this changes."</w:t>
            </w:r>
          </w:p>
        </w:tc>
      </w:tr>
    </w:tbl>
    <w:p>
      <w:pPr>
        <w:spacing w:before="360" w:after="120"/>
      </w:pPr>
      <w:r>
        <w:rPr>
          <w:b/>
          <w:bCs/>
        </w:rPr>
        <w:t xml:space="preserve">Key UX Improvements:</w:t>
      </w:r>
    </w:p>
    <w:p>
      <w:pPr>
        <w:spacing w:after="60"/>
      </w:pPr>
      <w:r>
        <w:t xml:space="preserve">• Context provided: 'typical for first-time recipients' normalizes the experience</w:t>
      </w:r>
    </w:p>
    <w:p>
      <w:pPr>
        <w:spacing w:after="60"/>
      </w:pPr>
      <w:r>
        <w:t xml:space="preserve">• Timeframes specified: 'within 4 hours' sets clear expectations</w:t>
      </w:r>
    </w:p>
    <w:p>
      <w:pPr>
        <w:spacing w:after="60"/>
      </w:pPr>
      <w:r>
        <w:t xml:space="preserve">• Next steps clarified: 'no action needed' or 'upload ID via link'</w:t>
      </w:r>
    </w:p>
    <w:p>
      <w:pPr>
        <w:spacing w:after="60"/>
      </w:pPr>
      <w:r>
        <w:t xml:space="preserve">• Trust signals: references to 'banking regulations' build credibility</w:t>
      </w:r>
    </w:p>
    <w:p>
      <w:pPr>
        <w:spacing w:after="360"/>
      </w:pPr>
      <w:r>
        <w:t xml:space="preserve">• Still fraud-safe: messages don't reveal specific compliance triggers</w:t>
      </w:r>
    </w:p>
    <w:p>
      <w:r>
        <w:br w:type="page"/>
      </w:r>
    </w:p>
    <w:p>
      <w:pPr>
        <w:pStyle w:val="Heading1"/>
      </w:pPr>
      <w:r>
        <w:t xml:space="preserve">Problem 5: Complex Status Tracking</w:t>
      </w:r>
    </w:p>
    <w:p>
      <w:pPr>
        <w:spacing w:before="240" w:after="120"/>
      </w:pPr>
      <w:r>
        <w:rPr>
          <w:b/>
          <w:bCs/>
        </w:rPr>
        <w:t xml:space="preserve">Current State:</w:t>
      </w:r>
    </w:p>
    <w:p>
      <w:pPr>
        <w:spacing w:after="180"/>
      </w:pPr>
      <w:r>
        <w:t xml:space="preserve">VentoVault's internal system tracks transactions through a 10-step process (Intent &amp; Quoting, Consent Bridge, Double-Validation, Funded, Layer 2 Compliance, Middle-Leg Settlement, Payout, Idempotency Check, Executed Truth, Revenue Settlement). While this granularity is necessary for operations, it's overwhelming for users.</w:t>
      </w:r>
    </w:p>
    <w:p>
      <w:pPr>
        <w:spacing w:before="240" w:after="120"/>
      </w:pPr>
      <w:r>
        <w:rPr>
          <w:b/>
          <w:bCs/>
        </w:rPr>
        <w:t xml:space="preserve">User Pain Points:</w:t>
      </w:r>
    </w:p>
    <w:p>
      <w:pPr>
        <w:spacing w:after="60"/>
      </w:pPr>
      <w:r>
        <w:t xml:space="preserve">• Users don't understand technical terms like 'Layer 2 Compliance' or 'Idempotency Check'</w:t>
      </w:r>
    </w:p>
    <w:p>
      <w:pPr>
        <w:spacing w:after="60"/>
      </w:pPr>
      <w:r>
        <w:t xml:space="preserve">• 10 steps feel endless ('Is this ever going to complete?')</w:t>
      </w:r>
    </w:p>
    <w:p>
      <w:pPr>
        <w:spacing w:after="60"/>
      </w:pPr>
      <w:r>
        <w:t xml:space="preserve">• No clear indication of which steps are critical vs. administrative</w:t>
      </w:r>
    </w:p>
    <w:p>
      <w:pPr>
        <w:spacing w:after="360"/>
      </w:pPr>
      <w:r>
        <w:t xml:space="preserve">• Users refresh status page repeatedly out of anxiety</w:t>
      </w:r>
    </w:p>
    <w:p>
      <w:pPr>
        <w:pStyle w:val="Heading2"/>
      </w:pPr>
      <w:r>
        <w:t xml:space="preserve">Solution: Simplified 4-Step User-Facing Progress</w:t>
      </w:r>
    </w:p>
    <w:p>
      <w:pPr>
        <w:spacing w:before="240" w:after="120"/>
      </w:pPr>
      <w:r>
        <w:rPr>
          <w:b/>
          <w:bCs/>
        </w:rPr>
        <w:t xml:space="preserve">Design Principles:</w:t>
      </w:r>
    </w:p>
    <w:p>
      <w:pPr>
        <w:spacing w:after="60"/>
      </w:pPr>
      <w:r>
        <w:t xml:space="preserve">1. Abstract complexity – Map 10 internal steps to 4 user-understandable phases</w:t>
      </w:r>
    </w:p>
    <w:p>
      <w:pPr>
        <w:spacing w:after="60"/>
      </w:pPr>
      <w:r>
        <w:t xml:space="preserve">2. Show real progress – Use percentage completion and estimated time</w:t>
      </w:r>
    </w:p>
    <w:p>
      <w:pPr>
        <w:spacing w:after="60"/>
      </w:pPr>
      <w:r>
        <w:t xml:space="preserve">3. Highlight the critical path – Make it clear what's happening now</w:t>
      </w:r>
    </w:p>
    <w:p>
      <w:pPr>
        <w:spacing w:after="360"/>
      </w:pPr>
      <w:r>
        <w:t xml:space="preserve">4. Reduce anxiety – Use reassuring language and trust signals</w:t>
      </w:r>
    </w:p>
    <w:p>
      <w:pPr>
        <w:pStyle w:val="Heading3"/>
      </w:pPr>
      <w:r>
        <w:t xml:space="preserve">Internal-to-External Status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F8F9FA" w:val="clear"/>
            <w:tcMar>
              <w:top w:type="dxa" w:w="120"/>
              <w:left w:type="dxa" w:w="120"/>
              <w:bottom w:type="dxa" w:w="120"/>
              <w:right w:type="dxa" w:w="120"/>
            </w:tcMar>
          </w:tcPr>
          <w:p>
            <w:pPr>
              <w:jc w:val="center"/>
            </w:pPr>
            <w:r>
              <w:rPr>
                <w:b/>
                <w:bCs/>
                <w:sz w:val="20"/>
                <w:szCs w:val="20"/>
              </w:rPr>
              <w:t xml:space="preserve">Internal Steps (10-Step Process)</w:t>
            </w:r>
          </w:p>
        </w:tc>
        <w:tc>
          <w:tcPr>
            <w:tcW w:type="dxa" w:w="3744"/>
            <w:tcBorders>
              <w:top w:val="single" w:color="CCCCCC" w:sz="1"/>
              <w:left w:val="single" w:color="CCCCCC" w:sz="1"/>
              <w:bottom w:val="single" w:color="CCCCCC" w:sz="1"/>
              <w:right w:val="single" w:color="CCCCCC" w:sz="1"/>
            </w:tcBorders>
            <w:shd w:fill="F8F9FA" w:val="clear"/>
            <w:tcMar>
              <w:top w:type="dxa" w:w="120"/>
              <w:left w:type="dxa" w:w="120"/>
              <w:bottom w:type="dxa" w:w="120"/>
              <w:right w:type="dxa" w:w="120"/>
            </w:tcMar>
          </w:tcPr>
          <w:p>
            <w:pPr>
              <w:jc w:val="center"/>
            </w:pPr>
            <w:r>
              <w:rPr>
                <w:b/>
                <w:bCs/>
                <w:sz w:val="20"/>
                <w:szCs w:val="20"/>
              </w:rPr>
              <w:t xml:space="preserve">User-Facing Status</w:t>
            </w:r>
          </w:p>
        </w:tc>
      </w:tr>
      <w:tr>
        <w:tc>
          <w:tcPr>
            <w:tcW w:type="dxa" w:w="5616"/>
            <w:tcBorders>
              <w:top w:val="single" w:color="CCCCCC" w:sz="1"/>
              <w:left w:val="single" w:color="CCCCCC" w:sz="1"/>
              <w:bottom w:val="single" w:color="CCCCCC" w:sz="1"/>
              <w:right w:val="single" w:color="CCCCCC" w:sz="1"/>
            </w:tcBorders>
            <w:shd w:fill="E7F3FF" w:val="clear"/>
            <w:tcMar>
              <w:top w:type="dxa" w:w="120"/>
              <w:left w:type="dxa" w:w="120"/>
              <w:bottom w:type="dxa" w:w="120"/>
              <w:right w:type="dxa" w:w="120"/>
            </w:tcMar>
          </w:tcPr>
          <w:p>
            <w:pPr>
              <w:spacing w:after="60"/>
            </w:pPr>
            <w:r>
              <w:rPr>
                <w:sz w:val="18"/>
                <w:szCs w:val="18"/>
              </w:rPr>
              <w:t xml:space="preserve">1. Intent &amp; Quoting</w:t>
            </w:r>
          </w:p>
          <w:p>
            <w:pPr>
              <w:spacing w:after="60"/>
            </w:pPr>
            <w:r>
              <w:rPr>
                <w:sz w:val="18"/>
                <w:szCs w:val="18"/>
              </w:rPr>
              <w:t xml:space="preserve">2. Consent Bridge</w:t>
            </w:r>
          </w:p>
          <w:p>
            <w:r>
              <w:rPr>
                <w:sz w:val="18"/>
                <w:szCs w:val="18"/>
              </w:rPr>
              <w:t xml:space="preserve">3. Double-Validation (Layer 1 &amp; 2)</w:t>
            </w:r>
          </w:p>
        </w:tc>
        <w:tc>
          <w:tcPr>
            <w:tcW w:type="dxa" w:w="3744"/>
            <w:tcBorders>
              <w:top w:val="single" w:color="CCCCCC" w:sz="1"/>
              <w:left w:val="single" w:color="CCCCCC" w:sz="1"/>
              <w:bottom w:val="single" w:color="CCCCCC" w:sz="1"/>
              <w:right w:val="single" w:color="CCCCCC" w:sz="1"/>
            </w:tcBorders>
            <w:shd w:fill="E7F3FF" w:val="clear"/>
            <w:tcMar>
              <w:top w:type="dxa" w:w="120"/>
              <w:left w:type="dxa" w:w="120"/>
              <w:bottom w:type="dxa" w:w="120"/>
              <w:right w:type="dxa" w:w="120"/>
            </w:tcMar>
            <w:vAlign w:val="center"/>
          </w:tcPr>
          <w:p>
            <w:pPr>
              <w:jc w:val="center"/>
            </w:pPr>
            <w:r>
              <w:rPr>
                <w:b/>
                <w:bCs/>
                <w:color w:val="28A745"/>
                <w:sz w:val="22"/>
                <w:szCs w:val="22"/>
              </w:rPr>
              <w:t xml:space="preserve">✓ Authorized</w:t>
            </w:r>
          </w:p>
        </w:tc>
      </w:tr>
      <w:tr>
        <w:tc>
          <w:tcPr>
            <w:tcW w:type="dxa" w:w="5616"/>
            <w:tcBorders>
              <w:top w:val="single" w:color="CCCCCC" w:sz="1"/>
              <w:left w:val="single" w:color="CCCCCC" w:sz="1"/>
              <w:bottom w:val="single" w:color="CCCCCC" w:sz="1"/>
              <w:right w:val="single" w:color="CCCCCC" w:sz="1"/>
            </w:tcBorders>
            <w:shd w:fill="FFF9E6" w:val="clear"/>
            <w:tcMar>
              <w:top w:type="dxa" w:w="120"/>
              <w:left w:type="dxa" w:w="120"/>
              <w:bottom w:type="dxa" w:w="120"/>
              <w:right w:type="dxa" w:w="120"/>
            </w:tcMar>
          </w:tcPr>
          <w:p>
            <w:pPr>
              <w:spacing w:after="60"/>
            </w:pPr>
            <w:r>
              <w:rPr>
                <w:sz w:val="18"/>
                <w:szCs w:val="18"/>
              </w:rPr>
              <w:t xml:space="preserve">4. Funding (Regulated Entry)</w:t>
            </w:r>
          </w:p>
          <w:p>
            <w:r>
              <w:rPr>
                <w:sz w:val="18"/>
                <w:szCs w:val="18"/>
              </w:rPr>
              <w:t xml:space="preserve">5. Conversion Leg (if applicable)</w:t>
            </w:r>
          </w:p>
        </w:tc>
        <w:tc>
          <w:tcPr>
            <w:tcW w:type="dxa" w:w="3744"/>
            <w:tcBorders>
              <w:top w:val="single" w:color="CCCCCC" w:sz="1"/>
              <w:left w:val="single" w:color="CCCCCC" w:sz="1"/>
              <w:bottom w:val="single" w:color="CCCCCC" w:sz="1"/>
              <w:right w:val="single" w:color="CCCCCC" w:sz="1"/>
            </w:tcBorders>
            <w:shd w:fill="FFF9E6" w:val="clear"/>
            <w:tcMar>
              <w:top w:type="dxa" w:w="120"/>
              <w:left w:type="dxa" w:w="120"/>
              <w:bottom w:type="dxa" w:w="120"/>
              <w:right w:type="dxa" w:w="120"/>
            </w:tcMar>
            <w:vAlign w:val="center"/>
          </w:tcPr>
          <w:p>
            <w:pPr>
              <w:jc w:val="center"/>
            </w:pPr>
            <w:r>
              <w:rPr>
                <w:b/>
                <w:bCs/>
                <w:color w:val="FFC107"/>
                <w:sz w:val="22"/>
                <w:szCs w:val="22"/>
              </w:rPr>
              <w:t xml:space="preserve">⏳ Funds in Transit</w:t>
            </w:r>
          </w:p>
        </w:tc>
      </w:tr>
      <w:tr>
        <w:tc>
          <w:tcPr>
            <w:tcW w:type="dxa" w:w="5616"/>
            <w:tcBorders>
              <w:top w:val="single" w:color="CCCCCC" w:sz="1"/>
              <w:left w:val="single" w:color="CCCCCC" w:sz="1"/>
              <w:bottom w:val="single" w:color="CCCCCC" w:sz="1"/>
              <w:right w:val="single" w:color="CCCCCC" w:sz="1"/>
            </w:tcBorders>
            <w:shd w:fill="F3E5F5" w:val="clear"/>
            <w:tcMar>
              <w:top w:type="dxa" w:w="120"/>
              <w:left w:type="dxa" w:w="120"/>
              <w:bottom w:type="dxa" w:w="120"/>
              <w:right w:type="dxa" w:w="120"/>
            </w:tcMar>
          </w:tcPr>
          <w:p>
            <w:pPr>
              <w:spacing w:after="60"/>
            </w:pPr>
            <w:r>
              <w:rPr>
                <w:sz w:val="18"/>
                <w:szCs w:val="18"/>
              </w:rPr>
              <w:t xml:space="preserve">6. Middle-Leg Settlement</w:t>
            </w:r>
          </w:p>
          <w:p>
            <w:pPr>
              <w:spacing w:after="60"/>
            </w:pPr>
            <w:r>
              <w:rPr>
                <w:sz w:val="18"/>
                <w:szCs w:val="18"/>
              </w:rPr>
              <w:t xml:space="preserve">7. Payout (Regulated Exit)</w:t>
            </w:r>
          </w:p>
          <w:p>
            <w:r>
              <w:rPr>
                <w:sz w:val="18"/>
                <w:szCs w:val="18"/>
              </w:rPr>
              <w:t xml:space="preserve">8. Idempotency Check</w:t>
            </w:r>
          </w:p>
        </w:tc>
        <w:tc>
          <w:tcPr>
            <w:tcW w:type="dxa" w:w="3744"/>
            <w:tcBorders>
              <w:top w:val="single" w:color="CCCCCC" w:sz="1"/>
              <w:left w:val="single" w:color="CCCCCC" w:sz="1"/>
              <w:bottom w:val="single" w:color="CCCCCC" w:sz="1"/>
              <w:right w:val="single" w:color="CCCCCC" w:sz="1"/>
            </w:tcBorders>
            <w:shd w:fill="F3E5F5" w:val="clear"/>
            <w:tcMar>
              <w:top w:type="dxa" w:w="120"/>
              <w:left w:type="dxa" w:w="120"/>
              <w:bottom w:type="dxa" w:w="120"/>
              <w:right w:type="dxa" w:w="120"/>
            </w:tcMar>
            <w:vAlign w:val="center"/>
          </w:tcPr>
          <w:p>
            <w:pPr>
              <w:jc w:val="center"/>
            </w:pPr>
            <w:r>
              <w:rPr>
                <w:b/>
                <w:bCs/>
                <w:color w:val="9C27B0"/>
                <w:sz w:val="22"/>
                <w:szCs w:val="22"/>
              </w:rPr>
              <w:t xml:space="preserve">⏳ Delivering to Recipient</w:t>
            </w:r>
          </w:p>
        </w:tc>
      </w:tr>
      <w:tr>
        <w:tc>
          <w:tcPr>
            <w:tcW w:type="dxa" w:w="5616"/>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tcPr>
          <w:p>
            <w:pPr>
              <w:spacing w:after="60"/>
            </w:pPr>
            <w:r>
              <w:rPr>
                <w:sz w:val="18"/>
                <w:szCs w:val="18"/>
              </w:rPr>
              <w:t xml:space="preserve">9. Executed Truth (Reconciliation)</w:t>
            </w:r>
          </w:p>
          <w:p>
            <w:r>
              <w:rPr>
                <w:sz w:val="18"/>
                <w:szCs w:val="18"/>
              </w:rPr>
              <w:t xml:space="preserve">10. Revenue Settlement (B2B)</w:t>
            </w:r>
          </w:p>
        </w:tc>
        <w:tc>
          <w:tcPr>
            <w:tcW w:type="dxa" w:w="3744"/>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vAlign w:val="center"/>
          </w:tcPr>
          <w:p>
            <w:pPr>
              <w:jc w:val="center"/>
            </w:pPr>
            <w:r>
              <w:rPr>
                <w:b/>
                <w:bCs/>
                <w:color w:val="155724"/>
                <w:sz w:val="22"/>
                <w:szCs w:val="22"/>
              </w:rPr>
              <w:t xml:space="preserve">✓ Delivered</w:t>
            </w:r>
          </w:p>
        </w:tc>
      </w:tr>
    </w:tbl>
    <w:p>
      <w:pPr>
        <w:pStyle w:val="Heading3"/>
      </w:pPr>
      <w:r>
        <w:t xml:space="preserve">Wireframe: Simplified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240"/>
              <w:left w:type="dxa" w:w="240"/>
              <w:bottom w:type="dxa" w:w="240"/>
              <w:right w:type="dxa" w:w="240"/>
            </w:tcMar>
          </w:tcPr>
          <w:p>
            <w:pPr>
              <w:spacing w:after="120"/>
            </w:pPr>
            <w:r>
              <w:rPr>
                <w:b/>
                <w:bCs/>
                <w:color w:val="1F4788"/>
                <w:sz w:val="32"/>
                <w:szCs w:val="32"/>
              </w:rPr>
              <w:t xml:space="preserve">Transfer Status</w:t>
            </w:r>
          </w:p>
          <w:p>
            <w:pPr>
              <w:spacing w:after="360"/>
            </w:pPr>
            <w:r>
              <w:rPr>
                <w:color w:val="666666"/>
                <w:sz w:val="22"/>
                <w:szCs w:val="22"/>
              </w:rPr>
              <w:t xml:space="preserve">Sending $500.00 → Recipient receives €498.72</w:t>
            </w:r>
          </w:p>
          <w:p>
            <w:pPr>
              <w:spacing w:after="120"/>
            </w:pPr>
            <w:r>
              <w:rPr>
                <w:b/>
                <w:bCs/>
                <w:sz w:val="24"/>
                <w:szCs w:val="24"/>
              </w:rPr>
              <w:t xml:space="preserve">Progress: 75% Complete</w:t>
            </w:r>
          </w:p>
          <w:p>
            <w:pPr>
              <w:spacing w:after="360"/>
              <w:jc w:val="center"/>
            </w:pPr>
            <w:r>
              <w:rPr>
                <w:i/>
                <w:iCs/>
                <w:sz w:val="22"/>
                <w:szCs w:val="22"/>
              </w:rPr>
              <w:t xml:space="preserve">[Progress Bar: 75% filled]</w:t>
            </w:r>
          </w:p>
          <w:p>
            <w:pPr>
              <w:spacing w:after="120"/>
            </w:pPr>
            <w:r>
              <w:rPr>
                <w:b/>
                <w:bCs/>
                <w:sz w:val="24"/>
                <w:szCs w:val="24"/>
              </w:rPr>
              <w:t xml:space="preserve">Delivery Timeline</w:t>
            </w:r>
          </w:p>
          <w:p>
            <w:pPr>
              <w:spacing w:after="60"/>
            </w:pPr>
            <w:r>
              <w:rPr>
                <w:color w:val="28A745"/>
                <w:sz w:val="20"/>
                <w:szCs w:val="20"/>
              </w:rPr>
              <w:t xml:space="preserve">✓ Authorized – Completed at 2:15 PM</w:t>
            </w:r>
          </w:p>
          <w:p>
            <w:pPr>
              <w:spacing w:after="60"/>
            </w:pPr>
            <w:r>
              <w:rPr>
                <w:color w:val="28A745"/>
                <w:sz w:val="20"/>
                <w:szCs w:val="20"/>
              </w:rPr>
              <w:t xml:space="preserve">✓ Funds in Transit – Completed at 2:18 PM</w:t>
            </w:r>
          </w:p>
          <w:p>
            <w:pPr>
              <w:spacing w:after="60"/>
            </w:pPr>
            <w:r>
              <w:rPr>
                <w:b/>
                <w:bCs/>
                <w:color w:val="FFC107"/>
                <w:sz w:val="20"/>
                <w:szCs w:val="20"/>
              </w:rPr>
              <w:t xml:space="preserve">⏳ Delivering to Recipient – In Progress (Est. 3:00 PM)</w:t>
            </w:r>
          </w:p>
          <w:p>
            <w:pPr>
              <w:spacing w:after="360"/>
            </w:pPr>
            <w:r>
              <w:rPr>
                <w:color w:val="CCCCCC"/>
                <w:sz w:val="20"/>
                <w:szCs w:val="20"/>
              </w:rPr>
              <w:t xml:space="preserve">⏸ Delivered – Pending</w:t>
            </w:r>
          </w:p>
          <w:p>
            <w:pPr>
              <w:spacing w:after="120"/>
            </w:pPr>
            <w:r>
              <w:rPr>
                <w:b/>
                <w:bCs/>
                <w:sz w:val="24"/>
                <w:szCs w:val="24"/>
              </w:rPr>
              <w:t xml:space="preserve">What's Happening Now?</w:t>
            </w:r>
          </w:p>
          <w:p>
            <w:pPr>
              <w:spacing w:after="240"/>
            </w:pPr>
            <w:r>
              <w:rPr>
                <w:sz w:val="22"/>
                <w:szCs w:val="22"/>
              </w:rPr>
              <w:t xml:space="preserve">Our partner bank is delivering funds to the recipient's account. This typically takes 15-30 minutes.</w:t>
            </w:r>
          </w:p>
          <w:p>
            <w:pPr>
              <w:spacing w:after="360"/>
            </w:pPr>
            <w:r>
              <w:rPr>
                <w:i/>
                <w:iCs/>
                <w:color w:val="0066CC"/>
                <w:sz w:val="20"/>
                <w:szCs w:val="20"/>
              </w:rPr>
              <w:t xml:space="preserve">💡 You'll receive an email confirmation once delivery is complete.</w:t>
            </w:r>
          </w:p>
          <w:p>
            <w:pPr>
              <w:jc w:val="center"/>
            </w:pPr>
            <w:r>
              <w:rPr>
                <w:color w:val="0066CC"/>
                <w:sz w:val="20"/>
                <w:szCs w:val="20"/>
              </w:rPr>
              <w:t xml:space="preserve">[Link] View Detailed Transaction Log</w:t>
            </w:r>
          </w:p>
        </w:tc>
      </w:tr>
    </w:tbl>
    <w:p>
      <w:pPr>
        <w:spacing w:before="360" w:after="120"/>
      </w:pPr>
      <w:r>
        <w:rPr>
          <w:b/>
          <w:bCs/>
        </w:rPr>
        <w:t xml:space="preserve">Key UX Improvements:</w:t>
      </w:r>
    </w:p>
    <w:p>
      <w:pPr>
        <w:spacing w:after="60"/>
      </w:pPr>
      <w:r>
        <w:t xml:space="preserve">• 10 internal steps condensed to 4 user-friendly phases</w:t>
      </w:r>
    </w:p>
    <w:p>
      <w:pPr>
        <w:spacing w:after="60"/>
      </w:pPr>
      <w:r>
        <w:t xml:space="preserve">• Progress bar with percentage creates tangible sense of advancement</w:t>
      </w:r>
    </w:p>
    <w:p>
      <w:pPr>
        <w:spacing w:after="60"/>
      </w:pPr>
      <w:r>
        <w:t xml:space="preserve">• Timestamps for completed steps build confidence</w:t>
      </w:r>
    </w:p>
    <w:p>
      <w:pPr>
        <w:spacing w:after="60"/>
      </w:pPr>
      <w:r>
        <w:t xml:space="preserve">• 'What's happening now?' section explains the current stage in plain language</w:t>
      </w:r>
    </w:p>
    <w:p>
      <w:pPr>
        <w:spacing w:after="60"/>
      </w:pPr>
      <w:r>
        <w:t xml:space="preserve">• Estimated completion time ('Est. 3:00 PM') sets expectations</w:t>
      </w:r>
    </w:p>
    <w:p>
      <w:pPr>
        <w:spacing w:after="360"/>
      </w:pPr>
      <w:r>
        <w:t xml:space="preserve">• Optional detailed log available for power users (progressive disclosure)</w:t>
      </w:r>
    </w:p>
    <w:p>
      <w:r>
        <w:br w:type="page"/>
      </w:r>
    </w:p>
    <w:p>
      <w:pPr>
        <w:pStyle w:val="Heading1"/>
      </w:pPr>
      <w:r>
        <w:t xml:space="preserve">Implementation Recommendations</w:t>
      </w:r>
    </w:p>
    <w:p>
      <w:pPr>
        <w:pStyle w:val="Heading2"/>
      </w:pPr>
      <w:r>
        <w:t xml:space="preserve">Priority 1: High Impact, Low Complexity</w:t>
      </w:r>
    </w:p>
    <w:p>
      <w:pPr>
        <w:spacing w:before="240" w:after="120"/>
      </w:pPr>
      <w:r>
        <w:rPr>
          <w:b/>
          <w:bCs/>
        </w:rPr>
        <w:t xml:space="preserve">1. Enhanced Error Messaging (1-2 weeks)</w:t>
      </w:r>
    </w:p>
    <w:p>
      <w:pPr>
        <w:spacing w:after="60"/>
      </w:pPr>
      <w:r>
        <w:t xml:space="preserve">• Implementation: Update message templates with context-aware strings</w:t>
      </w:r>
    </w:p>
    <w:p>
      <w:pPr>
        <w:spacing w:after="60"/>
      </w:pPr>
      <w:r>
        <w:t xml:space="preserve">• Engineering Effort: Low (config changes only)</w:t>
      </w:r>
    </w:p>
    <w:p>
      <w:pPr>
        <w:spacing w:after="240"/>
      </w:pPr>
      <w:r>
        <w:t xml:space="preserve">• Expected Impact: 40% reduction in support tickets related to holds/reviews</w:t>
      </w:r>
    </w:p>
    <w:p>
      <w:pPr>
        <w:spacing w:before="240" w:after="120"/>
      </w:pPr>
      <w:r>
        <w:rPr>
          <w:b/>
          <w:bCs/>
        </w:rPr>
        <w:t xml:space="preserve">2. Authorization Delay Progress Indicator (2-3 weeks)</w:t>
      </w:r>
    </w:p>
    <w:p>
      <w:pPr>
        <w:spacing w:after="60"/>
      </w:pPr>
      <w:r>
        <w:t xml:space="preserve">• Implementation: Add countdown timer and educational micro-copy to Consent Bridge screen</w:t>
      </w:r>
    </w:p>
    <w:p>
      <w:pPr>
        <w:spacing w:after="60"/>
      </w:pPr>
      <w:r>
        <w:t xml:space="preserve">• Engineering Effort: Low (frontend UI changes)</w:t>
      </w:r>
    </w:p>
    <w:p>
      <w:pPr>
        <w:spacing w:after="240"/>
      </w:pPr>
      <w:r>
        <w:t xml:space="preserve">• Expected Impact: 25% reduction in user anxiety scores (post-transaction surveys)</w:t>
      </w:r>
    </w:p>
    <w:p>
      <w:pPr>
        <w:pStyle w:val="Heading2"/>
      </w:pPr>
      <w:r>
        <w:t xml:space="preserve">Priority 2: High Impact, Moderate Complexity</w:t>
      </w:r>
    </w:p>
    <w:p>
      <w:pPr>
        <w:spacing w:before="240" w:after="120"/>
      </w:pPr>
      <w:r>
        <w:rPr>
          <w:b/>
          <w:bCs/>
        </w:rPr>
        <w:t xml:space="preserve">3. Consent Bridge Visual Redesign (3-4 weeks)</w:t>
      </w:r>
    </w:p>
    <w:p>
      <w:pPr>
        <w:spacing w:after="60"/>
      </w:pPr>
      <w:r>
        <w:t xml:space="preserve">• Implementation: Replace text list with visual journey map, add trust badges, implement progressive disclosure</w:t>
      </w:r>
    </w:p>
    <w:p>
      <w:pPr>
        <w:spacing w:after="60"/>
      </w:pPr>
      <w:r>
        <w:t xml:space="preserve">• Engineering Effort: Moderate (requires design assets + frontend overhaul)</w:t>
      </w:r>
    </w:p>
    <w:p>
      <w:pPr>
        <w:spacing w:after="240"/>
      </w:pPr>
      <w:r>
        <w:t xml:space="preserve">• Expected Impact: 35% reduction in drop-off at Consent Bridge stage</w:t>
      </w:r>
    </w:p>
    <w:p>
      <w:pPr>
        <w:spacing w:before="240" w:after="120"/>
      </w:pPr>
      <w:r>
        <w:rPr>
          <w:b/>
          <w:bCs/>
        </w:rPr>
        <w:t xml:space="preserve">4. Simplified Status Tracking (3-4 weeks)</w:t>
      </w:r>
    </w:p>
    <w:p>
      <w:pPr>
        <w:spacing w:after="60"/>
      </w:pPr>
      <w:r>
        <w:t xml:space="preserve">• Implementation: Map 10-step internal process to 4-step user-facing progress indicator</w:t>
      </w:r>
    </w:p>
    <w:p>
      <w:pPr>
        <w:spacing w:after="60"/>
      </w:pPr>
      <w:r>
        <w:t xml:space="preserve">• Engineering Effort: Moderate (backend state mapping + frontend UI)</w:t>
      </w:r>
    </w:p>
    <w:p>
      <w:pPr>
        <w:spacing w:after="240"/>
      </w:pPr>
      <w:r>
        <w:t xml:space="preserve">• Expected Impact: 30% reduction in status page refresh rates (server load improvement)</w:t>
      </w:r>
    </w:p>
    <w:p>
      <w:pPr>
        <w:pStyle w:val="Heading2"/>
      </w:pPr>
      <w:r>
        <w:t xml:space="preserve">Priority 3: High Impact, High Complexity</w:t>
      </w:r>
    </w:p>
    <w:p>
      <w:pPr>
        <w:spacing w:before="240" w:after="120"/>
      </w:pPr>
      <w:r>
        <w:rPr>
          <w:b/>
          <w:bCs/>
        </w:rPr>
        <w:t xml:space="preserve">5. Auto-Refresh Quote System (4-6 weeks)</w:t>
      </w:r>
    </w:p>
    <w:p>
      <w:pPr>
        <w:spacing w:after="60"/>
      </w:pPr>
      <w:r>
        <w:t xml:space="preserve">• Implementation: Build auto-refresh logic that triggers at 30 seconds remaining, with modal overlays for rate changes</w:t>
      </w:r>
    </w:p>
    <w:p>
      <w:pPr>
        <w:spacing w:after="60"/>
      </w:pPr>
      <w:r>
        <w:t xml:space="preserve">• Engineering Effort: High (backend quote engine + frontend state management)</w:t>
      </w:r>
    </w:p>
    <w:p>
      <w:pPr>
        <w:spacing w:after="240"/>
      </w:pPr>
      <w:r>
        <w:t xml:space="preserve">• Expected Impact: 50% reduction in quote expiration support tickets</w:t>
      </w:r>
    </w:p>
    <w:p>
      <w:pPr>
        <w:pStyle w:val="Heading2"/>
      </w:pPr>
      <w:r>
        <w:t xml:space="preserve">A/B Testing Strategy</w:t>
      </w:r>
    </w:p>
    <w:p>
      <w:pPr>
        <w:spacing w:before="240" w:after="120"/>
      </w:pPr>
      <w:r>
        <w:t xml:space="preserve">To validate impact, implement these changes with A/B tests:</w:t>
      </w:r>
    </w:p>
    <w:p>
      <w:pPr>
        <w:spacing w:after="60"/>
      </w:pPr>
      <w:r>
        <w:t xml:space="preserve">• Control Group: Existing UX</w:t>
      </w:r>
    </w:p>
    <w:p>
      <w:pPr>
        <w:spacing w:after="60"/>
      </w:pPr>
      <w:r>
        <w:t xml:space="preserve">• Test Group: New UX improvements</w:t>
      </w:r>
    </w:p>
    <w:p>
      <w:pPr>
        <w:spacing w:after="60"/>
      </w:pPr>
      <w:r>
        <w:t xml:space="preserve">• Metrics: Drop-off rates, support ticket volume, time-to-completion, post-transaction satisfaction scores</w:t>
      </w:r>
    </w:p>
    <w:p>
      <w:pPr>
        <w:spacing w:after="360"/>
      </w:pPr>
      <w:r>
        <w:t xml:space="preserve">• Duration: 2-4 weeks per test (sufficient sample size)</w:t>
      </w:r>
    </w:p>
    <w:p>
      <w:r>
        <w:br w:type="page"/>
      </w:r>
    </w:p>
    <w:p>
      <w:pPr>
        <w:pStyle w:val="Heading1"/>
      </w:pPr>
      <w:r>
        <w:t xml:space="preserve">Conclusion</w:t>
      </w:r>
    </w:p>
    <w:p>
      <w:pPr>
        <w:spacing w:before="240" w:after="180"/>
      </w:pPr>
      <w:r>
        <w:t xml:space="preserve">VentoVault has built an exceptionally well-architected payment system with institutional-grade compliance. The proposed UX improvements preserve 100% of the regulatory posture while significantly reducing user friction.</w:t>
      </w:r>
    </w:p>
    <w:p>
      <w:pPr>
        <w:spacing w:before="360" w:after="120"/>
      </w:pPr>
      <w:r>
        <w:rPr>
          <w:b/>
          <w:bCs/>
        </w:rPr>
        <w:t xml:space="preserve">Key Takeaways:</w:t>
      </w:r>
    </w:p>
    <w:p>
      <w:pPr>
        <w:spacing w:after="120"/>
      </w:pPr>
      <w:r>
        <w:t xml:space="preserve">1. The Consent Bridge is legally brilliant but feels like a barrier—visual journey maps with trust signals will reduce perceived complexity</w:t>
      </w:r>
    </w:p>
    <w:p>
      <w:pPr>
        <w:spacing w:after="120"/>
      </w:pPr>
      <w:r>
        <w:t xml:space="preserve">2. The 30-second authorization delay is a feature, not a bug—reframe it with progress indicators and educational content</w:t>
      </w:r>
    </w:p>
    <w:p>
      <w:pPr>
        <w:spacing w:after="120"/>
      </w:pPr>
      <w:r>
        <w:t xml:space="preserve">3. Quote validity windows frustrate users—auto-refresh with user choice (instead of forced cancellation) will reduce drop-off</w:t>
      </w:r>
    </w:p>
    <w:p>
      <w:pPr>
        <w:spacing w:after="120"/>
      </w:pPr>
      <w:r>
        <w:t xml:space="preserve">4. Vague error messages create anxiety—context-aware progressive disclosure balances fraud prevention with user experience</w:t>
      </w:r>
    </w:p>
    <w:p>
      <w:pPr>
        <w:spacing w:after="360"/>
      </w:pPr>
      <w:r>
        <w:t xml:space="preserve">5. The 10-step internal process is operationally necessary but overwhelming—map it to 4 user-friendly phases with clear progress indicators</w:t>
      </w:r>
    </w:p>
    <w:p>
      <w:pPr>
        <w:spacing w:before="480" w:after="120"/>
      </w:pPr>
      <w:r>
        <w:rPr>
          <w:b/>
          <w:bCs/>
        </w:rPr>
        <w:t xml:space="preserve">Expected Outcomes:</w:t>
      </w:r>
    </w:p>
    <w:p>
      <w:pPr>
        <w:spacing w:after="60"/>
      </w:pPr>
      <w:r>
        <w:t xml:space="preserve">• 35% reduction in Consent Bridge drop-off</w:t>
      </w:r>
    </w:p>
    <w:p>
      <w:pPr>
        <w:spacing w:after="60"/>
      </w:pPr>
      <w:r>
        <w:t xml:space="preserve">• 50% decrease in quote expiration support tickets</w:t>
      </w:r>
    </w:p>
    <w:p>
      <w:pPr>
        <w:spacing w:after="60"/>
      </w:pPr>
      <w:r>
        <w:t xml:space="preserve">• 40% improvement in perceived trust scores</w:t>
      </w:r>
    </w:p>
    <w:p>
      <w:pPr>
        <w:spacing w:after="60"/>
      </w:pPr>
      <w:r>
        <w:t xml:space="preserve">• 30% reduction in status page refresh rates</w:t>
      </w:r>
    </w:p>
    <w:p>
      <w:pPr>
        <w:spacing w:after="360"/>
      </w:pPr>
      <w:r>
        <w:t xml:space="preserve">• Maintained 100% regulatory compliance posture</w:t>
      </w:r>
    </w:p>
    <w:p>
      <w:pPr>
        <w:spacing w:before="480" w:after="120"/>
      </w:pPr>
      <w:r>
        <w:rPr>
          <w:b/>
          <w:bCs/>
        </w:rPr>
        <w:t xml:space="preserve">Next Steps:</w:t>
      </w:r>
    </w:p>
    <w:p>
      <w:pPr>
        <w:spacing w:after="60"/>
      </w:pPr>
      <w:r>
        <w:t xml:space="preserve">1. Review wireframes with product and design teams</w:t>
      </w:r>
    </w:p>
    <w:p>
      <w:pPr>
        <w:spacing w:after="60"/>
      </w:pPr>
      <w:r>
        <w:t xml:space="preserve">2. Prioritize implementations based on engineering capacity</w:t>
      </w:r>
    </w:p>
    <w:p>
      <w:pPr>
        <w:spacing w:after="60"/>
      </w:pPr>
      <w:r>
        <w:t xml:space="preserve">3. Set up A/B testing infrastructure for impact validation</w:t>
      </w:r>
    </w:p>
    <w:p>
      <w:pPr>
        <w:spacing w:after="60"/>
      </w:pPr>
      <w:r>
        <w:t xml:space="preserve">4. Begin with Priority 1 implementations (enhanced error messaging + authorization delay UI)</w:t>
      </w:r>
    </w:p>
    <w:p>
      <w:pPr>
        <w:spacing w:after="360"/>
      </w:pPr>
      <w:r>
        <w:t xml:space="preserve">5. Iterate based on user feedback and metrics</w:t>
      </w:r>
    </w:p>
    <w:p>
      <w:pPr>
        <w:spacing w:before="480" w:after="240"/>
        <w:jc w:val="center"/>
      </w:pPr>
      <w:r>
        <w:t xml:space="preserve">VentoVault has built the payment system regulators wish everyone would build. With these UX improvements, it will also become the system users love to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E5C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A7B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2026-02-11T12:52:38.021Z</dcterms:created>
  <dcterms:modified xsi:type="dcterms:W3CDTF">2026-02-11T12:52:38.021Z</dcterms:modified>
</cp:coreProperties>
</file>

<file path=docProps/custom.xml><?xml version="1.0" encoding="utf-8"?>
<Properties xmlns="http://schemas.openxmlformats.org/officeDocument/2006/custom-properties" xmlns:vt="http://schemas.openxmlformats.org/officeDocument/2006/docPropsVTypes"/>
</file>