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BBD6" w14:textId="77777777"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58A8DB2E" w14:textId="77777777" w:rsidR="000408E8" w:rsidRDefault="00000000" w:rsidP="001705F3">
      <w:pPr>
        <w:spacing w:after="40" w:line="480" w:lineRule="auto"/>
        <w:jc w:val="center"/>
      </w:pPr>
      <w:r>
        <w:rPr>
          <w:b/>
          <w:bCs/>
        </w:rPr>
        <w:t>Francisco Henríquez Palacios</w:t>
      </w:r>
      <w:r>
        <w:rPr>
          <w:rStyle w:val="Refdenotaalpie"/>
        </w:rPr>
        <w:footnoteReference w:id="1"/>
      </w:r>
    </w:p>
    <w:p w14:paraId="60ED56C4" w14:textId="77777777" w:rsidR="000408E8" w:rsidRDefault="00000000" w:rsidP="001705F3">
      <w:pPr>
        <w:spacing w:after="240" w:line="480" w:lineRule="auto"/>
        <w:jc w:val="center"/>
      </w:pPr>
      <w:r>
        <w:t>Servicio de Impuestos Internos (SII), Chile</w:t>
      </w:r>
    </w:p>
    <w:p w14:paraId="0C267BFE" w14:textId="77777777" w:rsidR="000408E8" w:rsidRDefault="00000000" w:rsidP="001705F3">
      <w:pPr>
        <w:keepNext/>
        <w:spacing w:before="160" w:after="60" w:line="480" w:lineRule="auto"/>
      </w:pPr>
      <w:r>
        <w:rPr>
          <w:b/>
          <w:bCs/>
          <w:color w:val="002060"/>
        </w:rPr>
        <w:t>Nota biográfica</w:t>
      </w:r>
    </w:p>
    <w:p w14:paraId="3B6F6A22" w14:textId="77777777" w:rsidR="000408E8" w:rsidRDefault="00686689" w:rsidP="001705F3">
      <w:pPr>
        <w:spacing w:after="160" w:line="480" w:lineRule="auto"/>
        <w:jc w:val="both"/>
      </w:pPr>
      <w:r>
        <w:t>Francisco Henríquez Palacios es ingeniero comercial por la Pontificia Universidad Católica de Valparaíso y magíster en Economía Aplicada por la Universidad de Chile. Actualmente se desempeña como analista en el Departamento de Estudios Económicos y Tributarios del Servicio de Impuestos Internos de Chile.</w:t>
      </w:r>
    </w:p>
    <w:p w14:paraId="3C47704B" w14:textId="77777777" w:rsidR="000408E8" w:rsidRDefault="00000000" w:rsidP="001705F3">
      <w:pPr>
        <w:keepNext/>
        <w:spacing w:before="160" w:after="60" w:line="480" w:lineRule="auto"/>
      </w:pPr>
      <w:r>
        <w:rPr>
          <w:b/>
          <w:bCs/>
          <w:color w:val="002060"/>
        </w:rPr>
        <w:t>Sinopsis</w:t>
      </w:r>
    </w:p>
    <w:p w14:paraId="1BABD433" w14:textId="77777777"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0.27 puntos del PIB; una rebaja del impuesto de primera categoría de 27% a 26% la reduce en 0.14 puntos.</w:t>
      </w:r>
    </w:p>
    <w:p w14:paraId="29F87209" w14:textId="77777777" w:rsidR="000408E8" w:rsidRDefault="00000000" w:rsidP="001705F3">
      <w:pPr>
        <w:keepNext/>
        <w:spacing w:before="160" w:after="60" w:line="480" w:lineRule="auto"/>
      </w:pPr>
      <w:r>
        <w:rPr>
          <w:b/>
          <w:bCs/>
          <w:color w:val="002060"/>
        </w:rPr>
        <w:lastRenderedPageBreak/>
        <w:t>Palabras clave</w:t>
      </w:r>
    </w:p>
    <w:p w14:paraId="3B3B7E04" w14:textId="77777777" w:rsidR="000408E8" w:rsidRDefault="00000000" w:rsidP="001705F3">
      <w:pPr>
        <w:spacing w:after="160" w:line="480" w:lineRule="auto"/>
        <w:jc w:val="both"/>
      </w:pPr>
      <w:r>
        <w:t>Equilibrio general computable; política tributaria; matriz de contabilidad social; impacto recaudatorio.</w:t>
      </w:r>
    </w:p>
    <w:p w14:paraId="745E2283" w14:textId="77777777" w:rsidR="000408E8" w:rsidRDefault="00000000" w:rsidP="001705F3">
      <w:pPr>
        <w:keepNext/>
        <w:spacing w:before="160" w:after="60" w:line="480" w:lineRule="auto"/>
      </w:pPr>
      <w:r>
        <w:rPr>
          <w:b/>
          <w:bCs/>
          <w:color w:val="002060"/>
        </w:rPr>
        <w:t>Índice de contenidos</w:t>
      </w:r>
    </w:p>
    <w:p w14:paraId="5A5EEB3B" w14:textId="77777777" w:rsidR="000408E8" w:rsidRDefault="00000000" w:rsidP="001705F3">
      <w:pPr>
        <w:spacing w:line="480" w:lineRule="auto"/>
        <w:ind w:left="360"/>
      </w:pPr>
      <w:r>
        <w:t>1. Introducción</w:t>
      </w:r>
    </w:p>
    <w:p w14:paraId="06732927" w14:textId="77777777" w:rsidR="000408E8" w:rsidRDefault="00000000" w:rsidP="001705F3">
      <w:pPr>
        <w:spacing w:line="480" w:lineRule="auto"/>
        <w:ind w:left="360"/>
      </w:pPr>
      <w:r>
        <w:t>2. La matriz de contabilidad social</w:t>
      </w:r>
    </w:p>
    <w:p w14:paraId="0AFE742B" w14:textId="77777777" w:rsidR="000408E8" w:rsidRDefault="00000000" w:rsidP="001705F3">
      <w:pPr>
        <w:spacing w:line="480" w:lineRule="auto"/>
        <w:ind w:left="360"/>
      </w:pPr>
      <w:r>
        <w:t>3. El modelo</w:t>
      </w:r>
    </w:p>
    <w:p w14:paraId="5EBB5589" w14:textId="77777777" w:rsidR="000408E8" w:rsidRDefault="00000000" w:rsidP="001705F3">
      <w:pPr>
        <w:spacing w:line="480" w:lineRule="auto"/>
        <w:ind w:left="360"/>
      </w:pPr>
      <w:r>
        <w:t>4. Evaluación del impacto fiscal</w:t>
      </w:r>
    </w:p>
    <w:p w14:paraId="53CD4049" w14:textId="77777777" w:rsidR="000408E8" w:rsidRDefault="00000000" w:rsidP="001705F3">
      <w:pPr>
        <w:spacing w:line="480" w:lineRule="auto"/>
        <w:ind w:left="360"/>
      </w:pPr>
      <w:r>
        <w:t>5. Aplicaciones</w:t>
      </w:r>
    </w:p>
    <w:p w14:paraId="0428105B" w14:textId="23382B01" w:rsidR="000408E8" w:rsidRDefault="00000000" w:rsidP="001705F3">
      <w:pPr>
        <w:spacing w:line="480" w:lineRule="auto"/>
        <w:ind w:left="360"/>
      </w:pPr>
      <w:r>
        <w:t>6. Verificaciones de consistencia y plausibilidad económica</w:t>
      </w:r>
    </w:p>
    <w:p w14:paraId="100832C0" w14:textId="77777777" w:rsidR="000408E8" w:rsidRDefault="00000000" w:rsidP="001705F3">
      <w:pPr>
        <w:spacing w:line="480" w:lineRule="auto"/>
        <w:ind w:left="360"/>
      </w:pPr>
      <w:r>
        <w:t>7. Conclusión</w:t>
      </w:r>
    </w:p>
    <w:p w14:paraId="258FB25D" w14:textId="77777777" w:rsidR="000408E8" w:rsidRDefault="00000000" w:rsidP="001705F3">
      <w:pPr>
        <w:spacing w:line="480" w:lineRule="auto"/>
        <w:ind w:left="360"/>
      </w:pPr>
      <w:r>
        <w:t>8. Disponibilidad de código</w:t>
      </w:r>
    </w:p>
    <w:p w14:paraId="14BA5F9F" w14:textId="77777777" w:rsidR="000408E8" w:rsidRDefault="00000000" w:rsidP="001705F3">
      <w:pPr>
        <w:spacing w:line="480" w:lineRule="auto"/>
        <w:ind w:left="360"/>
      </w:pPr>
      <w:r>
        <w:t>Referencias</w:t>
      </w:r>
    </w:p>
    <w:p w14:paraId="4CF31554" w14:textId="77777777" w:rsidR="000408E8" w:rsidRDefault="00000000" w:rsidP="001705F3">
      <w:pPr>
        <w:spacing w:line="480" w:lineRule="auto"/>
        <w:ind w:left="360"/>
      </w:pPr>
      <w:r>
        <w:t>Anexo A. Especificación formal del modelo</w:t>
      </w:r>
    </w:p>
    <w:p w14:paraId="248604B2" w14:textId="77777777" w:rsidR="000408E8" w:rsidRDefault="00000000" w:rsidP="001705F3">
      <w:pPr>
        <w:spacing w:line="480" w:lineRule="auto"/>
      </w:pPr>
      <w:r>
        <w:br w:type="page"/>
      </w:r>
    </w:p>
    <w:p w14:paraId="446ED796" w14:textId="77777777" w:rsidR="000408E8" w:rsidRDefault="00000000" w:rsidP="001705F3">
      <w:pPr>
        <w:pStyle w:val="Ttulo1"/>
        <w:spacing w:line="480" w:lineRule="auto"/>
      </w:pPr>
      <w:r>
        <w:lastRenderedPageBreak/>
        <w:t>1. Introducción</w:t>
      </w:r>
    </w:p>
    <w:p w14:paraId="6B5174CC" w14:textId="77777777" w:rsidR="000408E8" w:rsidRDefault="00000000" w:rsidP="001705F3">
      <w:pPr>
        <w:spacing w:after="160" w:line="480" w:lineRule="auto"/>
        <w:jc w:val="both"/>
      </w:pPr>
      <w:r>
        <w:t>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(Shoven &amp; Whalley, 1984), porque representan de manera consistente la producción, el consumo, el comercio exterior y las cuentas del gobierno.</w:t>
      </w:r>
    </w:p>
    <w:p w14:paraId="2EFAB81D"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6375E9B4" w14:textId="77777777" w:rsidR="000408E8" w:rsidRDefault="00000000" w:rsidP="001705F3">
      <w:pPr>
        <w:spacing w:after="160" w:line="480" w:lineRule="auto"/>
        <w:jc w:val="both"/>
      </w:pPr>
      <w:r>
        <w:lastRenderedPageBreak/>
        <w:t>La variación de la recaudación de cada instrumento se descompone en efectos tasa, base y precio mediante el valor de Shapley (Shapley, 1953). Esta descomposición distingue el efecto de las tasas de la respuesta de las bases, en volumen y en valor real, tanto la del impuesto modificado como la de los demás.</w:t>
      </w:r>
    </w:p>
    <w:p w14:paraId="3D938EEF"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la recaudación aumenta 0.27 puntos del PIB: la respuesta de las bases absorbe 39.5% del efecto tasa, y 45% de esa erosión ocurre fuera del propio IVA. En el segundo, la recaudación disminuye 0.14 puntos del PIB: la respuesta de las bases compensa 16.3% del efecto tasa, y 71% de esa compensación proviene de impuestos distintos del IDPC.</w:t>
      </w:r>
    </w:p>
    <w:p w14:paraId="60DF39EB"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6EBDD711" w14:textId="77777777" w:rsidR="000408E8" w:rsidRDefault="00000000" w:rsidP="001705F3">
      <w:pPr>
        <w:pStyle w:val="Ttulo1"/>
        <w:spacing w:line="480" w:lineRule="auto"/>
      </w:pPr>
      <w:r>
        <w:t>2. La matriz de contabilidad social</w:t>
      </w:r>
    </w:p>
    <w:p w14:paraId="03F09A32"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r>
      <w:r>
        <w:lastRenderedPageBreak/>
        <w:t>del mundo y ahorro–inversión, y registra por separado cada instrumento tributario: impuestos directos, impuestos a la producción, IVA, impuestos específicos y aranceles.</w:t>
      </w:r>
    </w:p>
    <w:p w14:paraId="40581CBF" w14:textId="77777777" w:rsidR="000408E8" w:rsidRDefault="00000000" w:rsidP="001705F3">
      <w:pPr>
        <w:spacing w:after="160" w:line="480" w:lineRule="auto"/>
        <w:jc w:val="both"/>
      </w:pPr>
      <w:r>
        <w:t>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 (o secundaria) completa, y la alta, a quienes tienen educación superior completa o incompleta. Las remuneraciones de cada sector se distribuyen entre los tres tipos según esa estructura.</w:t>
      </w:r>
    </w:p>
    <w:p w14:paraId="0F53A827" w14:textId="77777777"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17668EB4" w14:textId="77777777" w:rsidR="000408E8" w:rsidRDefault="00000000" w:rsidP="001705F3">
      <w:pPr>
        <w:spacing w:after="160" w:line="480" w:lineRule="auto"/>
        <w:jc w:val="both"/>
      </w:pPr>
      <w:r>
        <w:t>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El modelo reproduce exactamente la matriz en su equilibrio base.</w:t>
      </w:r>
    </w:p>
    <w:p w14:paraId="547D3B26" w14:textId="77777777" w:rsidR="000408E8" w:rsidRDefault="00000000" w:rsidP="001705F3">
      <w:pPr>
        <w:pStyle w:val="Ttulo1"/>
        <w:spacing w:line="480" w:lineRule="auto"/>
      </w:pPr>
      <w:r>
        <w:lastRenderedPageBreak/>
        <w:t>3. El modelo</w:t>
      </w:r>
    </w:p>
    <w:p w14:paraId="6352FDA4" w14:textId="77777777" w:rsidR="000408E8" w:rsidRDefault="00000000" w:rsidP="001705F3">
      <w:pPr>
        <w:pStyle w:val="Ttulo2"/>
        <w:spacing w:line="480" w:lineRule="auto"/>
      </w:pPr>
      <w:r>
        <w:t>3.1 Visión general</w:t>
      </w:r>
    </w:p>
    <w:p w14:paraId="01D95872" w14:textId="77777777" w:rsidR="000408E8" w:rsidRDefault="00000000" w:rsidP="001705F3">
      <w:pPr>
        <w:spacing w:after="160" w:line="480" w:lineRule="auto"/>
        <w:jc w:val="both"/>
      </w:pPr>
      <w:r>
        <w:t>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gEcon de R. En términos generales, las empresas de doce sectores contratan trabajo y capital y venden su producción en un mercado de bienes abierto al exterior; los ingresos generados se distribuyen entre el hogar, las firmas y el gobierno, y el ahorro de todos ellos financia la inversión. La especificación formal completa se presenta en el Anexo A.</w:t>
      </w:r>
    </w:p>
    <w:p w14:paraId="0A22B50E" w14:textId="77777777" w:rsidR="000408E8" w:rsidRDefault="00000000" w:rsidP="001705F3">
      <w:pPr>
        <w:pStyle w:val="Ttulo2"/>
        <w:spacing w:line="480" w:lineRule="auto"/>
      </w:pPr>
      <w:r>
        <w:t>3.2 Producción y comercio exterior</w:t>
      </w:r>
    </w:p>
    <w:p w14:paraId="708890EF" w14:textId="77777777" w:rsidR="000408E8" w:rsidRDefault="00000000" w:rsidP="001705F3">
      <w:pPr>
        <w:spacing w:after="160" w:line="480" w:lineRule="auto"/>
        <w:jc w:val="both"/>
      </w:pPr>
      <w:r>
        <w:t>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422D1029" w14:textId="77777777" w:rsidR="000408E8" w:rsidRDefault="00000000" w:rsidP="001705F3">
      <w:pPr>
        <w:pStyle w:val="Ttulo2"/>
        <w:spacing w:line="480" w:lineRule="auto"/>
      </w:pPr>
      <w:r>
        <w:lastRenderedPageBreak/>
        <w:t>3.3 Hogar, firmas y gobierno</w:t>
      </w:r>
    </w:p>
    <w:p w14:paraId="55D1BC7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6A377386" w14:textId="7777777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6C57BD29" w14:textId="77777777" w:rsidR="000408E8" w:rsidRDefault="00000000" w:rsidP="001705F3">
      <w:pPr>
        <w:pStyle w:val="Ttulo2"/>
        <w:spacing w:line="480" w:lineRule="auto"/>
      </w:pPr>
      <w:r>
        <w:t>3.4 Los impuestos en el modelo</w:t>
      </w:r>
    </w:p>
    <w:p w14:paraId="7D00B3CB" w14:textId="77777777"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1EFE7426" w14:textId="77777777" w:rsidR="000408E8" w:rsidRDefault="00000000" w:rsidP="001705F3">
      <w:pPr>
        <w:spacing w:after="160" w:line="480" w:lineRule="auto"/>
        <w:jc w:val="both"/>
      </w:pPr>
      <w:r>
        <w:lastRenderedPageBreak/>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22BAA3F5" w14:textId="77777777" w:rsidR="000408E8" w:rsidRDefault="00000000" w:rsidP="001705F3">
      <w:pPr>
        <w:spacing w:after="160" w:line="480" w:lineRule="auto"/>
        <w:jc w:val="both"/>
      </w:pPr>
      <w:r>
        <w:t>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6D30B2C9" w14:textId="77777777" w:rsidR="000408E8" w:rsidRDefault="00000000" w:rsidP="001705F3">
      <w:pPr>
        <w:pStyle w:val="Ttulo2"/>
        <w:spacing w:line="480" w:lineRule="auto"/>
      </w:pPr>
      <w:r>
        <w:lastRenderedPageBreak/>
        <w:t>3.5 Mercados de factores y cierre</w:t>
      </w:r>
    </w:p>
    <w:p w14:paraId="0047BF7C" w14:textId="77777777"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5B89B244" w14:textId="77777777" w:rsidR="000408E8" w:rsidRDefault="00000000" w:rsidP="001705F3">
      <w:pPr>
        <w:spacing w:after="160" w:line="480" w:lineRule="auto"/>
        <w:jc w:val="both"/>
      </w:pPr>
      <w:r>
        <w:t>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son supuestos del modelo. La Tabla 1 resume los parámetros principales, y la Sección 6 examina la sensibilidad de los resultados recaudatorios a las elasticidades de oferta de los factores.</w:t>
      </w:r>
    </w:p>
    <w:p w14:paraId="4C88B9B7" w14:textId="77777777" w:rsidR="000408E8" w:rsidRDefault="00000000" w:rsidP="001705F3">
      <w:pPr>
        <w:keepNext/>
        <w:keepLines/>
        <w:spacing w:before="120" w:after="100" w:line="480" w:lineRule="auto"/>
      </w:pPr>
      <w:r>
        <w:rPr>
          <w:b/>
          <w:bCs/>
          <w:color w:val="002060"/>
        </w:rPr>
        <w:lastRenderedPageBreak/>
        <w:t>Tabla 1.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7"/>
        <w:gridCol w:w="718"/>
      </w:tblGrid>
      <w:tr w:rsidR="007F1CAF" w14:paraId="0CD76351"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4496FA2"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4C5EA4" w14:textId="77777777" w:rsidR="007F1CAF" w:rsidRDefault="007F1CAF" w:rsidP="001705F3">
            <w:pPr>
              <w:keepNext/>
              <w:spacing w:line="480" w:lineRule="auto"/>
              <w:jc w:val="center"/>
            </w:pPr>
            <w:r>
              <w:rPr>
                <w:b/>
                <w:bCs/>
                <w:color w:val="FFFFFF"/>
              </w:rPr>
              <w:t>Valor</w:t>
            </w:r>
          </w:p>
        </w:tc>
      </w:tr>
      <w:tr w:rsidR="007F1CAF" w14:paraId="43861DAC"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09D492"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2CCB76" w14:textId="77777777" w:rsidR="007F1CAF" w:rsidRDefault="007F1CAF" w:rsidP="001705F3">
            <w:pPr>
              <w:keepNext/>
              <w:spacing w:line="480" w:lineRule="auto"/>
              <w:jc w:val="center"/>
            </w:pPr>
            <w:r>
              <w:t>1.5</w:t>
            </w:r>
          </w:p>
        </w:tc>
      </w:tr>
      <w:tr w:rsidR="007F1CAF" w14:paraId="6BC5486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2D24FB"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DF06E53" w14:textId="77777777" w:rsidR="007F1CAF" w:rsidRDefault="007F1CAF" w:rsidP="001705F3">
            <w:pPr>
              <w:keepNext/>
              <w:spacing w:line="480" w:lineRule="auto"/>
              <w:jc w:val="center"/>
            </w:pPr>
            <w:r>
              <w:t>1.5</w:t>
            </w:r>
          </w:p>
        </w:tc>
      </w:tr>
      <w:tr w:rsidR="007F1CAF" w14:paraId="22C8C204"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76B677"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42A536" w14:textId="77777777" w:rsidR="007F1CAF" w:rsidRDefault="007F1CAF" w:rsidP="001705F3">
            <w:pPr>
              <w:keepNext/>
              <w:spacing w:line="480" w:lineRule="auto"/>
              <w:jc w:val="center"/>
            </w:pPr>
            <w:r>
              <w:t>2.0</w:t>
            </w:r>
          </w:p>
        </w:tc>
      </w:tr>
      <w:tr w:rsidR="007F1CAF" w14:paraId="03606817"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C7CC2D"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DF0A115" w14:textId="77777777" w:rsidR="007F1CAF" w:rsidRDefault="007F1CAF" w:rsidP="001705F3">
            <w:pPr>
              <w:keepNext/>
              <w:spacing w:line="480" w:lineRule="auto"/>
              <w:jc w:val="center"/>
            </w:pPr>
            <w:r>
              <w:t>3.45</w:t>
            </w:r>
          </w:p>
        </w:tc>
      </w:tr>
      <w:tr w:rsidR="007F1CAF" w14:paraId="7E2032CA"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485FC72"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325CD5" w14:textId="77777777" w:rsidR="007F1CAF" w:rsidRDefault="007F1CAF" w:rsidP="001705F3">
            <w:pPr>
              <w:keepNext/>
              <w:spacing w:line="480" w:lineRule="auto"/>
              <w:jc w:val="center"/>
            </w:pPr>
            <w:r>
              <w:t>1.5</w:t>
            </w:r>
          </w:p>
        </w:tc>
      </w:tr>
      <w:tr w:rsidR="007F1CAF" w14:paraId="69AF65D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49604D" w14:textId="6FEE6A3E" w:rsidR="007F1CAF" w:rsidRDefault="00F27A86" w:rsidP="001705F3">
            <w:pPr>
              <w:keepNext/>
              <w:spacing w:line="480" w:lineRule="auto"/>
            </w:pPr>
            <w:r>
              <w:t>Elasticidad de la fuerza de trabajo respecto del empleo (</w:t>
            </w:r>
            <m:oMath>
              <m:r>
                <w:rPr>
                  <w:rFonts w:ascii="Cambria Math" w:hAnsi="Cambria Math"/>
                </w:rPr>
                <m:t>ε</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E00399E" w14:textId="77777777" w:rsidR="007F1CAF" w:rsidRDefault="007F1CAF" w:rsidP="001705F3">
            <w:pPr>
              <w:keepNext/>
              <w:spacing w:line="480" w:lineRule="auto"/>
              <w:jc w:val="center"/>
            </w:pPr>
            <w:r>
              <w:t>0.42</w:t>
            </w:r>
          </w:p>
        </w:tc>
      </w:tr>
      <w:tr w:rsidR="007F1CAF" w14:paraId="52EEC51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E21A36"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51432D3" w14:textId="77777777" w:rsidR="007F1CAF" w:rsidRDefault="007F1CAF" w:rsidP="001705F3">
            <w:pPr>
              <w:keepNext/>
              <w:spacing w:line="480" w:lineRule="auto"/>
              <w:jc w:val="center"/>
            </w:pPr>
            <w:r>
              <w:t>0.82</w:t>
            </w:r>
          </w:p>
        </w:tc>
      </w:tr>
    </w:tbl>
    <w:p w14:paraId="2D0C91B3"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563E414A" w14:textId="77777777" w:rsidR="000408E8" w:rsidRDefault="00000000" w:rsidP="001705F3">
      <w:pPr>
        <w:spacing w:after="160" w:line="480" w:lineRule="auto"/>
        <w:jc w:val="both"/>
      </w:pPr>
      <w:r>
        <w:t>El cierre macroeconómico determina cómo se reequilibra la economía tras una reforma. El índice de precios al consumidor es el numerario y el sistema es homogéneo de grado cero en precios. La inversión se ajusta al ahorro total de hogares, firmas y gobierno, de modo que una variación del ahorro público se traduce en una variación de la inversión del mismo signo. El ahorro externo es fijo en moneda extranjera, y el tipo de cambio real se ajusta para mantenerlo en su nivel.</w:t>
      </w:r>
    </w:p>
    <w:p w14:paraId="2D5B95BE" w14:textId="77777777" w:rsidR="000408E8" w:rsidRDefault="00000000" w:rsidP="001705F3">
      <w:pPr>
        <w:pStyle w:val="Ttulo1"/>
        <w:spacing w:line="480" w:lineRule="auto"/>
      </w:pPr>
      <w:r>
        <w:lastRenderedPageBreak/>
        <w:t>4. Evaluación del impacto fiscal</w:t>
      </w:r>
    </w:p>
    <w:p w14:paraId="2D8C560B" w14:textId="77777777" w:rsidR="000408E8" w:rsidRDefault="00000000" w:rsidP="001705F3">
      <w:pPr>
        <w:spacing w:after="160" w:line="480" w:lineRule="auto"/>
        <w:jc w:val="both"/>
      </w:pPr>
      <w:r>
        <w:t>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atribuido al cambio de las tasas; un efecto base, que recoge la respuesta del volumen de las cantidades gravadas ―consumo, empleo, producción, utilización del capital o importaciones―, y un efecto precio, que refleja la variación del valor real de esas bases respecto de la canasta de consumo. La separación utiliza el valor de Shapley (Shapley, 1953) en la formulación de Sun (1998), que reparte simétricamente las interacciones entre los tres factores y garantiza que los componentes sumen exactamente el cambio observado (Anexo A.10).</w:t>
      </w:r>
    </w:p>
    <w:p w14:paraId="7BCDAA6D" w14:textId="77777777" w:rsidR="000408E8" w:rsidRDefault="00000000" w:rsidP="001705F3">
      <w:pPr>
        <w:spacing w:after="160" w:line="480" w:lineRule="auto"/>
        <w:jc w:val="both"/>
      </w:pPr>
      <w:r>
        <w:t xml:space="preserve">El efecto tasa de Shapley incluye la parte de las interacciones con cantidades y precios que se atribuye al cambio de tasas. Por ello, se distingue del efecto mecánico puro, que mantiene las bases y los precios en sus niveles iniciales y corresponde a la estimación tradicional. Una reforma modifica cantidades y precios relativos en toda la economía, por lo que las bases de los impuestos que no se modificaron también cambian, y el resultado neto incorpora la variación de todos los impuestos. Como el IPC es el numerario, los tres componentes son reales: el efecto precio no depende de la escala de los precios nominales, sino de la incidencia del impuesto, esto es, de qué parte de la cuña recae sobre los precios básicos y las remuneraciones de los factores (Shoven &amp; Whalley, 1984). En consecuencia, el indicador central es la variación total de la recaudación. Se denomina erosión a la fracción del efecto tasa, en valor absoluto, que se pierde por la respuesta </w:t>
      </w:r>
      <w:r>
        <w:lastRenderedPageBreak/>
        <w:t>conjunta de volumen y valor de las bases en un alza tributaria, y compensación, a la que se recupera en una rebaja.</w:t>
      </w:r>
    </w:p>
    <w:p w14:paraId="1C100DE9" w14:textId="77777777" w:rsidR="000408E8" w:rsidRDefault="00000000" w:rsidP="001705F3">
      <w:pPr>
        <w:pStyle w:val="Ttulo1"/>
        <w:spacing w:line="480" w:lineRule="auto"/>
      </w:pPr>
      <w:r>
        <w:t>5. Aplicaciones</w:t>
      </w:r>
    </w:p>
    <w:p w14:paraId="2EF2764B"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26B0DC23" w14:textId="77777777" w:rsidR="000408E8" w:rsidRDefault="00000000" w:rsidP="001705F3">
      <w:pPr>
        <w:pStyle w:val="Ttulo2"/>
        <w:spacing w:line="480" w:lineRule="auto"/>
      </w:pPr>
      <w:r>
        <w:t>5.1 Un aumento de la tasa del IVA</w:t>
      </w:r>
    </w:p>
    <w:p w14:paraId="69F9E9BA"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33887B8F" w14:textId="77777777" w:rsidR="000408E8" w:rsidRDefault="00000000" w:rsidP="001705F3">
      <w:pPr>
        <w:keepNext/>
        <w:keepLines/>
        <w:spacing w:before="120" w:after="100" w:line="480" w:lineRule="auto"/>
      </w:pPr>
      <w:r>
        <w:rPr>
          <w:b/>
          <w:bCs/>
          <w:color w:val="002060"/>
        </w:rPr>
        <w:lastRenderedPageBreak/>
        <w:t>Tabla 2.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2119FA87"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5F8E183"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7F019C9" w14:textId="77777777" w:rsidR="000408E8" w:rsidRDefault="00000000" w:rsidP="001705F3">
            <w:pPr>
              <w:keepNext/>
              <w:spacing w:line="480" w:lineRule="auto"/>
              <w:jc w:val="right"/>
            </w:pPr>
            <w:r>
              <w:rPr>
                <w:b/>
                <w:bCs/>
                <w:color w:val="FFFFFF"/>
              </w:rPr>
              <w:t>Cambio</w:t>
            </w:r>
          </w:p>
        </w:tc>
      </w:tr>
      <w:tr w:rsidR="000408E8" w14:paraId="3FEE8CA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ACE3F5"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B222D2" w14:textId="77777777" w:rsidR="000408E8" w:rsidRDefault="00000000" w:rsidP="001705F3">
            <w:pPr>
              <w:keepNext/>
              <w:spacing w:line="480" w:lineRule="auto"/>
              <w:jc w:val="right"/>
            </w:pPr>
            <w:r>
              <w:t>−0.35%</w:t>
            </w:r>
          </w:p>
        </w:tc>
      </w:tr>
      <w:tr w:rsidR="000408E8" w14:paraId="0E4FCB16"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D96F5FA"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6755B4" w14:textId="77777777" w:rsidR="000408E8" w:rsidRDefault="00000000" w:rsidP="001705F3">
            <w:pPr>
              <w:keepNext/>
              <w:spacing w:line="480" w:lineRule="auto"/>
              <w:jc w:val="right"/>
            </w:pPr>
            <w:r>
              <w:t>−0.73%</w:t>
            </w:r>
          </w:p>
        </w:tc>
      </w:tr>
      <w:tr w:rsidR="000408E8" w14:paraId="2116669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62EC5AA"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1C6D9" w14:textId="77777777" w:rsidR="000408E8" w:rsidRDefault="00000000" w:rsidP="001705F3">
            <w:pPr>
              <w:keepNext/>
              <w:spacing w:line="480" w:lineRule="auto"/>
              <w:jc w:val="right"/>
            </w:pPr>
            <w:r>
              <w:t>+0.39%</w:t>
            </w:r>
          </w:p>
        </w:tc>
      </w:tr>
      <w:tr w:rsidR="000408E8" w14:paraId="0CB1EB03"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36AC77B"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273B9F6" w14:textId="77777777" w:rsidR="000408E8" w:rsidRDefault="00000000" w:rsidP="001705F3">
            <w:pPr>
              <w:keepNext/>
              <w:spacing w:line="480" w:lineRule="auto"/>
              <w:jc w:val="right"/>
            </w:pPr>
            <w:r>
              <w:t>+0.15 / +0.16 / +0.14 p.p.</w:t>
            </w:r>
          </w:p>
        </w:tc>
      </w:tr>
      <w:tr w:rsidR="000408E8" w14:paraId="0D1A3D65"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9180FF"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0E853D" w14:textId="77777777" w:rsidR="000408E8" w:rsidRDefault="00000000" w:rsidP="001705F3">
            <w:pPr>
              <w:keepNext/>
              <w:spacing w:line="480" w:lineRule="auto"/>
              <w:jc w:val="right"/>
            </w:pPr>
            <w:r>
              <w:t>82.0% → 81.7%</w:t>
            </w:r>
          </w:p>
        </w:tc>
      </w:tr>
    </w:tbl>
    <w:p w14:paraId="42B20310" w14:textId="77777777" w:rsidR="000408E8" w:rsidRDefault="00000000" w:rsidP="001705F3">
      <w:pPr>
        <w:spacing w:before="80" w:after="240" w:line="480" w:lineRule="auto"/>
        <w:jc w:val="both"/>
      </w:pPr>
      <w:r>
        <w:t>Fuente: elaboración propia.</w:t>
      </w:r>
    </w:p>
    <w:p w14:paraId="422C5F91" w14:textId="78787B2F" w:rsidR="000408E8" w:rsidRDefault="00A54557" w:rsidP="001705F3">
      <w:pPr>
        <w:spacing w:after="160" w:line="480" w:lineRule="auto"/>
        <w:jc w:val="both"/>
      </w:pPr>
      <w:r>
        <w:t>Desde el punto de vista de la actividad económica, e</w:t>
      </w:r>
      <w:r w:rsidR="00000000">
        <w:t>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3B5B26F3" w14:textId="77777777" w:rsidR="000408E8" w:rsidRDefault="00000000" w:rsidP="001705F3">
      <w:pPr>
        <w:keepNext/>
        <w:keepLines/>
        <w:spacing w:before="120" w:after="100" w:line="480" w:lineRule="auto"/>
      </w:pPr>
      <w:r>
        <w:rPr>
          <w:b/>
          <w:bCs/>
          <w:color w:val="002060"/>
        </w:rPr>
        <w:lastRenderedPageBreak/>
        <w:t>Tabla 3.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2147FD78"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2F219FC"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CDBACFF"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2885AF2"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415EB7B" w14:textId="77777777" w:rsidR="000408E8" w:rsidRDefault="00000000" w:rsidP="001705F3">
            <w:pPr>
              <w:keepNext/>
              <w:spacing w:line="480" w:lineRule="auto"/>
              <w:jc w:val="right"/>
            </w:pPr>
            <w:r>
              <w:rPr>
                <w:b/>
                <w:bCs/>
                <w:color w:val="FFFFFF"/>
              </w:rPr>
              <w:t>Efecto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7F780EE" w14:textId="77777777" w:rsidR="000408E8" w:rsidRDefault="00000000" w:rsidP="001705F3">
            <w:pPr>
              <w:keepNext/>
              <w:spacing w:line="480" w:lineRule="auto"/>
              <w:jc w:val="right"/>
            </w:pPr>
            <w:r>
              <w:rPr>
                <w:b/>
                <w:bCs/>
                <w:color w:val="FFFFFF"/>
              </w:rPr>
              <w:t>Base más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1A33F4" w14:textId="77777777" w:rsidR="000408E8" w:rsidRDefault="00000000" w:rsidP="001705F3">
            <w:pPr>
              <w:keepNext/>
              <w:spacing w:line="480" w:lineRule="auto"/>
              <w:jc w:val="right"/>
            </w:pPr>
            <w:r>
              <w:rPr>
                <w:b/>
                <w:bCs/>
                <w:color w:val="FFFFFF"/>
              </w:rPr>
              <w:t>Variación total</w:t>
            </w:r>
          </w:p>
        </w:tc>
      </w:tr>
      <w:tr w:rsidR="000408E8" w14:paraId="1DBCC559"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1D3B8BD"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26303D4"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969555"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AEBDC5B" w14:textId="77777777" w:rsidR="000408E8" w:rsidRDefault="00000000" w:rsidP="001705F3">
            <w:pPr>
              <w:keepNext/>
              <w:spacing w:line="480" w:lineRule="auto"/>
              <w:jc w:val="right"/>
            </w:pPr>
            <w:r>
              <w:t>−0.0462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718047" w14:textId="77777777" w:rsidR="000408E8" w:rsidRDefault="00000000" w:rsidP="001705F3">
            <w:pPr>
              <w:keepNext/>
              <w:spacing w:line="480" w:lineRule="auto"/>
              <w:jc w:val="right"/>
            </w:pPr>
            <w:r>
              <w:t>−0.0976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52E8E1" w14:textId="77777777" w:rsidR="000408E8" w:rsidRDefault="00000000" w:rsidP="001705F3">
            <w:pPr>
              <w:keepNext/>
              <w:spacing w:line="480" w:lineRule="auto"/>
              <w:jc w:val="right"/>
            </w:pPr>
            <w:r>
              <w:t>0.3538</w:t>
            </w:r>
          </w:p>
        </w:tc>
      </w:tr>
      <w:tr w:rsidR="000408E8" w14:paraId="6BAB28AD"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EBB75A"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6E5F79A"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F5884D2"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1EC36C5" w14:textId="77777777" w:rsidR="000408E8" w:rsidRDefault="00000000" w:rsidP="001705F3">
            <w:pPr>
              <w:keepNext/>
              <w:spacing w:line="480" w:lineRule="auto"/>
              <w:jc w:val="right"/>
            </w:pPr>
            <w:r>
              <w:t>−0.0252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DFDEC2D"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15A2E33" w14:textId="77777777" w:rsidR="000408E8" w:rsidRDefault="00000000" w:rsidP="001705F3">
            <w:pPr>
              <w:keepNext/>
              <w:spacing w:line="480" w:lineRule="auto"/>
              <w:jc w:val="right"/>
            </w:pPr>
            <w:r>
              <w:t>−0.0420</w:t>
            </w:r>
          </w:p>
        </w:tc>
      </w:tr>
      <w:tr w:rsidR="000408E8" w14:paraId="1AFC4155"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445FFF"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2389E2"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6D918C"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67577CF" w14:textId="77777777" w:rsidR="000408E8" w:rsidRDefault="00000000" w:rsidP="001705F3">
            <w:pPr>
              <w:keepNext/>
              <w:spacing w:line="480" w:lineRule="auto"/>
              <w:jc w:val="right"/>
            </w:pPr>
            <w:r>
              <w:t>−0.0179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212C6"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16EFD9" w14:textId="77777777" w:rsidR="000408E8" w:rsidRDefault="00000000" w:rsidP="001705F3">
            <w:pPr>
              <w:keepNext/>
              <w:spacing w:line="480" w:lineRule="auto"/>
              <w:jc w:val="right"/>
            </w:pPr>
            <w:r>
              <w:t>−0.0385</w:t>
            </w:r>
          </w:p>
        </w:tc>
      </w:tr>
      <w:tr w:rsidR="000408E8" w14:paraId="0DC08172"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5A632A20"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953FC12"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5FA0E57"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04E43E" w14:textId="77777777" w:rsidR="000408E8" w:rsidRDefault="00000000" w:rsidP="001705F3">
            <w:pPr>
              <w:keepNext/>
              <w:spacing w:line="480" w:lineRule="auto"/>
              <w:jc w:val="right"/>
            </w:pPr>
            <w:r>
              <w:rPr>
                <w:b/>
                <w:bCs/>
              </w:rPr>
              <w:t>−0.0893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7B4E0B0" w14:textId="77777777" w:rsidR="000408E8" w:rsidRDefault="00000000" w:rsidP="001705F3">
            <w:pPr>
              <w:keepNext/>
              <w:spacing w:line="480" w:lineRule="auto"/>
              <w:jc w:val="right"/>
            </w:pPr>
            <w:r>
              <w:rPr>
                <w:b/>
                <w:bCs/>
              </w:rPr>
              <w:t>−0.1782</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11C8254" w14:textId="77777777" w:rsidR="000408E8" w:rsidRDefault="00000000" w:rsidP="001705F3">
            <w:pPr>
              <w:keepNext/>
              <w:spacing w:line="480" w:lineRule="auto"/>
              <w:jc w:val="right"/>
            </w:pPr>
            <w:r>
              <w:rPr>
                <w:b/>
                <w:bCs/>
              </w:rPr>
              <w:t>0.2733</w:t>
            </w:r>
          </w:p>
        </w:tc>
      </w:tr>
    </w:tbl>
    <w:p w14:paraId="2D32BD58"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IDPC corresponde al impuesto directo de las empresas registrado en la MCS. Las sumas pueden no coincidir por redondeo. Fuente: elaboración propia.</w:t>
      </w:r>
    </w:p>
    <w:p w14:paraId="0E96A506"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respuesta de las bases resta 0.1782 puntos, 39.5% del efecto tasa, en partes similares por volumen y por valor. El efecto base, de −0.0889 puntos, recoge la menor demanda final física, la menor utilización del capital corporativo y la contracción de las demás bases. El efecto precio, de −0.0893 puntos, refleja que parte de la cuña recae sobre los precios básicos y las remuneraciones de los factores, cuyo valor real cae. Con ello, la recaudación aumenta 0.27 puntos del PIB.</w:t>
      </w:r>
    </w:p>
    <w:p w14:paraId="444598AB" w14:textId="77777777" w:rsidR="000408E8" w:rsidRDefault="00000000" w:rsidP="001705F3">
      <w:pPr>
        <w:spacing w:after="160" w:line="480" w:lineRule="auto"/>
        <w:jc w:val="both"/>
      </w:pPr>
      <w:r>
        <w:lastRenderedPageBreak/>
        <w:t>Este resultado ilustra el valor del enfoque de equilibrio general: un cálculo de equilibrio parcial que solo considerara la respuesta de la base del IVA habría ignorado 45% de la erosión, la que ocurre fuera del impuesto modificado, y habría sobrestimado el aumento de la recaudación en 29.5%.</w:t>
      </w:r>
    </w:p>
    <w:p w14:paraId="3CFEA885" w14:textId="77777777" w:rsidR="000408E8" w:rsidRDefault="00000000" w:rsidP="001705F3">
      <w:pPr>
        <w:pStyle w:val="Ttulo2"/>
        <w:spacing w:line="480" w:lineRule="auto"/>
      </w:pPr>
      <w:r>
        <w:t>5.2 Una rebaja de la tasa del impuesto de primera categoría</w:t>
      </w:r>
    </w:p>
    <w:p w14:paraId="1093CC56"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1112C6CD" w14:textId="77777777" w:rsidR="000408E8" w:rsidRDefault="00000000" w:rsidP="001705F3">
      <w:pPr>
        <w:keepNext/>
        <w:keepLines/>
        <w:spacing w:before="120" w:after="100" w:line="480" w:lineRule="auto"/>
      </w:pPr>
      <w:r>
        <w:rPr>
          <w:b/>
          <w:bCs/>
          <w:color w:val="002060"/>
        </w:rPr>
        <w:lastRenderedPageBreak/>
        <w:t>Tabla 4.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28B66F89"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8616BDC"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C73920A" w14:textId="77777777" w:rsidR="000408E8" w:rsidRDefault="00000000" w:rsidP="001705F3">
            <w:pPr>
              <w:keepNext/>
              <w:spacing w:line="480" w:lineRule="auto"/>
              <w:jc w:val="right"/>
            </w:pPr>
            <w:r>
              <w:rPr>
                <w:b/>
                <w:bCs/>
                <w:color w:val="FFFFFF"/>
              </w:rPr>
              <w:t>Cambio</w:t>
            </w:r>
          </w:p>
        </w:tc>
      </w:tr>
      <w:tr w:rsidR="000408E8" w14:paraId="5B2D25C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9E1B5CE"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089446" w14:textId="77777777" w:rsidR="000408E8" w:rsidRDefault="00000000" w:rsidP="001705F3">
            <w:pPr>
              <w:keepNext/>
              <w:spacing w:line="480" w:lineRule="auto"/>
              <w:jc w:val="right"/>
            </w:pPr>
            <w:r>
              <w:t>+0.14%</w:t>
            </w:r>
          </w:p>
        </w:tc>
      </w:tr>
      <w:tr w:rsidR="000408E8" w14:paraId="5EF78869"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0E65A1"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5DCFBE" w14:textId="77777777" w:rsidR="000408E8" w:rsidRDefault="00000000" w:rsidP="001705F3">
            <w:pPr>
              <w:keepNext/>
              <w:spacing w:line="480" w:lineRule="auto"/>
              <w:jc w:val="right"/>
            </w:pPr>
            <w:r>
              <w:t>+0.09%</w:t>
            </w:r>
          </w:p>
        </w:tc>
      </w:tr>
      <w:tr w:rsidR="000408E8" w14:paraId="32E127D0"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938FC8F"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3DE0AC" w14:textId="77777777" w:rsidR="000408E8" w:rsidRDefault="00000000" w:rsidP="001705F3">
            <w:pPr>
              <w:keepNext/>
              <w:spacing w:line="480" w:lineRule="auto"/>
              <w:jc w:val="right"/>
            </w:pPr>
            <w:r>
              <w:t>+0.34%</w:t>
            </w:r>
          </w:p>
        </w:tc>
      </w:tr>
      <w:tr w:rsidR="000408E8" w14:paraId="6BE203DC"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2C11DD3"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A1D12A" w14:textId="77777777" w:rsidR="000408E8" w:rsidRDefault="00000000" w:rsidP="001705F3">
            <w:pPr>
              <w:keepNext/>
              <w:spacing w:line="480" w:lineRule="auto"/>
              <w:jc w:val="right"/>
            </w:pPr>
            <w:r>
              <w:t>−0.03 / −0.02 / −0.02 p.p.</w:t>
            </w:r>
          </w:p>
        </w:tc>
      </w:tr>
      <w:tr w:rsidR="000408E8" w14:paraId="722673DD"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8BB0A54"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8818A7" w14:textId="77777777" w:rsidR="000408E8" w:rsidRDefault="00000000" w:rsidP="001705F3">
            <w:pPr>
              <w:keepNext/>
              <w:spacing w:line="480" w:lineRule="auto"/>
              <w:jc w:val="right"/>
            </w:pPr>
            <w:r>
              <w:t>82.0% → 82.2%</w:t>
            </w:r>
          </w:p>
        </w:tc>
      </w:tr>
    </w:tbl>
    <w:p w14:paraId="4837E423" w14:textId="77777777" w:rsidR="000408E8" w:rsidRDefault="00000000" w:rsidP="001705F3">
      <w:pPr>
        <w:spacing w:before="80" w:after="240" w:line="480" w:lineRule="auto"/>
        <w:jc w:val="both"/>
      </w:pPr>
      <w:r>
        <w:t>Fuente: elaboración propia.</w:t>
      </w:r>
    </w:p>
    <w:p w14:paraId="2338007D" w14:textId="77777777"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367772DC" w14:textId="77777777" w:rsidR="000408E8" w:rsidRDefault="00000000" w:rsidP="001705F3">
      <w:pPr>
        <w:keepNext/>
        <w:keepLines/>
        <w:spacing w:before="120" w:after="100" w:line="480" w:lineRule="auto"/>
      </w:pPr>
      <w:r>
        <w:rPr>
          <w:b/>
          <w:bCs/>
          <w:color w:val="002060"/>
        </w:rPr>
        <w:lastRenderedPageBreak/>
        <w:t>Tabla 5.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B3201B"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F7E254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69204F"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0958C7"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A9FC195" w14:textId="77777777" w:rsidR="000408E8" w:rsidRDefault="00000000" w:rsidP="001705F3">
            <w:pPr>
              <w:keepNext/>
              <w:spacing w:line="480" w:lineRule="auto"/>
              <w:jc w:val="right"/>
            </w:pPr>
            <w:r>
              <w:rPr>
                <w:b/>
                <w:bCs/>
                <w:color w:val="FFFFFF"/>
              </w:rPr>
              <w:t>Efecto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DD22B32" w14:textId="77777777" w:rsidR="000408E8" w:rsidRDefault="00000000" w:rsidP="001705F3">
            <w:pPr>
              <w:keepNext/>
              <w:spacing w:line="480" w:lineRule="auto"/>
              <w:jc w:val="right"/>
            </w:pPr>
            <w:r>
              <w:rPr>
                <w:b/>
                <w:bCs/>
                <w:color w:val="FFFFFF"/>
              </w:rPr>
              <w:t>Base más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2D0149B" w14:textId="77777777" w:rsidR="000408E8" w:rsidRDefault="00000000" w:rsidP="001705F3">
            <w:pPr>
              <w:keepNext/>
              <w:spacing w:line="480" w:lineRule="auto"/>
              <w:jc w:val="right"/>
            </w:pPr>
            <w:r>
              <w:rPr>
                <w:b/>
                <w:bCs/>
                <w:color w:val="FFFFFF"/>
              </w:rPr>
              <w:t>Variación total</w:t>
            </w:r>
          </w:p>
        </w:tc>
      </w:tr>
      <w:tr w:rsidR="000408E8" w14:paraId="510BDDFB"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E35C38"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255817C"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5568FC"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A976EB" w14:textId="77777777" w:rsidR="000408E8" w:rsidRDefault="00000000" w:rsidP="001705F3">
            <w:pPr>
              <w:keepNext/>
              <w:spacing w:line="480" w:lineRule="auto"/>
              <w:jc w:val="right"/>
            </w:pPr>
            <w:r>
              <w:t>−0.0025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843FA60" w14:textId="77777777" w:rsidR="000408E8" w:rsidRDefault="00000000" w:rsidP="001705F3">
            <w:pPr>
              <w:keepNext/>
              <w:spacing w:line="480" w:lineRule="auto"/>
              <w:jc w:val="right"/>
            </w:pPr>
            <w:r>
              <w:t>0.0076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E90905" w14:textId="77777777" w:rsidR="000408E8" w:rsidRDefault="00000000" w:rsidP="001705F3">
            <w:pPr>
              <w:keepNext/>
              <w:spacing w:line="480" w:lineRule="auto"/>
              <w:jc w:val="right"/>
            </w:pPr>
            <w:r>
              <w:t>−0.1541</w:t>
            </w:r>
          </w:p>
        </w:tc>
      </w:tr>
      <w:tr w:rsidR="000408E8" w14:paraId="1E9F08A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F4FC5D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6ADC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825030E"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F31B89" w14:textId="77777777" w:rsidR="000408E8" w:rsidRDefault="00000000" w:rsidP="001705F3">
            <w:pPr>
              <w:keepNext/>
              <w:spacing w:line="480" w:lineRule="auto"/>
              <w:jc w:val="right"/>
            </w:pPr>
            <w:r>
              <w:t>−0.0001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741C88"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774500" w14:textId="77777777" w:rsidR="000408E8" w:rsidRDefault="00000000" w:rsidP="001705F3">
            <w:pPr>
              <w:keepNext/>
              <w:spacing w:line="480" w:lineRule="auto"/>
              <w:jc w:val="right"/>
            </w:pPr>
            <w:r>
              <w:t>0.0129</w:t>
            </w:r>
          </w:p>
        </w:tc>
      </w:tr>
      <w:tr w:rsidR="000408E8" w14:paraId="6F656197"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61C1861"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E02B0A"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DFE464"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49AE4A" w14:textId="77777777" w:rsidR="000408E8" w:rsidRDefault="00000000" w:rsidP="001705F3">
            <w:pPr>
              <w:keepNext/>
              <w:spacing w:line="480" w:lineRule="auto"/>
              <w:jc w:val="right"/>
            </w:pPr>
            <w:r>
              <w:t>0.0006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5B01E2E"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82A79F" w14:textId="77777777" w:rsidR="000408E8" w:rsidRDefault="00000000" w:rsidP="001705F3">
            <w:pPr>
              <w:keepNext/>
              <w:spacing w:line="480" w:lineRule="auto"/>
              <w:jc w:val="right"/>
            </w:pPr>
            <w:r>
              <w:t>0.0057</w:t>
            </w:r>
          </w:p>
        </w:tc>
      </w:tr>
      <w:tr w:rsidR="000408E8" w14:paraId="6F9C96EB"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F5DCE1A"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CB872D1"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B199EAE"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E962A3" w14:textId="77777777" w:rsidR="000408E8" w:rsidRDefault="00000000" w:rsidP="001705F3">
            <w:pPr>
              <w:keepNext/>
              <w:spacing w:line="480" w:lineRule="auto"/>
              <w:jc w:val="right"/>
            </w:pPr>
            <w:r>
              <w:rPr>
                <w:b/>
                <w:bCs/>
              </w:rPr>
              <w:t>−0.0020</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79D092" w14:textId="77777777" w:rsidR="000408E8" w:rsidRDefault="00000000" w:rsidP="001705F3">
            <w:pPr>
              <w:keepNext/>
              <w:spacing w:line="480" w:lineRule="auto"/>
              <w:jc w:val="right"/>
            </w:pPr>
            <w:r>
              <w:rPr>
                <w:b/>
                <w:bCs/>
              </w:rPr>
              <w:t>0.0263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40434436" w14:textId="77777777" w:rsidR="000408E8" w:rsidRDefault="00000000" w:rsidP="001705F3">
            <w:pPr>
              <w:keepNext/>
              <w:spacing w:line="480" w:lineRule="auto"/>
              <w:jc w:val="right"/>
            </w:pPr>
            <w:r>
              <w:rPr>
                <w:b/>
                <w:bCs/>
              </w:rPr>
              <w:t>−0.1354</w:t>
            </w:r>
          </w:p>
        </w:tc>
      </w:tr>
    </w:tbl>
    <w:p w14:paraId="6556A443"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Las sumas pueden no coincidir por redondeo. Fuente: elaboración propia.</w:t>
      </w:r>
    </w:p>
    <w:p w14:paraId="47E897F3" w14:textId="77777777" w:rsidR="000408E8" w:rsidRDefault="00000000" w:rsidP="001705F3">
      <w:pPr>
        <w:spacing w:after="160" w:line="480" w:lineRule="auto"/>
        <w:jc w:val="both"/>
      </w:pPr>
      <w:r>
        <w:t>En lo fiscal, el efecto tasa es de −0.1617 puntos del PIB, prácticamente igual a la estimación mecánica tradicional de −0.1616 puntos. La respuesta de las bases compensa 0.0263 puntos, 16.3% del efecto tasa. El efecto base aporta 0.0283 puntos: la propia base del IDPC, 0.0101, porque el mayor uso del capital corporativo amplía el capital sobre el que se calcula el impuesto; la del IVA, 0.0130, por el mayor consumo, y las de los demás impuestos, 0.0052. El efecto precio resta 0.0020 puntos, principalmente por la caída del retorno bruto del capital. Con ello, la recaudación disminuye 0.14 puntos del PIB.</w:t>
      </w:r>
    </w:p>
    <w:p w14:paraId="411A178D" w14:textId="77777777" w:rsidR="000408E8" w:rsidRDefault="00000000" w:rsidP="001705F3">
      <w:pPr>
        <w:spacing w:after="160" w:line="480" w:lineRule="auto"/>
        <w:jc w:val="both"/>
      </w:pPr>
      <w:r>
        <w:t>Un cálculo de equilibrio parcial que solo considerara la respuesta de la base del IDPC habría ignorado 71% de la compensación, la que proviene de otros impuestos, y habría sobrestimado la pérdida de recaudación en 13.8%.</w:t>
      </w:r>
    </w:p>
    <w:p w14:paraId="210640A2" w14:textId="0E1F8209" w:rsidR="000408E8" w:rsidRDefault="00000000" w:rsidP="001705F3">
      <w:pPr>
        <w:pStyle w:val="Ttulo1"/>
        <w:spacing w:line="480" w:lineRule="auto"/>
      </w:pPr>
      <w:r>
        <w:lastRenderedPageBreak/>
        <w:t>6. Verificaciones de consistencia y plausibilidad económica</w:t>
      </w:r>
    </w:p>
    <w:p w14:paraId="07EA5A7A" w14:textId="0E932DD8" w:rsidR="000408E8" w:rsidRDefault="0079074F" w:rsidP="001705F3">
      <w:pPr>
        <w:spacing w:after="160" w:line="480" w:lineRule="auto"/>
        <w:jc w:val="both"/>
      </w:pPr>
      <w:r>
        <w:t xml:space="preserve">La reproducción del equilibrio base no constituye por sí sola una validación empírica; por ello, esta aplicación se evalúa mediante verificaciones de consistencia, contrastes de plausibilidad y análisis de sensibilidad. Los resultados superan cuatro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puntos del PIB.</w:t>
      </w:r>
    </w:p>
    <w:p w14:paraId="449DA2B5" w14:textId="77777777" w:rsidR="000408E8" w:rsidRDefault="00000000" w:rsidP="001705F3">
      <w:pPr>
        <w:spacing w:after="160" w:line="480" w:lineRule="auto"/>
        <w:jc w:val="both"/>
      </w:pPr>
      <w:r>
        <w:t xml:space="preserve">Segundo, los signos coinciden con lo que predice la teoría. En cada reforma, la base del impuesto modificado se mueve en sentido contrario a su tasa sin revertir el signo del efecto tasa,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 El mercado laboral reproduce, además, una regularidad conocida. En el alza del IVA, el coeficiente de Okun implícito ―la variación de la tasa de desempleo por cada punto porcentual de variación del PIB real― es de 0.43, algo superior al rango que va desde 0.28, en la estimación estática para Chile en 2010–2023, hasta 0.37, implícito en la respuesta de largo plazo de la especificación dinámica (Cifuentes, 2024). En </w:t>
      </w:r>
      <w:r>
        <w:lastRenderedPageBreak/>
        <w:t>la rebaja del IDPC, el coeficiente implícito es de 0.15, inferior a ese rango, porque la expansión opera principalmente a través de la utilización del capital, mientras que la ley de Okun resume la respuesta del desempleo a las fluctuaciones agregadas de la actividad.</w:t>
      </w:r>
    </w:p>
    <w:p w14:paraId="6E77CFEB" w14:textId="77777777" w:rsidR="008B1DED" w:rsidRDefault="00000000">
      <w:pPr>
        <w:spacing w:after="160" w:line="480" w:lineRule="auto"/>
        <w:jc w:val="both"/>
      </w:pPr>
      <w:r>
        <w:t>Cuarto, los resultados recaudatorios son robustos a las elasticidades de oferta de los factores, que son los parámetros con mayor incertidumbre. Cada reforma se resolvió con elasticidades del empleo de 0.25 y 0.86 y de los servicios de capital de 0.5 y 1.0, que acotan holgadamente la evidencia citada en la Sección 3.5. El efecto tasa prácticamente no cambia. En el alza del IVA, la variación de la recaudación se ubica entre 0.24 y 0.30 puntos del PIB, frente a 0.27 en la calibración central; la erosión varía entre 34% y 48% del efecto tasa y es mayor cuanto más elástica es la oferta de cualquiera de los dos factores, mientras que la fracción del efecto base que ocurre fuera del IVA se mantiene entre 40% y 45%. En la rebaja del IDPC, la pérdida de recaudación se ubica entre 0.12 y 0.14 puntos del PIB, frente a 0.14 en la calibración central; la compensación varía entre 12% y 25%, principalmente por la elasticidad del capital, que determina la respuesta de la base del propio impuesto, y la fracción del efecto base que proviene de otros impuestos se mantiene entre 62% y 66%. Incluso con una elasticidad del capital de 5, muy superior a la evidencia disponible, el alza del IVA eleva la recaudación y la rebaja del IDPC la reduce.</w:t>
      </w:r>
    </w:p>
    <w:p w14:paraId="0570663B" w14:textId="19DDF13D" w:rsidR="000408E8" w:rsidRDefault="00000000" w:rsidP="001705F3">
      <w:pPr>
        <w:spacing w:after="160" w:line="480" w:lineRule="auto"/>
        <w:jc w:val="both"/>
      </w:pPr>
      <w:r>
        <w:t xml:space="preserve">Algunas propiedades dependen de la especificación y deben considerarse al usar los resultados. Con la inversión determinada por el ahorro, la recaudación adicional de un alza tributaria se convierte en inversión pública, y la recaudación perdida en una rebaja la reduce; con otro cierre, la composición del gasto sería distinta. El modelo es estático, por lo que el IDPC actúa sobre la utilización del capital y no sobre su acumulación. Finalmente, </w:t>
      </w:r>
      <w:r>
        <w:lastRenderedPageBreak/>
        <w:t>la incidencia de los impuestos indirectos resulta del ajuste endógeno de los precios básicos y de las remuneraciones, y depende de elasticidades de consumo y de comercio exterior que son supuestos del modelo.</w:t>
      </w:r>
    </w:p>
    <w:p w14:paraId="440EA2A6" w14:textId="77777777" w:rsidR="000408E8" w:rsidRDefault="00000000" w:rsidP="001705F3">
      <w:pPr>
        <w:pStyle w:val="Ttulo1"/>
        <w:spacing w:line="480" w:lineRule="auto"/>
      </w:pPr>
      <w:r>
        <w:t>7. Conclusión</w:t>
      </w:r>
    </w:p>
    <w:p w14:paraId="0082A382"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2EC7669A" w14:textId="77777777" w:rsidR="000408E8" w:rsidRDefault="00000000" w:rsidP="001705F3">
      <w:pPr>
        <w:spacing w:after="160" w:line="480" w:lineRule="auto"/>
        <w:jc w:val="both"/>
      </w:pPr>
      <w:r>
        <w:t>Las dos aplicaciones muestran lo que el enfoque agrega a un cálculo mecánico. El alza de un punto del IVA eleva la recaudación en 0.27 puntos del PIB, 61% del efecto tasa, y 45% de la erosión ocurre en otros impuestos, en particular en el IDPC. La rebaja de un punto del IDPC reduce la recaudación en 0.14 puntos del PIB; la respuesta de las bases compensa 16.3% del efecto tasa, y 71% de esa compensación proviene de otros impuestos, en particular del IVA. Ninguno de estos efectos cruzados aparece en un análisis de equilibrio parcial.</w:t>
      </w:r>
    </w:p>
    <w:p w14:paraId="32B7FA83" w14:textId="77777777" w:rsidR="008C27AF" w:rsidRDefault="008C27AF" w:rsidP="001705F3">
      <w:pPr>
        <w:spacing w:after="160" w:line="480" w:lineRule="auto"/>
        <w:jc w:val="both"/>
      </w:pPr>
      <w:r>
        <w:t xml:space="preserve">Las verificaciones de la Sección 6 respaldan estos resultados: el modelo cumple sus identidades contables sin residuo, los signos coinciden con lo que predice la teoría y la respuesta de las bases no modificadas es cercana a la elasticidad unitaria que utiliza la </w:t>
      </w:r>
      <w:r>
        <w:lastRenderedPageBreak/>
        <w:t>metodología del balance estructural. Los resultados deben leerse, en todo caso, a la luz del horizonte estático y del cierre con inversión determinada por el ahorro.</w:t>
      </w:r>
    </w:p>
    <w:p w14:paraId="57124D64" w14:textId="4933DC14" w:rsidR="000408E8" w:rsidRDefault="00000000" w:rsidP="001705F3">
      <w:pPr>
        <w:spacing w:after="160" w:line="480" w:lineRule="auto"/>
        <w:jc w:val="both"/>
      </w:pPr>
      <w:r>
        <w:t>El procedimiento puede ser replicado por la administración tributaria de otro país en cuatro etapas. La primera consiste en construir una MCS a partir de los cuadros de oferta y utilización y de las cuentas institucionales, según un marco estándar (Löfgren et al., 2002). La segunda, en registrar cada instrumento tributario en una cuenta propia, desagregada por producto o institución, de modo que su base y su precio queden identificados. La tercera, en calibrar las tasas efectivas a partir de la recaudación registrada en la matriz, vincularlas con las tasas legales y fijar las elasticidades de oferta de los factores según la evidencia disponible para el país. La cuarta, en simular cada reforma y descomponer la variación de la recaudación de todos los impuestos en efectos tasa, base y precio. Como el código es abierto, la adaptación consiste esencialmente en reemplazar la matriz de calibración y los parámetros y revisar la representación tributaria e institucional del país.</w:t>
      </w:r>
    </w:p>
    <w:p w14:paraId="742FD6B2" w14:textId="77777777" w:rsidR="000408E8" w:rsidRDefault="00000000" w:rsidP="001705F3">
      <w:pPr>
        <w:pStyle w:val="Ttulo1"/>
        <w:spacing w:line="480" w:lineRule="auto"/>
      </w:pPr>
      <w:r>
        <w:t>8. Disponibilidad de código</w:t>
      </w:r>
    </w:p>
    <w:p w14:paraId="6A4C5942" w14:textId="77777777" w:rsidR="000408E8" w:rsidRDefault="00000000" w:rsidP="001705F3">
      <w:pPr>
        <w:spacing w:after="160" w:line="480" w:lineRule="auto"/>
        <w:jc w:val="both"/>
      </w:pPr>
      <w:r>
        <w:t>El código del modelo, la MCS de calibración y los programas de evaluación están disponibles en https://github.com/fcohenriquez/eq_general. El modelo se implementa en el paquete gEcon de R (http://gecon.r-forge.r-project.org).</w:t>
      </w:r>
    </w:p>
    <w:p w14:paraId="0E0916B7" w14:textId="77777777" w:rsidR="000408E8" w:rsidRDefault="00000000" w:rsidP="001705F3">
      <w:pPr>
        <w:pStyle w:val="Ttulo1"/>
        <w:spacing w:line="480" w:lineRule="auto"/>
      </w:pPr>
      <w:r>
        <w:t>Referencias</w:t>
      </w:r>
    </w:p>
    <w:p w14:paraId="0DB926E0" w14:textId="77777777" w:rsidR="000408E8" w:rsidRDefault="00000000" w:rsidP="001705F3">
      <w:pPr>
        <w:spacing w:after="160" w:line="480" w:lineRule="auto"/>
        <w:ind w:left="720" w:hanging="720"/>
      </w:pPr>
      <w:r>
        <w:t xml:space="preserve">Armington, P. S. (1969). A theory of demand for products distinguished by place of production. </w:t>
      </w:r>
      <w:r>
        <w:rPr>
          <w:i/>
          <w:iCs/>
        </w:rPr>
        <w:t>IMF Staff Papers</w:t>
      </w:r>
      <w:r>
        <w:t xml:space="preserve">, </w:t>
      </w:r>
      <w:r>
        <w:rPr>
          <w:i/>
          <w:iCs/>
        </w:rPr>
        <w:t>16</w:t>
      </w:r>
      <w:r>
        <w:t>(1), 159–178. https://doi.org/10.2307/3866403</w:t>
      </w:r>
    </w:p>
    <w:p w14:paraId="1315224A" w14:textId="77777777" w:rsidR="000408E8" w:rsidRDefault="00000000" w:rsidP="001705F3">
      <w:pPr>
        <w:spacing w:after="160" w:line="480" w:lineRule="auto"/>
        <w:ind w:left="720" w:hanging="720"/>
      </w:pPr>
      <w:r>
        <w:lastRenderedPageBreak/>
        <w:t xml:space="preserve">Cerda, R. A., &amp; Larraín, F. (2005). Inversión privada e impuestos corporativos: evidencia para Chile. </w:t>
      </w:r>
      <w:r>
        <w:rPr>
          <w:i/>
          <w:iCs/>
        </w:rPr>
        <w:t>Cuadernos de Economía</w:t>
      </w:r>
      <w:r>
        <w:t xml:space="preserve">, </w:t>
      </w:r>
      <w:r>
        <w:rPr>
          <w:i/>
          <w:iCs/>
        </w:rPr>
        <w:t>42</w:t>
      </w:r>
      <w:r>
        <w:t>(126), 257–281.</w:t>
      </w:r>
    </w:p>
    <w:p w14:paraId="2CD12C3A" w14:textId="77777777" w:rsidR="000408E8" w:rsidRDefault="00000000" w:rsidP="001705F3">
      <w:pPr>
        <w:spacing w:after="160" w:line="480" w:lineRule="auto"/>
        <w:ind w:left="720" w:hanging="720"/>
      </w:pPr>
      <w:r>
        <w:t xml:space="preserve">Chetty, R., Guren, A., Manoli, D., &amp; Weber, A. (2011). Are micro and macro labor supply elasticities consistent? A review of evidence on the intensive and extensive margins. </w:t>
      </w:r>
      <w:r>
        <w:rPr>
          <w:i/>
          <w:iCs/>
        </w:rPr>
        <w:t>American Economic Review</w:t>
      </w:r>
      <w:r>
        <w:t xml:space="preserve">, </w:t>
      </w:r>
      <w:r>
        <w:rPr>
          <w:i/>
          <w:iCs/>
        </w:rPr>
        <w:t>101</w:t>
      </w:r>
      <w:r>
        <w:t>(3), 471–475. https://doi.org/10.1257/aer.101.3.471</w:t>
      </w:r>
    </w:p>
    <w:p w14:paraId="6F9A8183" w14:textId="77777777" w:rsidR="008B1DED" w:rsidRDefault="00000000">
      <w:pPr>
        <w:spacing w:after="160" w:line="480" w:lineRule="auto"/>
        <w:ind w:left="720" w:hanging="720"/>
      </w:pPr>
      <w:r>
        <w:t xml:space="preserve">Cifuentes, C. (2024). </w:t>
      </w:r>
      <w:r>
        <w:rPr>
          <w:i/>
          <w:iCs/>
        </w:rPr>
        <w:t>Desempleo por debajo del 8% no se lograría con crecimiento económico estimado para 2024–2026</w:t>
      </w:r>
      <w:r>
        <w:t xml:space="preserve"> [Informe]. Centro Latinoamericano de Políticas Económicas y Sociales, Pontificia Universidad Católica de Chile (CLAPES UC). https://assets.clapesuc.cl/Ley_de_Okun_para_Chile_05866d96c5.pdf</w:t>
      </w:r>
    </w:p>
    <w:p w14:paraId="156773A1" w14:textId="77777777" w:rsidR="000408E8" w:rsidRDefault="00000000" w:rsidP="001705F3">
      <w:pPr>
        <w:spacing w:after="160" w:line="480" w:lineRule="auto"/>
        <w:ind w:left="720" w:hanging="720"/>
      </w:pPr>
      <w:r>
        <w:t xml:space="preserve">Ebrill, L., Keen, M., Bodin, J.-P., &amp; Summers, V. (2001). </w:t>
      </w:r>
      <w:r>
        <w:rPr>
          <w:i/>
          <w:iCs/>
        </w:rPr>
        <w:t>The modern VAT</w:t>
      </w:r>
      <w:r>
        <w:t>. International Monetary Fund.</w:t>
      </w:r>
    </w:p>
    <w:p w14:paraId="3CCBB6D6" w14:textId="77777777" w:rsidR="000408E8" w:rsidRDefault="00000000" w:rsidP="001705F3">
      <w:pPr>
        <w:spacing w:after="160" w:line="480" w:lineRule="auto"/>
        <w:ind w:left="720" w:hanging="720"/>
      </w:pPr>
      <w:r>
        <w:t xml:space="preserve">Hall, R. E., &amp; Jorgenson, D. W. (1967). Tax policy and investment behavior. </w:t>
      </w:r>
      <w:r>
        <w:rPr>
          <w:i/>
          <w:iCs/>
        </w:rPr>
        <w:t>American Economic Review</w:t>
      </w:r>
      <w:r>
        <w:t xml:space="preserve">, </w:t>
      </w:r>
      <w:r>
        <w:rPr>
          <w:i/>
          <w:iCs/>
        </w:rPr>
        <w:t>57</w:t>
      </w:r>
      <w:r>
        <w:t>(3), 391–414.</w:t>
      </w:r>
    </w:p>
    <w:p w14:paraId="6E32174A" w14:textId="77777777" w:rsidR="000408E8" w:rsidRDefault="00000000" w:rsidP="001705F3">
      <w:pPr>
        <w:spacing w:after="160" w:line="480" w:lineRule="auto"/>
        <w:ind w:left="720" w:hanging="720"/>
      </w:pPr>
      <w:r>
        <w:t xml:space="preserve">Hassett, K. A., &amp; Hubbard, R. G. (2002). Tax policy and business investment. En A. J. Auerbach &amp; M. Feldstein (Eds.), </w:t>
      </w:r>
      <w:r>
        <w:rPr>
          <w:i/>
          <w:iCs/>
        </w:rPr>
        <w:t>Handbook of public economics</w:t>
      </w:r>
      <w:r>
        <w:t xml:space="preserve"> (Vol. 3, pp. 1293–1343). Elsevier.</w:t>
      </w:r>
    </w:p>
    <w:p w14:paraId="12B47323" w14:textId="77777777" w:rsidR="000408E8" w:rsidRDefault="00000000" w:rsidP="001705F3">
      <w:pPr>
        <w:spacing w:after="160" w:line="480" w:lineRule="auto"/>
        <w:ind w:left="720" w:hanging="720"/>
      </w:pPr>
      <w:r>
        <w:t xml:space="preserve">ICARE, &amp; Universidad Adolfo Ibáñez. (2023). </w:t>
      </w:r>
      <w:r>
        <w:rPr>
          <w:i/>
          <w:iCs/>
        </w:rPr>
        <w:t>Indicador Mensual de Confianza Empresarial (IMCE): uso de capacidad instalada</w:t>
      </w:r>
      <w:r>
        <w:t>. Informe mensual, diciembre de 2023.</w:t>
      </w:r>
    </w:p>
    <w:p w14:paraId="2FB1C5EE" w14:textId="77777777" w:rsidR="000408E8" w:rsidRDefault="00000000" w:rsidP="001705F3">
      <w:pPr>
        <w:spacing w:after="160" w:line="480" w:lineRule="auto"/>
        <w:ind w:left="720" w:hanging="720"/>
      </w:pPr>
      <w:r>
        <w:lastRenderedPageBreak/>
        <w:t xml:space="preserve">Löfgren, H., Harris, R. L., &amp; Robinson, S. (2002). </w:t>
      </w:r>
      <w:r>
        <w:rPr>
          <w:i/>
          <w:iCs/>
        </w:rPr>
        <w:t>A standard computable general equilibrium (CGE) model in GAMS</w:t>
      </w:r>
      <w:r>
        <w:t xml:space="preserve"> (Microcomputers in Policy Research 5). International Food Policy Research Institute.</w:t>
      </w:r>
    </w:p>
    <w:p w14:paraId="5203087D" w14:textId="77777777" w:rsidR="000408E8" w:rsidRDefault="00000000" w:rsidP="001705F3">
      <w:pPr>
        <w:spacing w:after="160" w:line="480" w:lineRule="auto"/>
        <w:ind w:left="720" w:hanging="720"/>
      </w:pPr>
      <w:r>
        <w:t xml:space="preserve">Shapley, L. S. (1953). A value for </w:t>
      </w:r>
      <w:r>
        <w:rPr>
          <w:i/>
          <w:iCs/>
        </w:rPr>
        <w:t>n</w:t>
      </w:r>
      <w:r>
        <w:t xml:space="preserve">-person games. En H. W. Kuhn &amp; A. W. Tucker (Eds.), </w:t>
      </w:r>
      <w:r>
        <w:rPr>
          <w:i/>
          <w:iCs/>
        </w:rPr>
        <w:t>Contributions to the theory of games, Volume II</w:t>
      </w:r>
      <w:r>
        <w:t xml:space="preserve"> (pp. 307–317). Princeton University Press.</w:t>
      </w:r>
    </w:p>
    <w:p w14:paraId="596972C2" w14:textId="77777777" w:rsidR="000408E8" w:rsidRDefault="00000000" w:rsidP="001705F3">
      <w:pPr>
        <w:spacing w:after="160" w:line="480" w:lineRule="auto"/>
        <w:ind w:left="720" w:hanging="720"/>
      </w:pPr>
      <w:r>
        <w:t xml:space="preserve">Shoven, J. B., &amp; Whalley, J. (1984). Applied general-equilibrium models of taxation and international trade: An introduction and survey. </w:t>
      </w:r>
      <w:r>
        <w:rPr>
          <w:i/>
          <w:iCs/>
        </w:rPr>
        <w:t>Journal of Economic Literature</w:t>
      </w:r>
      <w:r>
        <w:t xml:space="preserve">, </w:t>
      </w:r>
      <w:r>
        <w:rPr>
          <w:i/>
          <w:iCs/>
        </w:rPr>
        <w:t>22</w:t>
      </w:r>
      <w:r>
        <w:t>(3), 1007–1051.</w:t>
      </w:r>
    </w:p>
    <w:p w14:paraId="3D646407" w14:textId="77777777" w:rsidR="000408E8" w:rsidRDefault="00000000" w:rsidP="001705F3">
      <w:pPr>
        <w:spacing w:after="160" w:line="480" w:lineRule="auto"/>
        <w:ind w:left="720" w:hanging="720"/>
      </w:pPr>
      <w:r>
        <w:t xml:space="preserve">Sun, J. W. (1998). Changes in energy consumption and energy intensity: A complete decomposition model. </w:t>
      </w:r>
      <w:r>
        <w:rPr>
          <w:i/>
          <w:iCs/>
        </w:rPr>
        <w:t>Energy Economics</w:t>
      </w:r>
      <w:r>
        <w:t xml:space="preserve">, </w:t>
      </w:r>
      <w:r>
        <w:rPr>
          <w:i/>
          <w:iCs/>
        </w:rPr>
        <w:t>20</w:t>
      </w:r>
      <w:r>
        <w:t>(1), 85–100.</w:t>
      </w:r>
    </w:p>
    <w:p w14:paraId="4F5E3B6E" w14:textId="77777777" w:rsidR="000408E8" w:rsidRDefault="00000000" w:rsidP="001705F3">
      <w:pPr>
        <w:spacing w:after="160" w:line="480" w:lineRule="auto"/>
        <w:ind w:left="720" w:hanging="720"/>
      </w:pPr>
      <w:r>
        <w:t xml:space="preserve">Velasco, A., Arenas, A., Rodríguez, J., Jorratt, M., &amp; Gamboni, C. (2010). </w:t>
      </w:r>
      <w:r>
        <w:rPr>
          <w:i/>
          <w:iCs/>
        </w:rPr>
        <w:t>El enfoque de balance estructural en la política fiscal en Chile: resultados, metodología y aplicación al período 2006–2009</w:t>
      </w:r>
      <w:r>
        <w:t xml:space="preserve"> (Estudios de Finanzas Públicas). Dirección de Presupuestos, Ministerio de Hacienda.</w:t>
      </w:r>
    </w:p>
    <w:p w14:paraId="6D1AD176"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38E2884A" w14:textId="77777777" w:rsidR="00BE0C42" w:rsidRDefault="00BE0C42" w:rsidP="00BE0C42">
      <w:pPr>
        <w:spacing w:line="480" w:lineRule="auto"/>
      </w:pPr>
    </w:p>
    <w:p w14:paraId="6593526D" w14:textId="77777777" w:rsidR="000408E8" w:rsidRDefault="00BE0C42" w:rsidP="00BE0C42">
      <w:pPr>
        <w:pStyle w:val="Ttulo1"/>
        <w:spacing w:line="480" w:lineRule="auto"/>
      </w:pPr>
      <w:r>
        <w:lastRenderedPageBreak/>
        <w:t>Anexo A. Especificación formal del modelo</w:t>
      </w:r>
    </w:p>
    <w:p w14:paraId="5FCE0DBE" w14:textId="77777777" w:rsidR="000408E8" w:rsidRDefault="00000000" w:rsidP="001705F3">
      <w:pPr>
        <w:pStyle w:val="Ttulo2"/>
        <w:spacing w:line="480" w:lineRule="auto"/>
      </w:pPr>
      <w:r>
        <w:t>A.1. Conjuntos</w:t>
      </w:r>
    </w:p>
    <w:p w14:paraId="7EF20C4F"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26CF2E2F"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752B81B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211D0023" w14:textId="77777777"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esto es, los hogares no consumen productos mineros ni de construcción.</w:t>
      </w:r>
    </w:p>
    <w:p w14:paraId="709AF57C" w14:textId="77777777" w:rsidR="000408E8" w:rsidRDefault="00000000" w:rsidP="001705F3">
      <w:pPr>
        <w:pStyle w:val="Ttulo2"/>
        <w:spacing w:line="480" w:lineRule="auto"/>
      </w:pPr>
      <w:r>
        <w:t>A.2. Hogar</w:t>
      </w:r>
    </w:p>
    <w:p w14:paraId="03C88DC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3FF415B0"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11F0C739"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5D1797B8" w14:textId="77777777"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w:t>
      </w:r>
      <w:r>
        <w:lastRenderedPageBreak/>
        <w:t xml:space="preserve">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6D2448A8" w14:textId="77777777" w:rsidR="000408E8" w:rsidRDefault="00000000" w:rsidP="001705F3">
      <w:pPr>
        <w:pStyle w:val="Ttulo2"/>
        <w:spacing w:line="480" w:lineRule="auto"/>
      </w:pPr>
      <w:r>
        <w:t>A.3. Sectores</w:t>
      </w:r>
    </w:p>
    <w:p w14:paraId="24043491"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506168E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4034C86"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4D9B9742"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65068C00" w14:textId="77777777" w:rsidR="000408E8" w:rsidRDefault="00000000" w:rsidP="001705F3">
      <w:pPr>
        <w:pStyle w:val="Ttulo2"/>
        <w:spacing w:line="480" w:lineRule="auto"/>
      </w:pPr>
      <w:r>
        <w:t>A.4. Productos y comercio exterior</w:t>
      </w:r>
    </w:p>
    <w:p w14:paraId="4735D1B6"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76BB1AAA"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02FAED03" w14:textId="77777777" w:rsidR="000408E8" w:rsidRDefault="00000000" w:rsidP="001705F3">
      <w:pPr>
        <w:spacing w:after="160" w:line="480" w:lineRule="auto"/>
        <w:jc w:val="both"/>
      </w:pPr>
      <w:r>
        <w:lastRenderedPageBreak/>
        <w:t>El equilibrio de cada producto es</w:t>
      </w:r>
    </w:p>
    <w:p w14:paraId="6F634C4D"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4F73195D" w14:textId="77777777"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0DA0EB37" w14:textId="77777777" w:rsidR="000408E8" w:rsidRDefault="00000000" w:rsidP="001705F3">
      <w:pPr>
        <w:pStyle w:val="Ttulo2"/>
        <w:spacing w:line="480" w:lineRule="auto"/>
      </w:pPr>
      <w:r>
        <w:t>A.5. Impuestos indirectos</w:t>
      </w:r>
    </w:p>
    <w:p w14:paraId="716C5C1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6514F62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703336DD"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77CCA52F"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00E9E14E"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27753019"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55C302DA"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35514D62" w14:textId="77777777" w:rsidR="000408E8" w:rsidRDefault="00000000" w:rsidP="001705F3">
      <w:pPr>
        <w:pStyle w:val="Ttulo2"/>
        <w:spacing w:line="480" w:lineRule="auto"/>
      </w:pPr>
      <w:r>
        <w:t>A.6. Firmas</w:t>
      </w:r>
    </w:p>
    <w:p w14:paraId="0B12853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608D55F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2926B28E"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4C9CA74F" w14:textId="77777777" w:rsidR="000408E8" w:rsidRDefault="00000000" w:rsidP="001705F3">
      <w:pPr>
        <w:pStyle w:val="Ttulo2"/>
        <w:spacing w:line="480" w:lineRule="auto"/>
      </w:pPr>
      <w:r>
        <w:t>A.7. Gobierno</w:t>
      </w:r>
    </w:p>
    <w:p w14:paraId="30CB649B"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05DF5F29"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65525AFE"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2379BDD5" w14:textId="77777777"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10745C03" w14:textId="77777777" w:rsidR="000408E8" w:rsidRDefault="00000000" w:rsidP="001705F3">
      <w:pPr>
        <w:pStyle w:val="Ttulo2"/>
        <w:spacing w:line="480" w:lineRule="auto"/>
      </w:pPr>
      <w:r>
        <w:t>A.8. Mercados de factores</w:t>
      </w:r>
    </w:p>
    <w:p w14:paraId="5AFAAB71" w14:textId="77777777"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5D8FEB69"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547016B"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400E63C0"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03159C96"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6F24E62E" w14:textId="77777777" w:rsidR="000408E8" w:rsidRDefault="00000000" w:rsidP="001705F3">
      <w:pPr>
        <w:pStyle w:val="Ttulo2"/>
        <w:spacing w:line="480" w:lineRule="auto"/>
      </w:pPr>
      <w:r>
        <w:t>A.9. Ahorro–inversión y cierre</w:t>
      </w:r>
    </w:p>
    <w:p w14:paraId="759F5BAF"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D8D4BC5"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0A0C6DE"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22FA07B2" w14:textId="77777777"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6D05F15B" w14:textId="77777777" w:rsidR="000408E8" w:rsidRDefault="00000000" w:rsidP="001705F3">
      <w:pPr>
        <w:pStyle w:val="Ttulo2"/>
        <w:spacing w:line="480" w:lineRule="auto"/>
      </w:pPr>
      <w:r>
        <w:t>A.10. Descomposición del impacto fiscal</w:t>
      </w:r>
    </w:p>
    <w:p w14:paraId="18092B05"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32C41524"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276BD401"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D180" w14:textId="77777777" w:rsidR="007000B8" w:rsidRDefault="007000B8">
      <w:r>
        <w:separator/>
      </w:r>
    </w:p>
  </w:endnote>
  <w:endnote w:type="continuationSeparator" w:id="0">
    <w:p w14:paraId="2D4EF837" w14:textId="77777777" w:rsidR="007000B8" w:rsidRDefault="0070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452C" w14:textId="77777777"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7A337" w14:textId="77777777" w:rsidR="007000B8" w:rsidRDefault="007000B8">
      <w:r>
        <w:separator/>
      </w:r>
    </w:p>
  </w:footnote>
  <w:footnote w:type="continuationSeparator" w:id="0">
    <w:p w14:paraId="0C6E1F88" w14:textId="77777777" w:rsidR="007000B8" w:rsidRDefault="007000B8">
      <w:r>
        <w:continuationSeparator/>
      </w:r>
    </w:p>
  </w:footnote>
  <w:footnote w:id="1">
    <w:p w14:paraId="60790F29" w14:textId="1B287660" w:rsidR="000408E8" w:rsidRDefault="00000000">
      <w:pPr>
        <w:spacing w:after="60"/>
        <w:jc w:val="both"/>
      </w:pPr>
      <w:r>
        <w:rPr>
          <w:rStyle w:val="Refdenotaalpie"/>
        </w:rPr>
        <w:footnoteRef/>
      </w:r>
      <w:r w:rsidR="00A54557" w:rsidRPr="00A54557">
        <w:t>Esta publicación no está sujeta a la aprobación previa del Servicio de Impuestos Internos de Chile. Tanto el contenido del Artículo como también los análisis y conclusiones que de él se deriven, son de exclusiva responsabilidad de  sus autores y no reflejan necesariamente la opinión del Servicio de Impuestos Internos de Chile.</w:t>
      </w:r>
    </w:p>
  </w:footnote>
  <w:footnote w:id="2">
    <w:p w14:paraId="1F4786DE"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414C5"/>
    <w:rsid w:val="00257EB2"/>
    <w:rsid w:val="00276AAF"/>
    <w:rsid w:val="002963C3"/>
    <w:rsid w:val="003118B9"/>
    <w:rsid w:val="00314F5D"/>
    <w:rsid w:val="00330E63"/>
    <w:rsid w:val="00332B0D"/>
    <w:rsid w:val="00346F36"/>
    <w:rsid w:val="0037729B"/>
    <w:rsid w:val="0041741F"/>
    <w:rsid w:val="0048350D"/>
    <w:rsid w:val="005B2C48"/>
    <w:rsid w:val="00614C6E"/>
    <w:rsid w:val="00680166"/>
    <w:rsid w:val="00686689"/>
    <w:rsid w:val="006C4235"/>
    <w:rsid w:val="006D1AC8"/>
    <w:rsid w:val="007000B8"/>
    <w:rsid w:val="00723B5B"/>
    <w:rsid w:val="0079074F"/>
    <w:rsid w:val="007F1CAF"/>
    <w:rsid w:val="007F2B9F"/>
    <w:rsid w:val="00830A68"/>
    <w:rsid w:val="00836699"/>
    <w:rsid w:val="00860FB9"/>
    <w:rsid w:val="008B1DED"/>
    <w:rsid w:val="008B5443"/>
    <w:rsid w:val="008C27AF"/>
    <w:rsid w:val="008E656D"/>
    <w:rsid w:val="00917653"/>
    <w:rsid w:val="009A18DD"/>
    <w:rsid w:val="009A3E16"/>
    <w:rsid w:val="00A36B69"/>
    <w:rsid w:val="00A54557"/>
    <w:rsid w:val="00B30A2B"/>
    <w:rsid w:val="00B36DC1"/>
    <w:rsid w:val="00B40816"/>
    <w:rsid w:val="00B70AD4"/>
    <w:rsid w:val="00BB4FFA"/>
    <w:rsid w:val="00BE0C42"/>
    <w:rsid w:val="00BE7EC0"/>
    <w:rsid w:val="00BF5B1F"/>
    <w:rsid w:val="00C164CE"/>
    <w:rsid w:val="00CC0C77"/>
    <w:rsid w:val="00D32712"/>
    <w:rsid w:val="00D5080F"/>
    <w:rsid w:val="00D54C4C"/>
    <w:rsid w:val="00DA5214"/>
    <w:rsid w:val="00DB29D4"/>
    <w:rsid w:val="00DE2E99"/>
    <w:rsid w:val="00EA72F4"/>
    <w:rsid w:val="00EE5F31"/>
    <w:rsid w:val="00F27A86"/>
    <w:rsid w:val="00F944FF"/>
    <w:rsid w:val="00FF7B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397D"/>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6120</Words>
  <Characters>33666</Characters>
  <Application>Microsoft Office Word</Application>
  <DocSecurity>0</DocSecurity>
  <Lines>280</Lines>
  <Paragraphs>79</Paragraphs>
  <ScaleCrop>false</ScaleCrop>
  <Company>Servicio de Impuestos Internos</Company>
  <LinksUpToDate>false</LinksUpToDate>
  <CharactersWithSpaces>39707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47</cp:revision>
  <cp:lastPrinted>2026-10-22T19:08:00Z</cp:lastPrinted>
  <dcterms:created xsi:type="dcterms:W3CDTF">2026-10-21T15:18:00Z</dcterms:created>
  <dcterms:modified xsi:type="dcterms:W3CDTF">2026-10-22T19:59:00Z</dcterms:modified>
</cp:coreProperties>
</file>