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6FA1F" w14:textId="781F9B9B" w:rsidR="000408E8" w:rsidRDefault="00917653" w:rsidP="001705F3">
      <w:pPr>
        <w:spacing w:after="360" w:line="480" w:lineRule="auto"/>
        <w:jc w:val="center"/>
      </w:pPr>
      <w:r>
        <w:rPr>
          <w:b/>
          <w:bCs/>
          <w:color w:val="002060"/>
        </w:rPr>
        <w:t>Modelo de equilibrio general computable para la evaluación de políticas tributarias en Chile: aplicaciones al IVA y al impuesto de primera categoría</w:t>
      </w:r>
    </w:p>
    <w:p w14:paraId="1CC64DBB" w14:textId="51C4D0DA" w:rsidR="000408E8" w:rsidRDefault="00000000" w:rsidP="001705F3">
      <w:pPr>
        <w:spacing w:after="40" w:line="480" w:lineRule="auto"/>
        <w:jc w:val="center"/>
      </w:pPr>
      <w:r>
        <w:rPr>
          <w:b/>
          <w:bCs/>
        </w:rPr>
        <w:t>Francisco Henríquez Palacios</w:t>
      </w:r>
      <w:r>
        <w:rPr>
          <w:rStyle w:val="Refdenotaalpie"/>
        </w:rPr>
        <w:footnoteReference w:id="1"/>
      </w:r>
    </w:p>
    <w:p w14:paraId="7EA0C9EF" w14:textId="77777777" w:rsidR="000408E8" w:rsidRDefault="00000000" w:rsidP="001705F3">
      <w:pPr>
        <w:spacing w:after="240" w:line="480" w:lineRule="auto"/>
        <w:jc w:val="center"/>
      </w:pPr>
      <w:r>
        <w:t>Servicio de Impuestos Internos (SII), Chile</w:t>
      </w:r>
    </w:p>
    <w:p w14:paraId="796FCF34" w14:textId="77777777" w:rsidR="000408E8" w:rsidRDefault="00000000" w:rsidP="001705F3">
      <w:pPr>
        <w:keepNext/>
        <w:spacing w:before="160" w:after="60" w:line="480" w:lineRule="auto"/>
      </w:pPr>
      <w:r>
        <w:rPr>
          <w:b/>
          <w:bCs/>
          <w:color w:val="002060"/>
        </w:rPr>
        <w:t>Nota biográfica</w:t>
      </w:r>
    </w:p>
    <w:p w14:paraId="516D07FC" w14:textId="392A968C" w:rsidR="000408E8" w:rsidRDefault="00686689" w:rsidP="001705F3">
      <w:pPr>
        <w:spacing w:after="160" w:line="480" w:lineRule="auto"/>
        <w:jc w:val="both"/>
      </w:pPr>
      <w:r>
        <w:t xml:space="preserve">Francisco Henríquez Palacios es ingeniero comercial por la Pontificia Universidad Católica de Valparaíso y magíster en Economía Aplicada por la Universidad de Chile. Actualmente se desempeña como analista en el Departamento de Estudios Económicos y Tributarios del Servicio de Impuestos Internos de Chile.</w:t>
      </w:r>
    </w:p>
    <w:p w14:paraId="5ED81F65" w14:textId="77777777" w:rsidR="000408E8" w:rsidRDefault="00000000" w:rsidP="001705F3">
      <w:pPr>
        <w:keepNext/>
        <w:spacing w:before="160" w:after="60" w:line="480" w:lineRule="auto"/>
      </w:pPr>
      <w:r>
        <w:rPr>
          <w:b/>
          <w:bCs/>
          <w:color w:val="002060"/>
        </w:rPr>
        <w:t>Sinopsis</w:t>
      </w:r>
    </w:p>
    <w:p w14:paraId="24393F28" w14:textId="06F35B96" w:rsidR="000408E8" w:rsidRDefault="00000000" w:rsidP="001705F3">
      <w:pPr>
        <w:spacing w:after="160" w:line="480" w:lineRule="auto"/>
        <w:jc w:val="both"/>
      </w:pPr>
      <w:r>
        <w:t>Este artículo presenta un modelo de equilibrio general computable para Chile, calibrado con una matriz de contabilidad social 2023, que evalúa el impacto recaudatorio de reformas tributarias. Modela el IVA como cuña de precios con crédito fiscal al uso intermedio y el impuesto de primera categoría como cuña en el costo de uso del capital, y descompone la variación recaudatoria en efectos tasa, base y precio. Un alza del IVA de 19% a 20% eleva la recaudación en 0.36 puntos del PIB; una rebaja del impuesto de primera categoría de 27% a 26% la reduce en 0.13 puntos.</w:t>
      </w:r>
    </w:p>
    <w:p w14:paraId="4338B6BA" w14:textId="77777777" w:rsidR="000408E8" w:rsidRDefault="00000000" w:rsidP="001705F3">
      <w:pPr>
        <w:keepNext/>
        <w:spacing w:before="160" w:after="60" w:line="480" w:lineRule="auto"/>
      </w:pPr>
      <w:r>
        <w:rPr>
          <w:b/>
          <w:bCs/>
          <w:color w:val="002060"/>
        </w:rPr>
        <w:t>Palabras clave</w:t>
      </w:r>
    </w:p>
    <w:p w14:paraId="71C6C533" w14:textId="393CC1AA" w:rsidR="000408E8" w:rsidRDefault="00000000" w:rsidP="001705F3">
      <w:pPr>
        <w:spacing w:after="160" w:line="480" w:lineRule="auto"/>
        <w:jc w:val="both"/>
      </w:pPr>
      <w:r>
        <w:t>Equilibrio general computable; política tributaria; matriz de contabilidad social; impacto recaudatorio.</w:t>
      </w:r>
    </w:p>
    <w:p w14:paraId="7188283D" w14:textId="77777777" w:rsidR="000408E8" w:rsidRDefault="00000000" w:rsidP="001705F3">
      <w:pPr>
        <w:keepNext/>
        <w:spacing w:before="160" w:after="60" w:line="480" w:lineRule="auto"/>
      </w:pPr>
      <w:r>
        <w:rPr>
          <w:b/>
          <w:bCs/>
          <w:color w:val="002060"/>
        </w:rPr>
        <w:t>Índice de contenidos</w:t>
      </w:r>
    </w:p>
    <w:p w14:paraId="0F7CAFF6" w14:textId="77777777" w:rsidR="000408E8" w:rsidRDefault="00000000" w:rsidP="001705F3">
      <w:pPr>
        <w:spacing w:line="480" w:lineRule="auto"/>
        <w:ind w:left="360"/>
      </w:pPr>
      <w:r>
        <w:t>1. Introducción</w:t>
      </w:r>
    </w:p>
    <w:p w14:paraId="3D773753" w14:textId="77777777" w:rsidR="000408E8" w:rsidRDefault="00000000" w:rsidP="001705F3">
      <w:pPr>
        <w:spacing w:line="480" w:lineRule="auto"/>
        <w:ind w:left="360"/>
      </w:pPr>
      <w:r>
        <w:t>2. La matriz de contabilidad social</w:t>
      </w:r>
    </w:p>
    <w:p w14:paraId="21924585" w14:textId="77777777" w:rsidR="000408E8" w:rsidRDefault="00000000" w:rsidP="001705F3">
      <w:pPr>
        <w:spacing w:line="480" w:lineRule="auto"/>
        <w:ind w:left="360"/>
      </w:pPr>
      <w:r>
        <w:t>3. El modelo</w:t>
      </w:r>
    </w:p>
    <w:p w14:paraId="0381B50B" w14:textId="77777777" w:rsidR="000408E8" w:rsidRDefault="00000000" w:rsidP="001705F3">
      <w:pPr>
        <w:spacing w:line="480" w:lineRule="auto"/>
        <w:ind w:left="360"/>
      </w:pPr>
      <w:r>
        <w:t>4. Evaluación del impacto fiscal</w:t>
      </w:r>
    </w:p>
    <w:p w14:paraId="220B238A" w14:textId="77777777" w:rsidR="000408E8" w:rsidRDefault="00000000" w:rsidP="001705F3">
      <w:pPr>
        <w:spacing w:line="480" w:lineRule="auto"/>
        <w:ind w:left="360"/>
      </w:pPr>
      <w:r>
        <w:t>5. Aplicaciones</w:t>
      </w:r>
    </w:p>
    <w:p w14:paraId="205F35FC" w14:textId="77777777" w:rsidR="000408E8" w:rsidRDefault="00000000" w:rsidP="001705F3">
      <w:pPr>
        <w:spacing w:line="480" w:lineRule="auto"/>
        <w:ind w:left="360"/>
      </w:pPr>
      <w:r>
        <w:t>6. Coherencia económica de los resultados</w:t>
      </w:r>
    </w:p>
    <w:p w14:paraId="7FA6B7A5" w14:textId="77777777" w:rsidR="000408E8" w:rsidRDefault="00000000" w:rsidP="001705F3">
      <w:pPr>
        <w:spacing w:line="480" w:lineRule="auto"/>
        <w:ind w:left="360"/>
      </w:pPr>
      <w:r>
        <w:t>7. Conclusión</w:t>
      </w:r>
    </w:p>
    <w:p w14:paraId="39E03080" w14:textId="77777777" w:rsidR="000408E8" w:rsidRDefault="00000000" w:rsidP="001705F3">
      <w:pPr>
        <w:spacing w:line="480" w:lineRule="auto"/>
        <w:ind w:left="360"/>
      </w:pPr>
      <w:r>
        <w:t>8. Disponibilidad de código</w:t>
      </w:r>
    </w:p>
    <w:p w14:paraId="68B16634" w14:textId="77777777" w:rsidR="000408E8" w:rsidRDefault="00000000" w:rsidP="001705F3">
      <w:pPr>
        <w:spacing w:line="480" w:lineRule="auto"/>
        <w:ind w:left="360"/>
      </w:pPr>
      <w:r>
        <w:t>Referencias</w:t>
      </w:r>
    </w:p>
    <w:p w14:paraId="78AAD292" w14:textId="77777777" w:rsidR="000408E8" w:rsidRDefault="00000000" w:rsidP="001705F3">
      <w:pPr>
        <w:spacing w:line="480" w:lineRule="auto"/>
        <w:ind w:left="360"/>
      </w:pPr>
      <w:r>
        <w:t>Anexo A. Especificación formal del modelo</w:t>
      </w:r>
    </w:p>
    <w:p w14:paraId="4C5D2AA4" w14:textId="77777777" w:rsidR="000408E8" w:rsidRDefault="00000000" w:rsidP="001705F3">
      <w:pPr>
        <w:spacing w:line="480" w:lineRule="auto"/>
      </w:pPr>
      <w:r>
        <w:br w:type="page"/>
      </w:r>
    </w:p>
    <w:p w14:paraId="2D39BC4E" w14:textId="77777777" w:rsidR="000408E8" w:rsidRDefault="00000000" w:rsidP="001705F3">
      <w:pPr>
        <w:pStyle w:val="Ttulo1"/>
        <w:spacing w:line="480" w:lineRule="auto"/>
      </w:pPr>
      <w:r>
        <w:t>1. Introducción</w:t>
      </w:r>
    </w:p>
    <w:p w14:paraId="1AF9D74D" w14:textId="77777777" w:rsidR="000408E8" w:rsidRDefault="00000000" w:rsidP="001705F3">
      <w:pPr>
        <w:spacing w:after="160" w:line="480" w:lineRule="auto"/>
        <w:jc w:val="both"/>
      </w:pPr>
      <w:r>
        <w:t xml:space="preserve">Cuando una administración tributaria evalúa una reforma, la pregunta inmediata ―cuánto recaudará― rara vez se responde bien aplicando la nueva tasa a la base vigente. Los contribuyentes reaccionan, los precios relativos se ajustan y los efectos se propagan entre sectores, mercados de factores y bases tributarias distintas de la gravada. Los modelos de equilibrio general computable (MEGC) son la herramienta estándar para capturar estas interacciones en el análisis tributario (Shoven &amp; Whalley, 1984), porque representan de manera consistente la producción, el consumo, el comercio exterior y las cuentas del gobierno.</w:t>
      </w:r>
    </w:p>
    <w:p w14:paraId="7DC56C13" w14:textId="77777777" w:rsidR="000408E8" w:rsidRDefault="00000000" w:rsidP="001705F3">
      <w:pPr>
        <w:spacing w:after="160" w:line="480" w:lineRule="auto"/>
        <w:jc w:val="both"/>
      </w:pPr>
      <w:r>
        <w:t>Este artículo presenta un MEGC estático de doce sectores para Chile, calibrado con una matriz de contabilidad social (MCS) de 2023 y disponible en código abierto, desarrollado para evaluar el impacto recaudatorio de reformas tributarias. El modelo incorpora tres rasgos especialmente relevantes para una administración tributaria. Primero, el IVA y los impuestos específicos operan como cuñas entre el precio básico y el precio de comprador, con crédito fiscal sobre el uso intermedio, de modo que el impuesto no se acumula en cascada. Segundo, el impuesto de primera categoría (IDPC) actúa como una cuña entre el retorno bruto y el retorno neto del capital, en la tradición del costo de uso (Hall &amp; Jorgenson, 1967), de modo que su modificación altera la cantidad de capital que se pone en uso y, por esa vía, su propia base. Tercero, el desempleo y la utilización de la capacidad instalada son endógenos, y las ofertas de trabajo y de capital responden a sus remuneraciones reales netas de impuestos.</w:t>
      </w:r>
    </w:p>
    <w:p w14:paraId="19D02392" w14:textId="2CC8DEE8" w:rsidR="000408E8" w:rsidRDefault="00000000" w:rsidP="001705F3">
      <w:pPr>
        <w:spacing w:after="160" w:line="480" w:lineRule="auto"/>
        <w:jc w:val="both"/>
      </w:pPr>
      <w:r>
        <w:t>La variación de la recaudación de cada instrumento se descompone en efectos tasa, base y precio mediante el valor de Shapley (Shapley, 1953). Esta descomposición distingue el rendimiento mecánico de la reforma ―la estimación que tradicionalmente se utiliza― de la respuesta de las bases, tanto la del impuesto modificado como la de los demás.</w:t>
      </w:r>
    </w:p>
    <w:p w14:paraId="60F14585" w14:textId="77777777" w:rsidR="000408E8" w:rsidRDefault="00000000" w:rsidP="001705F3">
      <w:pPr>
        <w:spacing w:after="160" w:line="480" w:lineRule="auto"/>
        <w:jc w:val="both"/>
      </w:pPr>
      <w:r>
        <w:t>El modelo se ilustra con dos reformas: un aumento de un punto porcentual en la tasa del IVA y una rebaja de un punto en la tasa del IDPC. En el primer caso, el efecto conjunto de tasa y base asciende a 0.36 puntos del PIB: la contracción de las bases absorbe 19.7% del rendimiento mecánico, y 42% de esa erosión ocurre fuera del propio IVA. En el segundo, la pérdida de tasa y base es de 0.13 puntos del PIB: la expansión de las bases compensa 17.5% de la pérdida mecánica, y casi dos tercios de esa compensación provienen de impuestos distintos del IDPC.</w:t>
      </w:r>
    </w:p>
    <w:p w14:paraId="2304E2F9" w14:textId="77777777" w:rsidR="000408E8" w:rsidRDefault="00000000" w:rsidP="001705F3">
      <w:pPr>
        <w:spacing w:after="160" w:line="480" w:lineRule="auto"/>
        <w:jc w:val="both"/>
      </w:pPr>
      <w:r>
        <w:t>La Sección 2 describe la MCS; la Sección 3 presenta el modelo, cuya especificación formal se reúne en el Anexo A; la Sección 4 explica cómo se mide el impacto fiscal; la Sección 5 desarrolla las aplicaciones; la Sección 6 examina la coherencia de los resultados; la Sección 7 concluye, y la Sección 8 indica dónde se encuentra el código.</w:t>
      </w:r>
    </w:p>
    <w:p w14:paraId="0D843444" w14:textId="77777777" w:rsidR="000408E8" w:rsidRDefault="00000000" w:rsidP="001705F3">
      <w:pPr>
        <w:pStyle w:val="Ttulo1"/>
        <w:spacing w:line="480" w:lineRule="auto"/>
      </w:pPr>
      <w:r>
        <w:t>2. La matriz de contabilidad social</w:t>
      </w:r>
    </w:p>
    <w:p w14:paraId="23D5C4F6" w14:textId="77777777" w:rsidR="000408E8" w:rsidRDefault="00000000" w:rsidP="001705F3">
      <w:pPr>
        <w:spacing w:after="160" w:line="480" w:lineRule="auto"/>
        <w:jc w:val="both"/>
      </w:pPr>
      <w:r>
        <w:t xml:space="preserve">El modelo se calibra con una MCS que representa la economía chilena en 2023, construida según la metodología del Banco Central de Chile (Venegas M., 2013). Cada fila registra los ingresos de una cuenta y cada columna sus gastos; en equilibrio, ambos totales coinciden. La economía se desagrega en doce sectores y trece productos según la clasificación del Banco Central. La matriz incluye además las cuentas de hogares, empresas, gobierno, resto </w:t>
        <w:t>del mundo y ahorro–inversión, y registra por separado cada instrumento tributario: impuestos directos, impuestos a la producción, IVA, impuestos específicos y aranceles.</w:t>
      </w:r>
    </w:p>
    <w:p w14:paraId="5AF1C3F1" w14:textId="5CB8991C" w:rsidR="000408E8" w:rsidRDefault="00000000" w:rsidP="001705F3">
      <w:pPr>
        <w:spacing w:after="160" w:line="480" w:lineRule="auto"/>
        <w:jc w:val="both"/>
      </w:pPr>
      <w:r>
        <w:t xml:space="preserve">El trabajo se divide en tres niveles de calificación según el nivel educacional de los ocupados de cada sector en la encuesta de Caracterización Socioeconómica Nacional (CASEN) 2022: la calificación baja comprende a quienes alcanzaron como máximo la educación básica completa; la media, a quienes alcanzaron como máximo la educación media (o secundaria) completa, y la alta, a quienes tienen educación superior completa o incompleta. Las remuneraciones de cada sector se distribuyen entre los tres tipos según esa estructura.</w:t>
      </w:r>
    </w:p>
    <w:p w14:paraId="56B92C76" w14:textId="738144A4" w:rsidR="00EE5F31" w:rsidRDefault="00EE5F31" w:rsidP="00EE5F31">
      <w:pPr>
        <w:spacing w:after="160" w:line="480" w:lineRule="auto"/>
        <w:jc w:val="both"/>
      </w:pPr>
      <w:r>
        <w:t>La MCS registra la renta del capital efectivamente utilizado, pero no el capital total. En este sentido, la utilización base se ancla en 0.82, valor tomado del uso de capacidad instalada que reporta el Indicador Mensual de Confianza Empresarial de ICARE y la Universidad Adolfo Ibáñez para diciembre de 2023 (ICARE &amp; Universidad Adolfo Ibáñez, 2023).</w:t>
      </w:r>
    </w:p>
    <w:p w14:paraId="07F6E5B2" w14:textId="77777777" w:rsidR="000408E8" w:rsidRDefault="00000000" w:rsidP="001705F3">
      <w:pPr>
        <w:spacing w:after="160" w:line="480" w:lineRule="auto"/>
        <w:jc w:val="both"/>
      </w:pPr>
      <w:r>
        <w:t xml:space="preserve">Los flujos de producción, consumo intermedio y final, comercio exterior e inversión provienen de los cuadros de oferta y utilización del Banco Central; los ingresos y transferencias de hogares, sociedades y gobierno, de sus cuentas institucionales. Mantener cada impuesto desagregado por producto o institución permite identificar con precisión la base y el precio de cada instrumento. La recaudación registrada equivale a 18.19% del PIB nominal, de la cual 8.63 puntos corresponden al IVA, 4.76 al impuesto directo de las empresas y 1.81 al impuesto a la renta de personas. El modelo reproduce exactamente la matriz en su equilibrio base.</w:t>
      </w:r>
    </w:p>
    <w:p w14:paraId="25D69BC8" w14:textId="77777777" w:rsidR="000408E8" w:rsidRDefault="00000000" w:rsidP="001705F3">
      <w:pPr>
        <w:pStyle w:val="Ttulo1"/>
        <w:spacing w:line="480" w:lineRule="auto"/>
      </w:pPr>
      <w:r>
        <w:t>3. El modelo</w:t>
      </w:r>
    </w:p>
    <w:p w14:paraId="35231163" w14:textId="77777777" w:rsidR="000408E8" w:rsidRDefault="00000000" w:rsidP="001705F3">
      <w:pPr>
        <w:pStyle w:val="Ttulo2"/>
        <w:spacing w:line="480" w:lineRule="auto"/>
      </w:pPr>
      <w:r>
        <w:t>3.1 Visión general</w:t>
      </w:r>
    </w:p>
    <w:p w14:paraId="1D5ED29E" w14:textId="272FE18B" w:rsidR="000408E8" w:rsidRDefault="00000000" w:rsidP="001705F3">
      <w:pPr>
        <w:spacing w:after="160" w:line="480" w:lineRule="auto"/>
        <w:jc w:val="both"/>
      </w:pPr>
      <w:r>
        <w:t xml:space="preserve">El modelo es un equilibrio general estático y determinístico: compara dos equilibrios ―antes y después de una reforma― sin describir la trayectoria de ajuste entre ellos. Sigue la estructura de los MEGC estándar para economías en desarrollo (Löfgren et al., 2002) y se implementa en el paquete gEcon de R. En términos generales, las empresas de doce sectores contratan trabajo y capital y venden su producción en un mercado de bienes abierto al exterior; los ingresos generados se distribuyen entre el hogar, las firmas y el gobierno, y el ahorro de todos ellos financia la inversión. La especificación formal completa se presenta en el Anexo A.</w:t>
      </w:r>
    </w:p>
    <w:p w14:paraId="59C2AE18" w14:textId="77777777" w:rsidR="000408E8" w:rsidRDefault="00000000" w:rsidP="001705F3">
      <w:pPr>
        <w:pStyle w:val="Ttulo2"/>
        <w:spacing w:line="480" w:lineRule="auto"/>
      </w:pPr>
      <w:r>
        <w:t>3.2 Producción y comercio exterior</w:t>
      </w:r>
    </w:p>
    <w:p w14:paraId="1C9DBF7D" w14:textId="77777777" w:rsidR="000408E8" w:rsidRDefault="00000000" w:rsidP="001705F3">
      <w:pPr>
        <w:spacing w:after="160" w:line="480" w:lineRule="auto"/>
        <w:jc w:val="both"/>
      </w:pPr>
      <w:r>
        <w:t xml:space="preserve">En cada sector, el valor agregado combina capital y los tres tipos de trabajo descritos en la Sección 2 mediante una tecnología Cobb-Douglas, con participaciones calibradas a partir de la MCS, mientras que los insumos intermedios se usan en proporciones fijas. Cada producto puede venderse en el mercado interno o exportarse: la producción se reparte entre ambos destinos según sus precios relativos, mediante una función de elasticidad de transformación constante (CET). Del lado de la demanda, los compradores combinan </w:t>
        <w:t>bienes nacionales e importados, que se consideran sustitutos imperfectos (Armington, 1969). Chile se modela como una economía pequeña que toma como dados los precios internacionales, de modo que un cambio tributario altera la composición entre producción doméstica, exportaciones e importaciones a través del tipo de cambio real.</w:t>
      </w:r>
    </w:p>
    <w:p w14:paraId="6AC7E00C" w14:textId="77777777" w:rsidR="000408E8" w:rsidRDefault="00000000" w:rsidP="001705F3">
      <w:pPr>
        <w:pStyle w:val="Ttulo2"/>
        <w:spacing w:line="480" w:lineRule="auto"/>
      </w:pPr>
      <w:r>
        <w:t>3.3 Hogar, firmas y gobierno</w:t>
      </w:r>
    </w:p>
    <w:p w14:paraId="10EB0AB3" w14:textId="77777777" w:rsidR="000408E8" w:rsidRDefault="00000000" w:rsidP="001705F3">
      <w:pPr>
        <w:spacing w:after="160" w:line="480" w:lineRule="auto"/>
        <w:jc w:val="both"/>
      </w:pPr>
      <w:r>
        <w:t>Un hogar representativo recibe salarios, rentas del capital, dividendos, transferencias y prestaciones sociales; paga el impuesto a la renta de personas y destina el resto al consumo, al ahorro y a las contribuciones sociales. Distribuye su consumo entre once bienes según sus precios de comprador, que ya incluyen el IVA y los impuestos específicos, de modo que un alza tributaria lo lleva a sustituir hacia los bienes relativamente más baratos.</w:t>
      </w:r>
    </w:p>
    <w:p w14:paraId="24061C84" w14:textId="0F51EC07" w:rsidR="000408E8" w:rsidRDefault="00000000" w:rsidP="001705F3">
      <w:pPr>
        <w:spacing w:after="160" w:line="480" w:lineRule="auto"/>
        <w:jc w:val="both"/>
      </w:pPr>
      <w:r>
        <w:t>Las firmas se modelan como la institución que recibe la renta del capital corporativo: pagan el IDPC sobre esa renta, distribuyen dividendos y prestaciones, y retienen el resto como ahorro. Esta representación sigue el registro de la MCS, donde el impuesto corporativo es un gravamen institucional. El gobierno consolida la recaudación, compra bienes ―pagando también IVA e impuestos específicos―, realiza transferencias y ahorra la diferencia; el volumen de sus compras permanece fijo en las simulaciones.</w:t>
      </w:r>
    </w:p>
    <w:p w14:paraId="40ACF05F" w14:textId="77777777" w:rsidR="000408E8" w:rsidRDefault="00000000" w:rsidP="001705F3">
      <w:pPr>
        <w:pStyle w:val="Ttulo2"/>
        <w:spacing w:line="480" w:lineRule="auto"/>
      </w:pPr>
      <w:r>
        <w:t>3.4 Los impuestos en el modelo</w:t>
      </w:r>
    </w:p>
    <w:p w14:paraId="458E509E" w14:textId="22025BEF" w:rsidR="000408E8" w:rsidRDefault="00000000" w:rsidP="001705F3">
      <w:pPr>
        <w:spacing w:after="160" w:line="480" w:lineRule="auto"/>
        <w:jc w:val="both"/>
      </w:pPr>
      <w:r>
        <w:t>El IVA y los impuestos específicos se modelan como cuñas entre el precio básico y el precio que paga el comprador. La demanda final ―consumo, gasto público e inversión― paga ambos gravámenes. El uso intermedio, en cambio, recupera el IVA como crédito fiscal, salvo una fracción residual, calibrada desde la MCS, que corresponde al IVA no recuperable en actividades exentas, y no paga impuestos específicos. Esta arquitectura reproduce el mecanismo de débitos y créditos que impide que el IVA se acumule en cascada a lo largo de la cadena productiva (Ebrill et al., 2001).</w:t>
      </w:r>
    </w:p>
    <w:p w14:paraId="7FB78AA5" w14:textId="59820DEE" w:rsidR="000408E8" w:rsidRDefault="00000000" w:rsidP="001705F3">
      <w:pPr>
        <w:spacing w:after="160" w:line="480" w:lineRule="auto"/>
        <w:jc w:val="both"/>
      </w:pPr>
      <w:r>
        <w:t>Los impuestos específicos se cobran por unidad física, se indexan al nivel de precios ―como ocurre con los gravámenes expresados en unidades tributarias mensuales― y se asume que forman parte de la base del IVA. Las tasas efectivas se calibran a partir de la recaudación registrada en la MCS, con la tasa legal de 19% como tope para la demanda final. Los impuestos a la producción gravan el ingreso bruto de los sectores y los aranceles, el valor de las importaciones.</w:t>
      </w:r>
    </w:p>
    <w:p w14:paraId="3F4EE68F" w14:textId="1A0D48F4" w:rsidR="000408E8" w:rsidRDefault="00000000" w:rsidP="001705F3">
      <w:pPr>
        <w:spacing w:after="160" w:line="480" w:lineRule="auto"/>
        <w:jc w:val="both"/>
      </w:pPr>
      <w:r>
        <w:t xml:space="preserve">Los impuestos directos operan por dos vías. El impuesto a la renta de personas se representa con una tasa efectiva media de 2.55% sobre el ingreso del hogar antes de impuestos, que comprende salarios, rentas del capital, dividendos, transferencias y prestaciones. Además de reducir el ingreso disponible, entra en las curvas de oferta de trabajo y de capital de los hogares, que responden a remuneraciones netas: un alza del impuesto obliga a pagar un salario bruto mayor para un mismo nivel de empleo. El IDPC se registra como el impuesto directo de las empresas sobre la renta del capital corporativo, </w:t>
        <w:t>con una tasa efectiva de 13.05%. Este agregado incluye tributos empresariales distintos del IDPC, por lo que los cambios de la tasa legal se trasladan a la tasa efectiva según la participación del IDPC devengado en el total (91.6% en 2023). El IDPC reduce el ahorro de las firmas y los dividendos y, a la vez, abre una cuña entre el retorno bruto que pagan los sectores y el retorno neto que determina la oferta de servicios de capital (Hall &amp; Jorgenson, 1967). Como el capital corporativo es una fracción fija del capital utilizado, la base del IDPC varía con el grado de utilización.</w:t>
      </w:r>
    </w:p>
    <w:p w14:paraId="50EFD749" w14:textId="77777777" w:rsidR="000408E8" w:rsidRDefault="00000000" w:rsidP="001705F3">
      <w:pPr>
        <w:pStyle w:val="Ttulo2"/>
        <w:spacing w:line="480" w:lineRule="auto"/>
      </w:pPr>
      <w:r>
        <w:t>3.5 Mercados de factores y cierre</w:t>
      </w:r>
    </w:p>
    <w:p w14:paraId="1C22F578" w14:textId="7F12A1F6" w:rsidR="000408E8" w:rsidRDefault="007F1CAF" w:rsidP="001705F3">
      <w:pPr>
        <w:spacing w:after="160" w:line="480" w:lineRule="auto"/>
        <w:jc w:val="both"/>
      </w:pPr>
      <w:r>
        <w:t>Este modelo admite desempleo y capacidad ociosa. En el mercado laboral, el salario real neto de cada tipo de trabajo responde a la tasa de ocupación según una curva salarial, y la fuerza de trabajo se expande o contrae con el empleo, de modo que la tasa de desempleo de cada nivel de calificación es endógena. En el año base, las tasas de desempleo son de 7.6%, 9.9% y 7.8% para la calificación baja, media y alta, según la Encuesta Nacional de Empleo del INE. En el mercado de capital, el retorno real neto depende del grado de utilización de la capacidad instalada.</w:t>
      </w:r>
    </w:p>
    <w:p w14:paraId="042FD04B" w14:textId="77777777" w:rsidR="000408E8" w:rsidRDefault="00000000" w:rsidP="001705F3">
      <w:pPr>
        <w:spacing w:after="160" w:line="480" w:lineRule="auto"/>
        <w:jc w:val="both"/>
      </w:pPr>
      <w:r>
        <w:t xml:space="preserve">Los parámetros de ambos mercados se determinan a partir de la evidencia sobre la respuesta de la oferta de factores a su remuneración neta. Para el trabajo, la evidencia cuasi experimental sitúa las elasticidades en torno a 0.3 en el margen intensivo y 0.25 en el extensivo (Chetty et al., 2011); como el modelo no distingue horas de personas, se adopta una elasticidad del empleo al salario real neto de 0.5. Para el capital, las elasticidades de la inversión respecto del costo de uso se ubican entre 0.5 y 1.0 (Hassett &amp; Hubbard, 2002), y </w:t>
        <w:t>la evidencia para Chile documenta un efecto negativo y significativo del impuesto corporativo sobre la inversión (Cerda &amp; Larraín, 2005); se adopta una elasticidad de los servicios de capital al retorno real neto de 0.67, en el centro de ese rango. Las elasticidades de consumo y de comercio exterior son supuestos del modelo. La Tabla 1 resume los parámetros principales, y la Sección 6 examina la sensibilidad de los resultados recaudatorios a las elasticidades de oferta de los factores.</w:t>
      </w:r>
    </w:p>
    <w:p w14:paraId="39567C9A" w14:textId="77777777" w:rsidR="000408E8" w:rsidRDefault="00000000" w:rsidP="001705F3">
      <w:pPr>
        <w:keepNext/>
        <w:keepLines/>
        <w:spacing w:before="120" w:after="100" w:line="480" w:lineRule="auto"/>
      </w:pPr>
      <w:r>
        <w:rPr>
          <w:b/>
          <w:bCs/>
          <w:color w:val="002060"/>
        </w:rPr>
        <w:t>Tabla 1. Parámetros principales del modelo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7"/>
        <w:gridCol w:w="718"/>
      </w:tblGrid>
      <w:tr w:rsidR="007F1CAF" w14:paraId="61BE9C6B" w14:textId="77777777" w:rsidTr="007F1CAF">
        <w:trPr>
          <w:tblHeader/>
        </w:trPr>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5F6F1FE" w14:textId="77777777" w:rsidR="007F1CAF" w:rsidRDefault="007F1CAF" w:rsidP="001705F3">
            <w:pPr>
              <w:keepNext/>
              <w:spacing w:line="480" w:lineRule="auto"/>
            </w:pPr>
            <w:r>
              <w:rPr>
                <w:b/>
                <w:bCs/>
                <w:color w:val="FFFFFF"/>
              </w:rPr>
              <w:t>Parámetro</w:t>
            </w:r>
          </w:p>
        </w:tc>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DAE7325" w14:textId="77777777" w:rsidR="007F1CAF" w:rsidRDefault="007F1CAF" w:rsidP="001705F3">
            <w:pPr>
              <w:keepNext/>
              <w:spacing w:line="480" w:lineRule="auto"/>
              <w:jc w:val="center"/>
            </w:pPr>
            <w:r>
              <w:rPr>
                <w:b/>
                <w:bCs/>
                <w:color w:val="FFFFFF"/>
              </w:rPr>
              <w:t>Valor</w:t>
            </w:r>
          </w:p>
        </w:tc>
      </w:tr>
      <w:tr w:rsidR="007F1CAF" w14:paraId="3E1D9261"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883A1D1" w14:textId="77777777" w:rsidR="007F1CAF" w:rsidRDefault="007F1CAF" w:rsidP="001705F3">
            <w:pPr>
              <w:keepNext/>
              <w:spacing w:line="480" w:lineRule="auto"/>
            </w:pPr>
            <w:r>
              <w:t>Elasticidad de sustitución en el consumo (</w:t>
            </w:r>
            <m:oMath>
              <m:r>
                <w:rPr>
                  <w:rFonts w:ascii="Cambria Math" w:hAnsi="Cambria Math"/>
                </w:rPr>
                <m:t>ω</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CE3ACD0" w14:textId="77777777" w:rsidR="007F1CAF" w:rsidRDefault="007F1CAF" w:rsidP="001705F3">
            <w:pPr>
              <w:keepNext/>
              <w:spacing w:line="480" w:lineRule="auto"/>
              <w:jc w:val="center"/>
            </w:pPr>
            <w:r>
              <w:t>1.5</w:t>
            </w:r>
          </w:p>
        </w:tc>
      </w:tr>
      <w:tr w:rsidR="007F1CAF" w14:paraId="3B59C0C6"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F8560A4" w14:textId="77777777" w:rsidR="007F1CAF" w:rsidRDefault="007F1CAF" w:rsidP="001705F3">
            <w:pPr>
              <w:keepNext/>
              <w:spacing w:line="480" w:lineRule="auto"/>
            </w:pPr>
            <w:r>
              <w:t>Elasticidad de transformación CET (</w:t>
            </w:r>
            <m:oMath>
              <m:sSub>
                <m:sSubPr>
                  <m:ctrlPr>
                    <w:rPr>
                      <w:rFonts w:ascii="Cambria Math" w:hAnsi="Cambria Math"/>
                    </w:rPr>
                  </m:ctrlPr>
                </m:sSubPr>
                <m:e>
                  <m:r>
                    <w:rPr>
                      <w:rFonts w:ascii="Cambria Math" w:hAnsi="Cambria Math"/>
                    </w:rPr>
                    <m:t>σ</m:t>
                  </m:r>
                </m:e>
                <m:sub>
                  <m:r>
                    <w:rPr>
                      <w:rFonts w:ascii="Cambria Math" w:hAnsi="Cambria Math"/>
                    </w:rPr>
                    <m:t>t</m:t>
                  </m:r>
                </m:sub>
              </m:sSub>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AD93F69" w14:textId="77777777" w:rsidR="007F1CAF" w:rsidRDefault="007F1CAF" w:rsidP="001705F3">
            <w:pPr>
              <w:keepNext/>
              <w:spacing w:line="480" w:lineRule="auto"/>
              <w:jc w:val="center"/>
            </w:pPr>
            <w:r>
              <w:t>1.5</w:t>
            </w:r>
          </w:p>
        </w:tc>
      </w:tr>
      <w:tr w:rsidR="007F1CAF" w14:paraId="1BA44A6B"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D453E0C" w14:textId="77777777" w:rsidR="007F1CAF" w:rsidRDefault="007F1CAF" w:rsidP="001705F3">
            <w:pPr>
              <w:keepNext/>
              <w:spacing w:line="480" w:lineRule="auto"/>
            </w:pPr>
            <w:r>
              <w:t>Elasticidad de Armington (</w:t>
            </w:r>
            <m:oMath>
              <m:sSub>
                <m:sSubPr>
                  <m:ctrlPr>
                    <w:rPr>
                      <w:rFonts w:ascii="Cambria Math" w:hAnsi="Cambria Math"/>
                    </w:rPr>
                  </m:ctrlPr>
                </m:sSubPr>
                <m:e>
                  <m:r>
                    <w:rPr>
                      <w:rFonts w:ascii="Cambria Math" w:hAnsi="Cambria Math"/>
                    </w:rPr>
                    <m:t>σ</m:t>
                  </m:r>
                </m:e>
                <m:sub>
                  <m:r>
                    <w:rPr>
                      <w:rFonts w:ascii="Cambria Math" w:hAnsi="Cambria Math"/>
                    </w:rPr>
                    <m:t>q</m:t>
                  </m:r>
                </m:sub>
              </m:sSub>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46A558F" w14:textId="77777777" w:rsidR="007F1CAF" w:rsidRDefault="007F1CAF" w:rsidP="001705F3">
            <w:pPr>
              <w:keepNext/>
              <w:spacing w:line="480" w:lineRule="auto"/>
              <w:jc w:val="center"/>
            </w:pPr>
            <w:r>
              <w:t>2.0</w:t>
            </w:r>
          </w:p>
        </w:tc>
      </w:tr>
      <w:tr w:rsidR="007F1CAF" w14:paraId="083B8591"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8C79D3A" w14:textId="77777777" w:rsidR="007F1CAF" w:rsidRDefault="007F1CAF" w:rsidP="001705F3">
            <w:pPr>
              <w:keepNext/>
              <w:spacing w:line="480" w:lineRule="auto"/>
            </w:pPr>
            <w:r>
              <w:t>Curva salarial (</w:t>
            </w:r>
            <m:oMath>
              <m:r>
                <w:rPr>
                  <w:rFonts w:ascii="Cambria Math" w:hAnsi="Cambria Math"/>
                </w:rPr>
                <m:t>φ</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CE76FF1" w14:textId="77777777" w:rsidR="007F1CAF" w:rsidRDefault="007F1CAF" w:rsidP="001705F3">
            <w:pPr>
              <w:keepNext/>
              <w:spacing w:line="480" w:lineRule="auto"/>
              <w:jc w:val="center"/>
            </w:pPr>
            <w:r>
              <w:t>3.45</w:t>
            </w:r>
          </w:p>
        </w:tc>
      </w:tr>
      <w:tr w:rsidR="007F1CAF" w14:paraId="254585D5"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E7FD1BB" w14:textId="77777777" w:rsidR="007F1CAF" w:rsidRDefault="007F1CAF" w:rsidP="001705F3">
            <w:pPr>
              <w:keepNext/>
              <w:spacing w:line="480" w:lineRule="auto"/>
            </w:pPr>
            <w:r>
              <w:t>Curva de utilización del capital (</w:t>
            </w:r>
            <m:oMath>
              <m:r>
                <w:rPr>
                  <w:rFonts w:ascii="Cambria Math" w:hAnsi="Cambria Math"/>
                </w:rPr>
                <m:t>ψ</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89DECC5" w14:textId="77777777" w:rsidR="007F1CAF" w:rsidRDefault="007F1CAF" w:rsidP="001705F3">
            <w:pPr>
              <w:keepNext/>
              <w:spacing w:line="480" w:lineRule="auto"/>
              <w:jc w:val="center"/>
            </w:pPr>
            <w:r>
              <w:t>1.5</w:t>
            </w:r>
          </w:p>
        </w:tc>
      </w:tr>
      <w:tr w:rsidR="007F1CAF" w14:paraId="00418C4F"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72C014F" w14:textId="77777777" w:rsidR="007F1CAF" w:rsidRDefault="007F1CAF" w:rsidP="001705F3">
            <w:pPr>
              <w:keepNext/>
              <w:spacing w:line="480" w:lineRule="auto"/>
            </w:pPr>
            <w:r>
              <w:t>Participación laboral (</w:t>
            </w:r>
            <m:oMath>
              <m:r>
                <w:rPr>
                  <w:rFonts w:ascii="Cambria Math" w:hAnsi="Cambria Math"/>
                </w:rPr>
                <m:t>ε</m:t>
              </m:r>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E3B3818" w14:textId="77777777" w:rsidR="007F1CAF" w:rsidRDefault="007F1CAF" w:rsidP="001705F3">
            <w:pPr>
              <w:keepNext/>
              <w:spacing w:line="480" w:lineRule="auto"/>
              <w:jc w:val="center"/>
            </w:pPr>
            <w:r>
              <w:t>0.42</w:t>
            </w:r>
          </w:p>
        </w:tc>
      </w:tr>
      <w:tr w:rsidR="007F1CAF" w14:paraId="57AD87BD" w14:textId="77777777" w:rsidTr="007F1CAF">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DB055FD" w14:textId="77777777" w:rsidR="007F1CAF" w:rsidRDefault="007F1CAF" w:rsidP="001705F3">
            <w:pPr>
              <w:keepNext/>
              <w:spacing w:line="480" w:lineRule="auto"/>
            </w:pPr>
            <w:r>
              <w:t>Utilización base del capital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b</m:t>
                  </m:r>
                </m:sup>
              </m:sSubSup>
            </m:oMath>
            <w:r>
              <w:t>)</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0DFB9F5" w14:textId="77777777" w:rsidR="007F1CAF" w:rsidRDefault="007F1CAF" w:rsidP="001705F3">
            <w:pPr>
              <w:keepNext/>
              <w:spacing w:line="480" w:lineRule="auto"/>
              <w:jc w:val="center"/>
            </w:pPr>
            <w:r>
              <w:t>0.82</w:t>
            </w:r>
          </w:p>
        </w:tc>
      </w:tr>
    </w:tbl>
    <w:p w14:paraId="373D4BCE" w14:textId="77777777" w:rsidR="000408E8" w:rsidRDefault="00000000" w:rsidP="001705F3">
      <w:pPr>
        <w:spacing w:before="80" w:after="240" w:line="480" w:lineRule="auto"/>
        <w:jc w:val="both"/>
      </w:pPr>
      <w:r>
        <w:t>Nota: los parámetros de la curva salarial y de la curva de utilización del capital implican elasticidades de la oferta de empleo y de servicios de capital a su remuneración real neta de 0.5 y 0.67, respectivamente. Fuente: elaboración propia.</w:t>
      </w:r>
    </w:p>
    <w:p w14:paraId="4591F820" w14:textId="77777777" w:rsidR="000408E8" w:rsidRDefault="00000000" w:rsidP="001705F3">
      <w:pPr>
        <w:spacing w:after="160" w:line="480" w:lineRule="auto"/>
        <w:jc w:val="both"/>
      </w:pPr>
      <w:r>
        <w:t xml:space="preserve">El cierre macroeconómico determina cómo se reequilibra la economía tras una reforma. El índice de precios al consumidor es el numerario y el sistema es homogéneo de grado cero en precios. La inversión se ajusta al ahorro total de hogares, firmas y gobierno, de modo que </w:t>
        <w:t>una variación del ahorro público se traduce en una variación de la inversión del mismo signo. El ahorro externo es fijo en moneda extranjera, y el tipo de cambio real se ajusta para mantenerlo en su nivel.</w:t>
      </w:r>
    </w:p>
    <w:p w14:paraId="0BE8B8BF" w14:textId="77777777" w:rsidR="000408E8" w:rsidRDefault="00000000" w:rsidP="001705F3">
      <w:pPr>
        <w:pStyle w:val="Ttulo1"/>
        <w:spacing w:line="480" w:lineRule="auto"/>
      </w:pPr>
      <w:r>
        <w:t>4. Evaluación del impacto fiscal</w:t>
      </w:r>
    </w:p>
    <w:p w14:paraId="7A04380C" w14:textId="59F42417" w:rsidR="000408E8" w:rsidRDefault="00000000" w:rsidP="001705F3">
      <w:pPr>
        <w:spacing w:after="160" w:line="480" w:lineRule="auto"/>
        <w:jc w:val="both"/>
      </w:pPr>
      <w:r>
        <w:t xml:space="preserve">El impacto de una reforma sobre la recaudación se mide como el cambio en la recaudación de cada instrumento, expresado en puntos porcentuales del PIB nominal del escenario base. Para interpretarlo, el modelo separa la variación de cada impuesto en tres componentes: un efecto tasa, que corresponde al rendimiento mecánico de la reforma si nada más cambiara; un efecto base, que recoge la respuesta de las cantidades gravadas ―consumo, empleo, producción, utilización del capital o importaciones―, y un efecto precio, que refleja la revaloración de esas bases respecto de la canasta de consumo. La separación utiliza el valor de Shapley (Shapley, 1953) en la formulación de Sun (1998), que reparte simétricamente las interacciones entre los tres factores y garantiza que los componentes sumen exactamente el cambio observado (Anexo A.10).</w:t>
      </w:r>
    </w:p>
    <w:p w14:paraId="0EE71B33" w14:textId="7F00CF6E" w:rsidR="000408E8" w:rsidRDefault="00000000" w:rsidP="001705F3">
      <w:pPr>
        <w:spacing w:after="160" w:line="480" w:lineRule="auto"/>
        <w:jc w:val="both"/>
      </w:pPr>
      <w:r>
        <w:t xml:space="preserve">El efecto tasa es el que tradicionalmente se utiliza para estimar el rendimiento de una reforma: aplica la nueva tasa a la base vigente. El efecto base muestra el cambio de comportamiento que genera esa política. Una reforma modifica cantidades y precios relativos en toda la economía, por lo que las bases de los impuestos que no se modificaron también cambian, y el resultado neto de la reforma incorpora la variación de todos los impuestos. Por ello, el indicador central de la evaluación es el efecto conjunto de tasa y base, que mide cuánto de la recaudación esperada se pierde, o se gana, por la reacción de </w:t>
        <w:t xml:space="preserve">la economía. El efecto precio, por el contrario, no se incluye en el indicador central porque depende de la elección del numerario. Se denomina erosión a la fracción del efecto tasa que se pierde por la contracción de las bases en un alza tributaria.</w:t>
      </w:r>
    </w:p>
    <w:p w14:paraId="530B2A4D" w14:textId="77777777" w:rsidR="000408E8" w:rsidRDefault="00000000" w:rsidP="001705F3">
      <w:pPr>
        <w:pStyle w:val="Ttulo1"/>
        <w:spacing w:line="480" w:lineRule="auto"/>
      </w:pPr>
      <w:r>
        <w:t>5. Aplicaciones</w:t>
      </w:r>
    </w:p>
    <w:p w14:paraId="6E629D58" w14:textId="77777777" w:rsidR="000408E8" w:rsidRDefault="00000000" w:rsidP="001705F3">
      <w:pPr>
        <w:spacing w:after="160" w:line="480" w:lineRule="auto"/>
        <w:jc w:val="both"/>
      </w:pPr>
      <w:r>
        <w:t>Esta sección ilustra el uso del modelo con dos reformas: un alza del IVA, impuesto al consumo, y una rebaja del IDPC, impuesto a la renta del capital corporativo. En cada caso se reportan los efectos sobre la actividad y los mercados de factores, que determinan la respuesta de las bases, y luego el impacto recaudatorio.</w:t>
      </w:r>
    </w:p>
    <w:p w14:paraId="583B1CD9" w14:textId="77777777" w:rsidR="000408E8" w:rsidRDefault="00000000" w:rsidP="001705F3">
      <w:pPr>
        <w:pStyle w:val="Ttulo2"/>
        <w:spacing w:line="480" w:lineRule="auto"/>
      </w:pPr>
      <w:r>
        <w:t>5.1 Un aumento de la tasa del IVA</w:t>
      </w:r>
    </w:p>
    <w:p w14:paraId="6ECE8F9D" w14:textId="77777777" w:rsidR="000408E8" w:rsidRDefault="00000000" w:rsidP="001705F3">
      <w:pPr>
        <w:spacing w:after="160" w:line="480" w:lineRule="auto"/>
        <w:jc w:val="both"/>
      </w:pPr>
      <w:r>
        <w:t>Se simula un aumento de la tasa del IVA de 19% a 20%, que eleva en 5.26% las tasas efectivas calibradas por producto y preserva su estructura relativa. Como el IPC es el numerario, el alza de la cuña se manifiesta en una caída de los precios básicos y de las remuneraciones de los factores medidas en canastas de consumo: un impuesto general al consumo equivale a un impuesto uniforme sobre las rentas de los factores, cuya oferta se contrae. La recaudación adicional se acumula como ahorro público y, bajo el cierre adoptado, financia inversión.</w:t>
      </w:r>
    </w:p>
    <w:p w14:paraId="056871A0" w14:textId="77777777" w:rsidR="000408E8" w:rsidRDefault="00000000" w:rsidP="001705F3">
      <w:pPr>
        <w:keepNext/>
        <w:keepLines/>
        <w:spacing w:before="120" w:after="100" w:line="480" w:lineRule="auto"/>
      </w:pPr>
      <w:r>
        <w:rPr>
          <w:b/>
          <w:bCs/>
          <w:color w:val="002060"/>
        </w:rPr>
        <w:t>Tabla 2. Efectos agregados del aumento de un punto en la tasa del IVA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8"/>
        <w:gridCol w:w="2698"/>
      </w:tblGrid>
      <w:tr w:rsidR="000408E8" w14:paraId="31B63F79" w14:textId="77777777" w:rsidTr="003118B9">
        <w:trPr>
          <w:tblHeader/>
        </w:trPr>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2DBB6B5" w14:textId="77777777" w:rsidR="000408E8" w:rsidRDefault="00000000" w:rsidP="001705F3">
            <w:pPr>
              <w:keepNext/>
              <w:spacing w:line="480" w:lineRule="auto"/>
            </w:pPr>
            <w:r>
              <w:rPr>
                <w:b/>
                <w:bCs/>
                <w:color w:val="FFFFFF"/>
              </w:rPr>
              <w:t>Indicador</w:t>
            </w:r>
          </w:p>
        </w:tc>
        <w:tc>
          <w:tcPr>
            <w:tcW w:w="0" w:type="auto"/>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11FCFE58" w14:textId="77777777" w:rsidR="000408E8" w:rsidRDefault="00000000" w:rsidP="001705F3">
            <w:pPr>
              <w:keepNext/>
              <w:spacing w:line="480" w:lineRule="auto"/>
              <w:jc w:val="right"/>
            </w:pPr>
            <w:r>
              <w:rPr>
                <w:b/>
                <w:bCs/>
                <w:color w:val="FFFFFF"/>
              </w:rPr>
              <w:t>Cambio</w:t>
            </w:r>
          </w:p>
        </w:tc>
      </w:tr>
      <w:tr w:rsidR="000408E8" w14:paraId="69B73670"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7ADE611" w14:textId="77777777" w:rsidR="000408E8" w:rsidRDefault="00000000" w:rsidP="001705F3">
            <w:pPr>
              <w:keepNext/>
              <w:spacing w:line="480" w:lineRule="auto"/>
            </w:pPr>
            <w:r>
              <w:t>PIB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55FDD3D" w14:textId="77777777" w:rsidR="000408E8" w:rsidRDefault="00000000" w:rsidP="001705F3">
            <w:pPr>
              <w:keepNext/>
              <w:spacing w:line="480" w:lineRule="auto"/>
              <w:jc w:val="right"/>
            </w:pPr>
            <w:r>
              <w:t>−0.35%</w:t>
            </w:r>
          </w:p>
        </w:tc>
      </w:tr>
      <w:tr w:rsidR="000408E8" w14:paraId="425861CA"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4B05941" w14:textId="77777777" w:rsidR="000408E8" w:rsidRDefault="00000000" w:rsidP="001705F3">
            <w:pPr>
              <w:keepNext/>
              <w:spacing w:line="480" w:lineRule="auto"/>
            </w:pPr>
            <w:r>
              <w:t>Consumo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C5CE209" w14:textId="77777777" w:rsidR="000408E8" w:rsidRDefault="00000000" w:rsidP="001705F3">
            <w:pPr>
              <w:keepNext/>
              <w:spacing w:line="480" w:lineRule="auto"/>
              <w:jc w:val="right"/>
            </w:pPr>
            <w:r>
              <w:t>−0.73%</w:t>
            </w:r>
          </w:p>
        </w:tc>
      </w:tr>
      <w:tr w:rsidR="000408E8" w14:paraId="78C57F00"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3AC5939" w14:textId="77777777" w:rsidR="000408E8" w:rsidRDefault="00000000" w:rsidP="001705F3">
            <w:pPr>
              <w:keepNext/>
              <w:spacing w:line="480" w:lineRule="auto"/>
            </w:pPr>
            <w:r>
              <w:t>Inversión real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5E7CD8E" w14:textId="77777777" w:rsidR="000408E8" w:rsidRDefault="00000000" w:rsidP="001705F3">
            <w:pPr>
              <w:keepNext/>
              <w:spacing w:line="480" w:lineRule="auto"/>
              <w:jc w:val="right"/>
            </w:pPr>
            <w:r>
              <w:t>+0.39%</w:t>
            </w:r>
          </w:p>
        </w:tc>
      </w:tr>
      <w:tr w:rsidR="000408E8" w14:paraId="3F6ABD84"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BA6089A" w14:textId="77777777" w:rsidR="000408E8" w:rsidRDefault="00000000" w:rsidP="001705F3">
            <w:pPr>
              <w:keepNext/>
              <w:spacing w:line="480" w:lineRule="auto"/>
            </w:pPr>
            <w:r>
              <w:t>Desempleo (baja / media / alta calificación)</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BA4E179" w14:textId="77777777" w:rsidR="000408E8" w:rsidRDefault="00000000" w:rsidP="001705F3">
            <w:pPr>
              <w:keepNext/>
              <w:spacing w:line="480" w:lineRule="auto"/>
              <w:jc w:val="right"/>
            </w:pPr>
            <w:r>
              <w:t>+0.15 / +0.16 / +0.14 p.p.</w:t>
            </w:r>
          </w:p>
        </w:tc>
      </w:tr>
      <w:tr w:rsidR="000408E8" w14:paraId="238DF45C" w14:textId="77777777" w:rsidTr="003118B9">
        <w:trPr>
          <w:cantSplit/>
        </w:trPr>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CF553A1" w14:textId="77777777" w:rsidR="000408E8" w:rsidRDefault="00000000" w:rsidP="001705F3">
            <w:pPr>
              <w:keepNext/>
              <w:spacing w:line="480" w:lineRule="auto"/>
            </w:pPr>
            <w:r>
              <w:t>Utilización del capital</w:t>
            </w:r>
          </w:p>
        </w:tc>
        <w:tc>
          <w:tcPr>
            <w:tcW w:w="0" w:type="auto"/>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A965028" w14:textId="77777777" w:rsidR="000408E8" w:rsidRDefault="00000000" w:rsidP="001705F3">
            <w:pPr>
              <w:keepNext/>
              <w:spacing w:line="480" w:lineRule="auto"/>
              <w:jc w:val="right"/>
            </w:pPr>
            <w:r>
              <w:t>82.0% → 81.7%</w:t>
            </w:r>
          </w:p>
        </w:tc>
      </w:tr>
    </w:tbl>
    <w:p w14:paraId="0793D84D" w14:textId="19AA54C5" w:rsidR="000408E8" w:rsidRDefault="00000000" w:rsidP="001705F3">
      <w:pPr>
        <w:spacing w:before="80" w:after="240" w:line="480" w:lineRule="auto"/>
        <w:jc w:val="both"/>
      </w:pPr>
      <w:r>
        <w:t>Fuente: elaboración propia.</w:t>
      </w:r>
    </w:p>
    <w:p w14:paraId="4DDDAA0F" w14:textId="77777777" w:rsidR="000408E8" w:rsidRDefault="00000000" w:rsidP="001705F3">
      <w:pPr>
        <w:spacing w:after="160" w:line="480" w:lineRule="auto"/>
        <w:jc w:val="both"/>
      </w:pPr>
      <w:r>
        <w:t>El PIB real cae 0.35% y el consumo real 0.73%, mientras la inversión real aumenta 0.39% por el mayor ahorro público. El desempleo sube entre 0.14 y 0.16 puntos porcentuales según el nivel de calificación y la utilización del capital baja de 82.0% a 81.7% de la capacidad instalada. Estas contracciones de cantidades son las que erosionan las bases tributarias.</w:t>
      </w:r>
    </w:p>
    <w:p w14:paraId="4BD1E21B" w14:textId="77777777" w:rsidR="000408E8" w:rsidRDefault="00000000" w:rsidP="001705F3">
      <w:pPr>
        <w:keepNext/>
        <w:keepLines/>
        <w:spacing w:before="120" w:after="100" w:line="480" w:lineRule="auto"/>
      </w:pPr>
      <w:r>
        <w:rPr>
          <w:b/>
          <w:bCs/>
          <w:color w:val="002060"/>
        </w:rPr>
        <w:t>Tabla 3. Impacto fiscal del aumento del IVA (puntos del PIB nominal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0408E8" w14:paraId="0265787C" w14:textId="77777777">
        <w:trPr>
          <w:tblHeader/>
        </w:trPr>
        <w:tc>
          <w:tcPr>
            <w:tcW w:w="23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DDC0BC9" w14:textId="77777777" w:rsidR="000408E8" w:rsidRDefault="00000000" w:rsidP="001705F3">
            <w:pPr>
              <w:keepNext/>
              <w:spacing w:line="480" w:lineRule="auto"/>
            </w:pPr>
            <w:r>
              <w:rPr>
                <w:b/>
                <w:bCs/>
                <w:color w:val="FFFFFF"/>
              </w:rPr>
              <w:t>Impuesto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DBD0007" w14:textId="77777777" w:rsidR="000408E8" w:rsidRDefault="00000000" w:rsidP="001705F3">
            <w:pPr>
              <w:keepNext/>
              <w:spacing w:line="480" w:lineRule="auto"/>
              <w:jc w:val="right"/>
            </w:pPr>
            <w:r>
              <w:rPr>
                <w:b/>
                <w:bCs/>
                <w:color w:val="FFFFFF"/>
              </w:rPr>
              <w:t>Cambio observado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6B6D680" w14:textId="77777777" w:rsidR="000408E8" w:rsidRDefault="00000000" w:rsidP="001705F3">
            <w:pPr>
              <w:keepNext/>
              <w:spacing w:line="480" w:lineRule="auto"/>
              <w:jc w:val="right"/>
            </w:pPr>
            <w:r>
              <w:rPr>
                <w:b/>
                <w:bCs/>
                <w:color w:val="FFFFFF"/>
              </w:rPr>
              <w:t>Efecto tasa</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F4FAAB1" w14:textId="77777777" w:rsidR="000408E8" w:rsidRDefault="00000000" w:rsidP="001705F3">
            <w:pPr>
              <w:keepNext/>
              <w:spacing w:line="480" w:lineRule="auto"/>
              <w:jc w:val="right"/>
            </w:pPr>
            <w:r>
              <w:rPr>
                <w:b/>
                <w:bCs/>
                <w:color w:val="FFFFFF"/>
              </w:rPr>
              <w:t>Efecto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3E541900" w14:textId="77777777" w:rsidR="000408E8" w:rsidRDefault="00000000" w:rsidP="001705F3">
            <w:pPr>
              <w:keepNext/>
              <w:spacing w:line="480" w:lineRule="auto"/>
              <w:jc w:val="right"/>
            </w:pPr>
            <w:r>
              <w:rPr>
                <w:b/>
                <w:bCs/>
                <w:color w:val="FFFFFF"/>
              </w:rPr>
              <w:t>Tasa más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3B4FE087" w14:textId="77777777" w:rsidR="000408E8" w:rsidRDefault="00000000" w:rsidP="001705F3">
            <w:pPr>
              <w:keepNext/>
              <w:spacing w:line="480" w:lineRule="auto"/>
              <w:jc w:val="right"/>
            </w:pPr>
            <w:r>
              <w:rPr>
                <w:b/>
                <w:bCs/>
                <w:color w:val="FFFFFF"/>
              </w:rPr>
              <w:t>Efecto precio</w:t>
            </w:r>
          </w:p>
        </w:tc>
      </w:tr>
      <w:tr w:rsidR="000408E8" w14:paraId="32167B8A"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9CBCD92" w14:textId="77777777" w:rsidR="000408E8" w:rsidRDefault="00000000" w:rsidP="001705F3">
            <w:pPr>
              <w:keepNext/>
              <w:spacing w:line="480" w:lineRule="auto"/>
            </w:pPr>
            <w:r>
              <w:t>IVA</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A9A0712" w14:textId="77777777" w:rsidR="000408E8" w:rsidRDefault="00000000" w:rsidP="001705F3">
            <w:pPr>
              <w:keepNext/>
              <w:spacing w:line="480" w:lineRule="auto"/>
              <w:jc w:val="right"/>
            </w:pPr>
            <w:r>
              <w:t>0.3538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20E34BE" w14:textId="77777777" w:rsidR="000408E8" w:rsidRDefault="00000000" w:rsidP="001705F3">
            <w:pPr>
              <w:keepNext/>
              <w:spacing w:line="480" w:lineRule="auto"/>
              <w:jc w:val="right"/>
            </w:pPr>
            <w:r>
              <w:t>0.4515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60A2733" w14:textId="77777777" w:rsidR="000408E8" w:rsidRDefault="00000000" w:rsidP="001705F3">
            <w:pPr>
              <w:keepNext/>
              <w:spacing w:line="480" w:lineRule="auto"/>
              <w:jc w:val="right"/>
            </w:pPr>
            <w:r>
              <w:t>−0.0514</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E8EC8FD" w14:textId="77777777" w:rsidR="000408E8" w:rsidRDefault="00000000" w:rsidP="001705F3">
            <w:pPr>
              <w:keepNext/>
              <w:spacing w:line="480" w:lineRule="auto"/>
              <w:jc w:val="right"/>
            </w:pPr>
            <w:r>
              <w:t>0.4000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6C1563F" w14:textId="77777777" w:rsidR="000408E8" w:rsidRDefault="00000000" w:rsidP="001705F3">
            <w:pPr>
              <w:keepNext/>
              <w:spacing w:line="480" w:lineRule="auto"/>
              <w:jc w:val="right"/>
            </w:pPr>
            <w:r>
              <w:t>−0.0462</w:t>
            </w:r>
          </w:p>
        </w:tc>
      </w:tr>
      <w:tr w:rsidR="000408E8" w14:paraId="7639A7F0"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38E3001" w14:textId="77777777" w:rsidR="000408E8" w:rsidRDefault="00000000" w:rsidP="001705F3">
            <w:pPr>
              <w:keepNext/>
              <w:spacing w:line="480" w:lineRule="auto"/>
            </w:pPr>
            <w:r>
              <w:t>IDPC</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0D46C29" w14:textId="77777777" w:rsidR="000408E8" w:rsidRDefault="00000000" w:rsidP="001705F3">
            <w:pPr>
              <w:keepNext/>
              <w:spacing w:line="480" w:lineRule="auto"/>
              <w:jc w:val="right"/>
            </w:pPr>
            <w:r>
              <w:t>−0.0420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046138D"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B68B39B" w14:textId="77777777" w:rsidR="000408E8" w:rsidRDefault="00000000" w:rsidP="001705F3">
            <w:pPr>
              <w:keepNext/>
              <w:spacing w:line="480" w:lineRule="auto"/>
              <w:jc w:val="right"/>
            </w:pPr>
            <w:r>
              <w:t>−0.0168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ABF21AB" w14:textId="77777777" w:rsidR="000408E8" w:rsidRDefault="00000000" w:rsidP="001705F3">
            <w:pPr>
              <w:keepNext/>
              <w:spacing w:line="480" w:lineRule="auto"/>
              <w:jc w:val="right"/>
            </w:pPr>
            <w:r>
              <w:t>−0.0168</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17B6761" w14:textId="77777777" w:rsidR="000408E8" w:rsidRDefault="00000000" w:rsidP="001705F3">
            <w:pPr>
              <w:keepNext/>
              <w:spacing w:line="480" w:lineRule="auto"/>
              <w:jc w:val="right"/>
            </w:pPr>
            <w:r>
              <w:t>−0.0252</w:t>
            </w:r>
          </w:p>
        </w:tc>
      </w:tr>
      <w:tr w:rsidR="000408E8" w14:paraId="3905F1C3"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CEC88C5" w14:textId="77777777" w:rsidR="000408E8" w:rsidRDefault="00000000" w:rsidP="001705F3">
            <w:pPr>
              <w:keepNext/>
              <w:spacing w:line="480" w:lineRule="auto"/>
            </w:pPr>
            <w:r>
              <w:t>Otros impuestos</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9479FD8" w14:textId="77777777" w:rsidR="000408E8" w:rsidRDefault="00000000" w:rsidP="001705F3">
            <w:pPr>
              <w:keepNext/>
              <w:spacing w:line="480" w:lineRule="auto"/>
              <w:jc w:val="right"/>
            </w:pPr>
            <w:r>
              <w:t>−0.0385</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BCBF6BE"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AC57F43" w14:textId="77777777" w:rsidR="000408E8" w:rsidRDefault="00000000" w:rsidP="001705F3">
            <w:pPr>
              <w:keepNext/>
              <w:spacing w:line="480" w:lineRule="auto"/>
              <w:jc w:val="right"/>
            </w:pPr>
            <w:r>
              <w:t>−0.0207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5AFF591" w14:textId="77777777" w:rsidR="000408E8" w:rsidRDefault="00000000" w:rsidP="001705F3">
            <w:pPr>
              <w:keepNext/>
              <w:spacing w:line="480" w:lineRule="auto"/>
              <w:jc w:val="right"/>
            </w:pPr>
            <w:r>
              <w:t>−0.0207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A6CBFC5" w14:textId="77777777" w:rsidR="000408E8" w:rsidRDefault="00000000" w:rsidP="001705F3">
            <w:pPr>
              <w:keepNext/>
              <w:spacing w:line="480" w:lineRule="auto"/>
              <w:jc w:val="right"/>
            </w:pPr>
            <w:r>
              <w:t>−0.0179</w:t>
            </w:r>
          </w:p>
        </w:tc>
      </w:tr>
      <w:tr w:rsidR="000408E8" w14:paraId="742EDF7D" w14:textId="77777777">
        <w:trPr>
          <w:cantSplit/>
        </w:trPr>
        <w:tc>
          <w:tcPr>
            <w:tcW w:w="236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4188FCC" w14:textId="77777777" w:rsidR="000408E8" w:rsidRDefault="00000000" w:rsidP="001705F3">
            <w:pPr>
              <w:keepNext/>
              <w:spacing w:line="480" w:lineRule="auto"/>
            </w:pPr>
            <w:r>
              <w:rPr>
                <w:b/>
                <w:bCs/>
              </w:rPr>
              <w:t>Total</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D51434D" w14:textId="77777777" w:rsidR="000408E8" w:rsidRDefault="00000000" w:rsidP="001705F3">
            <w:pPr>
              <w:keepNext/>
              <w:spacing w:line="480" w:lineRule="auto"/>
              <w:jc w:val="right"/>
            </w:pPr>
            <w:r>
              <w:rPr>
                <w:b/>
                <w:bCs/>
              </w:rPr>
              <w:t>0.2733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18FB1AC" w14:textId="77777777" w:rsidR="000408E8" w:rsidRDefault="00000000" w:rsidP="001705F3">
            <w:pPr>
              <w:keepNext/>
              <w:spacing w:line="480" w:lineRule="auto"/>
              <w:jc w:val="right"/>
            </w:pPr>
            <w:r>
              <w:rPr>
                <w:b/>
                <w:bCs/>
              </w:rPr>
              <w:t>0.4515</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09FDF04" w14:textId="77777777" w:rsidR="000408E8" w:rsidRDefault="00000000" w:rsidP="001705F3">
            <w:pPr>
              <w:keepNext/>
              <w:spacing w:line="480" w:lineRule="auto"/>
              <w:jc w:val="right"/>
            </w:pPr>
            <w:r>
              <w:rPr>
                <w:b/>
                <w:bCs/>
              </w:rPr>
              <w:t>−0.0889</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03B5387" w14:textId="77777777" w:rsidR="000408E8" w:rsidRDefault="00000000" w:rsidP="001705F3">
            <w:pPr>
              <w:keepNext/>
              <w:spacing w:line="480" w:lineRule="auto"/>
              <w:jc w:val="right"/>
            </w:pPr>
            <w:r>
              <w:rPr>
                <w:b/>
                <w:bCs/>
              </w:rPr>
              <w:t>0.3626</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6F0028EC" w14:textId="77777777" w:rsidR="000408E8" w:rsidRDefault="00000000" w:rsidP="001705F3">
            <w:pPr>
              <w:keepNext/>
              <w:spacing w:line="480" w:lineRule="auto"/>
              <w:jc w:val="right"/>
            </w:pPr>
            <w:r>
              <w:rPr>
                <w:b/>
                <w:bCs/>
              </w:rPr>
              <w:t>−0.0893</w:t>
            </w:r>
          </w:p>
        </w:tc>
      </w:tr>
    </w:tbl>
    <w:p w14:paraId="4540C50E" w14:textId="77777777" w:rsidR="000408E8" w:rsidRDefault="00000000" w:rsidP="001705F3">
      <w:pPr>
        <w:spacing w:before="80" w:after="240" w:line="480" w:lineRule="auto"/>
        <w:jc w:val="both"/>
      </w:pPr>
      <w:r>
        <w:t xml:space="preserve">Nota: otros impuestos agrupa el impuesto a la renta de personas, los impuestos a la producción, los impuestos específicos y los aranceles. IDPC corresponde al impuesto directo de las empresas registrado en la MCS. Fuente: elaboración propia.</w:t>
      </w:r>
    </w:p>
    <w:p w14:paraId="60D493A9" w14:textId="77777777" w:rsidR="000408E8" w:rsidRDefault="00000000" w:rsidP="001705F3">
      <w:pPr>
        <w:spacing w:after="160" w:line="480" w:lineRule="auto"/>
        <w:jc w:val="both"/>
      </w:pPr>
      <w:r>
        <w:t>En lo fiscal, el efecto tasa equivale a 0.4515 puntos del PIB, prácticamente igual a la estimación mecánica tradicional de 0.4540 puntos, que aplica el alza de 5.26% a la recaudación base del IVA. La contracción de las bases resta 0.0889 puntos, 19.7% del rendimiento mecánico: la propia base del IVA cede 0.0514 puntos por la menor demanda final física; la del IDPC, 0.0168 puntos por la menor utilización del capital corporativo, y las de los demás impuestos, 0.0207 puntos. El efecto conjunto de tasa y base es de 0.36 puntos del PIB. El efecto precio, de −0.0893 puntos, recoge la caída del valor real de las bases valoradas a precios básicos y a remuneraciones de los factores; incluyéndolo, la recaudación real observada aumenta 0.27 puntos.</w:t>
      </w:r>
    </w:p>
    <w:p w14:paraId="5631919C" w14:textId="77777777" w:rsidR="000408E8" w:rsidRDefault="00000000" w:rsidP="001705F3">
      <w:pPr>
        <w:spacing w:after="160" w:line="480" w:lineRule="auto"/>
        <w:jc w:val="both"/>
      </w:pPr>
      <w:r>
        <w:t>Este resultado ilustra el valor del enfoque de equilibrio general: un cálculo de equilibrio parcial que solo considerara la respuesta de la base del IVA habría ignorado 42% de la erosión, la que ocurre fuera del impuesto modificado, y habría sobrestimado el efecto de tasa y base en 10.3%.</w:t>
      </w:r>
    </w:p>
    <w:p w14:paraId="46ABF7FF" w14:textId="77777777" w:rsidR="000408E8" w:rsidRDefault="00000000" w:rsidP="001705F3">
      <w:pPr>
        <w:pStyle w:val="Ttulo2"/>
        <w:spacing w:line="480" w:lineRule="auto"/>
      </w:pPr>
      <w:r>
        <w:t>5.2 Una rebaja de la tasa del impuesto de primera categoría</w:t>
      </w:r>
    </w:p>
    <w:p w14:paraId="4E55C1CF" w14:textId="77777777" w:rsidR="000408E8" w:rsidRDefault="00000000" w:rsidP="001705F3">
      <w:pPr>
        <w:spacing w:after="160" w:line="480" w:lineRule="auto"/>
        <w:jc w:val="both"/>
      </w:pPr>
      <w:r>
        <w:t>Se simula una rebaja de la tasa del IDPC de 27% a 26%.</w:t>
      </w:r>
      <w:r>
        <w:rPr>
          <w:rStyle w:val="Refdenotaalpie"/>
        </w:rPr>
        <w:footnoteReference w:id="2"/>
      </w:r>
      <w:r>
        <w:t xml:space="preserve"> La rebaja eleva el retorno neto del capital corporativo para un mismo retorno bruto, lo que incentiva un mayor uso de la capacidad instalada; al mismo tiempo, eleva el ahorro de las firmas y los dividendos, y reduce el ahorro público.</w:t>
      </w:r>
    </w:p>
    <w:p w14:paraId="4AF909AD" w14:textId="77777777" w:rsidR="000408E8" w:rsidRDefault="00000000" w:rsidP="001705F3">
      <w:pPr>
        <w:keepNext/>
        <w:keepLines/>
        <w:spacing w:before="120" w:after="100" w:line="480" w:lineRule="auto"/>
      </w:pPr>
      <w:r>
        <w:rPr>
          <w:b/>
          <w:bCs/>
          <w:color w:val="002060"/>
        </w:rPr>
        <w:t>Tabla 4. Efectos agregados de la rebaja de un punto en la tasa del IDPC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4200"/>
      </w:tblGrid>
      <w:tr w:rsidR="000408E8" w14:paraId="5E70FCB3" w14:textId="77777777">
        <w:trPr>
          <w:tblHeader/>
        </w:trPr>
        <w:tc>
          <w:tcPr>
            <w:tcW w:w="51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4EF505C4" w14:textId="77777777" w:rsidR="000408E8" w:rsidRDefault="00000000" w:rsidP="001705F3">
            <w:pPr>
              <w:keepNext/>
              <w:spacing w:line="480" w:lineRule="auto"/>
            </w:pPr>
            <w:r>
              <w:rPr>
                <w:b/>
                <w:bCs/>
                <w:color w:val="FFFFFF"/>
              </w:rPr>
              <w:t>Indicador</w:t>
            </w:r>
          </w:p>
        </w:tc>
        <w:tc>
          <w:tcPr>
            <w:tcW w:w="42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8EB1AD4" w14:textId="77777777" w:rsidR="000408E8" w:rsidRDefault="00000000" w:rsidP="001705F3">
            <w:pPr>
              <w:keepNext/>
              <w:spacing w:line="480" w:lineRule="auto"/>
              <w:jc w:val="right"/>
            </w:pPr>
            <w:r>
              <w:rPr>
                <w:b/>
                <w:bCs/>
                <w:color w:val="FFFFFF"/>
              </w:rPr>
              <w:t>Cambio</w:t>
            </w:r>
          </w:p>
        </w:tc>
      </w:tr>
      <w:tr w:rsidR="000408E8" w14:paraId="34DE6156"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F9B3605" w14:textId="77777777" w:rsidR="000408E8" w:rsidRDefault="00000000" w:rsidP="001705F3">
            <w:pPr>
              <w:keepNext/>
              <w:spacing w:line="480" w:lineRule="auto"/>
            </w:pPr>
            <w:r>
              <w:t>PIB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074333B" w14:textId="77777777" w:rsidR="000408E8" w:rsidRDefault="00000000" w:rsidP="001705F3">
            <w:pPr>
              <w:keepNext/>
              <w:spacing w:line="480" w:lineRule="auto"/>
              <w:jc w:val="right"/>
            </w:pPr>
            <w:r>
              <w:t>+0.14%</w:t>
            </w:r>
          </w:p>
        </w:tc>
      </w:tr>
      <w:tr w:rsidR="000408E8" w14:paraId="21CF1DFA"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248E04E" w14:textId="77777777" w:rsidR="000408E8" w:rsidRDefault="00000000" w:rsidP="001705F3">
            <w:pPr>
              <w:keepNext/>
              <w:spacing w:line="480" w:lineRule="auto"/>
            </w:pPr>
            <w:r>
              <w:t>Consumo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0D1F5CA" w14:textId="77777777" w:rsidR="000408E8" w:rsidRDefault="00000000" w:rsidP="001705F3">
            <w:pPr>
              <w:keepNext/>
              <w:spacing w:line="480" w:lineRule="auto"/>
              <w:jc w:val="right"/>
            </w:pPr>
            <w:r>
              <w:t>+0.09%</w:t>
            </w:r>
          </w:p>
        </w:tc>
      </w:tr>
      <w:tr w:rsidR="000408E8" w14:paraId="286EFEA2"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1BDC043" w14:textId="77777777" w:rsidR="000408E8" w:rsidRDefault="00000000" w:rsidP="001705F3">
            <w:pPr>
              <w:keepNext/>
              <w:spacing w:line="480" w:lineRule="auto"/>
            </w:pPr>
            <w:r>
              <w:t>Inversión real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078585E9" w14:textId="77777777" w:rsidR="000408E8" w:rsidRDefault="00000000" w:rsidP="001705F3">
            <w:pPr>
              <w:keepNext/>
              <w:spacing w:line="480" w:lineRule="auto"/>
              <w:jc w:val="right"/>
            </w:pPr>
            <w:r>
              <w:t>+0.34%</w:t>
            </w:r>
          </w:p>
        </w:tc>
      </w:tr>
      <w:tr w:rsidR="000408E8" w14:paraId="0069F92F"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52B4F2A" w14:textId="77777777" w:rsidR="000408E8" w:rsidRDefault="00000000" w:rsidP="001705F3">
            <w:pPr>
              <w:keepNext/>
              <w:spacing w:line="480" w:lineRule="auto"/>
            </w:pPr>
            <w:r>
              <w:t>Desempleo (baja / media / alta calificación)</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988CE95" w14:textId="77777777" w:rsidR="000408E8" w:rsidRDefault="00000000" w:rsidP="001705F3">
            <w:pPr>
              <w:keepNext/>
              <w:spacing w:line="480" w:lineRule="auto"/>
              <w:jc w:val="right"/>
            </w:pPr>
            <w:r>
              <w:t>−0.03 / −0.02 / −0.02 p.p.</w:t>
            </w:r>
          </w:p>
        </w:tc>
      </w:tr>
      <w:tr w:rsidR="000408E8" w14:paraId="35D400B5" w14:textId="77777777">
        <w:trPr>
          <w:cantSplit/>
        </w:trPr>
        <w:tc>
          <w:tcPr>
            <w:tcW w:w="51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C892563" w14:textId="77777777" w:rsidR="000408E8" w:rsidRDefault="00000000" w:rsidP="001705F3">
            <w:pPr>
              <w:keepNext/>
              <w:spacing w:line="480" w:lineRule="auto"/>
            </w:pPr>
            <w:r>
              <w:t>Utilización del capital</w:t>
            </w:r>
          </w:p>
        </w:tc>
        <w:tc>
          <w:tcPr>
            <w:tcW w:w="42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46C3257" w14:textId="77777777" w:rsidR="000408E8" w:rsidRDefault="00000000" w:rsidP="001705F3">
            <w:pPr>
              <w:keepNext/>
              <w:spacing w:line="480" w:lineRule="auto"/>
              <w:jc w:val="right"/>
            </w:pPr>
            <w:r>
              <w:t>82.0% → 82.2%</w:t>
            </w:r>
          </w:p>
        </w:tc>
      </w:tr>
    </w:tbl>
    <w:p w14:paraId="144D220B" w14:textId="3682CCEE" w:rsidR="000408E8" w:rsidRDefault="00000000" w:rsidP="001705F3">
      <w:pPr>
        <w:spacing w:before="80" w:after="240" w:line="480" w:lineRule="auto"/>
        <w:jc w:val="both"/>
      </w:pPr>
      <w:r>
        <w:t>Fuente: elaboración propia.</w:t>
      </w:r>
    </w:p>
    <w:p w14:paraId="6E1FB172" w14:textId="5D229CBB" w:rsidR="000408E8" w:rsidRDefault="00000000" w:rsidP="001705F3">
      <w:pPr>
        <w:spacing w:after="160" w:line="480" w:lineRule="auto"/>
        <w:jc w:val="both"/>
      </w:pPr>
      <w:r>
        <w:t>En este escenario, el capital utilizado aumenta 0.22%, con lo que la utilización pasa de 82.0% a 82.2% de la capacidad instalada. El PIB real crece 0.14% y la inversión real 0.34%, porque el aumento del ahorro de las firmas supera la caída del ahorro público. El desempleo cae entre 0.02 y 0.03 puntos porcentuales. Estas expansiones de cantidades son las que amplían las bases tributarias.</w:t>
      </w:r>
    </w:p>
    <w:p w14:paraId="50E75E1F" w14:textId="77777777" w:rsidR="000408E8" w:rsidRDefault="00000000" w:rsidP="001705F3">
      <w:pPr>
        <w:keepNext/>
        <w:keepLines/>
        <w:spacing w:before="120" w:after="100" w:line="480" w:lineRule="auto"/>
      </w:pPr>
      <w:r>
        <w:rPr>
          <w:b/>
          <w:bCs/>
          <w:color w:val="002060"/>
        </w:rPr>
        <w:t>Tabla 5. Impacto fiscal de la rebaja del IDPC (puntos del PIB nominal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400"/>
        <w:gridCol w:w="1400"/>
        <w:gridCol w:w="1400"/>
        <w:gridCol w:w="1400"/>
        <w:gridCol w:w="1400"/>
      </w:tblGrid>
      <w:tr w:rsidR="000408E8" w14:paraId="03FABD51" w14:textId="77777777">
        <w:trPr>
          <w:tblHeader/>
        </w:trPr>
        <w:tc>
          <w:tcPr>
            <w:tcW w:w="236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5712A0E7" w14:textId="77777777" w:rsidR="000408E8" w:rsidRDefault="00000000" w:rsidP="001705F3">
            <w:pPr>
              <w:keepNext/>
              <w:spacing w:line="480" w:lineRule="auto"/>
            </w:pPr>
            <w:r>
              <w:rPr>
                <w:b/>
                <w:bCs/>
                <w:color w:val="FFFFFF"/>
              </w:rPr>
              <w:t>Impuesto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0B3AF5D" w14:textId="77777777" w:rsidR="000408E8" w:rsidRDefault="00000000" w:rsidP="001705F3">
            <w:pPr>
              <w:keepNext/>
              <w:spacing w:line="480" w:lineRule="auto"/>
              <w:jc w:val="right"/>
            </w:pPr>
            <w:r>
              <w:rPr>
                <w:b/>
                <w:bCs/>
                <w:color w:val="FFFFFF"/>
              </w:rPr>
              <w:t>Cambio observado</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085B366A" w14:textId="77777777" w:rsidR="000408E8" w:rsidRDefault="00000000" w:rsidP="001705F3">
            <w:pPr>
              <w:keepNext/>
              <w:spacing w:line="480" w:lineRule="auto"/>
              <w:jc w:val="right"/>
            </w:pPr>
            <w:r>
              <w:rPr>
                <w:b/>
                <w:bCs/>
                <w:color w:val="FFFFFF"/>
              </w:rPr>
              <w:t>Efecto tasa</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E4339C1" w14:textId="77777777" w:rsidR="000408E8" w:rsidRDefault="00000000" w:rsidP="001705F3">
            <w:pPr>
              <w:keepNext/>
              <w:spacing w:line="480" w:lineRule="auto"/>
              <w:jc w:val="right"/>
            </w:pPr>
            <w:r>
              <w:rPr>
                <w:b/>
                <w:bCs/>
                <w:color w:val="FFFFFF"/>
              </w:rPr>
              <w:t>Efecto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640B7DC3" w14:textId="77777777" w:rsidR="000408E8" w:rsidRDefault="00000000" w:rsidP="001705F3">
            <w:pPr>
              <w:keepNext/>
              <w:spacing w:line="480" w:lineRule="auto"/>
              <w:jc w:val="right"/>
            </w:pPr>
            <w:r>
              <w:rPr>
                <w:b/>
                <w:bCs/>
                <w:color w:val="FFFFFF"/>
              </w:rPr>
              <w:t>Tasa más base</w:t>
            </w:r>
          </w:p>
        </w:tc>
        <w:tc>
          <w:tcPr>
            <w:tcW w:w="1400" w:type="dxa"/>
            <w:tcBorders>
              <w:top w:val="single" w:sz="4" w:space="0" w:color="8EA9C8"/>
              <w:left w:val="single" w:sz="4" w:space="0" w:color="8EA9C8"/>
              <w:bottom w:val="single" w:sz="4" w:space="0" w:color="8EA9C8"/>
              <w:right w:val="single" w:sz="4" w:space="0" w:color="8EA9C8"/>
            </w:tcBorders>
            <w:shd w:val="clear" w:color="auto" w:fill="002060"/>
            <w:tcMar>
              <w:top w:w="50" w:type="dxa"/>
              <w:left w:w="70" w:type="dxa"/>
              <w:bottom w:w="50" w:type="dxa"/>
              <w:right w:w="70" w:type="dxa"/>
            </w:tcMar>
            <w:vAlign w:val="center"/>
          </w:tcPr>
          <w:p w14:paraId="27E47F77" w14:textId="77777777" w:rsidR="000408E8" w:rsidRDefault="00000000" w:rsidP="001705F3">
            <w:pPr>
              <w:keepNext/>
              <w:spacing w:line="480" w:lineRule="auto"/>
              <w:jc w:val="right"/>
            </w:pPr>
            <w:r>
              <w:rPr>
                <w:b/>
                <w:bCs/>
                <w:color w:val="FFFFFF"/>
              </w:rPr>
              <w:t>Efecto precio</w:t>
            </w:r>
          </w:p>
        </w:tc>
      </w:tr>
      <w:tr w:rsidR="000408E8" w14:paraId="4760DB2F"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53D9209" w14:textId="77777777" w:rsidR="000408E8" w:rsidRDefault="00000000" w:rsidP="001705F3">
            <w:pPr>
              <w:keepNext/>
              <w:spacing w:line="480" w:lineRule="auto"/>
            </w:pPr>
            <w:r>
              <w:t>IDPC</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618334A" w14:textId="77777777" w:rsidR="000408E8" w:rsidRDefault="00000000" w:rsidP="001705F3">
            <w:pPr>
              <w:keepNext/>
              <w:spacing w:line="480" w:lineRule="auto"/>
              <w:jc w:val="right"/>
            </w:pPr>
            <w:r>
              <w:t>−0.1541</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9749DC9" w14:textId="77777777" w:rsidR="000408E8" w:rsidRDefault="00000000" w:rsidP="001705F3">
            <w:pPr>
              <w:keepNext/>
              <w:spacing w:line="480" w:lineRule="auto"/>
              <w:jc w:val="right"/>
            </w:pPr>
            <w:r>
              <w:t>−0.1617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9D6042F" w14:textId="77777777" w:rsidR="000408E8" w:rsidRDefault="00000000" w:rsidP="001705F3">
            <w:pPr>
              <w:keepNext/>
              <w:spacing w:line="480" w:lineRule="auto"/>
              <w:jc w:val="right"/>
            </w:pPr>
            <w:r>
              <w:t>0.0101</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26B4296" w14:textId="77777777" w:rsidR="000408E8" w:rsidRDefault="00000000" w:rsidP="001705F3">
            <w:pPr>
              <w:keepNext/>
              <w:spacing w:line="480" w:lineRule="auto"/>
              <w:jc w:val="right"/>
            </w:pPr>
            <w:r>
              <w:t>−0.1516</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7E64138" w14:textId="77777777" w:rsidR="000408E8" w:rsidRDefault="00000000" w:rsidP="001705F3">
            <w:pPr>
              <w:keepNext/>
              <w:spacing w:line="480" w:lineRule="auto"/>
              <w:jc w:val="right"/>
            </w:pPr>
            <w:r>
              <w:t>−0.0025</w:t>
            </w:r>
          </w:p>
        </w:tc>
      </w:tr>
      <w:tr w:rsidR="000408E8" w14:paraId="3705A956"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9C56BBE" w14:textId="77777777" w:rsidR="000408E8" w:rsidRDefault="00000000" w:rsidP="001705F3">
            <w:pPr>
              <w:keepNext/>
              <w:spacing w:line="480" w:lineRule="auto"/>
            </w:pPr>
            <w:r>
              <w:t>IVA</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5C357C6" w14:textId="77777777" w:rsidR="000408E8" w:rsidRDefault="00000000" w:rsidP="001705F3">
            <w:pPr>
              <w:keepNext/>
              <w:spacing w:line="480" w:lineRule="auto"/>
              <w:jc w:val="right"/>
            </w:pPr>
            <w:r>
              <w:t>0.0129</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20B3B85"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43F72912" w14:textId="77777777" w:rsidR="000408E8" w:rsidRDefault="00000000" w:rsidP="001705F3">
            <w:pPr>
              <w:keepNext/>
              <w:spacing w:line="480" w:lineRule="auto"/>
              <w:jc w:val="right"/>
            </w:pPr>
            <w:r>
              <w:t>0.0130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BEF6383" w14:textId="77777777" w:rsidR="000408E8" w:rsidRDefault="00000000" w:rsidP="001705F3">
            <w:pPr>
              <w:keepNext/>
              <w:spacing w:line="480" w:lineRule="auto"/>
              <w:jc w:val="right"/>
            </w:pPr>
            <w:r>
              <w:t>0.0130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29C99FD6" w14:textId="77777777" w:rsidR="000408E8" w:rsidRDefault="00000000" w:rsidP="001705F3">
            <w:pPr>
              <w:keepNext/>
              <w:spacing w:line="480" w:lineRule="auto"/>
              <w:jc w:val="right"/>
            </w:pPr>
            <w:r>
              <w:t>−0.0001</w:t>
            </w:r>
          </w:p>
        </w:tc>
      </w:tr>
      <w:tr w:rsidR="000408E8" w14:paraId="461F0961" w14:textId="77777777">
        <w:trPr>
          <w:cantSplit/>
        </w:trPr>
        <w:tc>
          <w:tcPr>
            <w:tcW w:w="236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6F3E24DA" w14:textId="77777777" w:rsidR="000408E8" w:rsidRDefault="00000000" w:rsidP="001705F3">
            <w:pPr>
              <w:keepNext/>
              <w:spacing w:line="480" w:lineRule="auto"/>
            </w:pPr>
            <w:r>
              <w:t>Otros impuestos</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3E18AC84" w14:textId="77777777" w:rsidR="000408E8" w:rsidRDefault="00000000" w:rsidP="001705F3">
            <w:pPr>
              <w:keepNext/>
              <w:spacing w:line="480" w:lineRule="auto"/>
              <w:jc w:val="right"/>
            </w:pPr>
            <w:r>
              <w:t>0.0057</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539F1E64" w14:textId="77777777" w:rsidR="000408E8" w:rsidRDefault="00000000" w:rsidP="001705F3">
            <w:pPr>
              <w:keepNext/>
              <w:spacing w:line="480" w:lineRule="auto"/>
              <w:jc w:val="right"/>
            </w:pPr>
            <w:r>
              <w:t>0.0000</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A5DC563" w14:textId="77777777" w:rsidR="000408E8" w:rsidRDefault="00000000" w:rsidP="001705F3">
            <w:pPr>
              <w:keepNext/>
              <w:spacing w:line="480" w:lineRule="auto"/>
              <w:jc w:val="right"/>
            </w:pPr>
            <w:r>
              <w:t>0.0052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1A6A1F63" w14:textId="77777777" w:rsidR="000408E8" w:rsidRDefault="00000000" w:rsidP="001705F3">
            <w:pPr>
              <w:keepNext/>
              <w:spacing w:line="480" w:lineRule="auto"/>
              <w:jc w:val="right"/>
            </w:pPr>
            <w:r>
              <w:t>0.0052</w:t>
            </w:r>
          </w:p>
        </w:tc>
        <w:tc>
          <w:tcPr>
            <w:tcW w:w="1400" w:type="dxa"/>
            <w:tcBorders>
              <w:top w:val="single" w:sz="4" w:space="0" w:color="8EA9C8"/>
              <w:left w:val="single" w:sz="4" w:space="0" w:color="8EA9C8"/>
              <w:bottom w:val="single" w:sz="4" w:space="0" w:color="8EA9C8"/>
              <w:right w:val="single" w:sz="4" w:space="0" w:color="8EA9C8"/>
            </w:tcBorders>
            <w:tcMar>
              <w:top w:w="50" w:type="dxa"/>
              <w:left w:w="70" w:type="dxa"/>
              <w:bottom w:w="50" w:type="dxa"/>
              <w:right w:w="70" w:type="dxa"/>
            </w:tcMar>
            <w:vAlign w:val="center"/>
          </w:tcPr>
          <w:p w14:paraId="7442EA2F" w14:textId="77777777" w:rsidR="000408E8" w:rsidRDefault="00000000" w:rsidP="001705F3">
            <w:pPr>
              <w:keepNext/>
              <w:spacing w:line="480" w:lineRule="auto"/>
              <w:jc w:val="right"/>
            </w:pPr>
            <w:r>
              <w:t>0.0006</w:t>
            </w:r>
          </w:p>
        </w:tc>
      </w:tr>
      <w:tr w:rsidR="000408E8" w14:paraId="6DFDAD54" w14:textId="77777777">
        <w:trPr>
          <w:cantSplit/>
        </w:trPr>
        <w:tc>
          <w:tcPr>
            <w:tcW w:w="236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2FB7B544" w14:textId="77777777" w:rsidR="000408E8" w:rsidRDefault="00000000" w:rsidP="001705F3">
            <w:pPr>
              <w:keepNext/>
              <w:spacing w:line="480" w:lineRule="auto"/>
            </w:pPr>
            <w:r>
              <w:rPr>
                <w:b/>
                <w:bCs/>
              </w:rPr>
              <w:t>Total</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35B1C22D" w14:textId="77777777" w:rsidR="000408E8" w:rsidRDefault="00000000" w:rsidP="001705F3">
            <w:pPr>
              <w:keepNext/>
              <w:spacing w:line="480" w:lineRule="auto"/>
              <w:jc w:val="right"/>
            </w:pPr>
            <w:r>
              <w:rPr>
                <w:b/>
                <w:bCs/>
              </w:rPr>
              <w:t>−0.1354</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7F731555" w14:textId="77777777" w:rsidR="000408E8" w:rsidRDefault="00000000" w:rsidP="001705F3">
            <w:pPr>
              <w:keepNext/>
              <w:spacing w:line="480" w:lineRule="auto"/>
              <w:jc w:val="right"/>
            </w:pPr>
            <w:r>
              <w:rPr>
                <w:b/>
                <w:bCs/>
              </w:rPr>
              <w:t>−0.1617</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7D0647AD" w14:textId="77777777" w:rsidR="000408E8" w:rsidRDefault="00000000" w:rsidP="001705F3">
            <w:pPr>
              <w:keepNext/>
              <w:spacing w:line="480" w:lineRule="auto"/>
              <w:jc w:val="right"/>
            </w:pPr>
            <w:r>
              <w:rPr>
                <w:b/>
                <w:bCs/>
              </w:rPr>
              <w:t>0.0283</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74F8A3F7" w14:textId="77777777" w:rsidR="000408E8" w:rsidRDefault="00000000" w:rsidP="001705F3">
            <w:pPr>
              <w:keepNext/>
              <w:spacing w:line="480" w:lineRule="auto"/>
              <w:jc w:val="right"/>
            </w:pPr>
            <w:r>
              <w:rPr>
                <w:b/>
                <w:bCs/>
              </w:rPr>
              <w:t>−0.1334</w:t>
            </w:r>
          </w:p>
        </w:tc>
        <w:tc>
          <w:tcPr>
            <w:tcW w:w="1400" w:type="dxa"/>
            <w:tcBorders>
              <w:top w:val="single" w:sz="4" w:space="0" w:color="8EA9C8"/>
              <w:left w:val="single" w:sz="4" w:space="0" w:color="8EA9C8"/>
              <w:bottom w:val="single" w:sz="4" w:space="0" w:color="8EA9C8"/>
              <w:right w:val="single" w:sz="4" w:space="0" w:color="8EA9C8"/>
            </w:tcBorders>
            <w:shd w:val="clear" w:color="auto" w:fill="EEF3F9"/>
            <w:tcMar>
              <w:top w:w="50" w:type="dxa"/>
              <w:left w:w="70" w:type="dxa"/>
              <w:bottom w:w="50" w:type="dxa"/>
              <w:right w:w="70" w:type="dxa"/>
            </w:tcMar>
            <w:vAlign w:val="center"/>
          </w:tcPr>
          <w:p w14:paraId="01B73F22" w14:textId="77777777" w:rsidR="000408E8" w:rsidRDefault="00000000" w:rsidP="001705F3">
            <w:pPr>
              <w:keepNext/>
              <w:spacing w:line="480" w:lineRule="auto"/>
              <w:jc w:val="right"/>
            </w:pPr>
            <w:r>
              <w:rPr>
                <w:b/>
                <w:bCs/>
              </w:rPr>
              <w:t>−0.0020</w:t>
            </w:r>
          </w:p>
        </w:tc>
      </w:tr>
    </w:tbl>
    <w:p w14:paraId="37EF4F47" w14:textId="77777777" w:rsidR="000408E8" w:rsidRDefault="00000000" w:rsidP="001705F3">
      <w:pPr>
        <w:spacing w:before="80" w:after="240" w:line="480" w:lineRule="auto"/>
        <w:jc w:val="both"/>
      </w:pPr>
      <w:r>
        <w:t xml:space="preserve">Nota: otros impuestos agrupa el impuesto a la renta de personas, los impuestos a la producción, los impuestos específicos y los aranceles. Las sumas pueden no coincidir por redondeo. Fuente: elaboración propia.</w:t>
      </w:r>
    </w:p>
    <w:p w14:paraId="72C12697" w14:textId="77777777" w:rsidR="000408E8" w:rsidRDefault="00000000" w:rsidP="001705F3">
      <w:pPr>
        <w:spacing w:after="160" w:line="480" w:lineRule="auto"/>
        <w:jc w:val="both"/>
      </w:pPr>
      <w:r>
        <w:t>En lo fiscal, el efecto tasa es de −0.1617 puntos del PIB, prácticamente igual a la estimación mecánica tradicional de −0.1616 puntos. La expansión de las bases compensa 0.0283 puntos, 17.5% de la pérdida mecánica: la propia base del IDPC aporta 0.0101 puntos, porque el mayor uso del capital corporativo amplía el capital sobre el que se calcula el impuesto; la del IVA, 0.0130 puntos por el mayor consumo, y las de los demás impuestos, 0.0052 puntos. La pérdida de tasa y base asciende a 0.13 puntos del PIB. La pérdida observada es algo mayor, 0.1354 puntos, porque la caída del retorno bruto genera un efecto precio de −0.0020 puntos.</w:t>
      </w:r>
    </w:p>
    <w:p w14:paraId="76F259DA" w14:textId="77777777" w:rsidR="000408E8" w:rsidRDefault="00000000" w:rsidP="001705F3">
      <w:pPr>
        <w:spacing w:after="160" w:line="480" w:lineRule="auto"/>
        <w:jc w:val="both"/>
      </w:pPr>
      <w:r>
        <w:t>Un cálculo de equilibrio parcial que solo considerara la respuesta de la base del IDPC habría ignorado 64% de la compensación, la que proviene de otros impuestos, y habría sobrestimado la pérdida de tasa y base en 13.6%.</w:t>
      </w:r>
    </w:p>
    <w:p w14:paraId="4A6DE8B8" w14:textId="77777777" w:rsidR="000408E8" w:rsidRDefault="00000000" w:rsidP="001705F3">
      <w:pPr>
        <w:pStyle w:val="Ttulo1"/>
        <w:spacing w:line="480" w:lineRule="auto"/>
      </w:pPr>
      <w:r>
        <w:t>6. Coherencia económica de los resultados</w:t>
      </w:r>
    </w:p>
    <w:p w14:paraId="7585C3AA" w14:textId="77777777" w:rsidR="000408E8" w:rsidRDefault="00000000" w:rsidP="001705F3">
      <w:pPr>
        <w:spacing w:after="160" w:line="480" w:lineRule="auto"/>
        <w:jc w:val="both"/>
      </w:pPr>
      <w:r>
        <w:t xml:space="preserve">Un MEGC calibrado no admite pruebas estadísticas de ajuste, por lo que su credibilidad descansa en verificaciones de consistencia y en la comparación con regularidades conocidas. Los resultados superan cuatro niveles de escrutinio. Primero, las identidades que el modelo debe cumplir por construcción se satisfacen sin residuo apreciable: al multiplicar el numerario por 1.10, todos los precios y flujos nominales escalan en esa proporción y las cantidades no cambian; la balanza de pagos, que no es una ecuación del modelo, se cumple por la ley de Walras, con un saldo comercial en divisas inalterado, y la descomposición fiscal es exacta, con un residuo inferior 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puntos del PIB.</w:t>
      </w:r>
    </w:p>
    <w:p w14:paraId="27B05562" w14:textId="6CF8E1B2" w:rsidR="000408E8" w:rsidRDefault="00000000" w:rsidP="001705F3">
      <w:pPr>
        <w:spacing w:after="160" w:line="480" w:lineRule="auto"/>
        <w:jc w:val="both"/>
      </w:pPr>
      <w:r>
        <w:t>Segundo, los signos coinciden con lo que predice la teoría. En cada reforma, la base del impuesto modificado se mueve en sentido contrario a su tasa sin revertir el signo del efecto mecánico, y las bases de los impuestos no modificados se mueven en la misma dirección que la actividad. Tercero, las magnitudes son plausibles. En el alza del IVA, el componente de cantidad de las bases no modificadas tiene una elasticidad de 1.13 respecto del PIB real; en la rebaja del IDPC, de 1.00. Ambos valores son cercanos a la elasticidad unitaria de los ingresos tributarios respecto del PIB que utiliza la metodología del balance estructural chileno (Velasco et al., 2010). El mercado laboral reproduce, además, una regularidad conocida. En el alza del IVA, el coeficiente de Okun implícito ―la variación de la tasa de desempleo por cada punto porcentual de variación del PIB real― es de 0.43, algo superior al rango que va desde 0.28, en la estimación estática para Chile en 2010–2023, hasta 0.37, implícito en la respuesta de largo plazo de la especificación dinámica (Cifuentes, 2024). En la rebaja del IDPC, el coeficiente implícito es de 0.15, inferior a ese rango, porque la expansión opera principalmente a través de la utilización del capital, mientras que la ley de Okun resume la respuesta del desempleo a las fluctuaciones agregadas de la actividad.</w:t>
      </w:r>
    </w:p>
    <w:p>
      <w:pPr>
        <w:spacing w:after="160" w:line="480" w:lineRule="auto"/>
        <w:jc w:val="both"/>
      </w:pPr>
      <w:r>
        <w:t>Cuarto, los resultados recaudatorios son robustos a las elasticidades de oferta de los factores, que son los parámetros con mayor incertidumbre. Cada reforma se resolvió con elasticidades del empleo de 0.25 y 0.86 y de los servicios de capital de 0.5 y 1.0, que acotan holgadamente la evidencia citada en la Sección 3.5. El efecto tasa prácticamente no cambia. En el alza del IVA, la variación observada de la recaudación se ubica entre 0.235 y 0.296 puntos del PIB, frente a 0.273 en la calibración central, y es menor cuanto más elástica es la oferta de cualquiera de los dos factores. En la rebaja del IDPC, la pérdida observada se ubica entre 0.121 y 0.143 puntos del PIB, frente a 0.135 en la calibración central, y su magnitud depende principalmente de la elasticidad del capital, que determina la respuesta de la base del propio impuesto. Incluso con una elasticidad del capital de 5, muy superior a la evidencia disponible, el alza del IVA eleva la recaudación y la rebaja del IDPC la reduce.</w:t>
      </w:r>
    </w:p>
    <w:p w14:paraId="5DBD40D8" w14:textId="1C2ACF6E" w:rsidR="000408E8" w:rsidRDefault="00000000" w:rsidP="001705F3">
      <w:pPr>
        <w:spacing w:after="160" w:line="480" w:lineRule="auto"/>
        <w:jc w:val="both"/>
      </w:pPr>
      <w:r>
        <w:t>Algunas propiedades dependen de la especificación y deben considerarse al usar los resultados. Con la inversión determinada por el ahorro, la recaudación adicional de un alza tributaria se convierte en inversión, y la recaudación perdida en una rebaja la reduce; con otro cierre, la composición del gasto sería distinta. El modelo es estático, por lo que el IDPC actúa sobre la utilización del capital y no sobre su acumulación. Finalmente, el traspaso del impuesto al precio de comprador es completo por construcción, supuesto razonable para el IVA en mercados competitivos.</w:t>
      </w:r>
    </w:p>
    <w:p w14:paraId="406D90CF" w14:textId="77777777" w:rsidR="000408E8" w:rsidRDefault="00000000" w:rsidP="001705F3">
      <w:pPr>
        <w:pStyle w:val="Ttulo1"/>
        <w:spacing w:line="480" w:lineRule="auto"/>
      </w:pPr>
      <w:r>
        <w:t>7. Conclusión</w:t>
      </w:r>
    </w:p>
    <w:p w14:paraId="46593615" w14:textId="77777777" w:rsidR="000408E8" w:rsidRDefault="00000000" w:rsidP="001705F3">
      <w:pPr>
        <w:spacing w:after="160" w:line="480" w:lineRule="auto"/>
        <w:jc w:val="both"/>
      </w:pPr>
      <w:r>
        <w:t>Este artículo presentó un MEGC de doce sectores para Chile, calibrado con una MCS de 2023, diseñado para evaluar el impacto recaudatorio de reformas tributarias. Su aporte para una administración tributaria reside en tres rasgos: una representación de los impuestos indirectos que respeta el crédito fiscal del IVA, un tratamiento del IDPC como cuña en el costo de uso del capital y mercados de factores que permiten que una reforma afecte el empleo y el uso del capital y, con ello, las bases tributarias.</w:t>
      </w:r>
    </w:p>
    <w:p w14:paraId="677C9825" w14:textId="77777777" w:rsidR="000408E8" w:rsidRDefault="00000000" w:rsidP="001705F3">
      <w:pPr>
        <w:spacing w:after="160" w:line="480" w:lineRule="auto"/>
        <w:jc w:val="both"/>
      </w:pPr>
      <w:r>
        <w:t>Las dos aplicaciones muestran lo que el enfoque agrega a un cálculo mecánico. El alza de un punto del IVA genera un efecto de tasa y base de 0.36 puntos del PIB, 80% de su rendimiento mecánico, y 42% de la erosión ocurre en otros impuestos, en particular en el IDPC. La rebaja de un punto del IDPC implica una pérdida de tasa y base de 0.13 puntos del PIB; la expansión de las bases compensa 17.5% de la pérdida mecánica, y 64% de esa compensación proviene de otros impuestos, en particular del IVA. Ninguno de estos efectos cruzados aparece en un análisis de equilibrio parcial.</w:t>
      </w:r>
    </w:p>
    <w:p w14:paraId="3B8A8015" w14:textId="24A51763" w:rsidR="008C27AF" w:rsidRDefault="008C27AF" w:rsidP="001705F3">
      <w:pPr>
        <w:spacing w:after="160" w:line="480" w:lineRule="auto"/>
        <w:jc w:val="both"/>
      </w:pPr>
      <w:r>
        <w:t xml:space="preserve">Las verificaciones de la Sección 6 respaldan estos resultados: el modelo cumple sus identidades contables sin residuo, los signos coinciden con lo que predice la teoría y la respuesta de las bases no modificadas es cercana a la elasticidad unitaria que utiliza la metodología del balance estructural. Los resultados deben leerse, en todo caso, a la luz del horizonte estático, del cierre con inversión determinada por el ahorro y del traspaso completo del impuesto a precios.</w:t>
      </w:r>
    </w:p>
    <w:p w14:paraId="31E5BF73" w14:textId="1EDD4D95" w:rsidR="000408E8" w:rsidRDefault="00000000" w:rsidP="001705F3">
      <w:pPr>
        <w:spacing w:after="160" w:line="480" w:lineRule="auto"/>
        <w:jc w:val="both"/>
      </w:pPr>
      <w:r>
        <w:t>El procedimiento puede ser replicado por la administración tributaria de otro país en cuatro etapas. La primera consiste en construir una MCS a partir de los cuadros de oferta y utilización y de las cuentas institucionales, según un marco estándar (Löfgren et al., 2002). La segunda, en registrar cada instrumento tributario en una cuenta propia, desagregada por producto o institución, de modo que su base y su precio queden identificados. La tercera, en calibrar las tasas efectivas a partir de la recaudación registrada en la matriz, vincularlas con las tasas legales y fijar las elasticidades de oferta de los factores según la evidencia disponible para el país. La cuarta, en simular cada reforma y descomponer la variación de la recaudación de todos los impuestos en efectos tasa, base y precio. Como el código es abierto, la adaptación consiste esencialmente en reemplazar la matriz de calibración y los parámetros, y permite a la administración complementar la estimación mecánica con la respuesta de las bases de todos los impuestos.</w:t>
      </w:r>
    </w:p>
    <w:p w14:paraId="55EE69DB" w14:textId="77777777" w:rsidR="000408E8" w:rsidRDefault="00000000" w:rsidP="001705F3">
      <w:pPr>
        <w:pStyle w:val="Ttulo1"/>
        <w:spacing w:line="480" w:lineRule="auto"/>
      </w:pPr>
      <w:r>
        <w:t>8. Disponibilidad de código</w:t>
      </w:r>
    </w:p>
    <w:p w14:paraId="365FD08C" w14:textId="77777777" w:rsidR="000408E8" w:rsidRDefault="00000000" w:rsidP="001705F3">
      <w:pPr>
        <w:spacing w:after="160" w:line="480" w:lineRule="auto"/>
        <w:jc w:val="both"/>
      </w:pPr>
      <w:r>
        <w:t xml:space="preserve">El código del modelo, la MCS de calibración y los programas de evaluación están disponibles en https://github.com/fcohenriquez/eq_general. El modelo se implementa en el paquete gEcon de R (http://gecon.r-forge.r-project.org).</w:t>
      </w:r>
    </w:p>
    <w:p w14:paraId="14D06A79" w14:textId="77777777" w:rsidR="000408E8" w:rsidRDefault="00000000" w:rsidP="001705F3">
      <w:pPr>
        <w:pStyle w:val="Ttulo1"/>
        <w:spacing w:line="480" w:lineRule="auto"/>
      </w:pPr>
      <w:r>
        <w:t>Referencias</w:t>
      </w:r>
    </w:p>
    <w:p w14:paraId="1A914EBE" w14:textId="77777777" w:rsidR="000408E8" w:rsidRDefault="00000000" w:rsidP="001705F3">
      <w:pPr>
        <w:spacing w:after="160" w:line="480" w:lineRule="auto"/>
        <w:ind w:left="720" w:hanging="720"/>
      </w:pPr>
      <w:r>
        <w:t xml:space="preserve">Armington, P. S. (1969). A theory of demand for products distinguished by place of production. </w:t>
      </w:r>
      <w:r>
        <w:rPr>
          <w:i/>
          <w:iCs/>
        </w:rPr>
        <w:t xml:space="preserve">IMF Staff Papers</w:t>
      </w:r>
      <w:r>
        <w:t xml:space="preserve">, </w:t>
      </w:r>
      <w:r>
        <w:rPr>
          <w:i/>
          <w:iCs/>
        </w:rPr>
        <w:t>16</w:t>
      </w:r>
      <w:r>
        <w:t>(1), 159–178. https://doi.org/10.2307/3866403</w:t>
      </w:r>
    </w:p>
    <w:p w14:paraId="53869DFF" w14:textId="77777777" w:rsidR="000408E8" w:rsidRDefault="00000000" w:rsidP="001705F3">
      <w:pPr>
        <w:spacing w:after="160" w:line="480" w:lineRule="auto"/>
        <w:ind w:left="720" w:hanging="720"/>
      </w:pPr>
      <w:r>
        <w:t xml:space="preserve">Cerda, R. A., &amp; Larraín, F. (2005). Inversión privada e impuestos corporativos: evidencia para Chile. </w:t>
      </w:r>
      <w:r>
        <w:rPr>
          <w:i/>
          <w:iCs/>
        </w:rPr>
        <w:t>Cuadernos de Economía</w:t>
      </w:r>
      <w:r>
        <w:t xml:space="preserve">, </w:t>
      </w:r>
      <w:r>
        <w:rPr>
          <w:i/>
          <w:iCs/>
        </w:rPr>
        <w:t>42</w:t>
      </w:r>
      <w:r>
        <w:t>(126), 257–281.</w:t>
      </w:r>
    </w:p>
    <w:p w14:paraId="6E682AB5" w14:textId="77777777" w:rsidR="000408E8" w:rsidRDefault="00000000" w:rsidP="001705F3">
      <w:pPr>
        <w:spacing w:after="160" w:line="480" w:lineRule="auto"/>
        <w:ind w:left="720" w:hanging="720"/>
      </w:pPr>
      <w:r>
        <w:t xml:space="preserve">Chetty, R., Guren, A., Manoli, D., &amp; Weber, A. (2011). Are micro and macro labor supply elasticities consistent? A review of evidence on the intensive and extensive </w:t>
        <w:t xml:space="preserve">margins. </w:t>
      </w:r>
      <w:r>
        <w:rPr>
          <w:i/>
          <w:iCs/>
        </w:rPr>
        <w:t xml:space="preserve">American Economic Review</w:t>
      </w:r>
      <w:r>
        <w:t xml:space="preserve">, </w:t>
      </w:r>
      <w:r>
        <w:rPr>
          <w:i/>
          <w:iCs/>
        </w:rPr>
        <w:t>101</w:t>
      </w:r>
      <w:r>
        <w:t>(3), 471–475. https://doi.org/10.1257/aer.101.3.471</w:t>
      </w:r>
    </w:p>
    <w:p>
      <w:pPr>
        <w:spacing w:after="160" w:line="480" w:lineRule="auto"/>
        <w:ind w:left="720" w:hanging="720"/>
      </w:pPr>
      <w:r>
        <w:t xml:space="preserve">Cifuentes, C. (2024). </w:t>
      </w:r>
      <w:r>
        <w:rPr>
          <w:i/>
          <w:iCs/>
        </w:rPr>
        <w:t>Desempleo por debajo del 8% no se lograría con crecimiento económico estimado para 2024–2026</w:t>
      </w:r>
      <w:r>
        <w:t xml:space="preserve"> [Informe]. Centro Latinoamericano de Políticas Económicas y Sociales, Pontificia Universidad Católica de Chile (CLAPES UC). https://assets.clapesuc.cl/Ley_de_Okun_para_Chile_05866d96c5.pdf</w:t>
      </w:r>
    </w:p>
    <w:p w14:paraId="57A8C284" w14:textId="77777777" w:rsidR="000408E8" w:rsidRDefault="00000000" w:rsidP="001705F3">
      <w:pPr>
        <w:spacing w:after="160" w:line="480" w:lineRule="auto"/>
        <w:ind w:left="720" w:hanging="720"/>
      </w:pPr>
      <w:r>
        <w:t xml:space="preserve">Ebrill, L., Keen, M., Bodin, J.-P., &amp; Summers, V. (2001). </w:t>
      </w:r>
      <w:r>
        <w:rPr>
          <w:i/>
          <w:iCs/>
        </w:rPr>
        <w:t xml:space="preserve">The modern VAT</w:t>
      </w:r>
      <w:r>
        <w:t xml:space="preserve">. International Monetary Fund.</w:t>
      </w:r>
    </w:p>
    <w:p w14:paraId="003B19A0" w14:textId="77777777" w:rsidR="000408E8" w:rsidRDefault="00000000" w:rsidP="001705F3">
      <w:pPr>
        <w:spacing w:after="160" w:line="480" w:lineRule="auto"/>
        <w:ind w:left="720" w:hanging="720"/>
      </w:pPr>
      <w:r>
        <w:t xml:space="preserve">Hall, R. E., &amp; Jorgenson, D. W. (1967). Tax policy and investment behavior. </w:t>
      </w:r>
      <w:r>
        <w:rPr>
          <w:i/>
          <w:iCs/>
        </w:rPr>
        <w:t xml:space="preserve">American Economic Review</w:t>
      </w:r>
      <w:r>
        <w:t xml:space="preserve">, </w:t>
      </w:r>
      <w:r>
        <w:rPr>
          <w:i/>
          <w:iCs/>
        </w:rPr>
        <w:t>57</w:t>
      </w:r>
      <w:r>
        <w:t>(3), 391–414.</w:t>
      </w:r>
    </w:p>
    <w:p w14:paraId="7652B02A" w14:textId="77777777" w:rsidR="000408E8" w:rsidRDefault="00000000" w:rsidP="001705F3">
      <w:pPr>
        <w:spacing w:after="160" w:line="480" w:lineRule="auto"/>
        <w:ind w:left="720" w:hanging="720"/>
      </w:pPr>
      <w:r>
        <w:t xml:space="preserve">Hassett, K. A., &amp; Hubbard, R. G. (2002). Tax policy and business investment. En A. J. Auerbach &amp; M. Feldstein (Eds.), </w:t>
      </w:r>
      <w:r>
        <w:rPr>
          <w:i/>
          <w:iCs/>
        </w:rPr>
        <w:t xml:space="preserve">Handbook of public economics</w:t>
      </w:r>
      <w:r>
        <w:t xml:space="preserve"> (Vol. 3, pp. 1293–1343). Elsevier.</w:t>
      </w:r>
    </w:p>
    <w:p w14:paraId="5D3D3F6E" w14:textId="77777777" w:rsidR="000408E8" w:rsidRDefault="00000000" w:rsidP="001705F3">
      <w:pPr>
        <w:spacing w:after="160" w:line="480" w:lineRule="auto"/>
        <w:ind w:left="720" w:hanging="720"/>
      </w:pPr>
      <w:r>
        <w:t xml:space="preserve">ICARE, &amp; Universidad Adolfo Ibáñez. (2023). </w:t>
      </w:r>
      <w:r>
        <w:rPr>
          <w:i/>
          <w:iCs/>
        </w:rPr>
        <w:t>Indicador Mensual de Confianza Empresarial (IMCE): uso de capacidad instalada</w:t>
      </w:r>
      <w:r>
        <w:t>. Informe mensual, diciembre de 2023.</w:t>
      </w:r>
    </w:p>
    <w:p w14:paraId="11B75713" w14:textId="77777777" w:rsidR="000408E8" w:rsidRDefault="00000000" w:rsidP="001705F3">
      <w:pPr>
        <w:spacing w:after="160" w:line="480" w:lineRule="auto"/>
        <w:ind w:left="720" w:hanging="720"/>
      </w:pPr>
      <w:r>
        <w:t xml:space="preserve">Löfgren, H., Harris, R. L., &amp; Robinson, S. (2002). </w:t>
      </w:r>
      <w:r>
        <w:rPr>
          <w:i/>
          <w:iCs/>
        </w:rPr>
        <w:t xml:space="preserve">A standard computable general equilibrium (CGE) model in GAMS</w:t>
      </w:r>
      <w:r>
        <w:t xml:space="preserve"> (Microcomputers in Policy Research 5). International Food Policy Research Institute.</w:t>
      </w:r>
    </w:p>
    <w:p w14:paraId="41942DE6" w14:textId="77777777" w:rsidR="000408E8" w:rsidRDefault="00000000" w:rsidP="001705F3">
      <w:pPr>
        <w:spacing w:after="160" w:line="480" w:lineRule="auto"/>
        <w:ind w:left="720" w:hanging="720"/>
      </w:pPr>
      <w:r>
        <w:t xml:space="preserve">Shapley, L. S. (1953). A value for </w:t>
      </w:r>
      <w:r>
        <w:rPr>
          <w:i/>
          <w:iCs/>
        </w:rPr>
        <w:t>n</w:t>
      </w:r>
      <w:r>
        <w:t xml:space="preserve">-person games. En H. W. Kuhn &amp; A. W. Tucker (Eds.), </w:t>
      </w:r>
      <w:r>
        <w:rPr>
          <w:i/>
          <w:iCs/>
        </w:rPr>
        <w:t xml:space="preserve">Contributions to the theory of games, Volume II</w:t>
      </w:r>
      <w:r>
        <w:t xml:space="preserve"> (pp. 307–317). Princeton University Press.</w:t>
      </w:r>
    </w:p>
    <w:p w14:paraId="6CB19AA8" w14:textId="77777777" w:rsidR="000408E8" w:rsidRDefault="00000000" w:rsidP="001705F3">
      <w:pPr>
        <w:spacing w:after="160" w:line="480" w:lineRule="auto"/>
        <w:ind w:left="720" w:hanging="720"/>
      </w:pPr>
      <w:r>
        <w:t xml:space="preserve">Shoven, J. B., &amp; Whalley, J. (1984). Applied general-equilibrium models of taxation and international trade: An introduction and survey. </w:t>
      </w:r>
      <w:r>
        <w:rPr>
          <w:i/>
          <w:iCs/>
        </w:rPr>
        <w:t xml:space="preserve">Journal of Economic Literature</w:t>
      </w:r>
      <w:r>
        <w:t xml:space="preserve">, </w:t>
      </w:r>
      <w:r>
        <w:rPr>
          <w:i/>
          <w:iCs/>
        </w:rPr>
        <w:t>22</w:t>
      </w:r>
      <w:r>
        <w:t>(3), 1007–1051.</w:t>
      </w:r>
    </w:p>
    <w:p w14:paraId="74871185" w14:textId="77777777" w:rsidR="000408E8" w:rsidRDefault="00000000" w:rsidP="001705F3">
      <w:pPr>
        <w:spacing w:after="160" w:line="480" w:lineRule="auto"/>
        <w:ind w:left="720" w:hanging="720"/>
      </w:pPr>
      <w:r>
        <w:t xml:space="preserve">Sun, J. W. (1998). Changes in energy consumption and energy intensity: A complete decomposition model. </w:t>
      </w:r>
      <w:r>
        <w:rPr>
          <w:i/>
          <w:iCs/>
        </w:rPr>
        <w:t xml:space="preserve">Energy Economics</w:t>
      </w:r>
      <w:r>
        <w:t xml:space="preserve">, </w:t>
      </w:r>
      <w:r>
        <w:rPr>
          <w:i/>
          <w:iCs/>
        </w:rPr>
        <w:t>20</w:t>
      </w:r>
      <w:r>
        <w:t>(1), 85–100.</w:t>
      </w:r>
    </w:p>
    <w:p w14:paraId="7CB80A22" w14:textId="77777777" w:rsidR="000408E8" w:rsidRDefault="00000000" w:rsidP="001705F3">
      <w:pPr>
        <w:spacing w:after="160" w:line="480" w:lineRule="auto"/>
        <w:ind w:left="720" w:hanging="720"/>
      </w:pPr>
      <w:r>
        <w:t xml:space="preserve">Velasco, A., Arenas, A., Rodríguez, J., Jorratt, M., &amp; Gamboni, C. (2010). </w:t>
      </w:r>
      <w:r>
        <w:rPr>
          <w:i/>
          <w:iCs/>
        </w:rPr>
        <w:t>El enfoque de balance estructural en la política fiscal en Chile: resultados, metodología y aplicación al período 2006–2009</w:t>
      </w:r>
      <w:r>
        <w:t xml:space="preserve"> (Estudios de Finanzas Públicas). Dirección de Presupuestos, Ministerio de Hacienda.</w:t>
      </w:r>
    </w:p>
    <w:p w14:paraId="3B69AD11" w14:textId="77777777" w:rsidR="000408E8" w:rsidRDefault="00000000" w:rsidP="001705F3">
      <w:pPr>
        <w:spacing w:after="160" w:line="480" w:lineRule="auto"/>
        <w:ind w:left="720" w:hanging="720"/>
      </w:pPr>
      <w:r>
        <w:t xml:space="preserve">Venegas M., J. (2013). </w:t>
      </w:r>
      <w:r>
        <w:rPr>
          <w:i/>
          <w:iCs/>
        </w:rPr>
        <w:t>SAM 2008 para Chile: una presentación matricial de la compilación de referencia 2008</w:t>
      </w:r>
      <w:r>
        <w:t xml:space="preserve"> (Estudios Económicos Estadísticos 95). Banco Central de Chile.</w:t>
      </w:r>
    </w:p>
    <w:p w14:paraId="2F1647E3" w14:textId="77777777" w:rsidR="00BE0C42" w:rsidRDefault="00BE0C42" w:rsidP="00BE0C42">
      <w:pPr>
        <w:spacing w:line="480" w:lineRule="auto"/>
      </w:pPr>
    </w:p>
    <w:p w14:paraId="770547EA" w14:textId="76297263" w:rsidR="000408E8" w:rsidRDefault="00BE0C42" w:rsidP="00BE0C42">
      <w:pPr>
        <w:pStyle w:val="Ttulo1"/>
        <w:spacing w:line="480" w:lineRule="auto"/>
      </w:pPr>
      <w:r>
        <w:t>Anexo A. Especificación formal del modelo</w:t>
      </w:r>
    </w:p>
    <w:p w14:paraId="20A4D5C5" w14:textId="77777777" w:rsidR="000408E8" w:rsidRDefault="00000000" w:rsidP="001705F3">
      <w:pPr>
        <w:pStyle w:val="Ttulo2"/>
        <w:spacing w:line="480" w:lineRule="auto"/>
      </w:pPr>
      <w:r>
        <w:t>A.1. Conjuntos</w:t>
      </w:r>
    </w:p>
    <w:p w14:paraId="6EA9A07C" w14:textId="77777777" w:rsidR="000408E8" w:rsidRDefault="00000000" w:rsidP="001705F3">
      <w:pPr>
        <w:spacing w:after="160" w:line="480" w:lineRule="auto"/>
        <w:jc w:val="both"/>
      </w:pPr>
      <w:r>
        <w:t>El modelo distingue doce sectores (</w:t>
      </w:r>
      <m:oMath>
        <m:r>
          <m:rPr>
            <m:sty m:val="p"/>
          </m:rPr>
          <w:rPr>
            <w:rFonts w:ascii="Cambria Math" w:hAnsi="Cambria Math"/>
          </w:rPr>
          <m:t>SEC</m:t>
        </m:r>
      </m:oMath>
      <w:r>
        <w:t>), trece productos (</w:t>
      </w:r>
      <m:oMath>
        <m:r>
          <m:rPr>
            <m:sty m:val="p"/>
          </m:rPr>
          <w:rPr>
            <w:rFonts w:ascii="Cambria Math" w:hAnsi="Cambria Math"/>
          </w:rPr>
          <m:t>PRODS</m:t>
        </m:r>
      </m:oMath>
      <w:r>
        <w:t>) y once productos de consumo del hogar (</w:t>
      </w:r>
      <m:oMath>
        <m:r>
          <m:rPr>
            <m:sty m:val="p"/>
          </m:rPr>
          <w:rPr>
            <w:rFonts w:ascii="Cambria Math" w:hAnsi="Cambria Math"/>
          </w:rPr>
          <m:t>PCON</m:t>
        </m:r>
      </m:oMath>
      <w:r>
        <w:t>):</w:t>
      </w:r>
    </w:p>
    <w:p w14:paraId="7C7E9E8B" w14:textId="77777777" w:rsidR="000408E8" w:rsidRPr="00BF5B1F"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r>
                  <m:rPr>
                    <m:sty m:val="p"/>
                  </m:rPr>
                  <w:rPr>
                    <w:rFonts w:ascii="Cambria Math" w:hAnsi="Cambria Math"/>
                    <w:sz w:val="20"/>
                    <w:szCs w:val="20"/>
                  </w:rPr>
                  <m:t>SEC={</m:t>
                </m:r>
              </m:e>
              <m:e>
                <m:r>
                  <m:rPr>
                    <m:sty m:val="p"/>
                  </m:rPr>
                  <w:rPr>
                    <w:rFonts w:ascii="Cambria Math" w:hAnsi="Cambria Math"/>
                    <w:sz w:val="20"/>
                    <w:szCs w:val="20"/>
                  </w:rPr>
                  <m:t>ActAgri, ActMin, ActManu, ActElectAguaGas, ActConst,</m:t>
                </m:r>
              </m:e>
            </m:mr>
            <m:mr>
              <m:e/>
              <m:e>
                <m:r>
                  <m:rPr>
                    <m:sty m:val="p"/>
                  </m:rPr>
                  <w:rPr>
                    <w:rFonts w:ascii="Cambria Math" w:hAnsi="Cambria Math"/>
                    <w:sz w:val="20"/>
                    <w:szCs w:val="20"/>
                  </w:rPr>
                  <m:t>ActComHotRest, ActTransComuInf, ActIntFin, ActInmoViv,</m:t>
                </m:r>
              </m:e>
            </m:mr>
            <m:mr>
              <m:e/>
              <m:e>
                <m:r>
                  <m:rPr>
                    <m:sty m:val="p"/>
                  </m:rPr>
                  <w:rPr>
                    <w:rFonts w:ascii="Cambria Math" w:hAnsi="Cambria Math"/>
                    <w:sz w:val="20"/>
                    <w:szCs w:val="20"/>
                  </w:rPr>
                  <m:t>ActServEmp, ActServPers, ActAdmPub}</m:t>
                </m:r>
              </m:e>
            </m:mr>
          </m:m>
        </m:oMath>
      </m:oMathPara>
    </w:p>
    <w:p w14:paraId="2095311C" w14:textId="77777777" w:rsidR="000408E8" w:rsidRPr="00BF5B1F"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r>
                  <m:rPr>
                    <m:sty m:val="p"/>
                  </m:rPr>
                  <w:rPr>
                    <w:rFonts w:ascii="Cambria Math" w:hAnsi="Cambria Math"/>
                    <w:sz w:val="20"/>
                    <w:szCs w:val="20"/>
                  </w:rPr>
                  <m:t>PRODS={</m:t>
                </m:r>
              </m:e>
              <m:e>
                <m:r>
                  <m:rPr>
                    <m:sty m:val="p"/>
                  </m:rPr>
                  <w:rPr>
                    <w:rFonts w:ascii="Cambria Math" w:hAnsi="Cambria Math"/>
                    <w:sz w:val="20"/>
                    <w:szCs w:val="20"/>
                  </w:rPr>
                  <m:t>ProdAgri, ProdMin, ProdManu, ProdElectAguaGas, ProdConst,</m:t>
                </m:r>
              </m:e>
            </m:mr>
            <m:mr>
              <m:e/>
              <m:e>
                <m:r>
                  <m:rPr>
                    <m:sty m:val="p"/>
                  </m:rPr>
                  <w:rPr>
                    <w:rFonts w:ascii="Cambria Math" w:hAnsi="Cambria Math"/>
                    <w:sz w:val="20"/>
                    <w:szCs w:val="20"/>
                  </w:rPr>
                  <m:t>ProdComHotRest, ProdTransComuInf, ProdIntFin, ProdInmoViv,</m:t>
                </m:r>
              </m:e>
            </m:mr>
            <m:mr>
              <m:e/>
              <m:e>
                <m:r>
                  <m:rPr>
                    <m:sty m:val="p"/>
                  </m:rPr>
                  <w:rPr>
                    <w:rFonts w:ascii="Cambria Math" w:hAnsi="Cambria Math"/>
                    <w:sz w:val="20"/>
                    <w:szCs w:val="20"/>
                  </w:rPr>
                  <m:t>ProdServEmp, ProdServPers, ProdAdmPub, ProdOtros}</m:t>
                </m:r>
              </m:e>
            </m:mr>
          </m:m>
        </m:oMath>
      </m:oMathPara>
    </w:p>
    <w:p w14:paraId="1689C755" w14:textId="4ED2BE0D" w:rsidR="000408E8" w:rsidRDefault="00000000" w:rsidP="001705F3">
      <w:pPr>
        <w:spacing w:after="160" w:line="480" w:lineRule="auto"/>
        <w:jc w:val="both"/>
      </w:pPr>
      <w:r>
        <w:t xml:space="preserve">con </w:t>
      </w:r>
      <m:oMath>
        <m:r>
          <m:rPr>
            <m:sty m:val="p"/>
          </m:rPr>
          <w:rPr>
            <w:rFonts w:ascii="Cambria Math" w:hAnsi="Cambria Math"/>
          </w:rPr>
          <m:t>PCON=PRODS\</m:t>
        </m:r>
        <m:d>
          <m:dPr>
            <m:begChr m:val="{"/>
            <m:endChr m:val="}"/>
            <m:ctrlPr>
              <w:rPr>
                <w:rFonts w:ascii="Cambria Math" w:hAnsi="Cambria Math"/>
              </w:rPr>
            </m:ctrlPr>
          </m:dPr>
          <m:e>
            <m:r>
              <m:rPr>
                <m:sty m:val="p"/>
              </m:rPr>
              <w:rPr>
                <w:rFonts w:ascii="Cambria Math" w:hAnsi="Cambria Math"/>
              </w:rPr>
              <m:t>ProdMin, ProdConst</m:t>
            </m:r>
          </m:e>
        </m:d>
      </m:oMath>
      <w:r>
        <w:t xml:space="preserve">; esto es, los hogares no consumen productos mineros ni de construcción.</w:t>
      </w:r>
    </w:p>
    <w:p w14:paraId="3EB0B848" w14:textId="77777777" w:rsidR="000408E8" w:rsidRDefault="00000000" w:rsidP="001705F3">
      <w:pPr>
        <w:pStyle w:val="Ttulo2"/>
        <w:spacing w:line="480" w:lineRule="auto"/>
      </w:pPr>
      <w:r>
        <w:t>A.2. Hogar</w:t>
      </w:r>
    </w:p>
    <w:p w14:paraId="1C9A8909"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max</m:t>
          </m:r>
          <m:r>
            <m:rPr>
              <m:sty m:val="p"/>
            </m:rPr>
            <w:rPr>
              <w:rFonts w:ascii="Cambria Math" w:hAnsi="Cambria Math"/>
              <w:sz w:val="20"/>
              <w:szCs w:val="20"/>
            </w:rPr>
            <m:t> </m:t>
          </m:r>
          <m:r>
            <w:rPr>
              <w:rFonts w:ascii="Cambria Math" w:hAnsi="Cambria Math"/>
              <w:sz w:val="20"/>
              <w:szCs w:val="20"/>
            </w:rPr>
            <m:t>U</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α</m:t>
                          </m:r>
                        </m:e>
                        <m:sup>
                          <m:r>
                            <w:rPr>
                              <w:rFonts w:ascii="Cambria Math" w:hAnsi="Cambria Math"/>
                              <w:sz w:val="20"/>
                              <w:szCs w:val="20"/>
                            </w:rPr>
                            <m:t>p</m:t>
                          </m:r>
                        </m:sup>
                      </m:s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e>
                          </m:d>
                        </m:e>
                        <m:sup>
                          <m:f>
                            <m:fPr>
                              <m:ctrlPr>
                                <w:rPr>
                                  <w:rFonts w:ascii="Cambria Math" w:hAnsi="Cambria Math"/>
                                  <w:sz w:val="20"/>
                                  <w:szCs w:val="20"/>
                                </w:rPr>
                              </m:ctrlPr>
                            </m:fPr>
                            <m:num>
                              <m:r>
                                <w:rPr>
                                  <w:rFonts w:ascii="Cambria Math" w:hAnsi="Cambria Math"/>
                                  <w:sz w:val="20"/>
                                  <w:szCs w:val="20"/>
                                </w:rPr>
                                <m:t>ω</m:t>
                              </m:r>
                              <m:r>
                                <m:rPr>
                                  <m:sty m:val="p"/>
                                </m:rPr>
                                <w:rPr>
                                  <w:rFonts w:ascii="Cambria Math" w:hAnsi="Cambria Math"/>
                                  <w:sz w:val="20"/>
                                  <w:szCs w:val="20"/>
                                </w:rPr>
                                <m:t>-</m:t>
                              </m:r>
                              <m:r>
                                <w:rPr>
                                  <w:rFonts w:ascii="Cambria Math" w:hAnsi="Cambria Math"/>
                                  <w:sz w:val="20"/>
                                  <w:szCs w:val="20"/>
                                </w:rPr>
                                <m:t>1</m:t>
                              </m:r>
                            </m:num>
                            <m:den>
                              <m:r>
                                <w:rPr>
                                  <w:rFonts w:ascii="Cambria Math" w:hAnsi="Cambria Math"/>
                                  <w:sz w:val="20"/>
                                  <w:szCs w:val="20"/>
                                </w:rPr>
                                <m:t>ω</m:t>
                              </m:r>
                            </m:den>
                          </m:f>
                        </m:sup>
                      </m:sSup>
                    </m:e>
                  </m:nary>
                </m:e>
              </m:d>
            </m:e>
            <m:sup>
              <m:f>
                <m:fPr>
                  <m:ctrlPr>
                    <w:rPr>
                      <w:rFonts w:ascii="Cambria Math" w:hAnsi="Cambria Math"/>
                      <w:sz w:val="20"/>
                      <w:szCs w:val="20"/>
                    </w:rPr>
                  </m:ctrlPr>
                </m:fPr>
                <m:num>
                  <m:r>
                    <w:rPr>
                      <w:rFonts w:ascii="Cambria Math" w:hAnsi="Cambria Math"/>
                      <w:sz w:val="20"/>
                      <w:szCs w:val="20"/>
                    </w:rPr>
                    <m:t>ω</m:t>
                  </m:r>
                </m:num>
                <m:den>
                  <m:r>
                    <w:rPr>
                      <w:rFonts w:ascii="Cambria Math" w:hAnsi="Cambria Math"/>
                      <w:sz w:val="20"/>
                      <w:szCs w:val="20"/>
                    </w:rPr>
                    <m:t>ω</m:t>
                  </m:r>
                  <m:r>
                    <m:rPr>
                      <m:sty m:val="p"/>
                    </m:rPr>
                    <w:rPr>
                      <w:rFonts w:ascii="Cambria Math" w:hAnsi="Cambria Math"/>
                      <w:sz w:val="20"/>
                      <w:szCs w:val="20"/>
                    </w:rPr>
                    <m:t>-</m:t>
                  </m:r>
                  <m:r>
                    <w:rPr>
                      <w:rFonts w:ascii="Cambria Math" w:hAnsi="Cambria Math"/>
                      <w:sz w:val="20"/>
                      <w:szCs w:val="20"/>
                    </w:rPr>
                    <m:t>1</m:t>
                  </m:r>
                </m:den>
              </m:f>
            </m:sup>
          </m:sSup>
        </m:oMath>
      </m:oMathPara>
    </w:p>
    <w:p w14:paraId="6F87E0CE"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s.a.</m:t>
          </m:r>
          <m:r>
            <m:rPr>
              <m:sty m:val="p"/>
            </m:rPr>
            <w:rPr>
              <w:rFonts w:ascii="Cambria Math" w:hAnsi="Cambria Math"/>
              <w:sz w:val="20"/>
              <w:szCs w:val="20"/>
            </w:rPr>
            <m:t> </m:t>
          </m:r>
          <m:r>
            <w:rPr>
              <w:rFonts w:ascii="Cambria Math" w:hAnsi="Cambria Math"/>
              <w:sz w:val="20"/>
              <w:szCs w:val="20"/>
            </w:rPr>
            <m:t>INC</m:t>
          </m:r>
          <m:r>
            <m:rPr>
              <m:sty m:val="p"/>
            </m:rPr>
            <w:rPr>
              <w:rFonts w:ascii="Cambria Math" w:hAnsi="Cambria Math"/>
              <w:sz w:val="20"/>
              <w:szCs w:val="20"/>
            </w:rPr>
            <m:t>=</m:t>
          </m:r>
          <m:r>
            <w:rPr>
              <w:rFonts w:ascii="Cambria Math" w:hAnsi="Cambria Math"/>
              <w:sz w:val="20"/>
              <w:szCs w:val="20"/>
            </w:rPr>
            <m:t>BTINC</m:t>
          </m:r>
          <m:r>
            <m:rPr>
              <m:sty m:val="p"/>
            </m:rPr>
            <w:rPr>
              <w:rFonts w:ascii="Cambria Math" w:hAnsi="Cambria Math"/>
              <w:sz w:val="20"/>
              <w:szCs w:val="20"/>
            </w:rPr>
            <m:t>-</m:t>
          </m:r>
          <m:r>
            <w:rPr>
              <w:rFonts w:ascii="Cambria Math" w:hAnsi="Cambria Math"/>
              <w:sz w:val="20"/>
              <w:szCs w:val="20"/>
            </w:rPr>
            <m:t>PITAX</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e>
          </m:nary>
          <m:r>
            <m:rPr>
              <m:sty m:val="p"/>
            </m:rPr>
            <w:rPr>
              <w:rFonts w:ascii="Cambria Math" w:hAnsi="Cambria Math"/>
              <w:sz w:val="20"/>
              <w:szCs w:val="20"/>
            </w:rPr>
            <m:t>+</m:t>
          </m:r>
          <m:r>
            <w:rPr>
              <w:rFonts w:ascii="Cambria Math" w:hAnsi="Cambria Math"/>
              <w:sz w:val="20"/>
              <w:szCs w:val="20"/>
            </w:rPr>
            <m:t>SAV</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m:t>
              </m:r>
            </m:sup>
          </m:sSup>
          <m:r>
            <m:rPr>
              <m:sty m:val="p"/>
            </m:rPr>
            <w:rPr>
              <w:rFonts w:ascii="Cambria Math" w:hAnsi="Cambria Math"/>
              <w:sz w:val="20"/>
              <w:szCs w:val="20"/>
            </w:rPr>
            <m:t>,</m:t>
          </m:r>
        </m:oMath>
      </m:oMathPara>
    </w:p>
    <w:p w14:paraId="4AC82410" w14:textId="77777777" w:rsidR="000408E8" w:rsidRPr="00BF5B1F"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BTINC</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l</m:t>
              </m:r>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h</m:t>
                  </m:r>
                </m:sup>
              </m:sSubSup>
            </m:e>
          </m:nary>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h</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EMP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PS</m:t>
              </m:r>
            </m:e>
            <m:sup>
              <m:r>
                <w:rPr>
                  <w:rFonts w:ascii="Cambria Math" w:hAnsi="Cambria Math"/>
                  <w:sz w:val="20"/>
                  <w:szCs w:val="20"/>
                </w:rPr>
                <m:t>h</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PITAX</m:t>
          </m:r>
          <m:r>
            <m:rPr>
              <m:sty m:val="p"/>
            </m:rPr>
            <w:rPr>
              <w:rFonts w:ascii="Cambria Math" w:hAnsi="Cambria Math"/>
              <w:sz w:val="20"/>
              <w:szCs w:val="20"/>
            </w:rPr>
            <m:t>=</m:t>
          </m:r>
          <m:r>
            <w:rPr>
              <w:rFonts w:ascii="Cambria Math" w:hAnsi="Cambria Math"/>
              <w:sz w:val="20"/>
              <w:szCs w:val="20"/>
            </w:rPr>
            <m:t>pit</m:t>
          </m:r>
          <m:r>
            <m:rPr>
              <m:sty m:val="p"/>
            </m:rPr>
            <w:rPr>
              <w:rFonts w:ascii="Cambria Math" w:hAnsi="Cambria Math"/>
              <w:sz w:val="20"/>
              <w:szCs w:val="20"/>
            </w:rPr>
            <m:t>·</m:t>
          </m:r>
          <m:r>
            <w:rPr>
              <w:rFonts w:ascii="Cambria Math" w:hAnsi="Cambria Math"/>
              <w:sz w:val="20"/>
              <w:szCs w:val="20"/>
            </w:rPr>
            <m:t>BTINC</m:t>
          </m:r>
          <m:r>
            <m:rPr>
              <m:sty m:val="p"/>
            </m:rPr>
            <w:rPr>
              <w:rFonts w:ascii="Cambria Math" w:hAnsi="Cambria Math"/>
              <w:sz w:val="20"/>
              <w:szCs w:val="20"/>
            </w:rPr>
            <m:t>.</m:t>
          </m:r>
        </m:oMath>
      </m:oMathPara>
    </w:p>
    <w:p w14:paraId="3DFD0A2B" w14:textId="2C48F388" w:rsidR="007F2B9F" w:rsidRDefault="007F2B9F" w:rsidP="007F2B9F">
      <w:pPr>
        <w:spacing w:after="160" w:line="480" w:lineRule="auto"/>
        <w:jc w:val="both"/>
      </w:pPr>
      <w:r>
        <w:t xml:space="preserve">donde </w:t>
      </w:r>
      <m:oMath>
        <m:r>
          <w:rPr>
            <w:rFonts w:ascii="Cambria Math" w:hAnsi="Cambria Math"/>
          </w:rPr>
          <m:t>U</m:t>
        </m:r>
      </m:oMath>
      <w:r>
        <w:t xml:space="preserve"> es la utilidad del hogar; </w:t>
      </w:r>
      <m:oMath>
        <m:sSup>
          <m:sSupPr>
            <m:ctrlPr>
              <w:rPr>
                <w:rFonts w:ascii="Cambria Math" w:hAnsi="Cambria Math"/>
              </w:rPr>
            </m:ctrlPr>
          </m:sSupPr>
          <m:e>
            <m:r>
              <w:rPr>
                <w:rFonts w:ascii="Cambria Math" w:hAnsi="Cambria Math"/>
              </w:rPr>
              <m:t>D</m:t>
            </m:r>
          </m:e>
          <m:sup>
            <m:r>
              <w:rPr>
                <w:rFonts w:ascii="Cambria Math" w:hAnsi="Cambria Math"/>
              </w:rPr>
              <m:t>p</m:t>
            </m:r>
          </m:sup>
        </m:sSup>
      </m:oMath>
      <w:r>
        <w:t xml:space="preserve">, el consumo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α</m:t>
            </m:r>
          </m:e>
          <m:sup>
            <m:r>
              <w:rPr>
                <w:rFonts w:ascii="Cambria Math" w:hAnsi="Cambria Math"/>
              </w:rPr>
              <m:t>p</m:t>
            </m:r>
          </m:sup>
        </m:sSup>
      </m:oMath>
      <w:r>
        <w:t xml:space="preserve">, su participación en la utilidad; </w:t>
      </w:r>
      <m:oMath>
        <m:r>
          <w:rPr>
            <w:rFonts w:ascii="Cambria Math" w:hAnsi="Cambria Math"/>
          </w:rPr>
          <m:t>ω</m:t>
        </m:r>
      </m:oMath>
      <w:r>
        <w:t xml:space="preserve">, la elasticidad de sustitución en el consumo; </w:t>
      </w:r>
      <m:oMath>
        <m:sSup>
          <m:sSupPr>
            <m:ctrlPr>
              <w:rPr>
                <w:rFonts w:ascii="Cambria Math" w:hAnsi="Cambria Math"/>
              </w:rPr>
            </m:ctrlPr>
          </m:sSupPr>
          <m:e>
            <m:r>
              <w:rPr>
                <w:rFonts w:ascii="Cambria Math" w:hAnsi="Cambria Math"/>
              </w:rPr>
              <m:t>pq</m:t>
            </m:r>
          </m:e>
          <m:sup>
            <m:r>
              <w:rPr>
                <w:rFonts w:ascii="Cambria Math" w:hAnsi="Cambria Math"/>
              </w:rPr>
              <m:t>p</m:t>
            </m:r>
          </m:sup>
        </m:sSup>
      </m:oMath>
      <w:r>
        <w:t xml:space="preserve">, el precio de comprador; </w:t>
      </w:r>
      <m:oMath>
        <m:r>
          <w:rPr>
            <w:rFonts w:ascii="Cambria Math" w:hAnsi="Cambria Math"/>
          </w:rPr>
          <m:t>INC</m:t>
        </m:r>
      </m:oMath>
      <w:r>
        <w:t xml:space="preserve"> y </w:t>
      </w:r>
      <m:oMath>
        <m:r>
          <w:rPr>
            <w:rFonts w:ascii="Cambria Math" w:hAnsi="Cambria Math"/>
          </w:rPr>
          <m:t>BTINC</m:t>
        </m:r>
      </m:oMath>
      <w:r>
        <w:t xml:space="preserve">, el ingreso disponible y el ingreso antes de impuestos del hogar; </w:t>
      </w:r>
      <m:oMath>
        <m:r>
          <w:rPr>
            <w:rFonts w:ascii="Cambria Math" w:hAnsi="Cambria Math"/>
          </w:rPr>
          <m:t>PITAX</m:t>
        </m:r>
      </m:oMath>
      <w:r>
        <w:t xml:space="preserve">, el impuesto a la renta de personas, con tasa efectiva </w:t>
      </w:r>
      <m:oMath>
        <m:r>
          <w:rPr>
            <w:rFonts w:ascii="Cambria Math" w:hAnsi="Cambria Math"/>
          </w:rPr>
          <m:t>pit</m:t>
        </m:r>
      </m:oMath>
      <w:r>
        <w:t xml:space="preserve">; </w:t>
      </w:r>
      <m:oMath>
        <m:r>
          <w:rPr>
            <w:rFonts w:ascii="Cambria Math" w:hAnsi="Cambria Math"/>
          </w:rPr>
          <m:t>SAV</m:t>
        </m:r>
      </m:oMath>
      <w:r>
        <w:t xml:space="preserve">, el ahorro del hogar; </w:t>
      </w:r>
      <m:oMath>
        <m:sSup>
          <m:sSupPr>
            <m:ctrlPr>
              <w:rPr>
                <w:rFonts w:ascii="Cambria Math" w:hAnsi="Cambria Math"/>
              </w:rPr>
            </m:ctrlPr>
          </m:sSupPr>
          <m:e>
            <m:r>
              <w:rPr>
                <w:rFonts w:ascii="Cambria Math" w:hAnsi="Cambria Math"/>
              </w:rPr>
              <m:t>CONT</m:t>
            </m:r>
          </m:e>
          <m:sup>
            <m:r>
              <w:rPr>
                <w:rFonts w:ascii="Cambria Math" w:hAnsi="Cambria Math"/>
              </w:rPr>
              <m:t>SOC</m:t>
            </m:r>
          </m:sup>
        </m:sSup>
      </m:oMath>
      <w:r>
        <w:t xml:space="preserve">, las contribuciones sociales;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y </w:t>
      </w:r>
      <m:oMath>
        <m:sSubSup>
          <m:sSubSupPr>
            <m:ctrlPr>
              <w:rPr>
                <w:rFonts w:ascii="Cambria Math" w:hAnsi="Cambria Math"/>
              </w:rPr>
            </m:ctrlPr>
          </m:sSubSupPr>
          <m:e>
            <m:r>
              <w:rPr>
                <w:rFonts w:ascii="Cambria Math" w:hAnsi="Cambria Math"/>
              </w:rPr>
              <m:t>L</m:t>
            </m:r>
          </m:e>
          <m:sub>
            <m:r>
              <w:rPr>
                <w:rFonts w:ascii="Cambria Math" w:hAnsi="Cambria Math"/>
              </w:rPr>
              <m:t>l</m:t>
            </m:r>
          </m:sub>
          <m:sup>
            <m:r>
              <w:rPr>
                <w:rFonts w:ascii="Cambria Math" w:hAnsi="Cambria Math"/>
              </w:rPr>
              <m:t>h</m:t>
            </m:r>
          </m:sup>
        </m:sSubSup>
      </m:oMath>
      <w:r>
        <w:t xml:space="preserve">, el salario y el empleo del tipo de trabajo </w:t>
      </w:r>
      <m:oMath>
        <m:r>
          <w:rPr>
            <w:rFonts w:ascii="Cambria Math" w:hAnsi="Cambria Math"/>
          </w:rPr>
          <m:t>l</m:t>
        </m:r>
      </m:oMath>
      <w:r>
        <w:t xml:space="preserve">; </w:t>
      </w:r>
      <m:oMath>
        <m:sSup>
          <m:sSupPr>
            <m:ctrlPr>
              <w:rPr>
                <w:rFonts w:ascii="Cambria Math" w:hAnsi="Cambria Math"/>
              </w:rPr>
            </m:ctrlPr>
          </m:sSupPr>
          <m:e>
            <m:r>
              <w:rPr>
                <w:rFonts w:ascii="Cambria Math" w:hAnsi="Cambria Math"/>
              </w:rPr>
              <m:t>K</m:t>
            </m:r>
          </m:e>
          <m:sup>
            <m:r>
              <w:rPr>
                <w:rFonts w:ascii="Cambria Math" w:hAnsi="Cambria Math"/>
              </w:rPr>
              <m:t>h</m:t>
            </m:r>
          </m:sup>
        </m:sSup>
      </m:oMath>
      <w:r>
        <w:t xml:space="preserve">, el capital de los hogares; </w:t>
      </w:r>
      <m:oMath>
        <m:sSup>
          <m:sSupPr>
            <m:ctrlPr>
              <w:rPr>
                <w:rFonts w:ascii="Cambria Math" w:hAnsi="Cambria Math"/>
              </w:rPr>
            </m:ctrlPr>
          </m:sSupPr>
          <m:e>
            <m:r>
              <w:rPr>
                <w:rFonts w:ascii="Cambria Math" w:hAnsi="Cambria Math"/>
              </w:rPr>
              <m:t>p</m:t>
            </m:r>
          </m:e>
          <m:sup>
            <m:r>
              <w:rPr>
                <w:rFonts w:ascii="Cambria Math" w:hAnsi="Cambria Math"/>
              </w:rPr>
              <m:t>k</m:t>
            </m:r>
          </m:sup>
        </m:sSup>
      </m:oMath>
      <w:r>
        <w:t xml:space="preserve">, el retorno bruto del capital; </w:t>
      </w:r>
      <m:oMath>
        <m:sSup>
          <m:sSupPr>
            <m:ctrlPr>
              <w:rPr>
                <w:rFonts w:ascii="Cambria Math" w:hAnsi="Cambria Math"/>
              </w:rPr>
            </m:ctrlPr>
          </m:sSupPr>
          <m:e>
            <m:r>
              <w:rPr>
                <w:rFonts w:ascii="Cambria Math" w:hAnsi="Cambria Math"/>
              </w:rPr>
              <m:t>TR</m:t>
            </m:r>
          </m:e>
          <m:sup>
            <m:r>
              <w:rPr>
                <w:rFonts w:ascii="Cambria Math" w:hAnsi="Cambria Math"/>
              </w:rPr>
              <m:t>EMP</m:t>
            </m:r>
          </m:sup>
        </m:sSup>
      </m:oMath>
      <w:r>
        <w:t xml:space="preserve"> y </w:t>
      </w:r>
      <m:oMath>
        <m:sSup>
          <m:sSupPr>
            <m:ctrlPr>
              <w:rPr>
                <w:rFonts w:ascii="Cambria Math" w:hAnsi="Cambria Math"/>
              </w:rPr>
            </m:ctrlPr>
          </m:sSupPr>
          <m:e>
            <m:r>
              <w:rPr>
                <w:rFonts w:ascii="Cambria Math" w:hAnsi="Cambria Math"/>
              </w:rPr>
              <m:t>TR</m:t>
            </m:r>
          </m:e>
          <m:sup>
            <m:r>
              <w:rPr>
                <w:rFonts w:ascii="Cambria Math" w:hAnsi="Cambria Math"/>
              </w:rPr>
              <m:t>GOV</m:t>
            </m:r>
          </m:sup>
        </m:sSup>
      </m:oMath>
      <w:r>
        <w:t xml:space="preserve">, las transferencias de las empresas y del gobierno, y </w:t>
      </w:r>
      <m:oMath>
        <m:sSup>
          <m:sSupPr>
            <m:ctrlPr>
              <w:rPr>
                <w:rFonts w:ascii="Cambria Math" w:hAnsi="Cambria Math"/>
              </w:rPr>
            </m:ctrlPr>
          </m:sSupPr>
          <m:e>
            <m:r>
              <w:rPr>
                <w:rFonts w:ascii="Cambria Math" w:hAnsi="Cambria Math"/>
              </w:rPr>
              <m:t>PS</m:t>
            </m:r>
          </m:e>
          <m:sup>
            <m:r>
              <w:rPr>
                <w:rFonts w:ascii="Cambria Math" w:hAnsi="Cambria Math"/>
              </w:rPr>
              <m:t>h</m:t>
            </m:r>
          </m:sup>
        </m:sSup>
      </m:oMath>
      <w:r>
        <w:t>, las prestaciones sociales recibidas.</w:t>
      </w:r>
    </w:p>
    <w:p w14:paraId="7B1C62EF" w14:textId="77777777" w:rsidR="000408E8" w:rsidRDefault="00000000" w:rsidP="001705F3">
      <w:pPr>
        <w:pStyle w:val="Ttulo2"/>
        <w:spacing w:line="480" w:lineRule="auto"/>
      </w:pPr>
      <w:r>
        <w:t>A.3. Sectores</w:t>
      </w:r>
    </w:p>
    <w:p w14:paraId="0B0C64F6" w14:textId="77777777" w:rsidR="000408E8" w:rsidRDefault="00000000" w:rsidP="001705F3">
      <w:pPr>
        <w:spacing w:after="160" w:line="480" w:lineRule="auto"/>
        <w:jc w:val="both"/>
      </w:pPr>
      <w:r>
        <w:t xml:space="preserve">Para cada </w:t>
      </w:r>
      <m:oMath>
        <m:r>
          <w:rPr>
            <w:rFonts w:ascii="Cambria Math" w:hAnsi="Cambria Math"/>
          </w:rPr>
          <m:t>s</m:t>
        </m:r>
        <m:r>
          <m:rPr>
            <m:sty m:val="p"/>
          </m:rPr>
          <w:rPr>
            <w:rFonts w:ascii="Cambria Math" w:hAnsi="Cambria Math"/>
          </w:rPr>
          <m:t>∈SEC</m:t>
        </m:r>
      </m:oMath>
      <w:r>
        <w:t xml:space="preserve">, con </w:t>
      </w:r>
      <m:oMath>
        <m:r>
          <w:rPr>
            <w:rFonts w:ascii="Cambria Math" w:hAnsi="Cambria Math"/>
          </w:rPr>
          <m:t>l</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oMath>
      <w:r>
        <w:t>:</w:t>
      </w:r>
    </w:p>
    <w:p w14:paraId="7589E7D6" w14:textId="77777777" w:rsidR="000408E8" w:rsidRPr="00BF5B1F" w:rsidRDefault="00000000" w:rsidP="001705F3">
      <w:pPr>
        <w:keepLines/>
        <w:spacing w:before="120" w:after="160" w:line="480" w:lineRule="auto"/>
        <w:jc w:val="center"/>
        <w:rPr>
          <w:sz w:val="20"/>
          <w:szCs w:val="20"/>
        </w:rPr>
      </w:pPr>
      <m:oMathPara>
        <m:oMathParaPr>
          <m:jc m:val="center"/>
        </m:oMathParaPr>
        <m:oMath>
          <m:r>
            <m:rPr>
              <m:sty m:val="p"/>
            </m:rPr>
            <w:rPr>
              <w:rFonts w:ascii="Cambria Math" w:hAnsi="Cambria Math"/>
              <w:sz w:val="20"/>
              <w:szCs w:val="20"/>
            </w:rPr>
            <m:t>max</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π</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pz</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ms</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e>
              </m:nary>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tps</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tes</m:t>
                  </m:r>
                </m:e>
                <m:sup>
                  <m:r>
                    <w:rPr>
                      <w:rFonts w:ascii="Cambria Math" w:hAnsi="Cambria Math"/>
                      <w:sz w:val="20"/>
                      <w:szCs w:val="20"/>
                    </w:rPr>
                    <m:t>s</m:t>
                  </m:r>
                </m:sup>
              </m:sSup>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l</m:t>
              </m:r>
            </m:sub>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s</m:t>
                  </m:r>
                </m:sup>
              </m:sSup>
            </m:e>
          </m:nary>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∈I</m:t>
              </m:r>
              <m:d>
                <m:dPr>
                  <m:ctrlPr>
                    <w:rPr>
                      <w:rFonts w:ascii="Cambria Math" w:hAnsi="Cambria Math"/>
                      <w:sz w:val="20"/>
                      <w:szCs w:val="20"/>
                    </w:rPr>
                  </m:ctrlPr>
                </m:dPr>
                <m:e>
                  <m:r>
                    <w:rPr>
                      <w:rFonts w:ascii="Cambria Math" w:hAnsi="Cambria Math"/>
                      <w:sz w:val="20"/>
                      <w:szCs w:val="20"/>
                    </w:rPr>
                    <m:t>s</m:t>
                  </m:r>
                </m:e>
              </m:d>
            </m:sub>
            <m:sup/>
            <m:e>
              <m:sSup>
                <m:sSupPr>
                  <m:ctrlPr>
                    <w:rPr>
                      <w:rFonts w:ascii="Cambria Math" w:hAnsi="Cambria Math"/>
                      <w:sz w:val="20"/>
                      <w:szCs w:val="20"/>
                    </w:rPr>
                  </m:ctrlPr>
                </m:sSupPr>
                <m:e>
                  <m:r>
                    <w:rPr>
                      <w:rFonts w:ascii="Cambria Math" w:hAnsi="Cambria Math"/>
                      <w:sz w:val="20"/>
                      <w:szCs w:val="20"/>
                    </w:rPr>
                    <m:t>io</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pint</m:t>
                  </m:r>
                </m:e>
                <m:sup>
                  <m:r>
                    <w:rPr>
                      <w:rFonts w:ascii="Cambria Math" w:hAnsi="Cambria Math"/>
                      <w:sz w:val="20"/>
                      <w:szCs w:val="20"/>
                    </w:rPr>
                    <m:t>p</m:t>
                  </m:r>
                </m:sup>
              </m:sSup>
            </m:e>
          </m:nary>
          <m:r>
            <m:rPr>
              <m:sty m:val="p"/>
            </m:rPr>
            <w:rPr>
              <w:rFonts w:ascii="Cambria Math" w:hAnsi="Cambria Math"/>
              <w:sz w:val="20"/>
              <w:szCs w:val="20"/>
            </w:rPr>
            <m:t>,</m:t>
          </m:r>
        </m:oMath>
      </m:oMathPara>
    </w:p>
    <w:p w14:paraId="468FFEF8" w14:textId="77777777" w:rsidR="000408E8" w:rsidRPr="00BF5B1F"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γ</m:t>
              </m:r>
            </m:e>
            <m:sup>
              <m:r>
                <w:rPr>
                  <w:rFonts w:ascii="Cambria Math" w:hAnsi="Cambria Math"/>
                  <w:sz w:val="20"/>
                  <w:szCs w:val="20"/>
                </w:rPr>
                <m:t>s</m:t>
              </m:r>
            </m:sup>
          </m:s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e>
              </m:d>
            </m:e>
            <m:sup>
              <m:sSubSup>
                <m:sSubSupPr>
                  <m:ctrlPr>
                    <w:rPr>
                      <w:rFonts w:ascii="Cambria Math" w:hAnsi="Cambria Math"/>
                      <w:sz w:val="20"/>
                      <w:szCs w:val="20"/>
                    </w:rPr>
                  </m:ctrlPr>
                </m:sSubSupPr>
                <m:e>
                  <m:r>
                    <w:rPr>
                      <w:rFonts w:ascii="Cambria Math" w:hAnsi="Cambria Math"/>
                      <w:sz w:val="20"/>
                      <w:szCs w:val="20"/>
                    </w:rPr>
                    <m:t>β</m:t>
                  </m:r>
                </m:e>
                <m:sub>
                  <m:r>
                    <w:rPr>
                      <w:rFonts w:ascii="Cambria Math" w:hAnsi="Cambria Math"/>
                      <w:sz w:val="20"/>
                      <w:szCs w:val="20"/>
                    </w:rPr>
                    <m:t>K</m:t>
                  </m:r>
                </m:sub>
                <m:sup>
                  <m:r>
                    <w:rPr>
                      <w:rFonts w:ascii="Cambria Math" w:hAnsi="Cambria Math"/>
                      <w:sz w:val="20"/>
                      <w:szCs w:val="20"/>
                    </w:rPr>
                    <m:t>s</m:t>
                  </m:r>
                </m:sup>
              </m:sSubSup>
            </m:sup>
          </m:sSup>
          <m:nary>
            <m:naryPr>
              <m:chr m:val="∏"/>
              <m:limLoc m:val="undOvr"/>
              <m:supHide m:val="1"/>
              <m:ctrlPr>
                <w:rPr>
                  <w:rFonts w:ascii="Cambria Math" w:hAnsi="Cambria Math"/>
                  <w:sz w:val="20"/>
                  <w:szCs w:val="20"/>
                </w:rPr>
              </m:ctrlPr>
            </m:naryPr>
            <m:sub>
              <m:r>
                <w:rPr>
                  <w:rFonts w:ascii="Cambria Math" w:hAnsi="Cambria Math"/>
                  <w:sz w:val="20"/>
                  <w:szCs w:val="20"/>
                </w:rPr>
                <m:t>l</m:t>
              </m:r>
            </m:sub>
            <m:sup/>
            <m:e>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s</m:t>
                          </m:r>
                        </m:sup>
                      </m:sSup>
                    </m:e>
                  </m:d>
                </m:e>
                <m:sup>
                  <m:sSubSup>
                    <m:sSubSupPr>
                      <m:ctrlPr>
                        <w:rPr>
                          <w:rFonts w:ascii="Cambria Math" w:hAnsi="Cambria Math"/>
                          <w:sz w:val="20"/>
                          <w:szCs w:val="20"/>
                        </w:rPr>
                      </m:ctrlPr>
                    </m:sSubSupPr>
                    <m:e>
                      <m:r>
                        <w:rPr>
                          <w:rFonts w:ascii="Cambria Math" w:hAnsi="Cambria Math"/>
                          <w:sz w:val="20"/>
                          <w:szCs w:val="20"/>
                        </w:rPr>
                        <m:t>β</m:t>
                      </m:r>
                    </m:e>
                    <m:sub>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l</m:t>
                      </m:r>
                    </m:sub>
                    <m:sup>
                      <m:r>
                        <w:rPr>
                          <w:rFonts w:ascii="Cambria Math" w:hAnsi="Cambria Math"/>
                          <w:sz w:val="20"/>
                          <w:szCs w:val="20"/>
                        </w:rPr>
                        <m:t>s</m:t>
                      </m:r>
                    </m:sup>
                  </m:sSubSup>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io</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sSup>
            <m:sSupPr>
              <m:ctrlPr>
                <w:rPr>
                  <w:rFonts w:ascii="Cambria Math" w:hAnsi="Cambria Math"/>
                  <w:sz w:val="20"/>
                  <w:szCs w:val="20"/>
                </w:rPr>
              </m:ctrlPr>
            </m:sSupPr>
            <m:e>
              <m:r>
                <w:rPr>
                  <w:rFonts w:ascii="Cambria Math" w:hAnsi="Cambria Math"/>
                  <w:sz w:val="20"/>
                  <w:szCs w:val="20"/>
                </w:rPr>
                <m:t>V</m:t>
              </m:r>
            </m:e>
            <m:sup>
              <m:r>
                <w:rPr>
                  <w:rFonts w:ascii="Cambria Math" w:hAnsi="Cambria Math"/>
                  <w:sz w:val="20"/>
                  <w:szCs w:val="20"/>
                </w:rPr>
                <m:t>s</m:t>
              </m:r>
            </m:sup>
          </m:sSup>
          <m:r>
            <m:rPr>
              <m:sty m:val="p"/>
            </m:rPr>
            <w:rPr>
              <w:rFonts w:ascii="Cambria Math" w:hAnsi="Cambria Math"/>
              <w:sz w:val="20"/>
              <w:szCs w:val="20"/>
            </w:rPr>
            <m:t>.</m:t>
          </m:r>
        </m:oMath>
      </m:oMathPara>
    </w:p>
    <w:p w14:paraId="3978E15D" w14:textId="20616714"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π</m:t>
            </m:r>
          </m:e>
          <m:sup>
            <m:r>
              <w:rPr>
                <w:rFonts w:ascii="Cambria Math" w:hAnsi="Cambria Math"/>
              </w:rPr>
              <m:t>s</m:t>
            </m:r>
          </m:sup>
        </m:sSup>
      </m:oMath>
      <w:r>
        <w:t xml:space="preserve"> es el beneficio del sector </w:t>
      </w:r>
      <m:oMath>
        <m:r>
          <w:rPr>
            <w:rFonts w:ascii="Cambria Math" w:hAnsi="Cambria Math"/>
          </w:rPr>
          <m:t>s</m:t>
        </m:r>
      </m:oMath>
      <w:r>
        <w:t xml:space="preserve">; </w:t>
      </w:r>
      <m:oMath>
        <m:sSup>
          <m:sSupPr>
            <m:ctrlPr>
              <w:rPr>
                <w:rFonts w:ascii="Cambria Math" w:hAnsi="Cambria Math"/>
              </w:rPr>
            </m:ctrlPr>
          </m:sSupPr>
          <m:e>
            <m:r>
              <w:rPr>
                <w:rFonts w:ascii="Cambria Math" w:hAnsi="Cambria Math"/>
              </w:rPr>
              <m:t>V</m:t>
            </m:r>
          </m:e>
          <m:sup>
            <m:r>
              <w:rPr>
                <w:rFonts w:ascii="Cambria Math" w:hAnsi="Cambria Math"/>
              </w:rPr>
              <m:t>s</m:t>
            </m:r>
          </m:sup>
        </m:sSup>
      </m:oMath>
      <w:r>
        <w:t xml:space="preserve">, su nivel de actividad; </w:t>
      </w:r>
      <m:oMath>
        <m:sSup>
          <m:sSupPr>
            <m:ctrlPr>
              <w:rPr>
                <w:rFonts w:ascii="Cambria Math" w:hAnsi="Cambria Math"/>
              </w:rPr>
            </m:ctrlPr>
          </m:sSupPr>
          <m:e>
            <m:r>
              <w:rPr>
                <w:rFonts w:ascii="Cambria Math" w:hAnsi="Cambria Math"/>
              </w:rPr>
              <m:t>pz</m:t>
            </m:r>
          </m:e>
          <m:sup>
            <m:r>
              <w:rPr>
                <w:rFonts w:ascii="Cambria Math" w:hAnsi="Cambria Math"/>
              </w:rPr>
              <m:t>p</m:t>
            </m:r>
          </m:sup>
        </m:sSup>
      </m:oMath>
      <w:r>
        <w:t xml:space="preserve">, el precio del productor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ms</m:t>
            </m:r>
          </m:e>
          <m:sup>
            <m:r>
              <w:rPr>
                <w:rFonts w:ascii="Cambria Math" w:hAnsi="Cambria Math"/>
              </w:rPr>
              <m:t>p</m:t>
            </m:r>
            <m:r>
              <m:rPr>
                <m:sty m:val="p"/>
              </m:rPr>
              <w:rPr>
                <w:rFonts w:ascii="Cambria Math" w:hAnsi="Cambria Math"/>
              </w:rPr>
              <m:t>,</m:t>
            </m:r>
            <m:r>
              <w:rPr>
                <w:rFonts w:ascii="Cambria Math" w:hAnsi="Cambria Math"/>
              </w:rPr>
              <m:t>s</m:t>
            </m:r>
          </m:sup>
        </m:sSup>
      </m:oMath>
      <w:r>
        <w:t xml:space="preserve">, la participación del bien </w:t>
      </w:r>
      <m:oMath>
        <m:r>
          <w:rPr>
            <w:rFonts w:ascii="Cambria Math" w:hAnsi="Cambria Math"/>
          </w:rPr>
          <m:t>p</m:t>
        </m:r>
      </m:oMath>
      <w:r>
        <w:t xml:space="preserve"> en la producción del sector; </w:t>
      </w:r>
      <m:oMath>
        <m:sSup>
          <m:sSupPr>
            <m:ctrlPr>
              <w:rPr>
                <w:rFonts w:ascii="Cambria Math" w:hAnsi="Cambria Math"/>
              </w:rPr>
            </m:ctrlPr>
          </m:sSupPr>
          <m:e>
            <m:r>
              <w:rPr>
                <w:rFonts w:ascii="Cambria Math" w:hAnsi="Cambria Math"/>
              </w:rPr>
              <m:t>tps</m:t>
            </m:r>
          </m:e>
          <m:sup>
            <m:r>
              <w:rPr>
                <w:rFonts w:ascii="Cambria Math" w:hAnsi="Cambria Math"/>
              </w:rPr>
              <m:t>s</m:t>
            </m:r>
          </m:sup>
        </m:sSup>
      </m:oMath>
      <w:r>
        <w:t xml:space="preserve"> y </w:t>
      </w:r>
      <m:oMath>
        <m:sSup>
          <m:sSupPr>
            <m:ctrlPr>
              <w:rPr>
                <w:rFonts w:ascii="Cambria Math" w:hAnsi="Cambria Math"/>
              </w:rPr>
            </m:ctrlPr>
          </m:sSupPr>
          <m:e>
            <m:r>
              <w:rPr>
                <w:rFonts w:ascii="Cambria Math" w:hAnsi="Cambria Math"/>
              </w:rPr>
              <m:t>tes</m:t>
            </m:r>
          </m:e>
          <m:sup>
            <m:r>
              <w:rPr>
                <w:rFonts w:ascii="Cambria Math" w:hAnsi="Cambria Math"/>
              </w:rPr>
              <m:t>s</m:t>
            </m:r>
          </m:sup>
        </m:sSup>
      </m:oMath>
      <w:r>
        <w:t xml:space="preserve">, las </w:t>
        <w:t xml:space="preserve">tasas de los impuestos a la producción y del componente ad valorem de los impuestos específicos; </w:t>
      </w:r>
      <m:oMath>
        <m:sSup>
          <m:sSupPr>
            <m:ctrlPr>
              <w:rPr>
                <w:rFonts w:ascii="Cambria Math" w:hAnsi="Cambria Math"/>
              </w:rPr>
            </m:ctrlPr>
          </m:sSupPr>
          <m:e>
            <m:r>
              <w:rPr>
                <w:rFonts w:ascii="Cambria Math" w:hAnsi="Cambria Math"/>
              </w:rPr>
              <m:t>K</m:t>
            </m:r>
          </m:e>
          <m:sup>
            <m:r>
              <w:rPr>
                <w:rFonts w:ascii="Cambria Math" w:hAnsi="Cambria Math"/>
              </w:rPr>
              <m:t>s</m:t>
            </m:r>
          </m:sup>
        </m:sSup>
      </m:oMath>
      <w:r>
        <w:t xml:space="preserve"> y </w:t>
      </w:r>
      <m:oMath>
        <m:sSup>
          <m:sSupPr>
            <m:ctrlPr>
              <w:rPr>
                <w:rFonts w:ascii="Cambria Math" w:hAnsi="Cambria Math"/>
              </w:rPr>
            </m:ctrlPr>
          </m:sSupPr>
          <m:e>
            <m:r>
              <w:rPr>
                <w:rFonts w:ascii="Cambria Math" w:hAnsi="Cambria Math"/>
              </w:rPr>
              <m:t>L</m:t>
            </m:r>
          </m:e>
          <m:sup>
            <m:r>
              <w:rPr>
                <w:rFonts w:ascii="Cambria Math" w:hAnsi="Cambria Math"/>
              </w:rPr>
              <m:t>l</m:t>
            </m:r>
            <m:r>
              <m:rPr>
                <m:sty m:val="p"/>
              </m:rPr>
              <w:rPr>
                <w:rFonts w:ascii="Cambria Math" w:hAnsi="Cambria Math"/>
              </w:rPr>
              <m:t>,</m:t>
            </m:r>
            <m:r>
              <w:rPr>
                <w:rFonts w:ascii="Cambria Math" w:hAnsi="Cambria Math"/>
              </w:rPr>
              <m:t>s</m:t>
            </m:r>
          </m:sup>
        </m:sSup>
      </m:oMath>
      <w:r>
        <w:t xml:space="preserve">, el capital y el empleo del sector; </w:t>
      </w:r>
      <m:oMath>
        <m:sSup>
          <m:sSupPr>
            <m:ctrlPr>
              <w:rPr>
                <w:rFonts w:ascii="Cambria Math" w:hAnsi="Cambria Math"/>
              </w:rPr>
            </m:ctrlPr>
          </m:sSupPr>
          <m:e>
            <m:r>
              <w:rPr>
                <w:rFonts w:ascii="Cambria Math" w:hAnsi="Cambria Math"/>
              </w:rPr>
              <m:t>X</m:t>
            </m:r>
          </m:e>
          <m:sup>
            <m:r>
              <w:rPr>
                <w:rFonts w:ascii="Cambria Math" w:hAnsi="Cambria Math"/>
              </w:rPr>
              <m:t>p</m:t>
            </m:r>
            <m:r>
              <m:rPr>
                <m:sty m:val="p"/>
              </m:rPr>
              <w:rPr>
                <w:rFonts w:ascii="Cambria Math" w:hAnsi="Cambria Math"/>
              </w:rPr>
              <m:t>,</m:t>
            </m:r>
            <m:r>
              <w:rPr>
                <w:rFonts w:ascii="Cambria Math" w:hAnsi="Cambria Math"/>
              </w:rPr>
              <m:t>s</m:t>
            </m:r>
          </m:sup>
        </m:sSup>
      </m:oMath>
      <w:r>
        <w:t xml:space="preserve">, su demanda intermedia; </w:t>
      </w:r>
      <m:oMath>
        <m:sSup>
          <m:sSupPr>
            <m:ctrlPr>
              <w:rPr>
                <w:rFonts w:ascii="Cambria Math" w:hAnsi="Cambria Math"/>
              </w:rPr>
            </m:ctrlPr>
          </m:sSupPr>
          <m:e>
            <m:r>
              <w:rPr>
                <w:rFonts w:ascii="Cambria Math" w:hAnsi="Cambria Math"/>
              </w:rPr>
              <m:t>io</m:t>
            </m:r>
          </m:e>
          <m:sup>
            <m:r>
              <w:rPr>
                <w:rFonts w:ascii="Cambria Math" w:hAnsi="Cambria Math"/>
              </w:rPr>
              <m:t>p</m:t>
            </m:r>
            <m:r>
              <m:rPr>
                <m:sty m:val="p"/>
              </m:rPr>
              <w:rPr>
                <w:rFonts w:ascii="Cambria Math" w:hAnsi="Cambria Math"/>
              </w:rPr>
              <m:t>,</m:t>
            </m:r>
            <m:r>
              <w:rPr>
                <w:rFonts w:ascii="Cambria Math" w:hAnsi="Cambria Math"/>
              </w:rPr>
              <m:t>s</m:t>
            </m:r>
          </m:sup>
        </m:sSup>
      </m:oMath>
      <w:r>
        <w:t xml:space="preserve">, el coeficiente de insumo por unidad de actividad; </w:t>
      </w:r>
      <m:oMath>
        <m:r>
          <m:rPr>
            <m:sty m:val="p"/>
          </m:rPr>
          <w:rPr>
            <w:rFonts w:ascii="Cambria Math" w:hAnsi="Cambria Math"/>
          </w:rPr>
          <m:t>I</m:t>
        </m:r>
        <m:d>
          <m:dPr>
            <m:ctrlPr>
              <w:rPr>
                <w:rFonts w:ascii="Cambria Math" w:hAnsi="Cambria Math"/>
              </w:rPr>
            </m:ctrlPr>
          </m:dPr>
          <m:e>
            <m:r>
              <w:rPr>
                <w:rFonts w:ascii="Cambria Math" w:hAnsi="Cambria Math"/>
              </w:rPr>
              <m:t>s</m:t>
            </m:r>
          </m:e>
        </m:d>
      </m:oMath>
      <w:r>
        <w:t xml:space="preserve">, el conjunto de insumos que utiliza el sector; </w:t>
      </w:r>
      <m:oMath>
        <m:sSup>
          <m:sSupPr>
            <m:ctrlPr>
              <w:rPr>
                <w:rFonts w:ascii="Cambria Math" w:hAnsi="Cambria Math"/>
              </w:rPr>
            </m:ctrlPr>
          </m:sSupPr>
          <m:e>
            <m:r>
              <w:rPr>
                <w:rFonts w:ascii="Cambria Math" w:hAnsi="Cambria Math"/>
              </w:rPr>
              <m:t>pint</m:t>
            </m:r>
          </m:e>
          <m:sup>
            <m:r>
              <w:rPr>
                <w:rFonts w:ascii="Cambria Math" w:hAnsi="Cambria Math"/>
              </w:rPr>
              <m:t>p</m:t>
            </m:r>
          </m:sup>
        </m:sSup>
      </m:oMath>
      <w:r>
        <w:t xml:space="preserve">, el precio de los insumos, y </w:t>
      </w:r>
      <m:oMath>
        <m:sSup>
          <m:sSupPr>
            <m:ctrlPr>
              <w:rPr>
                <w:rFonts w:ascii="Cambria Math" w:hAnsi="Cambria Math"/>
              </w:rPr>
            </m:ctrlPr>
          </m:sSupPr>
          <m:e>
            <m:r>
              <w:rPr>
                <w:rFonts w:ascii="Cambria Math" w:hAnsi="Cambria Math"/>
              </w:rPr>
              <m:t>γ</m:t>
            </m:r>
          </m:e>
          <m:sup>
            <m:r>
              <w:rPr>
                <w:rFonts w:ascii="Cambria Math" w:hAnsi="Cambria Math"/>
              </w:rPr>
              <m:t>s</m:t>
            </m:r>
          </m:sup>
        </m:sSup>
      </m:oMath>
      <w:r>
        <w:t xml:space="preserve">, </w:t>
      </w:r>
      <m:oMath>
        <m:sSubSup>
          <m:sSubSupPr>
            <m:ctrlPr>
              <w:rPr>
                <w:rFonts w:ascii="Cambria Math" w:hAnsi="Cambria Math"/>
              </w:rPr>
            </m:ctrlPr>
          </m:sSubSupPr>
          <m:e>
            <m:r>
              <w:rPr>
                <w:rFonts w:ascii="Cambria Math" w:hAnsi="Cambria Math"/>
              </w:rPr>
              <m:t>β</m:t>
            </m:r>
          </m:e>
          <m:sub>
            <m:r>
              <w:rPr>
                <w:rFonts w:ascii="Cambria Math" w:hAnsi="Cambria Math"/>
              </w:rPr>
              <m:t>K</m:t>
            </m:r>
          </m:sub>
          <m:sup>
            <m:r>
              <w:rPr>
                <w:rFonts w:ascii="Cambria Math" w:hAnsi="Cambria Math"/>
              </w:rPr>
              <m:t>s</m:t>
            </m:r>
          </m:sup>
        </m:sSubSup>
      </m:oMath>
      <w:r>
        <w:t xml:space="preserve"> y </w:t>
      </w:r>
      <m:oMath>
        <m:sSubSup>
          <m:sSubSupPr>
            <m:ctrlPr>
              <w:rPr>
                <w:rFonts w:ascii="Cambria Math" w:hAnsi="Cambria Math"/>
              </w:rPr>
            </m:ctrlPr>
          </m:sSubSupPr>
          <m:e>
            <m:r>
              <w:rPr>
                <w:rFonts w:ascii="Cambria Math" w:hAnsi="Cambria Math"/>
              </w:rPr>
              <m:t>β</m:t>
            </m:r>
          </m:e>
          <m:sub>
            <m:r>
              <w:rPr>
                <w:rFonts w:ascii="Cambria Math" w:hAnsi="Cambria Math"/>
              </w:rPr>
              <m:t>L</m:t>
            </m:r>
            <m:r>
              <m:rPr>
                <m:sty m:val="p"/>
              </m:rPr>
              <w:rPr>
                <w:rFonts w:ascii="Cambria Math" w:hAnsi="Cambria Math"/>
              </w:rPr>
              <m:t>,</m:t>
            </m:r>
            <m:r>
              <w:rPr>
                <w:rFonts w:ascii="Cambria Math" w:hAnsi="Cambria Math"/>
              </w:rPr>
              <m:t>l</m:t>
            </m:r>
          </m:sub>
          <m:sup>
            <m:r>
              <w:rPr>
                <w:rFonts w:ascii="Cambria Math" w:hAnsi="Cambria Math"/>
              </w:rPr>
              <m:t>s</m:t>
            </m:r>
          </m:sup>
        </m:sSubSup>
      </m:oMath>
      <w:r>
        <w:t>, el parámetro de escala y las participaciones del capital y de cada tipo de trabajo.</w:t>
      </w:r>
    </w:p>
    <w:p w14:paraId="1D353E3F" w14:textId="77777777" w:rsidR="000408E8" w:rsidRDefault="00000000" w:rsidP="001705F3">
      <w:pPr>
        <w:pStyle w:val="Ttulo2"/>
        <w:spacing w:line="480" w:lineRule="auto"/>
      </w:pPr>
      <w:r>
        <w:t>A.4. Productos y comercio exterior</w:t>
      </w:r>
    </w:p>
    <w:p w14:paraId="1EA1BBAC" w14:textId="77777777" w:rsidR="000408E8" w:rsidRPr="00107FA3"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t</m:t>
              </m:r>
            </m:sub>
            <m:sup>
              <m:r>
                <w:rPr>
                  <w:rFonts w:ascii="Cambria Math" w:hAnsi="Cambria Math"/>
                  <w:sz w:val="20"/>
                  <w:szCs w:val="20"/>
                </w:rPr>
                <m:t>p</m:t>
              </m:r>
            </m:sup>
          </m:sSubSup>
          <m:sSup>
            <m:sSupPr>
              <m:ctrlPr>
                <w:rPr>
                  <w:rFonts w:ascii="Cambria Math" w:hAnsi="Cambria Math"/>
                  <w:sz w:val="20"/>
                  <w:szCs w:val="20"/>
                </w:rPr>
              </m:ctrlPr>
            </m:sSupPr>
            <m:e>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γ</m:t>
                      </m:r>
                    </m:e>
                    <m:sub>
                      <m:r>
                        <w:rPr>
                          <w:rFonts w:ascii="Cambria Math" w:hAnsi="Cambria Math"/>
                          <w:sz w:val="20"/>
                          <w:szCs w:val="20"/>
                        </w:rPr>
                        <m:t>e</m:t>
                      </m:r>
                    </m:sub>
                    <m:sup>
                      <m:r>
                        <w:rPr>
                          <w:rFonts w:ascii="Cambria Math" w:hAnsi="Cambria Math"/>
                          <w:sz w:val="20"/>
                          <w:szCs w:val="20"/>
                        </w:rPr>
                        <m:t>p</m:t>
                      </m:r>
                    </m:sup>
                  </m:sSub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EX</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γ</m:t>
                          </m:r>
                        </m:e>
                        <m:sub>
                          <m:r>
                            <w:rPr>
                              <w:rFonts w:ascii="Cambria Math" w:hAnsi="Cambria Math"/>
                              <w:sz w:val="20"/>
                              <w:szCs w:val="20"/>
                            </w:rPr>
                            <m:t>e</m:t>
                          </m:r>
                        </m:sub>
                        <m:sup>
                          <m:r>
                            <w:rPr>
                              <w:rFonts w:ascii="Cambria Math" w:hAnsi="Cambria Math"/>
                              <w:sz w:val="20"/>
                              <w:szCs w:val="20"/>
                            </w:rPr>
                            <m:t>p</m:t>
                          </m:r>
                        </m:sup>
                      </m:sSubSup>
                    </m:e>
                  </m:d>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DS</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sup>
                  </m:sSup>
                </m:e>
              </m:d>
            </m:e>
            <m:sup>
              <m:f>
                <m:fPr>
                  <m:type m:val="lin"/>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t</m:t>
                      </m:r>
                    </m:sub>
                  </m:sSub>
                </m:den>
              </m:f>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Q</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a</m:t>
              </m:r>
            </m:e>
            <m:sub>
              <m:r>
                <w:rPr>
                  <w:rFonts w:ascii="Cambria Math" w:hAnsi="Cambria Math"/>
                  <w:sz w:val="20"/>
                  <w:szCs w:val="20"/>
                </w:rPr>
                <m:t>q</m:t>
              </m:r>
            </m:sub>
            <m:sup>
              <m:r>
                <w:rPr>
                  <w:rFonts w:ascii="Cambria Math" w:hAnsi="Cambria Math"/>
                  <w:sz w:val="20"/>
                  <w:szCs w:val="20"/>
                </w:rPr>
                <m:t>p</m:t>
              </m:r>
            </m:sup>
          </m:sSubSup>
          <m:sSup>
            <m:sSupPr>
              <m:ctrlPr>
                <w:rPr>
                  <w:rFonts w:ascii="Cambria Math" w:hAnsi="Cambria Math"/>
                  <w:sz w:val="20"/>
                  <w:szCs w:val="20"/>
                </w:rPr>
              </m:ctrlPr>
            </m:sSupPr>
            <m:e>
              <m:d>
                <m:dPr>
                  <m:begChr m:val="["/>
                  <m:endChr m:val="]"/>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δ</m:t>
                      </m:r>
                    </m:e>
                    <m:sub>
                      <m:r>
                        <w:rPr>
                          <w:rFonts w:ascii="Cambria Math" w:hAnsi="Cambria Math"/>
                          <w:sz w:val="20"/>
                          <w:szCs w:val="20"/>
                        </w:rPr>
                        <m:t>m</m:t>
                      </m:r>
                    </m:sub>
                    <m:sup>
                      <m:r>
                        <w:rPr>
                          <w:rFonts w:ascii="Cambria Math" w:hAnsi="Cambria Math"/>
                          <w:sz w:val="20"/>
                          <w:szCs w:val="20"/>
                        </w:rPr>
                        <m:t>p</m:t>
                      </m:r>
                    </m:sup>
                  </m:sSubSup>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δ</m:t>
                          </m:r>
                        </m:e>
                        <m:sub>
                          <m:r>
                            <w:rPr>
                              <w:rFonts w:ascii="Cambria Math" w:hAnsi="Cambria Math"/>
                              <w:sz w:val="20"/>
                              <w:szCs w:val="20"/>
                            </w:rPr>
                            <m:t>m</m:t>
                          </m:r>
                        </m:sub>
                        <m:sup>
                          <m:r>
                            <w:rPr>
                              <w:rFonts w:ascii="Cambria Math" w:hAnsi="Cambria Math"/>
                              <w:sz w:val="20"/>
                              <w:szCs w:val="20"/>
                            </w:rPr>
                            <m:t>p</m:t>
                          </m:r>
                        </m:sup>
                      </m:sSubSup>
                    </m:e>
                  </m:d>
                  <m:sSup>
                    <m:sSupPr>
                      <m:ctrlPr>
                        <w:rPr>
                          <w:rFonts w:ascii="Cambria Math" w:hAnsi="Cambria Math"/>
                          <w:sz w:val="20"/>
                          <w:szCs w:val="20"/>
                        </w:rPr>
                      </m:ctrlPr>
                    </m:sSupPr>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DS</m:t>
                              </m:r>
                            </m:e>
                            <m:sup>
                              <m:r>
                                <w:rPr>
                                  <w:rFonts w:ascii="Cambria Math" w:hAnsi="Cambria Math"/>
                                  <w:sz w:val="20"/>
                                  <w:szCs w:val="20"/>
                                </w:rPr>
                                <m:t>p</m:t>
                              </m:r>
                            </m:sup>
                          </m:sSup>
                        </m:e>
                      </m:d>
                    </m:e>
                    <m:sup>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sup>
                  </m:sSup>
                </m:e>
              </m:d>
            </m:e>
            <m:sup>
              <m:f>
                <m:fPr>
                  <m:type m:val="lin"/>
                  <m:ctrlPr>
                    <w:rPr>
                      <w:rFonts w:ascii="Cambria Math" w:hAnsi="Cambria Math"/>
                      <w:sz w:val="20"/>
                      <w:szCs w:val="20"/>
                    </w:rPr>
                  </m:ctrlPr>
                </m:fPr>
                <m:num>
                  <m:r>
                    <w:rPr>
                      <w:rFonts w:ascii="Cambria Math" w:hAnsi="Cambria Math"/>
                      <w:sz w:val="20"/>
                      <w:szCs w:val="20"/>
                    </w:rPr>
                    <m:t>1</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q</m:t>
                      </m:r>
                    </m:sub>
                  </m:sSub>
                </m:den>
              </m:f>
            </m:sup>
          </m:sSup>
          <m:r>
            <m:rPr>
              <m:sty m:val="p"/>
            </m:rPr>
            <w:rPr>
              <w:rFonts w:ascii="Cambria Math" w:hAnsi="Cambria Math"/>
              <w:sz w:val="20"/>
              <w:szCs w:val="20"/>
            </w:rPr>
            <m:t>,</m:t>
          </m:r>
        </m:oMath>
      </m:oMathPara>
    </w:p>
    <w:p w14:paraId="681A4C09" w14:textId="77777777" w:rsidR="00830A68" w:rsidRDefault="00000000" w:rsidP="001705F3">
      <w:pPr>
        <w:spacing w:after="160" w:line="480" w:lineRule="auto"/>
        <w:jc w:val="both"/>
      </w:pPr>
      <w:r>
        <w:t xml:space="preserve">con </w:t>
      </w:r>
      <m:oMath>
        <m:sSub>
          <m:sSubPr>
            <m:ctrlPr>
              <w:rPr>
                <w:rFonts w:ascii="Cambria Math" w:hAnsi="Cambria Math"/>
              </w:rPr>
            </m:ctrlPr>
          </m:sSubPr>
          <m:e>
            <m:r>
              <w:rPr>
                <w:rFonts w:ascii="Cambria Math" w:hAnsi="Cambria Math"/>
              </w:rPr>
              <m:t>ρ</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t</m:t>
                </m:r>
              </m:sub>
            </m:sSub>
          </m:den>
        </m:f>
      </m:oMath>
      <w:r>
        <w:t xml:space="preserve"> y </w:t>
      </w:r>
      <m:oMath>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q</m:t>
                </m:r>
              </m:sub>
            </m:sSub>
          </m:den>
        </m:f>
      </m:oMath>
      <w:r>
        <w:t xml:space="preserve">; </w:t>
      </w:r>
      <m:oMath>
        <m:sSup>
          <m:sSupPr>
            <m:ctrlPr>
              <w:rPr>
                <w:rFonts w:ascii="Cambria Math" w:hAnsi="Cambria Math"/>
              </w:rPr>
            </m:ctrlPr>
          </m:sSupPr>
          <m:e>
            <m:r>
              <w:rPr>
                <w:rFonts w:ascii="Cambria Math" w:hAnsi="Cambria Math"/>
              </w:rPr>
              <m:t>pe</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pworlde</m:t>
            </m:r>
          </m:e>
          <m:sup>
            <m:r>
              <w:rPr>
                <w:rFonts w:ascii="Cambria Math" w:hAnsi="Cambria Math"/>
              </w:rPr>
              <m:t>p</m:t>
            </m:r>
          </m:sup>
        </m:sSup>
        <m:r>
          <m:rPr>
            <m:sty m:val="p"/>
          </m:rPr>
          <w:rPr>
            <w:rFonts w:ascii="Cambria Math" w:hAnsi="Cambria Math"/>
          </w:rPr>
          <m:t>·</m:t>
        </m:r>
        <m:r>
          <w:rPr>
            <w:rFonts w:ascii="Cambria Math" w:hAnsi="Cambria Math"/>
          </w:rPr>
          <m:t>exr</m:t>
        </m:r>
      </m:oMath>
      <w:r>
        <w:t xml:space="preserve"> y </w:t>
      </w:r>
      <m:oMath>
        <m:sSup>
          <m:sSupPr>
            <m:ctrlPr>
              <w:rPr>
                <w:rFonts w:ascii="Cambria Math" w:hAnsi="Cambria Math"/>
              </w:rPr>
            </m:ctrlPr>
          </m:sSupPr>
          <m:e>
            <m:r>
              <w:rPr>
                <w:rFonts w:ascii="Cambria Math" w:hAnsi="Cambria Math"/>
              </w:rPr>
              <m:t>pm</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pworldm</m:t>
            </m:r>
          </m:e>
          <m:sup>
            <m:r>
              <w:rPr>
                <w:rFonts w:ascii="Cambria Math" w:hAnsi="Cambria Math"/>
              </w:rPr>
              <m:t>p</m:t>
            </m:r>
          </m:sup>
        </m:sSup>
        <m:r>
          <m:rPr>
            <m:sty m:val="p"/>
          </m:rPr>
          <w:rPr>
            <w:rFonts w:ascii="Cambria Math" w:hAnsi="Cambria Math"/>
          </w:rPr>
          <m:t>·</m:t>
        </m:r>
        <m:r>
          <w:rPr>
            <w:rFonts w:ascii="Cambria Math" w:hAnsi="Cambria Math"/>
          </w:rPr>
          <m:t>exr</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tar</m:t>
                </m:r>
              </m:e>
              <m:sup>
                <m:r>
                  <w:rPr>
                    <w:rFonts w:ascii="Cambria Math" w:hAnsi="Cambria Math"/>
                  </w:rPr>
                  <m:t>p</m:t>
                </m:r>
              </m:sup>
            </m:sSup>
          </m:e>
        </m:d>
      </m:oMath>
      <w:r>
        <w:t xml:space="preserve">. </w:t>
      </w:r>
    </w:p>
    <w:p w14:paraId="3DA98595" w14:textId="5F05444E" w:rsidR="000408E8" w:rsidRDefault="00000000" w:rsidP="001705F3">
      <w:pPr>
        <w:spacing w:after="160" w:line="480" w:lineRule="auto"/>
        <w:jc w:val="both"/>
      </w:pPr>
      <w:r>
        <w:t>El equilibrio de cada producto es</w:t>
      </w:r>
    </w:p>
    <w:p w14:paraId="2B7685A3" w14:textId="77777777" w:rsidR="000408E8" w:rsidRPr="00107FA3"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Q</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VEXIST</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GG</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r>
            <m:rPr>
              <m:sty m:val="p"/>
            </m:rPr>
            <w:rPr>
              <w:rFonts w:ascii="Cambria Math" w:hAnsi="Cambria Math"/>
              <w:sz w:val="20"/>
              <w:szCs w:val="20"/>
            </w:rPr>
            <m:t>·</m:t>
          </m:r>
          <m:r>
            <w:rPr>
              <w:rFonts w:ascii="Cambria Math" w:hAnsi="Cambria Math"/>
              <w:sz w:val="20"/>
              <w:szCs w:val="20"/>
            </w:rPr>
            <m:t>inv_adj</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s</m:t>
                  </m:r>
                </m:sup>
              </m:sSup>
            </m:e>
          </m:nary>
          <m:r>
            <m:rPr>
              <m:sty m:val="p"/>
            </m:rPr>
            <w:rPr>
              <w:rFonts w:ascii="Cambria Math" w:hAnsi="Cambria Math"/>
              <w:sz w:val="20"/>
              <w:szCs w:val="20"/>
            </w:rPr>
            <m:t>.</m:t>
          </m:r>
        </m:oMath>
      </m:oMathPara>
    </w:p>
    <w:p w14:paraId="5B1A0EC6" w14:textId="026193D8" w:rsidR="007F2B9F" w:rsidRP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Z</m:t>
            </m:r>
          </m:e>
          <m:sup>
            <m:r>
              <w:rPr>
                <w:rFonts w:ascii="Cambria Math" w:hAnsi="Cambria Math"/>
              </w:rPr>
              <m:t>p</m:t>
            </m:r>
          </m:sup>
        </m:sSup>
      </m:oMath>
      <w:r>
        <w:t xml:space="preserve"> es la producción del bien </w:t>
      </w:r>
      <m:oMath>
        <m:r>
          <w:rPr>
            <w:rFonts w:ascii="Cambria Math" w:hAnsi="Cambria Math"/>
          </w:rPr>
          <m:t>p</m:t>
        </m:r>
      </m:oMath>
      <w:r>
        <w:t xml:space="preserve">; </w:t>
      </w:r>
      <m:oMath>
        <m:sSup>
          <m:sSupPr>
            <m:ctrlPr>
              <w:rPr>
                <w:rFonts w:ascii="Cambria Math" w:hAnsi="Cambria Math"/>
              </w:rPr>
            </m:ctrlPr>
          </m:sSupPr>
          <m:e>
            <m:r>
              <w:rPr>
                <w:rFonts w:ascii="Cambria Math" w:hAnsi="Cambria Math"/>
              </w:rPr>
              <m:t>EX</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DS</m:t>
            </m:r>
          </m:e>
          <m:sup>
            <m:r>
              <w:rPr>
                <w:rFonts w:ascii="Cambria Math" w:hAnsi="Cambria Math"/>
              </w:rPr>
              <m:t>p</m:t>
            </m:r>
          </m:sup>
        </m:sSup>
      </m:oMath>
      <w:r>
        <w:t xml:space="preserve">, las exportaciones y las ventas internas; </w:t>
      </w:r>
      <m:oMath>
        <m:sSup>
          <m:sSupPr>
            <m:ctrlPr>
              <w:rPr>
                <w:rFonts w:ascii="Cambria Math" w:hAnsi="Cambria Math"/>
              </w:rPr>
            </m:ctrlPr>
          </m:sSupPr>
          <m:e>
            <m:r>
              <w:rPr>
                <w:rFonts w:ascii="Cambria Math" w:hAnsi="Cambria Math"/>
              </w:rPr>
              <m:t>Q</m:t>
            </m:r>
          </m:e>
          <m:sup>
            <m:r>
              <w:rPr>
                <w:rFonts w:ascii="Cambria Math" w:hAnsi="Cambria Math"/>
              </w:rPr>
              <m:t>p</m:t>
            </m:r>
          </m:sup>
        </m:sSup>
      </m:oMath>
      <w:r>
        <w:t xml:space="preserve">, el bien compuesto; </w:t>
      </w:r>
      <m:oMath>
        <m:sSup>
          <m:sSupPr>
            <m:ctrlPr>
              <w:rPr>
                <w:rFonts w:ascii="Cambria Math" w:hAnsi="Cambria Math"/>
              </w:rPr>
            </m:ctrlPr>
          </m:sSupPr>
          <m:e>
            <m:r>
              <w:rPr>
                <w:rFonts w:ascii="Cambria Math" w:hAnsi="Cambria Math"/>
              </w:rPr>
              <m:t>M</m:t>
            </m:r>
          </m:e>
          <m:sup>
            <m:r>
              <w:rPr>
                <w:rFonts w:ascii="Cambria Math" w:hAnsi="Cambria Math"/>
              </w:rPr>
              <m:t>p</m:t>
            </m:r>
          </m:sup>
        </m:sSup>
      </m:oMath>
      <w:r>
        <w:t xml:space="preserve">, las importaciones;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p</m:t>
            </m:r>
          </m:sup>
        </m:sSubSup>
      </m:oMath>
      <w:r>
        <w:t xml:space="preserve">, </w:t>
      </w:r>
      <m:oMath>
        <m:sSubSup>
          <m:sSubSupPr>
            <m:ctrlPr>
              <w:rPr>
                <w:rFonts w:ascii="Cambria Math" w:hAnsi="Cambria Math"/>
              </w:rPr>
            </m:ctrlPr>
          </m:sSubSupPr>
          <m:e>
            <m:r>
              <w:rPr>
                <w:rFonts w:ascii="Cambria Math" w:hAnsi="Cambria Math"/>
              </w:rPr>
              <m:t>γ</m:t>
            </m:r>
          </m:e>
          <m:sub>
            <m:r>
              <w:rPr>
                <w:rFonts w:ascii="Cambria Math" w:hAnsi="Cambria Math"/>
              </w:rPr>
              <m:t>e</m:t>
            </m:r>
          </m:sub>
          <m:sup>
            <m:r>
              <w:rPr>
                <w:rFonts w:ascii="Cambria Math" w:hAnsi="Cambria Math"/>
              </w:rPr>
              <m:t>p</m:t>
            </m:r>
          </m:sup>
        </m:sSubSup>
      </m:oMath>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q</m:t>
            </m:r>
          </m:sub>
          <m:sup>
            <m:r>
              <w:rPr>
                <w:rFonts w:ascii="Cambria Math" w:hAnsi="Cambria Math"/>
              </w:rPr>
              <m:t>p</m:t>
            </m:r>
          </m:sup>
        </m:sSubSup>
      </m:oMath>
      <w:r>
        <w:t xml:space="preserve"> y </w:t>
      </w:r>
      <m:oMath>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p</m:t>
            </m:r>
          </m:sup>
        </m:sSubSup>
      </m:oMath>
      <w:r>
        <w:t xml:space="preserve">, los parámetros de escala y de participación de las funciones CET y Armington;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y </w:t>
      </w:r>
      <m:oMath>
        <m:sSub>
          <m:sSubPr>
            <m:ctrlPr>
              <w:rPr>
                <w:rFonts w:ascii="Cambria Math" w:hAnsi="Cambria Math"/>
              </w:rPr>
            </m:ctrlPr>
          </m:sSubPr>
          <m:e>
            <m:r>
              <w:rPr>
                <w:rFonts w:ascii="Cambria Math" w:hAnsi="Cambria Math"/>
              </w:rPr>
              <m:t>σ</m:t>
            </m:r>
          </m:e>
          <m:sub>
            <m:r>
              <w:rPr>
                <w:rFonts w:ascii="Cambria Math" w:hAnsi="Cambria Math"/>
              </w:rPr>
              <m:t>q</m:t>
            </m:r>
          </m:sub>
        </m:sSub>
      </m:oMath>
      <w:r>
        <w:t xml:space="preserve">, sus elasticidades; </w:t>
      </w:r>
      <m:oMath>
        <m:sSup>
          <m:sSupPr>
            <m:ctrlPr>
              <w:rPr>
                <w:rFonts w:ascii="Cambria Math" w:hAnsi="Cambria Math"/>
              </w:rPr>
            </m:ctrlPr>
          </m:sSupPr>
          <m:e>
            <m:r>
              <w:rPr>
                <w:rFonts w:ascii="Cambria Math" w:hAnsi="Cambria Math"/>
              </w:rPr>
              <m:t>pe</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pm</m:t>
            </m:r>
          </m:e>
          <m:sup>
            <m:r>
              <w:rPr>
                <w:rFonts w:ascii="Cambria Math" w:hAnsi="Cambria Math"/>
              </w:rPr>
              <m:t>p</m:t>
            </m:r>
          </m:sup>
        </m:sSup>
      </m:oMath>
      <w:r>
        <w:t xml:space="preserve">, los precios de exportación e importación en moneda nacional; </w:t>
      </w:r>
      <m:oMath>
        <m:sSup>
          <m:sSupPr>
            <m:ctrlPr>
              <w:rPr>
                <w:rFonts w:ascii="Cambria Math" w:hAnsi="Cambria Math"/>
              </w:rPr>
            </m:ctrlPr>
          </m:sSupPr>
          <m:e>
            <m:r>
              <w:rPr>
                <w:rFonts w:ascii="Cambria Math" w:hAnsi="Cambria Math"/>
              </w:rPr>
              <m:t>pworlde</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pworldm</m:t>
            </m:r>
          </m:e>
          <m:sup>
            <m:r>
              <w:rPr>
                <w:rFonts w:ascii="Cambria Math" w:hAnsi="Cambria Math"/>
              </w:rPr>
              <m:t>p</m:t>
            </m:r>
          </m:sup>
        </m:sSup>
      </m:oMath>
      <w:r>
        <w:t xml:space="preserve">, los precios internacionales; </w:t>
      </w:r>
      <m:oMath>
        <m:r>
          <w:rPr>
            <w:rFonts w:ascii="Cambria Math" w:hAnsi="Cambria Math"/>
          </w:rPr>
          <m:t>exr</m:t>
        </m:r>
      </m:oMath>
      <w:r>
        <w:t xml:space="preserve">, el tipo de cambio real; </w:t>
      </w:r>
      <m:oMath>
        <m:sSup>
          <m:sSupPr>
            <m:ctrlPr>
              <w:rPr>
                <w:rFonts w:ascii="Cambria Math" w:hAnsi="Cambria Math"/>
              </w:rPr>
            </m:ctrlPr>
          </m:sSupPr>
          <m:e>
            <m:r>
              <w:rPr>
                <w:rFonts w:ascii="Cambria Math" w:hAnsi="Cambria Math"/>
              </w:rPr>
              <m:t>tar</m:t>
            </m:r>
          </m:e>
          <m:sup>
            <m:r>
              <w:rPr>
                <w:rFonts w:ascii="Cambria Math" w:hAnsi="Cambria Math"/>
              </w:rPr>
              <m:t>p</m:t>
            </m:r>
          </m:sup>
        </m:sSup>
      </m:oMath>
      <w:r>
        <w:t xml:space="preserve">, la tasa arancelaria; </w:t>
      </w:r>
      <m:oMath>
        <m:sSup>
          <m:sSupPr>
            <m:ctrlPr>
              <w:rPr>
                <w:rFonts w:ascii="Cambria Math" w:hAnsi="Cambria Math"/>
              </w:rPr>
            </m:ctrlPr>
          </m:sSupPr>
          <m:e>
            <m:r>
              <w:rPr>
                <w:rFonts w:ascii="Cambria Math" w:hAnsi="Cambria Math"/>
              </w:rPr>
              <m:t>FD</m:t>
            </m:r>
          </m:e>
          <m:sup>
            <m:r>
              <w:rPr>
                <w:rFonts w:ascii="Cambria Math" w:hAnsi="Cambria Math"/>
              </w:rPr>
              <m:t>p</m:t>
            </m:r>
          </m:sup>
        </m:sSup>
      </m:oMath>
      <w:r>
        <w:t xml:space="preserve">, la demanda final; </w:t>
      </w:r>
      <m:oMath>
        <m:sSup>
          <m:sSupPr>
            <m:ctrlPr>
              <w:rPr>
                <w:rFonts w:ascii="Cambria Math" w:hAnsi="Cambria Math"/>
              </w:rPr>
            </m:ctrlPr>
          </m:sSupPr>
          <m:e>
            <m:r>
              <w:rPr>
                <w:rFonts w:ascii="Cambria Math" w:hAnsi="Cambria Math"/>
              </w:rPr>
              <m:t>GG</m:t>
            </m:r>
          </m:e>
          <m:sup>
            <m:r>
              <w:rPr>
                <w:rFonts w:ascii="Cambria Math" w:hAnsi="Cambria Math"/>
              </w:rPr>
              <m:t>p</m:t>
            </m:r>
          </m:sup>
        </m:sSup>
      </m:oMath>
      <w:r>
        <w:t xml:space="preserve">, las compras del gobierno; </w:t>
      </w:r>
      <m:oMath>
        <m:sSup>
          <m:sSupPr>
            <m:ctrlPr>
              <w:rPr>
                <w:rFonts w:ascii="Cambria Math" w:hAnsi="Cambria Math"/>
              </w:rPr>
            </m:ctrlPr>
          </m:sSupPr>
          <m:e>
            <m:r>
              <w:rPr>
                <w:rFonts w:ascii="Cambria Math" w:hAnsi="Cambria Math"/>
              </w:rPr>
              <m:t>I</m:t>
            </m:r>
          </m:e>
          <m:sup>
            <m:r>
              <w:rPr>
                <w:rFonts w:ascii="Cambria Math" w:hAnsi="Cambria Math"/>
              </w:rPr>
              <m:t>b</m:t>
            </m:r>
            <m:r>
              <m:rPr>
                <m:sty m:val="p"/>
              </m:rPr>
              <w:rPr>
                <w:rFonts w:ascii="Cambria Math" w:hAnsi="Cambria Math"/>
              </w:rPr>
              <m:t>,</m:t>
            </m:r>
            <m:r>
              <w:rPr>
                <w:rFonts w:ascii="Cambria Math" w:hAnsi="Cambria Math"/>
              </w:rPr>
              <m:t>p</m:t>
            </m:r>
          </m:sup>
        </m:sSup>
      </m:oMath>
      <w:r>
        <w:t xml:space="preserve">, la inversión del año base; </w:t>
      </w:r>
      <m:oMath>
        <m:r>
          <w:rPr>
            <w:rFonts w:ascii="Cambria Math" w:hAnsi="Cambria Math"/>
          </w:rPr>
          <m:t>inv_adj</m:t>
        </m:r>
      </m:oMath>
      <w:r>
        <w:t xml:space="preserve">, el índice de volumen de la inversión; </w:t>
      </w:r>
      <m:oMath>
        <m:sSup>
          <m:sSupPr>
            <m:ctrlPr>
              <w:rPr>
                <w:rFonts w:ascii="Cambria Math" w:hAnsi="Cambria Math"/>
              </w:rPr>
            </m:ctrlPr>
          </m:sSupPr>
          <m:e>
            <m:r>
              <w:rPr>
                <w:rFonts w:ascii="Cambria Math" w:hAnsi="Cambria Math"/>
              </w:rPr>
              <m:t>VEXIST</m:t>
            </m:r>
          </m:e>
          <m:sup>
            <m:r>
              <w:rPr>
                <w:rFonts w:ascii="Cambria Math" w:hAnsi="Cambria Math"/>
              </w:rPr>
              <m:t>p</m:t>
            </m:r>
          </m:sup>
        </m:sSup>
      </m:oMath>
      <w:r>
        <w:t xml:space="preserve">, la variación de existencias, y </w:t>
      </w:r>
      <m:oMath>
        <m:sSup>
          <m:sSupPr>
            <m:ctrlPr>
              <w:rPr>
                <w:rFonts w:ascii="Cambria Math" w:hAnsi="Cambria Math"/>
              </w:rPr>
            </m:ctrlPr>
          </m:sSupPr>
          <m:e>
            <m:r>
              <w:rPr>
                <w:rFonts w:ascii="Cambria Math" w:hAnsi="Cambria Math"/>
              </w:rPr>
              <m:t>XI</m:t>
            </m:r>
          </m:e>
          <m:sup>
            <m:r>
              <w:rPr>
                <w:rFonts w:ascii="Cambria Math" w:hAnsi="Cambria Math"/>
              </w:rPr>
              <m:t>p</m:t>
            </m:r>
          </m:sup>
        </m:sSup>
      </m:oMath>
      <w:r>
        <w:t>, la demanda intermedia.</w:t>
      </w:r>
    </w:p>
    <w:p w14:paraId="7CF19641" w14:textId="77777777" w:rsidR="000408E8" w:rsidRDefault="00000000" w:rsidP="001705F3">
      <w:pPr>
        <w:pStyle w:val="Ttulo2"/>
        <w:spacing w:line="480" w:lineRule="auto"/>
      </w:pPr>
      <w:r>
        <w:t>A.5. Impuestos indirectos</w:t>
      </w:r>
    </w:p>
    <w:p w14:paraId="5B1E25DC"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e>
          </m:d>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e>
          </m:d>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pint</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e>
          </m:d>
          <m:r>
            <m:rPr>
              <m:sty m:val="p"/>
            </m:rPr>
            <w:rPr>
              <w:rFonts w:ascii="Cambria Math" w:hAnsi="Cambria Math"/>
              <w:sz w:val="20"/>
              <w:szCs w:val="20"/>
            </w:rPr>
            <m:t>,</m:t>
          </m:r>
        </m:oMath>
      </m:oMathPara>
    </w:p>
    <w:p w14:paraId="2E9F58A4"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VAT</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XI</m:t>
              </m:r>
            </m:e>
            <m:sup>
              <m:r>
                <w:rPr>
                  <w:rFonts w:ascii="Cambria Math" w:hAnsi="Cambria Math"/>
                  <w:sz w:val="20"/>
                  <w:szCs w:val="20"/>
                </w:rPr>
                <m:t>p</m:t>
              </m:r>
            </m:sup>
          </m:sSup>
          <m:r>
            <m:rPr>
              <m:sty m:val="p"/>
            </m:rPr>
            <w:rPr>
              <w:rFonts w:ascii="Cambria Math" w:hAnsi="Cambria Math"/>
              <w:sz w:val="20"/>
              <w:szCs w:val="20"/>
            </w:rPr>
            <m:t>,</m:t>
          </m:r>
        </m:oMath>
      </m:oMathPara>
    </w:p>
    <w:p w14:paraId="32185EC0"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TESP</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e</m:t>
              </m:r>
            </m:sub>
            <m:sup>
              <m:r>
                <w:rPr>
                  <w:rFonts w:ascii="Cambria Math" w:hAnsi="Cambria Math"/>
                  <w:sz w:val="20"/>
                  <w:szCs w:val="20"/>
                </w:rPr>
                <m:t>p</m:t>
              </m:r>
            </m:sup>
          </m:sSubSup>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FD</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ARANCEL</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tar</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pworldm</m:t>
              </m:r>
            </m:e>
            <m:sup>
              <m:r>
                <w:rPr>
                  <w:rFonts w:ascii="Cambria Math" w:hAnsi="Cambria Math"/>
                  <w:sz w:val="20"/>
                  <w:szCs w:val="20"/>
                </w:rPr>
                <m:t>p</m:t>
              </m:r>
            </m:sup>
          </m:sSup>
          <m:r>
            <m:rPr>
              <m:sty m:val="p"/>
            </m:rPr>
            <w:rPr>
              <w:rFonts w:ascii="Cambria Math" w:hAnsi="Cambria Math"/>
              <w:sz w:val="20"/>
              <w:szCs w:val="20"/>
            </w:rPr>
            <m:t>·</m:t>
          </m:r>
          <m:r>
            <w:rPr>
              <w:rFonts w:ascii="Cambria Math" w:hAnsi="Cambria Math"/>
              <w:sz w:val="20"/>
              <w:szCs w:val="20"/>
            </w:rPr>
            <m:t>exr</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M</m:t>
              </m:r>
            </m:e>
            <m:sup>
              <m:r>
                <w:rPr>
                  <w:rFonts w:ascii="Cambria Math" w:hAnsi="Cambria Math"/>
                  <w:sz w:val="20"/>
                  <w:szCs w:val="20"/>
                </w:rPr>
                <m:t>p</m:t>
              </m:r>
            </m:sup>
          </m:sSup>
          <m:r>
            <m:rPr>
              <m:sty m:val="p"/>
            </m:rPr>
            <w:rPr>
              <w:rFonts w:ascii="Cambria Math" w:hAnsi="Cambria Math"/>
              <w:sz w:val="20"/>
              <w:szCs w:val="20"/>
            </w:rPr>
            <m:t>.</m:t>
          </m:r>
        </m:oMath>
      </m:oMathPara>
    </w:p>
    <w:p w14:paraId="6BF7B70D" w14:textId="77777777" w:rsidR="000408E8" w:rsidRDefault="00000000" w:rsidP="001705F3">
      <w:pPr>
        <w:spacing w:after="160" w:line="480" w:lineRule="auto"/>
        <w:jc w:val="both"/>
      </w:pPr>
      <w:r>
        <w:t xml:space="preserve">Calibración, con </w:t>
      </w:r>
      <m:oMath>
        <m:bar>
          <m:barPr>
            <m:pos m:val="top"/>
            <m:ctrlPr>
              <w:rPr>
                <w:rFonts w:ascii="Cambria Math" w:hAnsi="Cambria Math"/>
              </w:rPr>
            </m:ctrlPr>
          </m:barPr>
          <m:e>
            <m:r>
              <w:rPr>
                <w:rFonts w:ascii="Cambria Math" w:hAnsi="Cambria Math"/>
              </w:rPr>
              <m:t>t</m:t>
            </m:r>
          </m:e>
        </m:bar>
        <m:r>
          <m:rPr>
            <m:sty m:val="p"/>
          </m:rPr>
          <w:rPr>
            <w:rFonts w:ascii="Cambria Math" w:hAnsi="Cambria Math"/>
          </w:rPr>
          <m:t>=</m:t>
        </m:r>
        <m:r>
          <w:rPr>
            <w:rFonts w:ascii="Cambria Math" w:hAnsi="Cambria Math"/>
          </w:rPr>
          <m:t>0.19</m:t>
        </m:r>
      </m:oMath>
      <w:r>
        <w:t xml:space="preserve"> y valores de la MCS a precios de comprador (subíndice </w:t>
      </w:r>
      <m:oMath>
        <m:r>
          <w:rPr>
            <w:rFonts w:ascii="Cambria Math" w:hAnsi="Cambria Math"/>
          </w:rPr>
          <m:t>c</m:t>
        </m:r>
      </m:oMath>
      <w:r>
        <w:t>):</w:t>
      </w:r>
    </w:p>
    <w:p w14:paraId="19365C9F" w14:textId="77777777" w:rsidR="000408E8" w:rsidRPr="00097A02" w:rsidRDefault="00000000" w:rsidP="001705F3">
      <w:pPr>
        <w:keepLines/>
        <w:spacing w:before="120" w:after="160" w:line="480" w:lineRule="auto"/>
        <w:jc w:val="center"/>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r>
            <m:rPr>
              <m:sty m:val="p"/>
            </m:rP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min</m:t>
              </m:r>
            </m:fName>
            <m:e>
              <m:d>
                <m:dPr>
                  <m:begChr m:val="{"/>
                  <m:endChr m:val="}"/>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r>
                    <m:rPr>
                      <m:sty m:val="p"/>
                    </m:rPr>
                    <w:rPr>
                      <w:rFonts w:ascii="Cambria Math" w:hAnsi="Cambria Math"/>
                      <w:sz w:val="20"/>
                      <w:szCs w:val="20"/>
                    </w:rPr>
                    <m:t> </m:t>
                  </m:r>
                  <m:f>
                    <m:fPr>
                      <m:ctrlPr>
                        <w:rPr>
                          <w:rFonts w:ascii="Cambria Math" w:hAnsi="Cambria Math"/>
                          <w:sz w:val="20"/>
                          <w:szCs w:val="20"/>
                        </w:rPr>
                      </m:ctrlPr>
                    </m:fPr>
                    <m:num>
                      <m:bar>
                        <m:barPr>
                          <m:pos m:val="top"/>
                          <m:ctrlPr>
                            <w:rPr>
                              <w:rFonts w:ascii="Cambria Math" w:hAnsi="Cambria Math"/>
                              <w:sz w:val="20"/>
                              <w:szCs w:val="20"/>
                            </w:rPr>
                          </m:ctrlPr>
                        </m:barPr>
                        <m:e>
                          <m:r>
                            <w:rPr>
                              <w:rFonts w:ascii="Cambria Math" w:hAnsi="Cambria Math"/>
                              <w:sz w:val="20"/>
                              <w:szCs w:val="20"/>
                            </w:rPr>
                            <m:t>t</m:t>
                          </m:r>
                        </m:e>
                      </m:bar>
                    </m:num>
                    <m:den>
                      <m:r>
                        <w:rPr>
                          <w:rFonts w:ascii="Cambria Math" w:hAnsi="Cambria Math"/>
                          <w:sz w:val="20"/>
                          <w:szCs w:val="20"/>
                        </w:rPr>
                        <m:t>1</m:t>
                      </m:r>
                      <m:r>
                        <m:rPr>
                          <m:sty m:val="p"/>
                        </m:rPr>
                        <w:rPr>
                          <w:rFonts w:ascii="Cambria Math" w:hAnsi="Cambria Math"/>
                          <w:sz w:val="20"/>
                          <w:szCs w:val="20"/>
                        </w:rPr>
                        <m:t>+</m:t>
                      </m:r>
                      <m:bar>
                        <m:barPr>
                          <m:pos m:val="top"/>
                          <m:ctrlPr>
                            <w:rPr>
                              <w:rFonts w:ascii="Cambria Math" w:hAnsi="Cambria Math"/>
                              <w:sz w:val="20"/>
                              <w:szCs w:val="20"/>
                            </w:rPr>
                          </m:ctrlPr>
                        </m:barPr>
                        <m:e>
                          <m:r>
                            <w:rPr>
                              <w:rFonts w:ascii="Cambria Math" w:hAnsi="Cambria Math"/>
                              <w:sz w:val="20"/>
                              <w:szCs w:val="20"/>
                            </w:rPr>
                            <m:t>t</m:t>
                          </m:r>
                        </m:e>
                      </m:bar>
                    </m:den>
                  </m:f>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FD</m:t>
                      </m:r>
                    </m:e>
                    <m:sub>
                      <m:r>
                        <w:rPr>
                          <w:rFonts w:ascii="Cambria Math" w:hAnsi="Cambria Math"/>
                          <w:sz w:val="20"/>
                          <w:szCs w:val="20"/>
                        </w:rPr>
                        <m:t>c</m:t>
                      </m:r>
                    </m:sub>
                    <m:sup>
                      <m:r>
                        <w:rPr>
                          <w:rFonts w:ascii="Cambria Math" w:hAnsi="Cambria Math"/>
                          <w:sz w:val="20"/>
                          <w:szCs w:val="20"/>
                        </w:rPr>
                        <m:t>p</m:t>
                      </m:r>
                    </m:sup>
                  </m:sSubSup>
                </m:e>
              </m:d>
            </m:e>
          </m:func>
          <m:r>
            <m:rPr>
              <m:sty m:val="p"/>
            </m:rPr>
            <w:rPr>
              <w:rFonts w:ascii="Cambria Math" w:hAnsi="Cambria Math"/>
              <w:sz w:val="20"/>
              <w:szCs w:val="20"/>
            </w:rPr>
            <m:t>,</m:t>
          </m:r>
        </m:oMath>
      </m:oMathPara>
    </w:p>
    <w:p w14:paraId="558BECA5" w14:textId="77777777" w:rsidR="000408E8" w:rsidRPr="00097A02" w:rsidRDefault="00000000" w:rsidP="001705F3">
      <w:pPr>
        <w:keepLines/>
        <w:spacing w:before="120" w:after="160" w:line="480" w:lineRule="auto"/>
        <w:jc w:val="center"/>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sub>
            <m:sup>
              <m:r>
                <w:rPr>
                  <w:rFonts w:ascii="Cambria Math" w:hAnsi="Cambria Math"/>
                  <w:sz w:val="20"/>
                  <w:szCs w:val="20"/>
                </w:rPr>
                <m:t>p</m:t>
              </m:r>
            </m:sup>
          </m:sSubSup>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num>
            <m:den>
              <m:sSubSup>
                <m:sSubSupPr>
                  <m:ctrlPr>
                    <w:rPr>
                      <w:rFonts w:ascii="Cambria Math" w:hAnsi="Cambria Math"/>
                      <w:sz w:val="20"/>
                      <w:szCs w:val="20"/>
                    </w:rPr>
                  </m:ctrlPr>
                </m:sSubSupPr>
                <m:e>
                  <m:r>
                    <w:rPr>
                      <w:rFonts w:ascii="Cambria Math" w:hAnsi="Cambria Math"/>
                      <w:sz w:val="20"/>
                      <w:szCs w:val="20"/>
                    </w:rPr>
                    <m:t>FD</m:t>
                  </m:r>
                </m:e>
                <m:sub>
                  <m:r>
                    <w:rPr>
                      <w:rFonts w:ascii="Cambria Math" w:hAnsi="Cambria Math"/>
                      <w:sz w:val="20"/>
                      <w:szCs w:val="20"/>
                    </w:rPr>
                    <m:t>c</m:t>
                  </m:r>
                </m:sub>
                <m:sup>
                  <m:r>
                    <w:rPr>
                      <w:rFonts w:ascii="Cambria Math" w:hAnsi="Cambria Math"/>
                      <w:sz w:val="20"/>
                      <w:szCs w:val="20"/>
                    </w:rPr>
                    <m:t>p</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den>
          </m:f>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iva</m:t>
              </m:r>
              <m:r>
                <m:rPr>
                  <m:sty m:val="p"/>
                </m:rPr>
                <w:rPr>
                  <w:rFonts w:ascii="Cambria Math" w:hAnsi="Cambria Math"/>
                  <w:sz w:val="20"/>
                  <w:szCs w:val="20"/>
                </w:rPr>
                <m:t>,</m:t>
              </m:r>
              <m:r>
                <w:rPr>
                  <w:rFonts w:ascii="Cambria Math" w:hAnsi="Cambria Math"/>
                  <w:sz w:val="20"/>
                  <w:szCs w:val="20"/>
                </w:rPr>
                <m:t>int</m:t>
              </m:r>
            </m:sub>
            <m:sup>
              <m:r>
                <w:rPr>
                  <w:rFonts w:ascii="Cambria Math" w:hAnsi="Cambria Math"/>
                  <w:sz w:val="20"/>
                  <w:szCs w:val="20"/>
                </w:rPr>
                <m:t>p</m:t>
              </m:r>
            </m:sup>
          </m:sSubSup>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num>
            <m:den>
              <m:sSubSup>
                <m:sSubSupPr>
                  <m:ctrlPr>
                    <w:rPr>
                      <w:rFonts w:ascii="Cambria Math" w:hAnsi="Cambria Math"/>
                      <w:sz w:val="20"/>
                      <w:szCs w:val="20"/>
                    </w:rPr>
                  </m:ctrlPr>
                </m:sSubSupPr>
                <m:e>
                  <m:r>
                    <w:rPr>
                      <w:rFonts w:ascii="Cambria Math" w:hAnsi="Cambria Math"/>
                      <w:sz w:val="20"/>
                      <w:szCs w:val="20"/>
                    </w:rPr>
                    <m:t>XI</m:t>
                  </m:r>
                </m:e>
                <m:sub>
                  <m:r>
                    <w:rPr>
                      <w:rFonts w:ascii="Cambria Math" w:hAnsi="Cambria Math"/>
                      <w:sz w:val="20"/>
                      <w:szCs w:val="20"/>
                    </w:rPr>
                    <m:t>c</m:t>
                  </m:r>
                </m:sub>
                <m:sup>
                  <m:r>
                    <w:rPr>
                      <w:rFonts w:ascii="Cambria Math" w:hAnsi="Cambria Math"/>
                      <w:sz w:val="20"/>
                      <w:szCs w:val="20"/>
                    </w:rPr>
                    <m:t>p</m:t>
                  </m:r>
                </m:sup>
              </m:sSubSup>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IVA</m:t>
                      </m:r>
                    </m:e>
                    <m:sup>
                      <m:r>
                        <w:rPr>
                          <w:rFonts w:ascii="Cambria Math" w:hAnsi="Cambria Math"/>
                          <w:sz w:val="20"/>
                          <w:szCs w:val="20"/>
                        </w:rPr>
                        <m:t>p</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IVA</m:t>
                      </m:r>
                    </m:e>
                    <m:sub>
                      <m:r>
                        <w:rPr>
                          <w:rFonts w:ascii="Cambria Math" w:hAnsi="Cambria Math"/>
                          <w:sz w:val="20"/>
                          <w:szCs w:val="20"/>
                        </w:rPr>
                        <m:t>FD</m:t>
                      </m:r>
                    </m:sub>
                    <m:sup>
                      <m:r>
                        <w:rPr>
                          <w:rFonts w:ascii="Cambria Math" w:hAnsi="Cambria Math"/>
                          <w:sz w:val="20"/>
                          <w:szCs w:val="20"/>
                        </w:rPr>
                        <m:t>p</m:t>
                      </m:r>
                    </m:sup>
                  </m:sSubSup>
                </m:e>
              </m:d>
            </m:den>
          </m:f>
          <m:r>
            <m:rPr>
              <m:sty m:val="p"/>
            </m:rPr>
            <w:rPr>
              <w:rFonts w:ascii="Cambria Math" w:hAnsi="Cambria Math"/>
              <w:sz w:val="20"/>
              <w:szCs w:val="20"/>
            </w:rPr>
            <m:t>.</m:t>
          </m:r>
        </m:oMath>
      </m:oMathPara>
    </w:p>
    <w:p w14:paraId="4C8C90AE"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p</m:t>
            </m:r>
          </m:e>
          <m:sup>
            <m:r>
              <w:rPr>
                <w:rFonts w:ascii="Cambria Math" w:hAnsi="Cambria Math"/>
              </w:rPr>
              <m:t>p</m:t>
            </m:r>
          </m:sup>
        </m:sSup>
      </m:oMath>
      <w:r>
        <w:t xml:space="preserve"> es el precio básico del bien compuesto; </w:t>
      </w:r>
      <m:oMath>
        <m:sSubSup>
          <m:sSubSupPr>
            <m:ctrlPr>
              <w:rPr>
                <w:rFonts w:ascii="Cambria Math" w:hAnsi="Cambria Math"/>
              </w:rPr>
            </m:ctrlPr>
          </m:sSubSupPr>
          <m:e>
            <m:r>
              <w:rPr>
                <w:rFonts w:ascii="Cambria Math" w:hAnsi="Cambria Math"/>
              </w:rPr>
              <m:t>τ</m:t>
            </m:r>
          </m:e>
          <m:sub>
            <m:r>
              <w:rPr>
                <w:rFonts w:ascii="Cambria Math" w:hAnsi="Cambria Math"/>
              </w:rPr>
              <m:t>e</m:t>
            </m:r>
          </m:sub>
          <m:sup>
            <m:r>
              <w:rPr>
                <w:rFonts w:ascii="Cambria Math" w:hAnsi="Cambria Math"/>
              </w:rPr>
              <m:t>p</m:t>
            </m:r>
          </m:sup>
        </m:sSubSup>
      </m:oMath>
      <w:r>
        <w:t xml:space="preserve">, el impuesto específico real por unidad física; </w:t>
      </w:r>
      <m:oMath>
        <m:r>
          <w:rPr>
            <w:rFonts w:ascii="Cambria Math" w:hAnsi="Cambria Math"/>
          </w:rPr>
          <m:t>IPC</m:t>
        </m:r>
      </m:oMath>
      <w:r>
        <w:t xml:space="preserve">, el índice de precios al consumidor; </w:t>
      </w:r>
      <m:oMath>
        <m:sSubSup>
          <m:sSubSupPr>
            <m:ctrlPr>
              <w:rPr>
                <w:rFonts w:ascii="Cambria Math" w:hAnsi="Cambria Math"/>
              </w:rPr>
            </m:ctrlPr>
          </m:sSubSupPr>
          <m:e>
            <m:r>
              <w:rPr>
                <w:rFonts w:ascii="Cambria Math" w:hAnsi="Cambria Math"/>
              </w:rPr>
              <m:t>t</m:t>
            </m:r>
          </m:e>
          <m:sub>
            <m:r>
              <w:rPr>
                <w:rFonts w:ascii="Cambria Math" w:hAnsi="Cambria Math"/>
              </w:rPr>
              <m:t>iva</m:t>
            </m:r>
          </m:sub>
          <m:sup>
            <m:r>
              <w:rPr>
                <w:rFonts w:ascii="Cambria Math" w:hAnsi="Cambria Math"/>
              </w:rPr>
              <m:t>p</m:t>
            </m:r>
          </m:sup>
        </m:sSubSup>
      </m:oMath>
      <w:r>
        <w:t xml:space="preserve">, la tasa efectiva del IVA sobre la demanda final; </w:t>
      </w:r>
      <m:oMath>
        <m:sSubSup>
          <m:sSubSupPr>
            <m:ctrlPr>
              <w:rPr>
                <w:rFonts w:ascii="Cambria Math" w:hAnsi="Cambria Math"/>
              </w:rPr>
            </m:ctrlPr>
          </m:sSubSupPr>
          <m:e>
            <m:r>
              <w:rPr>
                <w:rFonts w:ascii="Cambria Math" w:hAnsi="Cambria Math"/>
              </w:rPr>
              <m:t>t</m:t>
            </m:r>
          </m:e>
          <m:sub>
            <m:r>
              <w:rPr>
                <w:rFonts w:ascii="Cambria Math" w:hAnsi="Cambria Math"/>
              </w:rPr>
              <m:t>iva</m:t>
            </m:r>
            <m:r>
              <m:rPr>
                <m:sty m:val="p"/>
              </m:rPr>
              <w:rPr>
                <w:rFonts w:ascii="Cambria Math" w:hAnsi="Cambria Math"/>
              </w:rPr>
              <m:t>,</m:t>
            </m:r>
            <m:r>
              <w:rPr>
                <w:rFonts w:ascii="Cambria Math" w:hAnsi="Cambria Math"/>
              </w:rPr>
              <m:t>int</m:t>
            </m:r>
          </m:sub>
          <m:sup>
            <m:r>
              <w:rPr>
                <w:rFonts w:ascii="Cambria Math" w:hAnsi="Cambria Math"/>
              </w:rPr>
              <m:t>p</m:t>
            </m:r>
          </m:sup>
        </m:sSubSup>
      </m:oMath>
      <w:r>
        <w:t xml:space="preserve">, el residuo de IVA no recuperable sobre el uso intermedio; </w:t>
      </w:r>
      <m:oMath>
        <m:sSup>
          <m:sSupPr>
            <m:ctrlPr>
              <w:rPr>
                <w:rFonts w:ascii="Cambria Math" w:hAnsi="Cambria Math"/>
              </w:rPr>
            </m:ctrlPr>
          </m:sSupPr>
          <m:e>
            <m:r>
              <w:rPr>
                <w:rFonts w:ascii="Cambria Math" w:hAnsi="Cambria Math"/>
              </w:rPr>
              <m:t>VAT</m:t>
            </m:r>
          </m:e>
          <m:sup>
            <m:r>
              <w:rPr>
                <w:rFonts w:ascii="Cambria Math" w:hAnsi="Cambria Math"/>
              </w:rPr>
              <m:t>p</m:t>
            </m:r>
          </m:sup>
        </m:sSup>
      </m:oMath>
      <w:r>
        <w:t xml:space="preserve">, </w:t>
      </w:r>
      <m:oMath>
        <m:sSup>
          <m:sSupPr>
            <m:ctrlPr>
              <w:rPr>
                <w:rFonts w:ascii="Cambria Math" w:hAnsi="Cambria Math"/>
              </w:rPr>
            </m:ctrlPr>
          </m:sSupPr>
          <m:e>
            <m:r>
              <w:rPr>
                <w:rFonts w:ascii="Cambria Math" w:hAnsi="Cambria Math"/>
              </w:rPr>
              <m:t>TESP</m:t>
            </m:r>
          </m:e>
          <m:sup>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ARANCEL</m:t>
            </m:r>
          </m:e>
          <m:sup>
            <m:r>
              <w:rPr>
                <w:rFonts w:ascii="Cambria Math" w:hAnsi="Cambria Math"/>
              </w:rPr>
              <m:t>p</m:t>
            </m:r>
          </m:sup>
        </m:sSup>
      </m:oMath>
      <w:r>
        <w:t xml:space="preserve">, la recaudación del IVA, de los impuestos específicos y de los aranceles; </w:t>
      </w:r>
      <m:oMath>
        <m:sSup>
          <m:sSupPr>
            <m:ctrlPr>
              <w:rPr>
                <w:rFonts w:ascii="Cambria Math" w:hAnsi="Cambria Math"/>
              </w:rPr>
            </m:ctrlPr>
          </m:sSupPr>
          <m:e>
            <m:r>
              <w:rPr>
                <w:rFonts w:ascii="Cambria Math" w:hAnsi="Cambria Math"/>
              </w:rPr>
              <m:t>IVA</m:t>
            </m:r>
          </m:e>
          <m:sup>
            <m:r>
              <w:rPr>
                <w:rFonts w:ascii="Cambria Math" w:hAnsi="Cambria Math"/>
              </w:rPr>
              <m:t>p</m:t>
            </m:r>
          </m:sup>
        </m:sSup>
      </m:oMath>
      <w:r>
        <w:t xml:space="preserve">, el IVA registrado en la MCS, e </w:t>
      </w:r>
      <m:oMath>
        <m:sSubSup>
          <m:sSubSupPr>
            <m:ctrlPr>
              <w:rPr>
                <w:rFonts w:ascii="Cambria Math" w:hAnsi="Cambria Math"/>
              </w:rPr>
            </m:ctrlPr>
          </m:sSubSupPr>
          <m:e>
            <m:r>
              <w:rPr>
                <w:rFonts w:ascii="Cambria Math" w:hAnsi="Cambria Math"/>
              </w:rPr>
              <m:t>IVA</m:t>
            </m:r>
          </m:e>
          <m:sub>
            <m:r>
              <w:rPr>
                <w:rFonts w:ascii="Cambria Math" w:hAnsi="Cambria Math"/>
              </w:rPr>
              <m:t>FD</m:t>
            </m:r>
          </m:sub>
          <m:sup>
            <m:r>
              <w:rPr>
                <w:rFonts w:ascii="Cambria Math" w:hAnsi="Cambria Math"/>
              </w:rPr>
              <m:t>p</m:t>
            </m:r>
          </m:sup>
        </m:sSubSup>
      </m:oMath>
      <w:r>
        <w:t>, la parte asignada a la demanda final.</w:t>
      </w:r>
    </w:p>
    <w:p w14:paraId="74024836" w14:textId="77777777" w:rsidR="000408E8" w:rsidRDefault="00000000" w:rsidP="001705F3">
      <w:pPr>
        <w:pStyle w:val="Ttulo2"/>
        <w:spacing w:line="480" w:lineRule="auto"/>
      </w:pPr>
      <w:r>
        <w:t>A.6. Firmas</w:t>
      </w:r>
    </w:p>
    <w:p w14:paraId="16992A65"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SOCF</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r>
            <m:rPr>
              <m:sty m:val="p"/>
            </m:rPr>
            <w:rPr>
              <w:rFonts w:ascii="Cambria Math" w:hAnsi="Cambria Math"/>
              <w:sz w:val="20"/>
              <w:szCs w:val="20"/>
            </w:rPr>
            <m:t>·</m:t>
          </m:r>
          <m:r>
            <w:rPr>
              <w:rFonts w:ascii="Cambria Math" w:hAnsi="Cambria Math"/>
              <w:sz w:val="20"/>
              <w:szCs w:val="20"/>
            </w:rPr>
            <m:t>KD</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FIRMTAX</m:t>
          </m:r>
          <m:r>
            <m:rPr>
              <m:sty m:val="p"/>
            </m:rPr>
            <w:rPr>
              <w:rFonts w:ascii="Cambria Math" w:hAnsi="Cambria Math"/>
              <w:sz w:val="20"/>
              <w:szCs w:val="20"/>
            </w:rPr>
            <m:t>=</m:t>
          </m:r>
          <m:r>
            <w:rPr>
              <w:rFonts w:ascii="Cambria Math" w:hAnsi="Cambria Math"/>
              <w:sz w:val="20"/>
              <w:szCs w:val="20"/>
            </w:rPr>
            <m:t>fit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r>
            <m:rPr>
              <m:sty m:val="p"/>
            </m:rPr>
            <w:rPr>
              <w:rFonts w:ascii="Cambria Math" w:hAnsi="Cambria Math"/>
              <w:sz w:val="20"/>
              <w:szCs w:val="20"/>
            </w:rPr>
            <m:t>,</m:t>
          </m:r>
        </m:oMath>
      </m:oMathPara>
    </w:p>
    <w:p w14:paraId="0CFC1207" w14:textId="77777777" w:rsidR="000408E8" w:rsidRPr="00097A0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EMP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PREST</m:t>
              </m:r>
            </m:e>
            <m:sup>
              <m:r>
                <w:rPr>
                  <w:rFonts w:ascii="Cambria Math" w:hAnsi="Cambria Math"/>
                  <w:sz w:val="20"/>
                  <w:szCs w:val="20"/>
                </w:rPr>
                <m:t>SOCF</m:t>
              </m:r>
            </m:sup>
          </m:sSup>
          <m:r>
            <m:rPr>
              <m:sty m:val="p"/>
            </m:rPr>
            <w:rPr>
              <w:rFonts w:ascii="Cambria Math" w:hAnsi="Cambria Math"/>
              <w:sz w:val="20"/>
              <w:szCs w:val="20"/>
            </w:rPr>
            <m:t>-</m:t>
          </m:r>
          <m:r>
            <w:rPr>
              <w:rFonts w:ascii="Cambria Math" w:hAnsi="Cambria Math"/>
              <w:sz w:val="20"/>
              <w:szCs w:val="20"/>
            </w:rPr>
            <m:t>FIRMTAX</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FG</m:t>
              </m:r>
            </m:sup>
          </m:sSup>
          <m:r>
            <m:rPr>
              <m:sty m:val="p"/>
            </m:rPr>
            <w:rPr>
              <w:rFonts w:ascii="Cambria Math" w:hAnsi="Cambria Math"/>
              <w:sz w:val="20"/>
              <w:szCs w:val="20"/>
            </w:rPr>
            <m:t>.</m:t>
          </m:r>
        </m:oMath>
      </m:oMathPara>
    </w:p>
    <w:p w14:paraId="759390F1"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ING</m:t>
            </m:r>
          </m:e>
          <m:sup>
            <m:r>
              <w:rPr>
                <w:rFonts w:ascii="Cambria Math" w:hAnsi="Cambria Math"/>
              </w:rPr>
              <m:t>F</m:t>
            </m:r>
          </m:sup>
        </m:sSup>
      </m:oMath>
      <w:r>
        <w:t xml:space="preserve"> es el ingreso de las firmas; </w:t>
      </w:r>
      <m:oMath>
        <m:sSup>
          <m:sSupPr>
            <m:ctrlPr>
              <w:rPr>
                <w:rFonts w:ascii="Cambria Math" w:hAnsi="Cambria Math"/>
              </w:rPr>
            </m:ctrlPr>
          </m:sSupPr>
          <m:e>
            <m:r>
              <w:rPr>
                <w:rFonts w:ascii="Cambria Math" w:hAnsi="Cambria Math"/>
              </w:rPr>
              <m:t>K</m:t>
            </m:r>
          </m:e>
          <m:sup>
            <m:r>
              <w:rPr>
                <w:rFonts w:ascii="Cambria Math" w:hAnsi="Cambria Math"/>
              </w:rPr>
              <m:t>F</m:t>
            </m:r>
          </m:sup>
        </m:sSup>
      </m:oMath>
      <w:r>
        <w:t xml:space="preserve">, el capital corporativo; </w:t>
      </w:r>
      <m:oMath>
        <m:sSup>
          <m:sSupPr>
            <m:ctrlPr>
              <w:rPr>
                <w:rFonts w:ascii="Cambria Math" w:hAnsi="Cambria Math"/>
              </w:rPr>
            </m:ctrlPr>
          </m:sSupPr>
          <m:e>
            <m:r>
              <w:rPr>
                <w:rFonts w:ascii="Cambria Math" w:hAnsi="Cambria Math"/>
              </w:rPr>
              <m:t>κ</m:t>
            </m:r>
          </m:e>
          <m:sup>
            <m:r>
              <w:rPr>
                <w:rFonts w:ascii="Cambria Math" w:hAnsi="Cambria Math"/>
              </w:rPr>
              <m:t>F</m:t>
            </m:r>
          </m:sup>
        </m:sSup>
      </m:oMath>
      <w:r>
        <w:t xml:space="preserve">, su participación en el capital utilizado </w:t>
      </w:r>
      <m:oMath>
        <m:r>
          <w:rPr>
            <w:rFonts w:ascii="Cambria Math" w:hAnsi="Cambria Math"/>
          </w:rPr>
          <m:t>KD</m:t>
        </m:r>
      </m:oMath>
      <w:r>
        <w:t xml:space="preserve">; </w:t>
      </w:r>
      <m:oMath>
        <m:sSup>
          <m:sSupPr>
            <m:ctrlPr>
              <w:rPr>
                <w:rFonts w:ascii="Cambria Math" w:hAnsi="Cambria Math"/>
              </w:rPr>
            </m:ctrlPr>
          </m:sSupPr>
          <m:e>
            <m:r>
              <w:rPr>
                <w:rFonts w:ascii="Cambria Math" w:hAnsi="Cambria Math"/>
              </w:rPr>
              <m:t>CONT</m:t>
            </m:r>
          </m:e>
          <m:sup>
            <m:r>
              <w:rPr>
                <w:rFonts w:ascii="Cambria Math" w:hAnsi="Cambria Math"/>
              </w:rPr>
              <m:t>SOCF</m:t>
            </m:r>
          </m:sup>
        </m:sSup>
      </m:oMath>
      <w:r>
        <w:t xml:space="preserve">, las contribuciones sociales que reciben; </w:t>
      </w:r>
      <m:oMath>
        <m:r>
          <w:rPr>
            <w:rFonts w:ascii="Cambria Math" w:hAnsi="Cambria Math"/>
          </w:rPr>
          <m:t>FIRMTAX</m:t>
        </m:r>
      </m:oMath>
      <w:r>
        <w:t xml:space="preserve">, el impuesto directo de las empresas, con tasa efectiva </w:t>
      </w:r>
      <m:oMath>
        <m:r>
          <w:rPr>
            <w:rFonts w:ascii="Cambria Math" w:hAnsi="Cambria Math"/>
          </w:rPr>
          <m:t>fit</m:t>
        </m:r>
      </m:oMath>
      <w:r>
        <w:t xml:space="preserve">; </w:t>
      </w:r>
      <m:oMath>
        <m:sSup>
          <m:sSupPr>
            <m:ctrlPr>
              <w:rPr>
                <w:rFonts w:ascii="Cambria Math" w:hAnsi="Cambria Math"/>
              </w:rPr>
            </m:ctrlPr>
          </m:sSupPr>
          <m:e>
            <m:r>
              <w:rPr>
                <w:rFonts w:ascii="Cambria Math" w:hAnsi="Cambria Math"/>
              </w:rPr>
              <m:t>PREST</m:t>
            </m:r>
          </m:e>
          <m:sup>
            <m:r>
              <w:rPr>
                <w:rFonts w:ascii="Cambria Math" w:hAnsi="Cambria Math"/>
              </w:rPr>
              <m:t>SOCF</m:t>
            </m:r>
          </m:sup>
        </m:sSup>
      </m:oMath>
      <w:r>
        <w:t xml:space="preserve">, las prestaciones que pagan; </w:t>
      </w:r>
      <m:oMath>
        <m:sSup>
          <m:sSupPr>
            <m:ctrlPr>
              <w:rPr>
                <w:rFonts w:ascii="Cambria Math" w:hAnsi="Cambria Math"/>
              </w:rPr>
            </m:ctrlPr>
          </m:sSupPr>
          <m:e>
            <m:r>
              <w:rPr>
                <w:rFonts w:ascii="Cambria Math" w:hAnsi="Cambria Math"/>
              </w:rPr>
              <m:t>TR</m:t>
            </m:r>
          </m:e>
          <m:sup>
            <m:r>
              <w:rPr>
                <w:rFonts w:ascii="Cambria Math" w:hAnsi="Cambria Math"/>
              </w:rPr>
              <m:t>FG</m:t>
            </m:r>
          </m:sup>
        </m:sSup>
      </m:oMath>
      <w:r>
        <w:t xml:space="preserve">, sus transferencias al gobierno, y </w:t>
      </w:r>
      <m:oMath>
        <m:sSup>
          <m:sSupPr>
            <m:ctrlPr>
              <w:rPr>
                <w:rFonts w:ascii="Cambria Math" w:hAnsi="Cambria Math"/>
              </w:rPr>
            </m:ctrlPr>
          </m:sSupPr>
          <m:e>
            <m:r>
              <w:rPr>
                <w:rFonts w:ascii="Cambria Math" w:hAnsi="Cambria Math"/>
              </w:rPr>
              <m:t>SAV</m:t>
            </m:r>
          </m:e>
          <m:sup>
            <m:r>
              <w:rPr>
                <w:rFonts w:ascii="Cambria Math" w:hAnsi="Cambria Math"/>
              </w:rPr>
              <m:t>F</m:t>
            </m:r>
          </m:sup>
        </m:sSup>
      </m:oMath>
      <w:r>
        <w:t>, el ahorro corporativo.</w:t>
      </w:r>
    </w:p>
    <w:p w14:paraId="3D4C45E6" w14:textId="77777777" w:rsidR="000408E8" w:rsidRDefault="00000000" w:rsidP="001705F3">
      <w:pPr>
        <w:pStyle w:val="Ttulo2"/>
        <w:spacing w:line="480" w:lineRule="auto"/>
      </w:pPr>
      <w:r>
        <w:t>A.7. Gobierno</w:t>
      </w:r>
    </w:p>
    <w:p w14:paraId="32225A9A"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GOB</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CONT</m:t>
              </m:r>
            </m:e>
            <m:sup>
              <m:r>
                <w:rPr>
                  <w:rFonts w:ascii="Cambria Math" w:hAnsi="Cambria Math"/>
                  <w:sz w:val="20"/>
                  <w:szCs w:val="20"/>
                </w:rPr>
                <m:t>SOCG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FG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TOTAL</m:t>
              </m:r>
            </m:e>
            <m:sup>
              <m:r>
                <w:rPr>
                  <w:rFonts w:ascii="Cambria Math" w:hAnsi="Cambria Math"/>
                  <w:sz w:val="20"/>
                  <w:szCs w:val="20"/>
                </w:rPr>
                <m:t>TAX</m:t>
              </m:r>
            </m:sup>
          </m:sSup>
          <m:r>
            <m:rPr>
              <m:sty m:val="p"/>
            </m:rPr>
            <w:rPr>
              <w:rFonts w:ascii="Cambria Math" w:hAnsi="Cambria Math"/>
              <w:sz w:val="20"/>
              <w:szCs w:val="20"/>
            </w:rPr>
            <m:t>,</m:t>
          </m:r>
        </m:oMath>
      </m:oMathPara>
    </w:p>
    <w:p w14:paraId="6AFA9BD0"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TOTAL</m:t>
              </m:r>
            </m:e>
            <m:sup>
              <m:r>
                <w:rPr>
                  <w:rFonts w:ascii="Cambria Math" w:hAnsi="Cambria Math"/>
                  <w:sz w:val="20"/>
                  <w:szCs w:val="20"/>
                </w:rPr>
                <m:t>TAX</m:t>
              </m:r>
            </m:sup>
          </m:sSup>
          <m:r>
            <m:rPr>
              <m:sty m:val="p"/>
            </m:rPr>
            <w:rPr>
              <w:rFonts w:ascii="Cambria Math" w:hAnsi="Cambria Math"/>
              <w:sz w:val="20"/>
              <w:szCs w:val="20"/>
            </w:rPr>
            <m:t>=</m:t>
          </m:r>
          <m:r>
            <w:rPr>
              <w:rFonts w:ascii="Cambria Math" w:hAnsi="Cambria Math"/>
              <w:sz w:val="20"/>
              <w:szCs w:val="20"/>
            </w:rPr>
            <m:t>VAT</m:t>
          </m:r>
          <m:r>
            <m:rPr>
              <m:sty m:val="p"/>
            </m:rPr>
            <w:rPr>
              <w:rFonts w:ascii="Cambria Math" w:hAnsi="Cambria Math"/>
              <w:sz w:val="20"/>
              <w:szCs w:val="20"/>
            </w:rPr>
            <m:t>+</m:t>
          </m:r>
          <m:r>
            <w:rPr>
              <w:rFonts w:ascii="Cambria Math" w:hAnsi="Cambria Math"/>
              <w:sz w:val="20"/>
              <w:szCs w:val="20"/>
            </w:rPr>
            <m:t>PITAX</m:t>
          </m:r>
          <m:r>
            <m:rPr>
              <m:sty m:val="p"/>
            </m:rPr>
            <w:rPr>
              <w:rFonts w:ascii="Cambria Math" w:hAnsi="Cambria Math"/>
              <w:sz w:val="20"/>
              <w:szCs w:val="20"/>
            </w:rPr>
            <m:t>+</m:t>
          </m:r>
          <m:r>
            <w:rPr>
              <w:rFonts w:ascii="Cambria Math" w:hAnsi="Cambria Math"/>
              <w:sz w:val="20"/>
              <w:szCs w:val="20"/>
            </w:rPr>
            <m:t>FIRMTAX</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tps</m:t>
                      </m:r>
                    </m:e>
                    <m:sup>
                      <m:r>
                        <w:rPr>
                          <w:rFonts w:ascii="Cambria Math" w:hAnsi="Cambria Math"/>
                          <w:sz w:val="20"/>
                          <w:szCs w:val="20"/>
                        </w:rPr>
                        <m:t>s</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tes</m:t>
                      </m:r>
                    </m:e>
                    <m:sup>
                      <m:r>
                        <w:rPr>
                          <w:rFonts w:ascii="Cambria Math" w:hAnsi="Cambria Math"/>
                          <w:sz w:val="20"/>
                          <w:szCs w:val="20"/>
                        </w:rPr>
                        <m:t>s</m:t>
                      </m:r>
                    </m:sup>
                  </m:sSup>
                </m:e>
              </m:d>
              <m:sSup>
                <m:sSupPr>
                  <m:ctrlPr>
                    <w:rPr>
                      <w:rFonts w:ascii="Cambria Math" w:hAnsi="Cambria Math"/>
                      <w:sz w:val="20"/>
                      <w:szCs w:val="20"/>
                    </w:rPr>
                  </m:ctrlPr>
                </m:sSupPr>
                <m:e>
                  <m:r>
                    <w:rPr>
                      <w:rFonts w:ascii="Cambria Math" w:hAnsi="Cambria Math"/>
                      <w:sz w:val="20"/>
                      <w:szCs w:val="20"/>
                    </w:rPr>
                    <m:t>revenue</m:t>
                  </m:r>
                </m:e>
                <m:sup>
                  <m:r>
                    <w:rPr>
                      <w:rFonts w:ascii="Cambria Math" w:hAnsi="Cambria Math"/>
                      <w:sz w:val="20"/>
                      <w:szCs w:val="20"/>
                    </w:rPr>
                    <m:t>s</m:t>
                  </m:r>
                </m:sup>
              </m:sSup>
            </m:e>
          </m:nary>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TESP</m:t>
                      </m:r>
                    </m:e>
                    <m:sup>
                      <m:r>
                        <w:rPr>
                          <w:rFonts w:ascii="Cambria Math" w:hAnsi="Cambria Math"/>
                          <w:sz w:val="20"/>
                          <w:szCs w:val="20"/>
                        </w:rPr>
                        <m:t>p</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ARANCEL</m:t>
                      </m:r>
                    </m:e>
                    <m:sup>
                      <m:r>
                        <w:rPr>
                          <w:rFonts w:ascii="Cambria Math" w:hAnsi="Cambria Math"/>
                          <w:sz w:val="20"/>
                          <w:szCs w:val="20"/>
                        </w:rPr>
                        <m:t>p</m:t>
                      </m:r>
                    </m:sup>
                  </m:sSup>
                </m:e>
              </m:d>
            </m:e>
          </m:nary>
          <m:r>
            <m:rPr>
              <m:sty m:val="p"/>
            </m:rPr>
            <w:rPr>
              <w:rFonts w:ascii="Cambria Math" w:hAnsi="Cambria Math"/>
              <w:sz w:val="20"/>
              <w:szCs w:val="20"/>
            </w:rPr>
            <m:t>,</m:t>
          </m:r>
        </m:oMath>
      </m:oMathPara>
    </w:p>
    <w:p w14:paraId="2B385A8C"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ING</m:t>
              </m:r>
            </m:e>
            <m:sup>
              <m:r>
                <w:rPr>
                  <w:rFonts w:ascii="Cambria Math" w:hAnsi="Cambria Math"/>
                  <w:sz w:val="20"/>
                  <w:szCs w:val="20"/>
                </w:rPr>
                <m:t>GOB</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GG</m:t>
                  </m:r>
                </m:e>
                <m:sup>
                  <m:r>
                    <w:rPr>
                      <w:rFonts w:ascii="Cambria Math" w:hAnsi="Cambria Math"/>
                      <w:sz w:val="20"/>
                      <w:szCs w:val="20"/>
                    </w:rPr>
                    <m:t>p</m:t>
                  </m:r>
                </m:sup>
              </m:sSup>
            </m:e>
          </m:nary>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PREST</m:t>
              </m:r>
            </m:e>
            <m:sup>
              <m:r>
                <w:rPr>
                  <w:rFonts w:ascii="Cambria Math" w:hAnsi="Cambria Math"/>
                  <w:sz w:val="20"/>
                  <w:szCs w:val="20"/>
                </w:rPr>
                <m:t>SOCG</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TR</m:t>
              </m:r>
            </m:e>
            <m:sup>
              <m:r>
                <w:rPr>
                  <w:rFonts w:ascii="Cambria Math" w:hAnsi="Cambria Math"/>
                  <w:sz w:val="20"/>
                  <w:szCs w:val="20"/>
                </w:rPr>
                <m:t>GOV</m:t>
              </m:r>
            </m:sup>
          </m:sSup>
          <m:r>
            <m:rPr>
              <m:sty m:val="p"/>
            </m:rPr>
            <w:rPr>
              <w:rFonts w:ascii="Cambria Math" w:hAnsi="Cambria Math"/>
              <w:sz w:val="20"/>
              <w:szCs w:val="20"/>
            </w:rPr>
            <m:t>=</m:t>
          </m:r>
          <m:sSup>
            <m:sSupPr>
              <m:ctrlPr>
                <w:rPr>
                  <w:rFonts w:ascii="Cambria Math" w:hAnsi="Cambria Math"/>
                  <w:sz w:val="20"/>
                  <w:szCs w:val="20"/>
                </w:rPr>
              </m:ctrlPr>
            </m:sSupPr>
            <m:e>
              <m:bar>
                <m:barPr>
                  <m:pos m:val="top"/>
                  <m:ctrlPr>
                    <w:rPr>
                      <w:rFonts w:ascii="Cambria Math" w:hAnsi="Cambria Math"/>
                      <w:sz w:val="20"/>
                      <w:szCs w:val="20"/>
                    </w:rPr>
                  </m:ctrlPr>
                </m:barPr>
                <m:e>
                  <m:r>
                    <w:rPr>
                      <w:rFonts w:ascii="Cambria Math" w:hAnsi="Cambria Math"/>
                      <w:sz w:val="20"/>
                      <w:szCs w:val="20"/>
                    </w:rPr>
                    <m:t>TR</m:t>
                  </m:r>
                </m:e>
              </m:bar>
            </m:e>
            <m:sup>
              <m:r>
                <w:rPr>
                  <w:rFonts w:ascii="Cambria Math" w:hAnsi="Cambria Math"/>
                  <w:sz w:val="20"/>
                  <w:szCs w:val="20"/>
                </w:rPr>
                <m:t>GOV</m:t>
              </m:r>
            </m:sup>
          </m:sSup>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oMath>
      </m:oMathPara>
    </w:p>
    <w:p w14:paraId="7F42B435" w14:textId="7DE1FFE8" w:rsidR="007F2B9F" w:rsidRP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ING</m:t>
            </m:r>
          </m:e>
          <m:sup>
            <m:r>
              <w:rPr>
                <w:rFonts w:ascii="Cambria Math" w:hAnsi="Cambria Math"/>
              </w:rPr>
              <m:t>GOB</m:t>
            </m:r>
          </m:sup>
        </m:sSup>
      </m:oMath>
      <w:r>
        <w:t xml:space="preserve"> es el ingreso del gobierno; </w:t>
      </w:r>
      <m:oMath>
        <m:sSup>
          <m:sSupPr>
            <m:ctrlPr>
              <w:rPr>
                <w:rFonts w:ascii="Cambria Math" w:hAnsi="Cambria Math"/>
              </w:rPr>
            </m:ctrlPr>
          </m:sSupPr>
          <m:e>
            <m:r>
              <w:rPr>
                <w:rFonts w:ascii="Cambria Math" w:hAnsi="Cambria Math"/>
              </w:rPr>
              <m:t>K</m:t>
            </m:r>
          </m:e>
          <m:sup>
            <m:r>
              <w:rPr>
                <w:rFonts w:ascii="Cambria Math" w:hAnsi="Cambria Math"/>
              </w:rPr>
              <m:t>g</m:t>
            </m:r>
          </m:sup>
        </m:sSup>
      </m:oMath>
      <w:r>
        <w:t xml:space="preserve">, su capital; </w:t>
      </w:r>
      <m:oMath>
        <m:sSup>
          <m:sSupPr>
            <m:ctrlPr>
              <w:rPr>
                <w:rFonts w:ascii="Cambria Math" w:hAnsi="Cambria Math"/>
              </w:rPr>
            </m:ctrlPr>
          </m:sSupPr>
          <m:e>
            <m:r>
              <w:rPr>
                <w:rFonts w:ascii="Cambria Math" w:hAnsi="Cambria Math"/>
              </w:rPr>
              <m:t>CONT</m:t>
            </m:r>
          </m:e>
          <m:sup>
            <m:r>
              <w:rPr>
                <w:rFonts w:ascii="Cambria Math" w:hAnsi="Cambria Math"/>
              </w:rPr>
              <m:t>SOCG</m:t>
            </m:r>
          </m:sup>
        </m:sSup>
      </m:oMath>
      <w:r>
        <w:t xml:space="preserve">, las contribuciones sociales que recibe; </w:t>
      </w:r>
      <m:oMath>
        <m:sSup>
          <m:sSupPr>
            <m:ctrlPr>
              <w:rPr>
                <w:rFonts w:ascii="Cambria Math" w:hAnsi="Cambria Math"/>
              </w:rPr>
            </m:ctrlPr>
          </m:sSupPr>
          <m:e>
            <m:r>
              <w:rPr>
                <w:rFonts w:ascii="Cambria Math" w:hAnsi="Cambria Math"/>
              </w:rPr>
              <m:t>TOTAL</m:t>
            </m:r>
          </m:e>
          <m:sup>
            <m:r>
              <w:rPr>
                <w:rFonts w:ascii="Cambria Math" w:hAnsi="Cambria Math"/>
              </w:rPr>
              <m:t>TAX</m:t>
            </m:r>
          </m:sup>
        </m:sSup>
      </m:oMath>
      <w:r>
        <w:t xml:space="preserve">, la recaudación total; </w:t>
      </w:r>
      <m:oMath>
        <m:r>
          <w:rPr>
            <w:rFonts w:ascii="Cambria Math" w:hAnsi="Cambria Math"/>
          </w:rPr>
          <m:t>VAT</m:t>
        </m:r>
      </m:oMath>
      <w:r>
        <w:t xml:space="preserve">, la recaudación agregada del IVA; </w:t>
      </w:r>
      <m:oMath>
        <m:sSup>
          <m:sSupPr>
            <m:ctrlPr>
              <w:rPr>
                <w:rFonts w:ascii="Cambria Math" w:hAnsi="Cambria Math"/>
              </w:rPr>
            </m:ctrlPr>
          </m:sSupPr>
          <m:e>
            <m:r>
              <w:rPr>
                <w:rFonts w:ascii="Cambria Math" w:hAnsi="Cambria Math"/>
              </w:rPr>
              <m:t>revenue</m:t>
            </m:r>
          </m:e>
          <m:sup>
            <m:r>
              <w:rPr>
                <w:rFonts w:ascii="Cambria Math" w:hAnsi="Cambria Math"/>
              </w:rPr>
              <m:t>s</m:t>
            </m:r>
          </m:sup>
        </m:sSup>
      </m:oMath>
      <w:r>
        <w:t xml:space="preserve">, el ingreso bruto del sector </w:t>
      </w:r>
      <m:oMath>
        <m:r>
          <w:rPr>
            <w:rFonts w:ascii="Cambria Math" w:hAnsi="Cambria Math"/>
          </w:rPr>
          <m:t>s</m:t>
        </m:r>
      </m:oMath>
      <w:r>
        <w:t xml:space="preserve">; </w:t>
      </w:r>
      <m:oMath>
        <m:sSup>
          <m:sSupPr>
            <m:ctrlPr>
              <w:rPr>
                <w:rFonts w:ascii="Cambria Math" w:hAnsi="Cambria Math"/>
              </w:rPr>
            </m:ctrlPr>
          </m:sSupPr>
          <m:e>
            <m:r>
              <w:rPr>
                <w:rFonts w:ascii="Cambria Math" w:hAnsi="Cambria Math"/>
              </w:rPr>
              <m:t>PREST</m:t>
            </m:r>
          </m:e>
          <m:sup>
            <m:r>
              <w:rPr>
                <w:rFonts w:ascii="Cambria Math" w:hAnsi="Cambria Math"/>
              </w:rPr>
              <m:t>SOCG</m:t>
            </m:r>
          </m:sup>
        </m:sSup>
      </m:oMath>
      <w:r>
        <w:t xml:space="preserve">, las prestaciones que paga; </w:t>
      </w:r>
      <m:oMath>
        <m:sSup>
          <m:sSupPr>
            <m:ctrlPr>
              <w:rPr>
                <w:rFonts w:ascii="Cambria Math" w:hAnsi="Cambria Math"/>
              </w:rPr>
            </m:ctrlPr>
          </m:sSupPr>
          <m:e>
            <m:bar>
              <m:barPr>
                <m:pos m:val="top"/>
                <m:ctrlPr>
                  <w:rPr>
                    <w:rFonts w:ascii="Cambria Math" w:hAnsi="Cambria Math"/>
                  </w:rPr>
                </m:ctrlPr>
              </m:barPr>
              <m:e>
                <m:r>
                  <w:rPr>
                    <w:rFonts w:ascii="Cambria Math" w:hAnsi="Cambria Math"/>
                  </w:rPr>
                  <m:t>TR</m:t>
                </m:r>
              </m:e>
            </m:bar>
          </m:e>
          <m:sup>
            <m:r>
              <w:rPr>
                <w:rFonts w:ascii="Cambria Math" w:hAnsi="Cambria Math"/>
              </w:rPr>
              <m:t>GOV</m:t>
            </m:r>
          </m:sup>
        </m:sSup>
      </m:oMath>
      <w:r>
        <w:t xml:space="preserve">, el valor real de las transferencias a los hogares, y </w:t>
      </w:r>
      <m:oMath>
        <m:sSup>
          <m:sSupPr>
            <m:ctrlPr>
              <w:rPr>
                <w:rFonts w:ascii="Cambria Math" w:hAnsi="Cambria Math"/>
              </w:rPr>
            </m:ctrlPr>
          </m:sSupPr>
          <m:e>
            <m:r>
              <w:rPr>
                <w:rFonts w:ascii="Cambria Math" w:hAnsi="Cambria Math"/>
              </w:rPr>
              <m:t>SAV</m:t>
            </m:r>
          </m:e>
          <m:sup>
            <m:r>
              <w:rPr>
                <w:rFonts w:ascii="Cambria Math" w:hAnsi="Cambria Math"/>
              </w:rPr>
              <m:t>G</m:t>
            </m:r>
          </m:sup>
        </m:sSup>
      </m:oMath>
      <w:r>
        <w:t>, el ahorro público.</w:t>
      </w:r>
    </w:p>
    <w:p w14:paraId="2BF67A90" w14:textId="77777777" w:rsidR="000408E8" w:rsidRDefault="00000000" w:rsidP="001705F3">
      <w:pPr>
        <w:pStyle w:val="Ttulo2"/>
        <w:spacing w:line="480" w:lineRule="auto"/>
      </w:pPr>
      <w:r>
        <w:t>A.8. Mercados de factores</w:t>
      </w:r>
    </w:p>
    <w:p w14:paraId="11D47422" w14:textId="66D1ACBC" w:rsidR="000408E8" w:rsidRPr="00257EB2" w:rsidRDefault="00000000" w:rsidP="001705F3">
      <w:pPr>
        <w:keepLines/>
        <w:spacing w:before="120" w:after="160" w:line="480" w:lineRule="auto"/>
        <w:jc w:val="center"/>
        <w:rPr>
          <w:sz w:val="20"/>
          <w:szCs w:val="20"/>
        </w:rPr>
      </w:pPr>
      <m:oMath>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r>
              <m:rPr>
                <m:sty m:val="p"/>
              </m:rPr>
              <w:rPr>
                <w:rFonts w:ascii="Cambria Math" w:hAnsi="Cambria Math"/>
                <w:sz w:val="20"/>
                <w:szCs w:val="20"/>
              </w:rPr>
              <m:t>,</m:t>
            </m:r>
            <m:r>
              <w:rPr>
                <w:rFonts w:ascii="Cambria Math" w:hAnsi="Cambria Math"/>
                <w:sz w:val="20"/>
                <w:szCs w:val="20"/>
              </w:rPr>
              <m:t>b</m:t>
            </m:r>
          </m:sup>
        </m:sSub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LD</m:t>
                        </m:r>
                      </m:e>
                      <m:sub>
                        <m:r>
                          <w:rPr>
                            <w:rFonts w:ascii="Cambria Math" w:hAnsi="Cambria Math"/>
                            <w:sz w:val="20"/>
                            <w:szCs w:val="20"/>
                          </w:rPr>
                          <m:t>l</m:t>
                        </m:r>
                      </m:sub>
                      <m:sup>
                        <m:r>
                          <w:rPr>
                            <w:rFonts w:ascii="Cambria Math" w:hAnsi="Cambria Math"/>
                            <w:sz w:val="20"/>
                            <w:szCs w:val="20"/>
                          </w:rPr>
                          <m:t>b</m:t>
                        </m:r>
                      </m:sup>
                    </m:sSubSup>
                  </m:den>
                </m:f>
              </m:e>
            </m:d>
          </m:e>
          <m:sup>
            <m:r>
              <w:rPr>
                <w:rFonts w:ascii="Cambria Math" w:hAnsi="Cambria Math"/>
                <w:sz w:val="20"/>
                <w:szCs w:val="20"/>
              </w:rPr>
              <m:t>ε</m:t>
            </m:r>
          </m:sup>
        </m:sSup>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l</m:t>
            </m:r>
          </m:sub>
        </m:sSub>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den>
        </m:f>
        <m:r>
          <m:rPr>
            <m:sty m:val="p"/>
          </m:rPr>
          <w:rPr>
            <w:rFonts w:ascii="Cambria Math" w:hAnsi="Cambria Math"/>
            <w:sz w:val="20"/>
            <w:szCs w:val="20"/>
          </w:rPr>
          <m:t>,</m:t>
        </m:r>
      </m:oMath>
      <w:r>
        <w:rPr>
          <w:sz w:val="20"/>
          <w:szCs w:val="20"/>
        </w:rPr>
        <w:t xml:space="preserve">  </w:t>
      </w:r>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pit</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pit</m:t>
                </m:r>
              </m:e>
              <m:sup>
                <m:r>
                  <w:rPr>
                    <w:rFonts w:ascii="Cambria Math" w:hAnsi="Cambria Math"/>
                    <w:sz w:val="20"/>
                    <w:szCs w:val="20"/>
                  </w:rPr>
                  <m:t>b</m:t>
                </m:r>
              </m:sup>
            </m:sSup>
          </m:den>
        </m:f>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l</m:t>
                    </m:r>
                  </m:sub>
                  <m:sup>
                    <m:r>
                      <w:rPr>
                        <w:rFonts w:ascii="Cambria Math" w:hAnsi="Cambria Math"/>
                        <w:sz w:val="20"/>
                        <w:szCs w:val="20"/>
                      </w:rPr>
                      <m:t>b</m:t>
                    </m:r>
                  </m:sup>
                </m:sSubSup>
              </m:e>
            </m:d>
          </m:e>
          <m:sup>
            <m:r>
              <m:rPr>
                <m:sty m:val="p"/>
              </m:rPr>
              <w:rPr>
                <w:rFonts w:ascii="Cambria Math" w:hAnsi="Cambria Math"/>
                <w:sz w:val="20"/>
                <w:szCs w:val="20"/>
              </w:rPr>
              <m:t>-</m:t>
            </m:r>
            <m:r>
              <w:rPr>
                <w:rFonts w:ascii="Cambria Math" w:hAnsi="Cambria Math"/>
                <w:sz w:val="20"/>
                <w:szCs w:val="20"/>
              </w:rPr>
              <m:t>φ</m:t>
            </m:r>
          </m:sup>
        </m:s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LD</m:t>
                        </m:r>
                      </m:e>
                      <m:sub>
                        <m:r>
                          <w:rPr>
                            <w:rFonts w:ascii="Cambria Math" w:hAnsi="Cambria Math"/>
                            <w:sz w:val="20"/>
                            <w:szCs w:val="20"/>
                          </w:rPr>
                          <m:t>l</m:t>
                        </m:r>
                      </m:sub>
                    </m:sSub>
                  </m:num>
                  <m:den>
                    <m:sSubSup>
                      <m:sSubSupPr>
                        <m:ctrlPr>
                          <w:rPr>
                            <w:rFonts w:ascii="Cambria Math" w:hAnsi="Cambria Math"/>
                            <w:sz w:val="20"/>
                            <w:szCs w:val="20"/>
                          </w:rPr>
                        </m:ctrlPr>
                      </m:sSubSupPr>
                      <m:e>
                        <m:r>
                          <w:rPr>
                            <w:rFonts w:ascii="Cambria Math" w:hAnsi="Cambria Math"/>
                            <w:sz w:val="20"/>
                            <w:szCs w:val="20"/>
                          </w:rPr>
                          <m:t>L</m:t>
                        </m:r>
                      </m:e>
                      <m:sub>
                        <m:r>
                          <w:rPr>
                            <w:rFonts w:ascii="Cambria Math" w:hAnsi="Cambria Math"/>
                            <w:sz w:val="20"/>
                            <w:szCs w:val="20"/>
                          </w:rPr>
                          <m:t>l</m:t>
                        </m:r>
                      </m:sub>
                      <m:sup>
                        <m:r>
                          <w:rPr>
                            <w:rFonts w:ascii="Cambria Math" w:hAnsi="Cambria Math"/>
                            <w:sz w:val="20"/>
                            <w:szCs w:val="20"/>
                          </w:rPr>
                          <m:t>FORCE</m:t>
                        </m:r>
                      </m:sup>
                    </m:sSubSup>
                  </m:den>
                </m:f>
              </m:e>
            </m:d>
          </m:e>
          <m:sup>
            <m:r>
              <w:rPr>
                <w:rFonts w:ascii="Cambria Math" w:hAnsi="Cambria Math"/>
                <w:sz w:val="20"/>
                <w:szCs w:val="20"/>
              </w:rPr>
              <m:t>φ</m:t>
            </m:r>
          </m:sup>
        </m:sSup>
        <m:r>
          <m:rPr>
            <m:sty m:val="p"/>
          </m:rPr>
          <w:rPr>
            <w:rFonts w:ascii="Cambria Math" w:hAnsi="Cambria Math"/>
            <w:sz w:val="20"/>
            <w:szCs w:val="20"/>
          </w:rPr>
          <m:t>,</m:t>
        </m:r>
      </m:oMath>
    </w:p>
    <w:p w14:paraId="1E77F440" w14:textId="77777777" w:rsidR="000408E8" w:rsidRPr="00257EB2"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KD</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sub>
            <m:sup/>
            <m:e>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s</m:t>
                  </m:r>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KD</m:t>
              </m:r>
            </m:num>
            <m:den>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TOT</m:t>
                  </m:r>
                </m:sup>
              </m:sSup>
            </m:den>
          </m:f>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TOT</m:t>
              </m:r>
            </m:sup>
          </m:sSup>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KD</m:t>
                  </m:r>
                </m:e>
                <m:sup>
                  <m:r>
                    <w:rPr>
                      <w:rFonts w:ascii="Cambria Math" w:hAnsi="Cambria Math"/>
                      <w:sz w:val="20"/>
                      <w:szCs w:val="20"/>
                    </w:rPr>
                    <m:t>b</m:t>
                  </m:r>
                </m:sup>
              </m:sSup>
            </m:num>
            <m:den>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b</m:t>
                  </m:r>
                </m:sup>
              </m:sSubSup>
            </m:den>
          </m:f>
          <m:r>
            <m:rPr>
              <m:sty m:val="p"/>
            </m:rPr>
            <w:rPr>
              <w:rFonts w:ascii="Cambria Math" w:hAnsi="Cambria Math"/>
              <w:sz w:val="20"/>
              <w:szCs w:val="20"/>
            </w:rPr>
            <m:t>,</m:t>
          </m:r>
        </m:oMath>
      </m:oMathPara>
    </w:p>
    <w:p w14:paraId="7AE2020E" w14:textId="77777777" w:rsidR="000408E8" w:rsidRPr="00257EB2" w:rsidRDefault="00000000" w:rsidP="001705F3">
      <w:pPr>
        <w:keepLines/>
        <w:spacing w:before="120" w:after="160" w:line="480" w:lineRule="auto"/>
        <w:jc w:val="center"/>
        <w:rPr>
          <w:sz w:val="20"/>
          <w:szCs w:val="20"/>
        </w:rPr>
      </w:pPr>
      <m:oMathPara>
        <m:oMathParaPr>
          <m:jc m:val="center"/>
        </m:oMathParaPr>
        <m:oMath>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k</m:t>
                  </m:r>
                </m:sup>
              </m:sSup>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r>
                    <w:rPr>
                      <w:rFonts w:ascii="Cambria Math" w:hAnsi="Cambria Math"/>
                      <w:sz w:val="20"/>
                      <w:szCs w:val="20"/>
                    </w:rPr>
                    <m:t>fit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h</m:t>
                      </m:r>
                    </m:sup>
                  </m:sSup>
                  <m:r>
                    <w:rPr>
                      <w:rFonts w:ascii="Cambria Math" w:hAnsi="Cambria Math"/>
                      <w:sz w:val="20"/>
                      <w:szCs w:val="20"/>
                    </w:rPr>
                    <m:t>pit</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F</m:t>
                  </m:r>
                </m:sup>
              </m:sSup>
              <m:sSup>
                <m:sSupPr>
                  <m:ctrlPr>
                    <w:rPr>
                      <w:rFonts w:ascii="Cambria Math" w:hAnsi="Cambria Math"/>
                      <w:sz w:val="20"/>
                      <w:szCs w:val="20"/>
                    </w:rPr>
                  </m:ctrlPr>
                </m:sSupPr>
                <m:e>
                  <m:r>
                    <w:rPr>
                      <w:rFonts w:ascii="Cambria Math" w:hAnsi="Cambria Math"/>
                      <w:sz w:val="20"/>
                      <w:szCs w:val="20"/>
                    </w:rPr>
                    <m:t>fit</m:t>
                  </m:r>
                </m:e>
                <m:sup>
                  <m:r>
                    <w:rPr>
                      <w:rFonts w:ascii="Cambria Math" w:hAnsi="Cambria Math"/>
                      <w:sz w:val="20"/>
                      <w:szCs w:val="20"/>
                    </w:rPr>
                    <m:t>b</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w:rPr>
                      <w:rFonts w:ascii="Cambria Math" w:hAnsi="Cambria Math"/>
                      <w:sz w:val="20"/>
                      <w:szCs w:val="20"/>
                    </w:rPr>
                    <m:t>h</m:t>
                  </m:r>
                </m:sup>
              </m:sSup>
              <m:sSup>
                <m:sSupPr>
                  <m:ctrlPr>
                    <w:rPr>
                      <w:rFonts w:ascii="Cambria Math" w:hAnsi="Cambria Math"/>
                      <w:sz w:val="20"/>
                      <w:szCs w:val="20"/>
                    </w:rPr>
                  </m:ctrlPr>
                </m:sSupPr>
                <m:e>
                  <m:r>
                    <w:rPr>
                      <w:rFonts w:ascii="Cambria Math" w:hAnsi="Cambria Math"/>
                      <w:sz w:val="20"/>
                      <w:szCs w:val="20"/>
                    </w:rPr>
                    <m:t>pit</m:t>
                  </m:r>
                </m:e>
                <m:sup>
                  <m:r>
                    <w:rPr>
                      <w:rFonts w:ascii="Cambria Math" w:hAnsi="Cambria Math"/>
                      <w:sz w:val="20"/>
                      <w:szCs w:val="20"/>
                    </w:rPr>
                    <m:t>b</m:t>
                  </m:r>
                </m:sup>
              </m:sSup>
            </m:den>
          </m:f>
          <m:r>
            <m:rPr>
              <m:sty m:val="p"/>
            </m:rPr>
            <w:rPr>
              <w:rFonts w:ascii="Cambria Math" w:hAnsi="Cambria Math"/>
              <w:sz w:val="20"/>
              <w:szCs w:val="20"/>
            </w:rPr>
            <m:t>=</m:t>
          </m:r>
          <m:r>
            <w:rPr>
              <w:rFonts w:ascii="Cambria Math" w:hAnsi="Cambria Math"/>
              <w:sz w:val="20"/>
              <w:szCs w:val="20"/>
            </w:rPr>
            <m:t>IPC</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b</m:t>
                      </m:r>
                    </m:sup>
                  </m:sSubSup>
                </m:e>
              </m:d>
            </m:e>
            <m:sup>
              <m:r>
                <m:rPr>
                  <m:sty m:val="p"/>
                </m:rPr>
                <w:rPr>
                  <w:rFonts w:ascii="Cambria Math" w:hAnsi="Cambria Math"/>
                  <w:sz w:val="20"/>
                  <w:szCs w:val="20"/>
                </w:rPr>
                <m:t>-</m:t>
              </m:r>
              <m:r>
                <w:rPr>
                  <w:rFonts w:ascii="Cambria Math" w:hAnsi="Cambria Math"/>
                  <w:sz w:val="20"/>
                  <w:szCs w:val="20"/>
                </w:rPr>
                <m:t>ψ</m:t>
              </m:r>
            </m:sup>
          </m:sSup>
          <m:sSubSup>
            <m:sSubSupPr>
              <m:ctrlPr>
                <w:rPr>
                  <w:rFonts w:ascii="Cambria Math" w:hAnsi="Cambria Math"/>
                  <w:sz w:val="20"/>
                  <w:szCs w:val="20"/>
                </w:rPr>
              </m:ctrlPr>
            </m:sSubSupPr>
            <m:e>
              <m:r>
                <w:rPr>
                  <w:rFonts w:ascii="Cambria Math" w:hAnsi="Cambria Math"/>
                  <w:sz w:val="20"/>
                  <w:szCs w:val="20"/>
                </w:rPr>
                <m:t>u</m:t>
              </m:r>
            </m:e>
            <m:sub>
              <m:r>
                <w:rPr>
                  <w:rFonts w:ascii="Cambria Math" w:hAnsi="Cambria Math"/>
                  <w:sz w:val="20"/>
                  <w:szCs w:val="20"/>
                </w:rPr>
                <m:t>k</m:t>
              </m:r>
            </m:sub>
            <m:sup>
              <m:r>
                <w:rPr>
                  <w:rFonts w:ascii="Cambria Math" w:hAnsi="Cambria Math"/>
                  <w:sz w:val="20"/>
                  <w:szCs w:val="20"/>
                </w:rPr>
                <m:t>ψ</m:t>
              </m:r>
            </m:sup>
          </m:sSubSup>
          <m:r>
            <m:rPr>
              <m:sty m:val="p"/>
            </m:rPr>
            <w:rPr>
              <w:rFonts w:ascii="Cambria Math" w:hAnsi="Cambria Math"/>
              <w:sz w:val="20"/>
              <w:szCs w:val="20"/>
            </w:rPr>
            <m:t>.</m:t>
          </m:r>
        </m:oMath>
      </m:oMathPara>
    </w:p>
    <w:p w14:paraId="077E6561" w14:textId="77777777" w:rsidR="007F2B9F" w:rsidRDefault="007F2B9F" w:rsidP="007F2B9F">
      <w:pPr>
        <w:spacing w:after="160" w:line="480" w:lineRule="auto"/>
        <w:jc w:val="both"/>
      </w:pPr>
      <w:r>
        <w:t xml:space="preserve">donde </w:t>
      </w:r>
      <m:oMath>
        <m:sSub>
          <m:sSubPr>
            <m:ctrlPr>
              <w:rPr>
                <w:rFonts w:ascii="Cambria Math" w:hAnsi="Cambria Math"/>
              </w:rPr>
            </m:ctrlPr>
          </m:sSubPr>
          <m:e>
            <m:r>
              <w:rPr>
                <w:rFonts w:ascii="Cambria Math" w:hAnsi="Cambria Math"/>
              </w:rPr>
              <m:t>LD</m:t>
            </m:r>
          </m:e>
          <m:sub>
            <m:r>
              <w:rPr>
                <w:rFonts w:ascii="Cambria Math" w:hAnsi="Cambria Math"/>
              </w:rPr>
              <m:t>l</m:t>
            </m:r>
          </m:sub>
        </m:sSub>
      </m:oMath>
      <w:r>
        <w:t xml:space="preserve"> es el empleo del tipo de trabajo </w:t>
      </w:r>
      <m:oMath>
        <m:r>
          <w:rPr>
            <w:rFonts w:ascii="Cambria Math" w:hAnsi="Cambria Math"/>
          </w:rPr>
          <m:t>l</m:t>
        </m:r>
      </m:oMath>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l</m:t>
            </m:r>
          </m:sub>
          <m:sup>
            <m:r>
              <w:rPr>
                <w:rFonts w:ascii="Cambria Math" w:hAnsi="Cambria Math"/>
              </w:rPr>
              <m:t>FORCE</m:t>
            </m:r>
          </m:sup>
        </m:sSubSup>
      </m:oMath>
      <w:r>
        <w:t xml:space="preserve">, la fuerza de trabajo; </w:t>
      </w:r>
      <m:oMath>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la tasa de desempleo; </w:t>
      </w:r>
      <m:oMath>
        <m:r>
          <w:rPr>
            <w:rFonts w:ascii="Cambria Math" w:hAnsi="Cambria Math"/>
          </w:rPr>
          <m:t>ε</m:t>
        </m:r>
      </m:oMath>
      <w:r>
        <w:t xml:space="preserve">, la elasticidad de la fuerza de trabajo respecto del empleo; </w:t>
      </w:r>
      <m:oMath>
        <m:r>
          <w:rPr>
            <w:rFonts w:ascii="Cambria Math" w:hAnsi="Cambria Math"/>
          </w:rPr>
          <m:t>φ</m:t>
        </m:r>
      </m:oMath>
      <w:r>
        <w:t xml:space="preserve">, el parámetro de la curva salarial; </w:t>
      </w:r>
      <m:oMath>
        <m:sSup>
          <m:sSupPr>
            <m:ctrlPr>
              <w:rPr>
                <w:rFonts w:ascii="Cambria Math" w:hAnsi="Cambria Math"/>
              </w:rPr>
            </m:ctrlPr>
          </m:sSupPr>
          <m:e>
            <m:r>
              <w:rPr>
                <w:rFonts w:ascii="Cambria Math" w:hAnsi="Cambria Math"/>
              </w:rPr>
              <m:t>K</m:t>
            </m:r>
          </m:e>
          <m:sup>
            <m:r>
              <w:rPr>
                <w:rFonts w:ascii="Cambria Math" w:hAnsi="Cambria Math"/>
              </w:rPr>
              <m:t>TOT</m:t>
            </m:r>
          </m:sup>
        </m:sSup>
      </m:oMath>
      <w:r>
        <w:t xml:space="preserve">, la capacidad instalada;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la tasa de utilización del capital; </w:t>
      </w:r>
      <m:oMath>
        <m:r>
          <w:rPr>
            <w:rFonts w:ascii="Cambria Math" w:hAnsi="Cambria Math"/>
          </w:rPr>
          <m:t>ψ</m:t>
        </m:r>
      </m:oMath>
      <w:r>
        <w:t xml:space="preserve">, el parámetro de la curva de utilización; </w:t>
      </w:r>
      <m:oMath>
        <m:sSup>
          <m:sSupPr>
            <m:ctrlPr>
              <w:rPr>
                <w:rFonts w:ascii="Cambria Math" w:hAnsi="Cambria Math"/>
              </w:rPr>
            </m:ctrlPr>
          </m:sSupPr>
          <m:e>
            <m:r>
              <w:rPr>
                <w:rFonts w:ascii="Cambria Math" w:hAnsi="Cambria Math"/>
              </w:rPr>
              <m:t>κ</m:t>
            </m:r>
          </m:e>
          <m:sup>
            <m:r>
              <w:rPr>
                <w:rFonts w:ascii="Cambria Math" w:hAnsi="Cambria Math"/>
              </w:rPr>
              <m:t>h</m:t>
            </m:r>
          </m:sup>
        </m:sSup>
      </m:oMath>
      <w:r>
        <w:t xml:space="preserve">, la participación de los hogares en el capital utilizado, y el superíndice </w:t>
      </w:r>
      <m:oMath>
        <m:r>
          <w:rPr>
            <w:rFonts w:ascii="Cambria Math" w:hAnsi="Cambria Math"/>
          </w:rPr>
          <m:t>b</m:t>
        </m:r>
      </m:oMath>
      <w:r>
        <w:t>, el valor del año base.</w:t>
      </w:r>
    </w:p>
    <w:p w14:paraId="1703FDE7" w14:textId="77777777" w:rsidR="007F2B9F" w:rsidRDefault="007F2B9F" w:rsidP="007F2B9F">
      <w:pPr>
        <w:spacing w:after="160" w:line="480" w:lineRule="auto"/>
        <w:jc w:val="both"/>
      </w:pPr>
      <w:r>
        <w:t xml:space="preserve">Los valores calibrados son </w:t>
      </w:r>
      <m:oMath>
        <m:r>
          <w:rPr>
            <w:rFonts w:ascii="Cambria Math" w:hAnsi="Cambria Math"/>
          </w:rPr>
          <m:t>φ</m:t>
        </m:r>
        <m:r>
          <m:rPr>
            <m:sty m:val="p"/>
          </m:rPr>
          <w:rPr>
            <w:rFonts w:ascii="Cambria Math" w:hAnsi="Cambria Math"/>
          </w:rPr>
          <m:t>=</m:t>
        </m:r>
        <m:r>
          <w:rPr>
            <w:rFonts w:ascii="Cambria Math" w:hAnsi="Cambria Math"/>
          </w:rPr>
          <m:t>3.4483</m:t>
        </m:r>
      </m:oMath>
      <w:r>
        <w:t xml:space="preserve">, </w:t>
      </w:r>
      <m:oMath>
        <m:r>
          <w:rPr>
            <w:rFonts w:ascii="Cambria Math" w:hAnsi="Cambria Math"/>
          </w:rPr>
          <m:t>ψ</m:t>
        </m:r>
        <m:r>
          <m:rPr>
            <m:sty m:val="p"/>
          </m:rPr>
          <w:rPr>
            <w:rFonts w:ascii="Cambria Math" w:hAnsi="Cambria Math"/>
          </w:rPr>
          <m:t>=</m:t>
        </m:r>
        <m:r>
          <w:rPr>
            <w:rFonts w:ascii="Cambria Math" w:hAnsi="Cambria Math"/>
          </w:rPr>
          <m:t>1.5</m:t>
        </m:r>
      </m:oMath>
      <w:r>
        <w:t xml:space="preserve"> y </w:t>
      </w:r>
      <m:oMath>
        <m:r>
          <w:rPr>
            <w:rFonts w:ascii="Cambria Math" w:hAnsi="Cambria Math"/>
          </w:rPr>
          <m:t>ε</m:t>
        </m:r>
        <m:r>
          <m:rPr>
            <m:sty m:val="p"/>
          </m:rPr>
          <w:rPr>
            <w:rFonts w:ascii="Cambria Math" w:hAnsi="Cambria Math"/>
          </w:rPr>
          <m:t>=</m:t>
        </m:r>
        <m:r>
          <w:rPr>
            <w:rFonts w:ascii="Cambria Math" w:hAnsi="Cambria Math"/>
          </w:rPr>
          <m:t>0.42</m:t>
        </m:r>
      </m:oMath>
      <w:r>
        <w:t>.</w:t>
      </w:r>
    </w:p>
    <w:p w14:paraId="0D4F098D" w14:textId="77777777" w:rsidR="000408E8" w:rsidRDefault="00000000" w:rsidP="001705F3">
      <w:pPr>
        <w:pStyle w:val="Ttulo2"/>
        <w:spacing w:line="480" w:lineRule="auto"/>
      </w:pPr>
      <w:r>
        <w:t>A.9. Ahorro–inversión y cierre</w:t>
      </w:r>
    </w:p>
    <w:p w14:paraId="2C2E17C1" w14:textId="77777777" w:rsidR="000408E8" w:rsidRPr="00257EB2" w:rsidRDefault="00000000" w:rsidP="001705F3">
      <w:pPr>
        <w:keepLines/>
        <w:spacing w:before="120" w:after="160" w:line="480" w:lineRule="auto"/>
        <w:jc w:val="center"/>
        <w:rPr>
          <w:sz w:val="20"/>
          <w:szCs w:val="20"/>
        </w:rPr>
      </w:pPr>
      <m:oMathPara>
        <m:oMathParaPr>
          <m:jc m:val="center"/>
        </m:oMathParaPr>
        <m:oMath>
          <m:r>
            <w:rPr>
              <w:rFonts w:ascii="Cambria Math" w:hAnsi="Cambria Math"/>
              <w:sz w:val="20"/>
              <w:szCs w:val="20"/>
            </w:rPr>
            <m:t>SAV</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F</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G</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EXT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NOMI</m:t>
              </m:r>
            </m:e>
            <m:sup>
              <m:r>
                <w:rPr>
                  <w:rFonts w:ascii="Cambria Math" w:hAnsi="Cambria Math"/>
                  <w:sz w:val="20"/>
                  <w:szCs w:val="20"/>
                </w:rPr>
                <m:t>b</m:t>
              </m:r>
            </m:sup>
          </m:sSup>
          <m:r>
            <m:rPr>
              <m:sty m:val="p"/>
            </m:rPr>
            <w:rPr>
              <w:rFonts w:ascii="Cambria Math" w:hAnsi="Cambria Math"/>
              <w:sz w:val="20"/>
              <w:szCs w:val="20"/>
            </w:rPr>
            <m:t>·</m:t>
          </m:r>
          <m:r>
            <w:rPr>
              <w:rFonts w:ascii="Cambria Math" w:hAnsi="Cambria Math"/>
              <w:sz w:val="20"/>
              <w:szCs w:val="20"/>
            </w:rPr>
            <m:t>inv_adj</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VEXIST</m:t>
                  </m:r>
                </m:e>
                <m:sup>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p</m:t>
                  </m:r>
                </m:sup>
              </m:sSup>
            </m:e>
          </m:nary>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NOMI</m:t>
              </m:r>
            </m:e>
            <m:sup>
              <m:r>
                <w:rPr>
                  <w:rFonts w:ascii="Cambria Math" w:hAnsi="Cambria Math"/>
                  <w:sz w:val="20"/>
                  <w:szCs w:val="20"/>
                </w:rPr>
                <m:t>b</m:t>
              </m:r>
            </m:sup>
          </m:s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p</m:t>
              </m:r>
            </m:sub>
            <m:sup/>
            <m:e>
              <m:sSup>
                <m:sSupPr>
                  <m:ctrlPr>
                    <w:rPr>
                      <w:rFonts w:ascii="Cambria Math" w:hAnsi="Cambria Math"/>
                      <w:sz w:val="20"/>
                      <w:szCs w:val="20"/>
                    </w:rPr>
                  </m:ctrlPr>
                </m:sSupPr>
                <m:e>
                  <m:r>
                    <w:rPr>
                      <w:rFonts w:ascii="Cambria Math" w:hAnsi="Cambria Math"/>
                      <w:sz w:val="20"/>
                      <w:szCs w:val="20"/>
                    </w:rPr>
                    <m:t>I</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e>
          </m:nary>
          <m:r>
            <m:rPr>
              <m:sty m:val="p"/>
            </m:rPr>
            <w:rPr>
              <w:rFonts w:ascii="Cambria Math" w:hAnsi="Cambria Math"/>
              <w:sz w:val="20"/>
              <w:szCs w:val="20"/>
            </w:rPr>
            <m:t>,</m:t>
          </m:r>
        </m:oMath>
      </m:oMathPara>
    </w:p>
    <w:p w14:paraId="7F520B6F" w14:textId="77777777" w:rsidR="000408E8" w:rsidRPr="00257EB2" w:rsidRDefault="00000000" w:rsidP="001705F3">
      <w:pPr>
        <w:keepLines/>
        <w:spacing w:before="120" w:after="160" w:line="480" w:lineRule="auto"/>
        <w:jc w:val="center"/>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SAV</m:t>
              </m:r>
            </m:e>
            <m:sup>
              <m:r>
                <w:rPr>
                  <w:rFonts w:ascii="Cambria Math" w:hAnsi="Cambria Math"/>
                  <w:sz w:val="20"/>
                  <w:szCs w:val="20"/>
                </w:rPr>
                <m:t>EXT</m:t>
              </m:r>
            </m:sup>
          </m:sSup>
          <m:r>
            <m:rPr>
              <m:sty m:val="p"/>
            </m:rPr>
            <w:rPr>
              <w:rFonts w:ascii="Cambria Math" w:hAnsi="Cambria Math"/>
              <w:sz w:val="20"/>
              <w:szCs w:val="20"/>
            </w:rPr>
            <m:t>=</m:t>
          </m:r>
          <m:sSup>
            <m:sSupPr>
              <m:ctrlPr>
                <w:rPr>
                  <w:rFonts w:ascii="Cambria Math" w:hAnsi="Cambria Math"/>
                  <w:sz w:val="20"/>
                  <w:szCs w:val="20"/>
                </w:rPr>
              </m:ctrlPr>
            </m:sSupPr>
            <m:e>
              <m:bar>
                <m:barPr>
                  <m:pos m:val="top"/>
                  <m:ctrlPr>
                    <w:rPr>
                      <w:rFonts w:ascii="Cambria Math" w:hAnsi="Cambria Math"/>
                      <w:sz w:val="20"/>
                      <w:szCs w:val="20"/>
                    </w:rPr>
                  </m:ctrlPr>
                </m:barPr>
                <m:e>
                  <m:r>
                    <w:rPr>
                      <w:rFonts w:ascii="Cambria Math" w:hAnsi="Cambria Math"/>
                      <w:sz w:val="20"/>
                      <w:szCs w:val="20"/>
                    </w:rPr>
                    <m:t>SAV</m:t>
                  </m:r>
                </m:e>
              </m:bar>
            </m:e>
            <m:sup>
              <m:r>
                <w:rPr>
                  <w:rFonts w:ascii="Cambria Math" w:hAnsi="Cambria Math"/>
                  <w:sz w:val="20"/>
                  <w:szCs w:val="20"/>
                </w:rPr>
                <m:t>EXT</m:t>
              </m:r>
            </m:sup>
          </m:sSup>
          <m:r>
            <m:rPr>
              <m:sty m:val="p"/>
            </m:rPr>
            <w:rPr>
              <w:rFonts w:ascii="Cambria Math" w:hAnsi="Cambria Math"/>
              <w:sz w:val="20"/>
              <w:szCs w:val="20"/>
            </w:rPr>
            <m:t>·</m:t>
          </m:r>
          <m:r>
            <w:rPr>
              <w:rFonts w:ascii="Cambria Math" w:hAnsi="Cambria Math"/>
              <w:sz w:val="20"/>
              <w:szCs w:val="20"/>
            </w:rPr>
            <m:t>exr</m:t>
          </m:r>
          <m:r>
            <m:rPr>
              <m:sty m:val="p"/>
            </m:rPr>
            <w:rPr>
              <w:rFonts w:ascii="Cambria Math" w:hAnsi="Cambria Math"/>
              <w:sz w:val="20"/>
              <w:szCs w:val="20"/>
            </w:rPr>
            <m:t>,</m:t>
          </m:r>
          <m:r>
            <m:rPr>
              <m:sty m:val="p"/>
            </m:rPr>
            <w:rPr>
              <w:rFonts w:ascii="Cambria Math" w:hAnsi="Cambria Math"/>
              <w:sz w:val="20"/>
              <w:szCs w:val="20"/>
            </w:rPr>
            <m:t> </m:t>
          </m:r>
          <m:r>
            <m:rPr>
              <m:sty m:val="p"/>
            </m:rPr>
            <w:rPr>
              <w:rFonts w:ascii="Cambria Math" w:hAnsi="Cambria Math"/>
              <w:sz w:val="20"/>
              <w:szCs w:val="20"/>
            </w:rPr>
            <m:t> </m:t>
          </m:r>
          <m:r>
            <w:rPr>
              <w:rFonts w:ascii="Cambria Math" w:hAnsi="Cambria Math"/>
              <w:sz w:val="20"/>
              <w:szCs w:val="20"/>
            </w:rPr>
            <m:t>IPC</m:t>
          </m:r>
          <m:r>
            <m:rPr>
              <m:sty m:val="p"/>
            </m:rPr>
            <w:rPr>
              <w:rFonts w:ascii="Cambria Math" w:hAnsi="Cambria Math"/>
              <w:sz w:val="20"/>
              <w:szCs w:val="20"/>
            </w:rPr>
            <m:t>=</m:t>
          </m:r>
          <m:f>
            <m:fPr>
              <m:ctrlPr>
                <w:rPr>
                  <w:rFonts w:ascii="Cambria Math" w:hAnsi="Cambria Math"/>
                  <w:sz w:val="20"/>
                  <w:szCs w:val="20"/>
                </w:rPr>
              </m:ctrlPr>
            </m:fPr>
            <m:num>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p</m:t>
                      </m:r>
                    </m:sup>
                  </m:sSup>
                </m:e>
              </m:nary>
            </m:num>
            <m:den>
              <m:nary>
                <m:naryPr>
                  <m:chr m:val="∑"/>
                  <m:limLoc m:val="undOvr"/>
                  <m:supHide m:val="1"/>
                  <m:ctrlPr>
                    <w:rPr>
                      <w:rFonts w:ascii="Cambria Math" w:hAnsi="Cambria Math"/>
                      <w:sz w:val="20"/>
                      <w:szCs w:val="20"/>
                    </w:rPr>
                  </m:ctrlPr>
                </m:naryPr>
                <m:sub>
                  <m:r>
                    <w:rPr>
                      <w:rFonts w:ascii="Cambria Math" w:hAnsi="Cambria Math"/>
                      <w:sz w:val="20"/>
                      <w:szCs w:val="20"/>
                    </w:rPr>
                    <m:t>p</m:t>
                  </m:r>
                  <m:r>
                    <m:rPr>
                      <m:sty m:val="p"/>
                    </m:rPr>
                    <w:rPr>
                      <w:rFonts w:ascii="Cambria Math" w:hAnsi="Cambria Math"/>
                      <w:sz w:val="20"/>
                      <w:szCs w:val="20"/>
                    </w:rPr>
                    <m:t>∈PCON</m:t>
                  </m:r>
                </m:sub>
                <m:sup/>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sSup>
                    <m:sSupPr>
                      <m:ctrlPr>
                        <w:rPr>
                          <w:rFonts w:ascii="Cambria Math" w:hAnsi="Cambria Math"/>
                          <w:sz w:val="20"/>
                          <w:szCs w:val="20"/>
                        </w:rPr>
                      </m:ctrlPr>
                    </m:sSupPr>
                    <m:e>
                      <m:r>
                        <w:rPr>
                          <w:rFonts w:ascii="Cambria Math" w:hAnsi="Cambria Math"/>
                          <w:sz w:val="20"/>
                          <w:szCs w:val="20"/>
                        </w:rPr>
                        <m:t>pq</m:t>
                      </m:r>
                    </m:e>
                    <m:sup>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p</m:t>
                      </m:r>
                    </m:sup>
                  </m:sSup>
                </m:e>
              </m:nary>
            </m:den>
          </m:f>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m:oMathPara>
    </w:p>
    <w:p w14:paraId="38371A8A" w14:textId="77777777" w:rsidR="007F2B9F" w:rsidRDefault="007F2B9F" w:rsidP="007F2B9F">
      <w:pPr>
        <w:spacing w:after="160" w:line="480" w:lineRule="auto"/>
        <w:jc w:val="both"/>
      </w:pPr>
      <w:r>
        <w:t xml:space="preserve">donde </w:t>
      </w:r>
      <m:oMath>
        <m:sSup>
          <m:sSupPr>
            <m:ctrlPr>
              <w:rPr>
                <w:rFonts w:ascii="Cambria Math" w:hAnsi="Cambria Math"/>
              </w:rPr>
            </m:ctrlPr>
          </m:sSupPr>
          <m:e>
            <m:r>
              <w:rPr>
                <w:rFonts w:ascii="Cambria Math" w:hAnsi="Cambria Math"/>
              </w:rPr>
              <m:t>SAV</m:t>
            </m:r>
          </m:e>
          <m:sup>
            <m:r>
              <w:rPr>
                <w:rFonts w:ascii="Cambria Math" w:hAnsi="Cambria Math"/>
              </w:rPr>
              <m:t>EXT</m:t>
            </m:r>
          </m:sup>
        </m:sSup>
      </m:oMath>
      <w:r>
        <w:t xml:space="preserve"> es el ahorro externo, fijo en moneda extranjera en el nivel </w:t>
      </w:r>
      <m:oMath>
        <m:sSup>
          <m:sSupPr>
            <m:ctrlPr>
              <w:rPr>
                <w:rFonts w:ascii="Cambria Math" w:hAnsi="Cambria Math"/>
              </w:rPr>
            </m:ctrlPr>
          </m:sSupPr>
          <m:e>
            <m:bar>
              <m:barPr>
                <m:pos m:val="top"/>
                <m:ctrlPr>
                  <w:rPr>
                    <w:rFonts w:ascii="Cambria Math" w:hAnsi="Cambria Math"/>
                  </w:rPr>
                </m:ctrlPr>
              </m:barPr>
              <m:e>
                <m:r>
                  <w:rPr>
                    <w:rFonts w:ascii="Cambria Math" w:hAnsi="Cambria Math"/>
                  </w:rPr>
                  <m:t>SAV</m:t>
                </m:r>
              </m:e>
            </m:bar>
          </m:e>
          <m:sup>
            <m:r>
              <w:rPr>
                <w:rFonts w:ascii="Cambria Math" w:hAnsi="Cambria Math"/>
              </w:rPr>
              <m:t>EXT</m:t>
            </m:r>
          </m:sup>
        </m:sSup>
      </m:oMath>
      <w:r>
        <w:t xml:space="preserve">; </w:t>
      </w:r>
      <m:oMath>
        <m:sSup>
          <m:sSupPr>
            <m:ctrlPr>
              <w:rPr>
                <w:rFonts w:ascii="Cambria Math" w:hAnsi="Cambria Math"/>
              </w:rPr>
            </m:ctrlPr>
          </m:sSupPr>
          <m:e>
            <m:r>
              <w:rPr>
                <w:rFonts w:ascii="Cambria Math" w:hAnsi="Cambria Math"/>
              </w:rPr>
              <m:t>NOMI</m:t>
            </m:r>
          </m:e>
          <m:sup>
            <m:r>
              <w:rPr>
                <w:rFonts w:ascii="Cambria Math" w:hAnsi="Cambria Math"/>
              </w:rPr>
              <m:t>b</m:t>
            </m:r>
          </m:sup>
        </m:sSup>
      </m:oMath>
      <w:r>
        <w:t xml:space="preserve">, el valor de la inversión del año base a los precios de comprador vigentes, y </w:t>
      </w:r>
      <m:oMath>
        <m:sSup>
          <m:sSupPr>
            <m:ctrlPr>
              <w:rPr>
                <w:rFonts w:ascii="Cambria Math" w:hAnsi="Cambria Math"/>
              </w:rPr>
            </m:ctrlPr>
          </m:sSupPr>
          <m:e>
            <m:r>
              <w:rPr>
                <w:rFonts w:ascii="Cambria Math" w:hAnsi="Cambria Math"/>
              </w:rPr>
              <m:t>D</m:t>
            </m:r>
          </m:e>
          <m:sup>
            <m:r>
              <w:rPr>
                <w:rFonts w:ascii="Cambria Math" w:hAnsi="Cambria Math"/>
              </w:rPr>
              <m:t>b</m:t>
            </m:r>
            <m:r>
              <m:rPr>
                <m:sty m:val="p"/>
              </m:rPr>
              <w:rPr>
                <w:rFonts w:ascii="Cambria Math" w:hAnsi="Cambria Math"/>
              </w:rPr>
              <m:t>,</m:t>
            </m:r>
            <m:r>
              <w:rPr>
                <w:rFonts w:ascii="Cambria Math" w:hAnsi="Cambria Math"/>
              </w:rPr>
              <m:t>p</m:t>
            </m:r>
          </m:sup>
        </m:sSup>
      </m:oMath>
      <w:r>
        <w:t xml:space="preserve"> y </w:t>
      </w:r>
      <m:oMath>
        <m:sSup>
          <m:sSupPr>
            <m:ctrlPr>
              <w:rPr>
                <w:rFonts w:ascii="Cambria Math" w:hAnsi="Cambria Math"/>
              </w:rPr>
            </m:ctrlPr>
          </m:sSupPr>
          <m:e>
            <m:r>
              <w:rPr>
                <w:rFonts w:ascii="Cambria Math" w:hAnsi="Cambria Math"/>
              </w:rPr>
              <m:t>pq</m:t>
            </m:r>
          </m:e>
          <m:sup>
            <m:r>
              <w:rPr>
                <w:rFonts w:ascii="Cambria Math" w:hAnsi="Cambria Math"/>
              </w:rPr>
              <m:t>b</m:t>
            </m:r>
            <m:r>
              <m:rPr>
                <m:sty m:val="p"/>
              </m:rPr>
              <w:rPr>
                <w:rFonts w:ascii="Cambria Math" w:hAnsi="Cambria Math"/>
              </w:rPr>
              <m:t>,</m:t>
            </m:r>
            <m:r>
              <w:rPr>
                <w:rFonts w:ascii="Cambria Math" w:hAnsi="Cambria Math"/>
              </w:rPr>
              <m:t>p</m:t>
            </m:r>
          </m:sup>
        </m:sSup>
      </m:oMath>
      <w:r>
        <w:t>, el consumo y los precios de comprador del año base.</w:t>
      </w:r>
    </w:p>
    <w:p w14:paraId="098DAB75" w14:textId="76F2D923" w:rsidR="000408E8" w:rsidRDefault="00000000" w:rsidP="001705F3">
      <w:pPr>
        <w:spacing w:after="160" w:line="480" w:lineRule="auto"/>
        <w:jc w:val="both"/>
      </w:pPr>
      <w:r>
        <w:t xml:space="preserve">El numerario es el IPC, y </w:t>
      </w:r>
      <m:oMath>
        <m:r>
          <w:rPr>
            <w:rFonts w:ascii="Cambria Math" w:hAnsi="Cambria Math"/>
          </w:rPr>
          <m:t>exr</m:t>
        </m:r>
      </m:oMath>
      <w:r>
        <w:t xml:space="preserve"> es la variable de ajuste externo.</w:t>
      </w:r>
    </w:p>
    <w:p w14:paraId="1AF7689F" w14:textId="77777777" w:rsidR="000408E8" w:rsidRDefault="00000000" w:rsidP="001705F3">
      <w:pPr>
        <w:pStyle w:val="Ttulo2"/>
        <w:spacing w:line="480" w:lineRule="auto"/>
      </w:pPr>
      <w:r>
        <w:t>A.10. Descomposición del impacto fiscal</w:t>
      </w:r>
    </w:p>
    <w:p w14:paraId="2F2EE636" w14:textId="77777777" w:rsidR="007F2B9F" w:rsidRDefault="007F2B9F" w:rsidP="007F2B9F">
      <w:pPr>
        <w:spacing w:after="160" w:line="480" w:lineRule="auto"/>
        <w:jc w:val="both"/>
      </w:pPr>
      <w:r>
        <w:t xml:space="preserve">Para un impuesto </w:t>
      </w:r>
      <m:oMath>
        <m:r>
          <w:rPr>
            <w:rFonts w:ascii="Cambria Math" w:hAnsi="Cambria Math"/>
          </w:rPr>
          <m:t>R</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τ</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Q</m:t>
                </m:r>
              </m:e>
              <m:sub>
                <m:r>
                  <w:rPr>
                    <w:rFonts w:ascii="Cambria Math" w:hAnsi="Cambria Math"/>
                  </w:rPr>
                  <m:t>j</m:t>
                </m:r>
              </m:sub>
            </m:sSub>
          </m:e>
        </m:nary>
      </m:oMath>
      <w:r>
        <w:t xml:space="preserve">, donde </w:t>
      </w:r>
      <m:oMath>
        <m:sSub>
          <m:sSubPr>
            <m:ctrlPr>
              <w:rPr>
                <w:rFonts w:ascii="Cambria Math" w:hAnsi="Cambria Math"/>
              </w:rPr>
            </m:ctrlPr>
          </m:sSubPr>
          <m:e>
            <m:r>
              <w:rPr>
                <w:rFonts w:ascii="Cambria Math" w:hAnsi="Cambria Math"/>
              </w:rPr>
              <m:t>τ</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y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son la tasa, el precio y la base real del componente </w:t>
      </w:r>
      <m:oMath>
        <m:r>
          <w:rPr>
            <w:rFonts w:ascii="Cambria Math" w:hAnsi="Cambria Math"/>
          </w:rPr>
          <m:t>j</m:t>
        </m:r>
      </m:oMath>
      <w:r>
        <w:t xml:space="preserve"> (producto, sector o fuente de ingreso), con </w:t>
      </w:r>
      <m:oMath>
        <m:r>
          <m:rPr>
            <m:sty m:val="p"/>
          </m:rPr>
          <w:rPr>
            <w:rFonts w:ascii="Cambria Math" w:hAnsi="Cambria Math"/>
          </w:rPr>
          <m:t>Δ</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oMath>
      <w:r>
        <w:t xml:space="preserve"> y </w:t>
      </w: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f>
          <m:fPr>
            <m:type m:val="lin"/>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b</m:t>
                </m:r>
              </m:sup>
            </m:sSup>
          </m:num>
          <m:den>
            <m:r>
              <w:rPr>
                <w:rFonts w:ascii="Cambria Math" w:hAnsi="Cambria Math"/>
              </w:rPr>
              <m:t>2</m:t>
            </m:r>
          </m:den>
        </m:f>
      </m:oMath>
      <w:r>
        <w:t xml:space="preserve"> (los superíndices </w:t>
      </w:r>
      <m:oMath>
        <m:r>
          <w:rPr>
            <w:rFonts w:ascii="Cambria Math" w:hAnsi="Cambria Math"/>
          </w:rPr>
          <m:t>s</m:t>
        </m:r>
      </m:oMath>
      <w:r>
        <w:t xml:space="preserve"> y </w:t>
      </w:r>
      <m:oMath>
        <m:r>
          <w:rPr>
            <w:rFonts w:ascii="Cambria Math" w:hAnsi="Cambria Math"/>
          </w:rPr>
          <m:t>b</m:t>
        </m:r>
      </m:oMath>
      <w:r>
        <w:t xml:space="preserve"> indican los escenarios simulado y base):</w:t>
      </w:r>
    </w:p>
    <w:p w14:paraId="4E8A930C" w14:textId="77777777" w:rsidR="000408E8" w:rsidRPr="00257EB2" w:rsidRDefault="00000000" w:rsidP="001705F3">
      <w:pPr>
        <w:keepLines/>
        <w:spacing w:before="120" w:after="160" w:line="480" w:lineRule="auto"/>
        <w:jc w:val="center"/>
        <w:rPr>
          <w:sz w:val="20"/>
          <w:szCs w:val="20"/>
        </w:rPr>
      </w:pPr>
      <m:oMathPara>
        <m:oMathParaPr>
          <m:jc m:val="center"/>
        </m:oMathParaPr>
        <m:oMath>
          <m:m>
            <m:mPr>
              <m:plcHide m:val="1"/>
              <m:mcs>
                <m:mc>
                  <m:mcPr>
                    <m:count m:val="1"/>
                    <m:mcJc m:val="right"/>
                  </m:mcPr>
                </m:mc>
                <m:mc>
                  <m:mcPr>
                    <m:count m:val="1"/>
                    <m:mcJc m:val="left"/>
                  </m:mcPr>
                </m:mc>
              </m:mcs>
              <m:ctrlPr>
                <w:rPr>
                  <w:rFonts w:ascii="Cambria Math" w:hAnsi="Cambria Math"/>
                  <w:sz w:val="20"/>
                  <w:szCs w:val="20"/>
                </w:rPr>
              </m:ctrlPr>
            </m:mP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tasa</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Q</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e>
                    </m:d>
                  </m:e>
                </m:nary>
                <m:r>
                  <m:rPr>
                    <m:sty m:val="p"/>
                  </m:rPr>
                  <w:rPr>
                    <w:rFonts w:ascii="Cambria Math" w:hAnsi="Cambria Math"/>
                    <w:sz w:val="20"/>
                    <w:szCs w:val="20"/>
                  </w:rPr>
                  <m:t>,</m:t>
                </m:r>
              </m:e>
            </m:m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base</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τ</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e>
                    </m:d>
                  </m:e>
                </m:nary>
                <m:r>
                  <m:rPr>
                    <m:sty m:val="p"/>
                  </m:rPr>
                  <w:rPr>
                    <w:rFonts w:ascii="Cambria Math" w:hAnsi="Cambria Math"/>
                    <w:sz w:val="20"/>
                    <w:szCs w:val="20"/>
                  </w:rPr>
                  <m:t>,</m:t>
                </m:r>
              </m:e>
            </m:mr>
            <m:mr>
              <m:e>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precio</m:t>
                    </m:r>
                  </m:sup>
                </m:sSup>
              </m:e>
              <m:e>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e>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P</m:t>
                        </m:r>
                      </m:e>
                      <m:sub>
                        <m:r>
                          <w:rPr>
                            <w:rFonts w:ascii="Cambria Math" w:hAnsi="Cambria Math"/>
                            <w:sz w:val="20"/>
                            <w:szCs w:val="20"/>
                          </w:rPr>
                          <m:t>j</m:t>
                        </m:r>
                      </m:sub>
                    </m:sSub>
                    <m:d>
                      <m:dPr>
                        <m:ctrlPr>
                          <w:rPr>
                            <w:rFonts w:ascii="Cambria Math" w:hAnsi="Cambria Math"/>
                            <w:sz w:val="20"/>
                            <w:szCs w:val="20"/>
                          </w:rPr>
                        </m:ctrlPr>
                      </m:dPr>
                      <m:e>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τ</m:t>
                                </m:r>
                              </m:e>
                            </m:bar>
                          </m:e>
                          <m:sub>
                            <m:r>
                              <w:rPr>
                                <w:rFonts w:ascii="Cambria Math" w:hAnsi="Cambria Math"/>
                                <w:sz w:val="20"/>
                                <w:szCs w:val="20"/>
                              </w:rPr>
                              <m:t>j</m:t>
                            </m:r>
                          </m:sub>
                        </m:sSub>
                        <m:sSub>
                          <m:sSubPr>
                            <m:ctrlPr>
                              <w:rPr>
                                <w:rFonts w:ascii="Cambria Math" w:hAnsi="Cambria Math"/>
                                <w:sz w:val="20"/>
                                <w:szCs w:val="20"/>
                              </w:rPr>
                            </m:ctrlPr>
                          </m:sSubPr>
                          <m:e>
                            <m:bar>
                              <m:barPr>
                                <m:pos m:val="top"/>
                                <m:ctrlPr>
                                  <w:rPr>
                                    <w:rFonts w:ascii="Cambria Math" w:hAnsi="Cambria Math"/>
                                    <w:sz w:val="20"/>
                                    <w:szCs w:val="20"/>
                                  </w:rPr>
                                </m:ctrlPr>
                              </m:barPr>
                              <m:e>
                                <m:r>
                                  <w:rPr>
                                    <w:rFonts w:ascii="Cambria Math" w:hAnsi="Cambria Math"/>
                                    <w:sz w:val="20"/>
                                    <w:szCs w:val="20"/>
                                  </w:rPr>
                                  <m:t>Q</m:t>
                                </m:r>
                              </m:e>
                            </m:bar>
                          </m:e>
                          <m:sub>
                            <m:r>
                              <w:rPr>
                                <w:rFonts w:ascii="Cambria Math" w:hAnsi="Cambria Math"/>
                                <w:sz w:val="20"/>
                                <w:szCs w:val="20"/>
                              </w:rPr>
                              <m:t>j</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12</m:t>
                            </m:r>
                          </m:den>
                        </m:f>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τ</m:t>
                            </m:r>
                          </m:e>
                          <m:sub>
                            <m:r>
                              <w:rPr>
                                <w:rFonts w:ascii="Cambria Math" w:hAnsi="Cambria Math"/>
                                <w:sz w:val="20"/>
                                <w:szCs w:val="20"/>
                              </w:rPr>
                              <m:t>j</m:t>
                            </m:r>
                          </m:sub>
                        </m:sSub>
                        <m:sSub>
                          <m:sSubPr>
                            <m:ctrlPr>
                              <w:rPr>
                                <w:rFonts w:ascii="Cambria Math" w:hAnsi="Cambria Math"/>
                                <w:sz w:val="20"/>
                                <w:szCs w:val="20"/>
                              </w:rPr>
                            </m:ctrlPr>
                          </m:sSubPr>
                          <m:e>
                            <m:r>
                              <m:rPr>
                                <m:sty m:val="p"/>
                              </m:rPr>
                              <w:rPr>
                                <w:rFonts w:ascii="Cambria Math" w:hAnsi="Cambria Math"/>
                                <w:sz w:val="20"/>
                                <w:szCs w:val="20"/>
                              </w:rPr>
                              <m:t>Δ</m:t>
                            </m:r>
                            <m:r>
                              <w:rPr>
                                <w:rFonts w:ascii="Cambria Math" w:hAnsi="Cambria Math"/>
                                <w:sz w:val="20"/>
                                <w:szCs w:val="20"/>
                              </w:rPr>
                              <m:t>Q</m:t>
                            </m:r>
                          </m:e>
                          <m:sub>
                            <m:r>
                              <w:rPr>
                                <w:rFonts w:ascii="Cambria Math" w:hAnsi="Cambria Math"/>
                                <w:sz w:val="20"/>
                                <w:szCs w:val="20"/>
                              </w:rPr>
                              <m:t>j</m:t>
                            </m:r>
                          </m:sub>
                        </m:sSub>
                      </m:e>
                    </m:d>
                  </m:e>
                </m:nary>
                <m:r>
                  <m:rPr>
                    <m:sty m:val="p"/>
                  </m:rPr>
                  <w:rPr>
                    <w:rFonts w:ascii="Cambria Math" w:hAnsi="Cambria Math"/>
                    <w:sz w:val="20"/>
                    <w:szCs w:val="20"/>
                  </w:rPr>
                  <m:t>,</m:t>
                </m:r>
              </m:e>
            </m:mr>
          </m:m>
        </m:oMath>
      </m:oMathPara>
    </w:p>
    <w:p w14:paraId="35381F68" w14:textId="77777777" w:rsidR="000408E8" w:rsidRDefault="00000000" w:rsidP="001705F3">
      <w:pPr>
        <w:spacing w:after="160" w:line="480" w:lineRule="auto"/>
        <w:jc w:val="both"/>
      </w:pPr>
      <w:r>
        <w:t xml:space="preserve">de modo que </w:t>
      </w:r>
      <m:oMath>
        <m:r>
          <m:rPr>
            <m:sty m:val="p"/>
          </m:rPr>
          <w:rPr>
            <w:rFonts w:ascii="Cambria Math" w:hAnsi="Cambria Math"/>
          </w:rPr>
          <m:t>Δ</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tasa</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base</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precio</m:t>
            </m:r>
          </m:sup>
        </m:sSup>
      </m:oMath>
      <w:r>
        <w:t xml:space="preserve"> sin residuo.</w:t>
      </w:r>
    </w:p>
    <w:sectPr w:rsidR="000408E8">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02815" w14:textId="77777777" w:rsidR="00680166" w:rsidRDefault="00680166">
      <w:r>
        <w:separator/>
      </w:r>
    </w:p>
  </w:endnote>
  <w:endnote w:type="continuationSeparator" w:id="0">
    <w:p w14:paraId="2F76E7C9" w14:textId="77777777" w:rsidR="00680166" w:rsidRDefault="00680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F269" w14:textId="77777777" w:rsidR="000408E8" w:rsidRDefault="00000000">
    <w:pPr>
      <w:jc w:val="center"/>
    </w:pPr>
    <w:r>
      <w:fldChar w:fldCharType="begin"/>
    </w:r>
    <w:r>
      <w:instrText>PAGE</w:instrText>
    </w:r>
    <w:r>
      <w:fldChar w:fldCharType="separate"/>
    </w:r>
    <w:r w:rsidR="001705F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8DBE" w14:textId="5CB28B62" w:rsidR="000408E8" w:rsidRDefault="00000000">
    <w:pPr>
      <w:jc w:val="center"/>
    </w:pPr>
    <w:r>
      <w:fldChar w:fldCharType="begin"/>
    </w:r>
    <w:r>
      <w:instrText>PAGE</w:instrText>
    </w:r>
    <w:r>
      <w:fldChar w:fldCharType="separate"/>
    </w:r>
    <w:r w:rsidR="001705F3">
      <w:rPr>
        <w:noProof/>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FBF2" w14:textId="489A12EE" w:rsidR="000408E8" w:rsidRDefault="00000000">
    <w:pPr>
      <w:jc w:val="center"/>
    </w:pPr>
    <w:r>
      <w:fldChar w:fldCharType="begin"/>
    </w:r>
    <w:r>
      <w:instrText>PAGE</w:instrText>
    </w:r>
    <w:r>
      <w:fldChar w:fldCharType="separate"/>
    </w:r>
    <w:r w:rsidR="001705F3">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28ABC" w14:textId="77777777" w:rsidR="00680166" w:rsidRDefault="00680166">
      <w:r>
        <w:separator/>
      </w:r>
    </w:p>
  </w:footnote>
  <w:footnote w:type="continuationSeparator" w:id="0">
    <w:p w14:paraId="5B0F8F37" w14:textId="77777777" w:rsidR="00680166" w:rsidRDefault="00680166">
      <w:r>
        <w:continuationSeparator/>
      </w:r>
    </w:p>
  </w:footnote>
  <w:footnote w:id="1">
    <w:p w14:paraId="0EBF145F" w14:textId="3EFCE53E" w:rsidR="000408E8" w:rsidRDefault="00000000">
      <w:pPr>
        <w:spacing w:after="60"/>
        <w:jc w:val="both"/>
      </w:pPr>
      <w:r>
        <w:rPr>
          <w:rStyle w:val="Refdenotaalpie"/>
        </w:rPr>
        <w:footnoteRef/>
      </w:r>
      <w:r w:rsidR="00BE7EC0">
        <w:t xml:space="preserve"> </w:t>
      </w:r>
      <w:r>
        <w:t>Las opiniones expresadas son de exclusiva responsabilidad del autor y no representan necesariamente la posición del Servicio de Impuestos Internos.</w:t>
      </w:r>
    </w:p>
  </w:footnote>
  <w:footnote w:id="2">
    <w:p w14:paraId="537D27D9" w14:textId="77777777" w:rsidR="000408E8" w:rsidRDefault="00000000">
      <w:pPr>
        <w:spacing w:after="60"/>
        <w:jc w:val="both"/>
      </w:pPr>
      <w:r>
        <w:rPr>
          <w:rStyle w:val="Refdenotaalpie"/>
        </w:rPr>
        <w:footnoteRef/>
      </w:r>
      <w:r>
        <w:t xml:space="preserve">La rebaja se aplica sobre el impuesto directo de las empresas registrado en la MCS mediante el factor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χ</m:t>
            </m:r>
            <m:r>
              <m:rPr>
                <m:sty m:val="p"/>
              </m:rPr>
              <w:rPr>
                <w:rFonts w:ascii="Cambria Math" w:hAnsi="Cambria Math"/>
              </w:rPr>
              <m:t>·</m:t>
            </m:r>
            <m:f>
              <m:fPr>
                <m:type m:val="lin"/>
                <m:ctrlPr>
                  <w:rPr>
                    <w:rFonts w:ascii="Cambria Math" w:hAnsi="Cambria Math"/>
                  </w:rPr>
                </m:ctrlPr>
              </m:fPr>
              <m:num>
                <m:r>
                  <w:rPr>
                    <w:rFonts w:ascii="Cambria Math" w:hAnsi="Cambria Math"/>
                  </w:rPr>
                  <m:t>0.01</m:t>
                </m:r>
              </m:num>
              <m:den>
                <m:r>
                  <w:rPr>
                    <w:rFonts w:ascii="Cambria Math" w:hAnsi="Cambria Math"/>
                  </w:rPr>
                  <m:t>0.27</m:t>
                </m:r>
              </m:den>
            </m:f>
          </m:e>
        </m:d>
      </m:oMath>
      <w:r>
        <w:t xml:space="preserve">, donde </w:t>
      </w:r>
      <m:oMath>
        <m:r>
          <w:rPr>
            <w:rFonts w:ascii="Cambria Math" w:hAnsi="Cambria Math"/>
          </w:rPr>
          <m:t>χ</m:t>
        </m:r>
        <m:r>
          <m:rPr>
            <m:sty m:val="p"/>
          </m:rPr>
          <w:rPr>
            <w:rFonts w:ascii="Cambria Math" w:hAnsi="Cambria Math"/>
          </w:rPr>
          <m:t>=</m:t>
        </m:r>
        <m:r>
          <w:rPr>
            <w:rFonts w:ascii="Cambria Math" w:hAnsi="Cambria Math"/>
          </w:rPr>
          <m:t>0.916</m:t>
        </m:r>
      </m:oMath>
      <w:r>
        <w:t xml:space="preserve"> es la participación del IDPC devengado, según las estadísticas del SII, en el impuesto directo de las empresas que registra el Banco Central para 2023. La tasa efectiva pasa de 13.047% a 12.604%.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42AE7"/>
    <w:multiLevelType w:val="hybridMultilevel"/>
    <w:tmpl w:val="2D1E66F4"/>
    <w:lvl w:ilvl="0" w:tplc="3BB4E0C4" w:tentative="1">
      <w:start w:val="1"/>
      <w:numFmt w:val="bullet"/>
      <w:lvlText w:val="●"/>
      <w:lvlJc w:val="left"/>
      <w:pPr>
        <w:ind w:left="720" w:hanging="360"/>
      </w:pPr>
    </w:lvl>
    <w:lvl w:ilvl="1" w:tplc="7068B386" w:tentative="1">
      <w:start w:val="1"/>
      <w:numFmt w:val="bullet"/>
      <w:lvlText w:val="○"/>
      <w:lvlJc w:val="left"/>
      <w:pPr>
        <w:ind w:left="1440" w:hanging="360"/>
      </w:pPr>
    </w:lvl>
    <w:lvl w:ilvl="2" w:tplc="9CD8AADC" w:tentative="1">
      <w:start w:val="1"/>
      <w:numFmt w:val="bullet"/>
      <w:lvlText w:val="■"/>
      <w:lvlJc w:val="left"/>
      <w:pPr>
        <w:ind w:left="2160" w:hanging="360"/>
      </w:pPr>
    </w:lvl>
    <w:lvl w:ilvl="3" w:tplc="61DA4F14" w:tentative="1">
      <w:start w:val="1"/>
      <w:numFmt w:val="bullet"/>
      <w:lvlText w:val="●"/>
      <w:lvlJc w:val="left"/>
      <w:pPr>
        <w:ind w:left="2880" w:hanging="360"/>
      </w:pPr>
    </w:lvl>
    <w:lvl w:ilvl="4" w:tplc="3FB8FB30" w:tentative="1">
      <w:start w:val="1"/>
      <w:numFmt w:val="bullet"/>
      <w:lvlText w:val="○"/>
      <w:lvlJc w:val="left"/>
      <w:pPr>
        <w:ind w:left="3600" w:hanging="360"/>
      </w:pPr>
    </w:lvl>
    <w:lvl w:ilvl="5" w:tplc="11681214" w:tentative="1">
      <w:start w:val="1"/>
      <w:numFmt w:val="bullet"/>
      <w:lvlText w:val="■"/>
      <w:lvlJc w:val="left"/>
      <w:pPr>
        <w:ind w:left="4320" w:hanging="360"/>
      </w:pPr>
    </w:lvl>
    <w:lvl w:ilvl="6" w:tplc="CE26066E" w:tentative="1">
      <w:start w:val="1"/>
      <w:numFmt w:val="bullet"/>
      <w:lvlText w:val="●"/>
      <w:lvlJc w:val="left"/>
      <w:pPr>
        <w:ind w:left="5040" w:hanging="360"/>
      </w:pPr>
    </w:lvl>
    <w:lvl w:ilvl="7" w:tplc="2E908E68" w:tentative="1">
      <w:start w:val="1"/>
      <w:numFmt w:val="bullet"/>
      <w:lvlText w:val="●"/>
      <w:lvlJc w:val="left"/>
      <w:pPr>
        <w:ind w:left="5760" w:hanging="360"/>
      </w:pPr>
    </w:lvl>
    <w:lvl w:ilvl="8" w:tplc="A4C8313C" w:tentative="1">
      <w:start w:val="1"/>
      <w:numFmt w:val="bullet"/>
      <w:lvlText w:val="●"/>
      <w:lvlJc w:val="left"/>
      <w:pPr>
        <w:ind w:left="6480" w:hanging="360"/>
      </w:pPr>
    </w:lvl>
  </w:abstractNum>
  <w:num w:numId="1" w16cid:durableId="1012294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8E8"/>
    <w:rsid w:val="000408E8"/>
    <w:rsid w:val="00097A02"/>
    <w:rsid w:val="00107FA3"/>
    <w:rsid w:val="00136D47"/>
    <w:rsid w:val="00154B1C"/>
    <w:rsid w:val="001705F3"/>
    <w:rsid w:val="00210812"/>
    <w:rsid w:val="00257EB2"/>
    <w:rsid w:val="00276AAF"/>
    <w:rsid w:val="002963C3"/>
    <w:rsid w:val="003118B9"/>
    <w:rsid w:val="00314F5D"/>
    <w:rsid w:val="00330E63"/>
    <w:rsid w:val="00332B0D"/>
    <w:rsid w:val="0037729B"/>
    <w:rsid w:val="00614C6E"/>
    <w:rsid w:val="00680166"/>
    <w:rsid w:val="00686689"/>
    <w:rsid w:val="006C4235"/>
    <w:rsid w:val="006D1AC8"/>
    <w:rsid w:val="00723B5B"/>
    <w:rsid w:val="007F1CAF"/>
    <w:rsid w:val="007F2B9F"/>
    <w:rsid w:val="00830A68"/>
    <w:rsid w:val="00836699"/>
    <w:rsid w:val="00860FB9"/>
    <w:rsid w:val="008B5443"/>
    <w:rsid w:val="008C27AF"/>
    <w:rsid w:val="008E656D"/>
    <w:rsid w:val="00917653"/>
    <w:rsid w:val="009A18DD"/>
    <w:rsid w:val="009A3E16"/>
    <w:rsid w:val="00A36B69"/>
    <w:rsid w:val="00B36DC1"/>
    <w:rsid w:val="00B40816"/>
    <w:rsid w:val="00B70AD4"/>
    <w:rsid w:val="00BB4FFA"/>
    <w:rsid w:val="00BE0C42"/>
    <w:rsid w:val="00BE7EC0"/>
    <w:rsid w:val="00BF5B1F"/>
    <w:rsid w:val="00CC0C77"/>
    <w:rsid w:val="00D32712"/>
    <w:rsid w:val="00D54C4C"/>
    <w:rsid w:val="00DA5214"/>
    <w:rsid w:val="00DB29D4"/>
    <w:rsid w:val="00DE2E99"/>
    <w:rsid w:val="00EA72F4"/>
    <w:rsid w:val="00EE5F31"/>
    <w:rsid w:val="00F944F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E4179"/>
  <w15:docId w15:val="{F0CC3309-8F9E-4F1A-9198-3EC23BAB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002060"/>
    </w:rPr>
  </w:style>
  <w:style w:type="paragraph" w:styleId="Ttulo2">
    <w:name w:val="heading 2"/>
    <w:basedOn w:val="Normal"/>
    <w:next w:val="Normal"/>
    <w:uiPriority w:val="9"/>
    <w:unhideWhenUsed/>
    <w:qFormat/>
    <w:pPr>
      <w:keepNext/>
      <w:spacing w:before="240" w:after="120"/>
      <w:outlineLvl w:val="1"/>
    </w:pPr>
    <w:rPr>
      <w:b/>
      <w:bCs/>
      <w:i/>
      <w:iCs/>
      <w:color w:val="2E75B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notapie">
    <w:name w:val="footnote text"/>
    <w:basedOn w:val="Normal"/>
    <w:link w:val="TextonotapieCa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503F4-5127-4491-9EF8-FDCC7CB42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Pages>
  <Words>5894</Words>
  <Characters>32420</Characters>
  <Application>Microsoft Office Word</Application>
  <DocSecurity>0</DocSecurity>
  <Lines>270</Lines>
  <Paragraphs>76</Paragraphs>
  <ScaleCrop>false</ScaleCrop>
  <Company>Servicio de Impuestos Internos</Company>
  <LinksUpToDate>false</LinksUpToDate>
  <CharactersWithSpaces>38238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modelo de equilibrio general computable para la evaluación de políticas tributarias en Chile: aplicaciones al IVA y al impuesto de primera categoría</dc:title>
  <dc:creator>Francisco Javier Henríquez Palacios</dc:creator>
  <dc:description>Artículo para la Revista de Administración Tributaria CIAT/AEAT/IEF N.º 54</dc:description>
  <cp:lastModifiedBy>Francisco Javier Henriquez Palacios</cp:lastModifiedBy>
  <cp:revision>38</cp:revision>
  <cp:lastPrinted>2026-10-21T18:45:00Z</cp:lastPrinted>
  <dcterms:created xsi:type="dcterms:W3CDTF">2026-10-21T15:18:00Z</dcterms:created>
  <dcterms:modified xsi:type="dcterms:W3CDTF">2026-10-21T19:00:00Z</dcterms:modified>
</cp:coreProperties>
</file>