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72"/>
          <w:szCs w:val="72"/>
          <w:rtl w:val="0"/>
        </w:rPr>
        <w:t xml:space="preserve">PRIVATE CORPORATE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40"/>
          <w:szCs w:val="40"/>
          <w:rtl w:val="0"/>
        </w:rPr>
        <w:t xml:space="preserve">Stack Self-Hosted per PMI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4" w:sz="1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Versione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Classificazione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CONFIDENZIALE — USO INTERNO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Autore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Team Solutions Architecture &amp; 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Approvato — Produzione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6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Stack: Ollama  •  Qdrant  •  LangChain  •  FastAPI  •  Open WebUI  •  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36"/>
          <w:szCs w:val="36"/>
          <w:rtl w:val="0"/>
        </w:rPr>
        <w:t xml:space="preserve">Indice dei Contenuti</w:t>
      </w:r>
      <w:r w:rsidDel="00000000" w:rsidR="00000000" w:rsidRPr="00000000">
        <w:rPr>
          <w:rtl w:val="0"/>
        </w:rPr>
      </w:r>
    </w:p>
    <w:sdt>
      <w:sdtPr>
        <w:id w:val="-7421077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36"/>
          <w:szCs w:val="36"/>
          <w:rtl w:val="0"/>
        </w:rPr>
        <w:t xml:space="preserve">1. Introduzione e Obiettivi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2e75b6" w:space="2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40" w:before="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Private Corporate AI è uno stack completamente self-hosted progettato per piccole e medie imprese (PMI) che necessitano di capacità di intelligenza artificiale avanzate senza compromettere la privacy dei dati aziendali. Tutti i componenti sono Open Source con licenza compatibile con l'uso commerciale (Apache 2.0 / MIT).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bottom w:color="2e75b6" w:space="4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1.1 Problemi Risolti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Privacy dei dati: nessun documento aziendale lascia l'infrastruttura interna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Controllo totale: nessuna dipendenza da API cloud esterne (OpenAI, Google, Azure)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Costi prevedibili: nessun costo per token — il modello gira localmente su GPU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Customizzazione: pipeline RAG personalizzabile per ogni caso d'uso aziendale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Compliance: adatto a contesti con requisiti GDPR, ISO 27001, settore legale/medico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bottom w:color="2e75b6" w:space="4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1.2 Capacità Principali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Chat con documenti aziendali (PDF, DOCX, TXT, XLSX, Markdown)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Ricerca semantica su knowledge base interna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Selezione dinamica del modello LLM per singola richiesta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API REST compatibile con il protocollo OpenAI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Interfaccia utente moderna con autenticazione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Monitoring con metriche Prometheus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a623" w:space="0" w:sz="4" w:val="single"/>
              <w:left w:color="f5a623" w:space="0" w:sz="12" w:val="single"/>
              <w:bottom w:color="f5a623" w:space="0" w:sz="4" w:val="single"/>
              <w:right w:color="f5a623" w:space="0" w:sz="4" w:val="single"/>
            </w:tcBorders>
            <w:shd w:fill="fff4e0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2A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557"/>
                <w:sz w:val="22"/>
                <w:szCs w:val="22"/>
                <w:rtl w:val="0"/>
              </w:rPr>
              <w:t xml:space="preserve">⚠️  Nota di Classificazione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Questo documento contiene architetture, configurazioni e credenziali di esempio.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Classificazione: CONFIDENZIALE — Distribuzione limitata al personale tecnico autorizzato.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36"/>
          <w:szCs w:val="36"/>
          <w:rtl w:val="0"/>
        </w:rPr>
        <w:t xml:space="preserve">2. Architettura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2e75b6" w:space="2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pBdr>
          <w:bottom w:color="2e75b6" w:space="4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2.1 Diagramma dei Servizi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800"/>
        <w:gridCol w:w="1100"/>
        <w:gridCol w:w="1286"/>
        <w:tblGridChange w:id="0">
          <w:tblGrid>
            <w:gridCol w:w="2000"/>
            <w:gridCol w:w="2200"/>
            <w:gridCol w:w="2800"/>
            <w:gridCol w:w="1100"/>
            <w:gridCol w:w="12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Livello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Servizio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Immagine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Porta 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Licenza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nginx:alpine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80/443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BSD-like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Open WebUI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ghcr.io/open-webui/open-webui:main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RAG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custom (FastAPI + LangChain)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Apache 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ollama/ollama:latest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11434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Vector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Qdrant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qdrant/qdrant:latest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6333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Apache 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pBdr>
          <w:bottom w:color="2e75b6" w:space="4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2.2 Flusso delle Reti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40" w:before="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Lo stack utilizza due reti interne isolate per minimizzare la superficie di attacco: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3000"/>
        <w:gridCol w:w="2386"/>
        <w:tblGridChange w:id="0">
          <w:tblGrid>
            <w:gridCol w:w="2000"/>
            <w:gridCol w:w="2000"/>
            <w:gridCol w:w="3000"/>
            <w:gridCol w:w="23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Servizi Connessi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Scopo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frontend_net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172.20.0.0/24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Nginx, Open WebUI, RAG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Traffico utente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backend_net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172.21.0.0/24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RAG Backend, Ollama, Qdrant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Traffico dati 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40" w:before="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Nginx è l'unico servizio con porte esposte all'host (80 e 443). Tutti gli altri servizi comunicano esclusivamente attraverso le reti interne Docker.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pBdr>
          <w:bottom w:color="2e75b6" w:space="4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2.3 Volumi Persistenti</w:t>
      </w:r>
      <w:r w:rsidDel="00000000" w:rsidR="00000000" w:rsidRPr="00000000">
        <w:rPr>
          <w:rtl w:val="0"/>
        </w:rPr>
      </w:r>
    </w:p>
    <w:tbl>
      <w:tblPr>
        <w:tblStyle w:val="Table5"/>
        <w:tblW w:w="83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1800"/>
        <w:gridCol w:w="1586"/>
        <w:tblGridChange w:id="0">
          <w:tblGrid>
            <w:gridCol w:w="2200"/>
            <w:gridCol w:w="2800"/>
            <w:gridCol w:w="1800"/>
            <w:gridCol w:w="15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Dimensione Attesa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Backup Priorità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ollama_data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Modelli LLM scaricati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5–50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Bassa (ricaricabili)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qdrant_data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Indice vettoriale + collezioni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100MB–5GB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webui_data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Utenti, chat history,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10–500MB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rag_uploads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Documenti caricati dagli utenti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variabile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nginx_logs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Log accessi ed errori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1–10GB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36"/>
          <w:szCs w:val="36"/>
          <w:rtl w:val="0"/>
        </w:rPr>
        <w:t xml:space="preserve">3. Pipeline RAG — Dettaglio Tecnico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bottom w:color="2e75b6" w:space="2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pBdr>
          <w:bottom w:color="2e75b6" w:space="4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3.1 Flusso di Indicizzazione Documenti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40" w:before="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Quando un documento viene caricato tramite API, viene avviato il seguente pipeline in background: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Upload — Il file (PDF/DOCX/TXT) viene ricevuto via HTTP multipart e salvato nel volume persistente rag_uploads con un UUID univoco come prefisso del nome.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Loading — Il DocumentLoader appropriato viene selezionato in base all'estensione: PyPDFLoader per PDF, Docx2txtLoader per DOCX, TextLoader per TXT/MD.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Chunking — RecursiveCharacterTextSplitter divide il testo in chunk sovrapposti. I separatori sono applicati in cascata: paragrafo → riga → frase → parola → carattere.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Arricchimento Metadati — Ogni chunk riceve metadati: doc_id, filename, chunk_index, total_chunks, page, indexed_at.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Embedding — OllamaEmbeddings genera un vettore denso per ogni chunk chiamando il modello di embedding configurato (default: nomic-embed-text, 768 dimensioni).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Indicizzazione — I vettori vengono inseriti in batch su Qdrant nella collezione configurata, con distance metric Cosine Similarity.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pBdr>
          <w:bottom w:color="2e75b6" w:space="4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3.2 Flusso di Query RAG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Ricezione Query — L'utente invia una domanda via API /api/chat o /v1/chat/completions.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Embedding Query — La domanda viene trasformata nello stesso spazio vettoriale dei chunk.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Similarity Search — Qdrant recupera i TOP_K chunk più simili semanticamente con score_threshold=0.3 per filtrare risultati irrilevanti.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Context Assembly — I chunk recuperati vengono concatenati in un blocco di contesto strutturato.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Prompt Engineering — Il contesto viene iniettato nel prompt template italiano che vincola il modello a rispondere solo con le informazioni presenti nei documenti.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Inference LLM — Ollama genera la risposta utilizzando il modello configurato con temperatura bassa (0.1–0.3) per risposte fattuali.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Response — La risposta viene restituita insieme ai metadati delle fonti (filename, chunk_index, preview).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pBdr>
          <w:bottom w:color="2e75b6" w:space="4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3.3 Parametri di Configurazione RAG</w:t>
      </w:r>
      <w:r w:rsidDel="00000000" w:rsidR="00000000" w:rsidRPr="00000000">
        <w:rPr>
          <w:rtl w:val="0"/>
        </w:rPr>
      </w:r>
    </w:p>
    <w:tbl>
      <w:tblPr>
        <w:tblStyle w:val="Table6"/>
        <w:tblW w:w="93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1600"/>
        <w:gridCol w:w="4186"/>
        <w:tblGridChange w:id="0">
          <w:tblGrid>
            <w:gridCol w:w="2400"/>
            <w:gridCol w:w="1200"/>
            <w:gridCol w:w="1600"/>
            <w:gridCol w:w="41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Impatto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CHUNK_SIZE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200–2000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Granularità contesto recuperato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CHUNK_OVERLAP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0–500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Continuità semantica tra chunk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TOP_K_RESULTS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1–20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Ampiezza del contesto fornito all'LLM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LLM_TEMPERATURE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0.0–1.0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Creatività vs. fedeltà alle fonti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score_threshold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0.0–1.0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Filtraggio risultati irrilevanti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36"/>
          <w:szCs w:val="36"/>
          <w:rtl w:val="0"/>
        </w:rPr>
        <w:t xml:space="preserve">4. Selezione e Configurazione Modelli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bottom w:color="2e75b6" w:space="2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pBdr>
          <w:bottom w:color="2e75b6" w:space="4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4.1 Modelli Testati e Raccomandati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40" w:before="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Il modello si configura tramite la variabile LLM_MODEL nel file .env. Il sistema scarica automaticamente il modello al primo avvio. È possibile usare modelli diversi per singola query tramite il campo model nel body della richiesta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000"/>
        <w:gridCol w:w="1200"/>
        <w:gridCol w:w="1200"/>
        <w:gridCol w:w="3586"/>
        <w:tblGridChange w:id="0">
          <w:tblGrid>
            <w:gridCol w:w="2400"/>
            <w:gridCol w:w="1000"/>
            <w:gridCol w:w="1200"/>
            <w:gridCol w:w="1200"/>
            <w:gridCol w:w="35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Qualità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Velocità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Ideale 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phi3:mini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~4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a1a1a"/>
                <w:sz w:val="20"/>
                <w:szCs w:val="20"/>
                <w:rtl w:val="0"/>
              </w:rPr>
              <w:t xml:space="preserve">⭐⭐⭐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⚡⚡⚡⚡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Test, prototipazione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mistral:7b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~6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a1a1a"/>
                <w:sz w:val="20"/>
                <w:szCs w:val="20"/>
                <w:rtl w:val="0"/>
              </w:rPr>
              <w:t xml:space="preserve">⭐⭐⭐⭐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⚡⚡⚡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Uso generale, bilanciato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gemma2:9b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~8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a1a1a"/>
                <w:sz w:val="20"/>
                <w:szCs w:val="20"/>
                <w:rtl w:val="0"/>
              </w:rPr>
              <w:t xml:space="preserve">⭐⭐⭐⭐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⚡⚡⚡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ITA/ENG, RAG documentale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llama3.1:8b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~6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a1a1a"/>
                <w:sz w:val="20"/>
                <w:szCs w:val="20"/>
                <w:rtl w:val="0"/>
              </w:rPr>
              <w:t xml:space="preserve">⭐⭐⭐⭐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⚡⚡⚡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Generale, multilingua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deepseek-r1:14b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~12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a1a1a"/>
                <w:sz w:val="20"/>
                <w:szCs w:val="20"/>
                <w:rtl w:val="0"/>
              </w:rPr>
              <w:t xml:space="preserve">⭐⭐⭐⭐⭐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⚡⚡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Ragionamento complesso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mixtral:8x7b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~26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a1a1a"/>
                <w:sz w:val="20"/>
                <w:szCs w:val="20"/>
                <w:rtl w:val="0"/>
              </w:rPr>
              <w:t xml:space="preserve">⭐⭐⭐⭐⭐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⚡⚡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RAG avanzato, MoE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llama3.1:70b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~48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a1a1a"/>
                <w:sz w:val="20"/>
                <w:szCs w:val="20"/>
                <w:rtl w:val="0"/>
              </w:rPr>
              <w:t xml:space="preserve">⭐⭐⭐⭐⭐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Massima qualità (multi-GPU)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12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DA">
            <w:pPr>
              <w:spacing w:after="8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3557"/>
                <w:sz w:val="22"/>
                <w:szCs w:val="22"/>
                <w:rtl w:val="0"/>
              </w:rPr>
              <w:t xml:space="preserve">✅  Raccomandazione per RTX 3090/4090 (24GB VRAM)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Modello consigliato: gemma2:9b — ottimo supporto italiano, buona qualità RAG, bassa latenza.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Alternativa per task complessi: deepseek-r1:14b — ragionamento avanzato, rientra nei 24GB.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Embedding: nomic-embed-text — leggero (274MB), multilingua, vettori 768D.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pBdr>
          <w:bottom w:color="2e75b6" w:space="4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4.2 Cambio Modello a Runtime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40" w:before="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Il modello può essere cambiato per singola richiesta senza riavviare i servizi: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POST /api/chat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  "question": "Analizza il contratto allegato",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  "model": "deepseek-r1:14b",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  "top_k":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40" w:before="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Per cambiare il modello di default, modificare LLM_MODEL in .env e riavviare il RAG 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docker compose up -d --no-deps rag_backend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36"/>
          <w:szCs w:val="36"/>
          <w:rtl w:val="0"/>
        </w:rPr>
        <w:t xml:space="preserve">5. Riferimento API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bottom w:color="2e75b6" w:space="2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pBdr>
          <w:bottom w:color="2e75b6" w:space="4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5.1 Endpoint Disponibili</w:t>
      </w:r>
      <w:r w:rsidDel="00000000" w:rsidR="00000000" w:rsidRPr="00000000">
        <w:rPr>
          <w:rtl w:val="0"/>
        </w:rPr>
      </w:r>
    </w:p>
    <w:tbl>
      <w:tblPr>
        <w:tblStyle w:val="Table9"/>
        <w:tblW w:w="8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3000"/>
        <w:gridCol w:w="3400"/>
        <w:gridCol w:w="900"/>
        <w:tblGridChange w:id="0">
          <w:tblGrid>
            <w:gridCol w:w="1000"/>
            <w:gridCol w:w="3000"/>
            <w:gridCol w:w="3400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Stato del servizio e dipendenze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/metrics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Metriche Prometheus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/api/documents/upload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Carica e indicizza un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/api/documents/list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Lista documenti indicizzati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/api/documents/{id}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Rimuove documento dall'indice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/api/chat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Query RAG principale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/api/models/available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Lista modelli Ollama disponibili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/v1/chat/completions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Compatibilità API 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/docs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Swagger UI interattiva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120" w:before="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* In produzione, proteggere tramite autenticazione Nginx o middleware FastAPI.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pBdr>
          <w:bottom w:color="2e75b6" w:space="4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5.2 Upload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24"/>
          <w:szCs w:val="24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POST https://your-server/api/rag/documents/upload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Content-Type: multipart/form-data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file: &lt;binary&gt;           # File da indicizzare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collection_name: string  # Opzionale, default da 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24"/>
          <w:szCs w:val="24"/>
          <w:rtl w:val="0"/>
        </w:rPr>
        <w:t xml:space="preserve">Response 202 Accepted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  "doc_id":     "550e8400-e29b-41d4-a716-446655440000",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  "filename":   "policy_aziendale_2025.pdf",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  "size_bytes": 245760,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  "collection": "corporate_docs",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  "status":     "processing"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pBdr>
          <w:bottom w:color="2e75b6" w:space="4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5.3 Chat RAG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24"/>
          <w:szCs w:val="24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POST https://your-server/api/rag/chat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Content-Type: 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  "question":        "Qual è la policy per le ferie?",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  "model":           "gemma2:9b",     // opzionale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  "top_k":           5,               // opzionale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  "collection_name": "corporate_docs" // opzionale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24"/>
          <w:szCs w:val="24"/>
          <w:rtl w:val="0"/>
        </w:rPr>
        <w:t xml:space="preserve">Response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  "answer":           "Secondo il documento HR Policy 2025, 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  "model_used":       "gemma2:9b",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  "chunks_retrieved": 4,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  "latency_seconds":  3.24,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  "sources":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    { "filename": "hr_policy.pdf", "chunk_index": 12, "page": 3,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      "preview": "Le ferie annuali sono pari a 25 giorni lavorativi..."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36"/>
          <w:szCs w:val="36"/>
          <w:rtl w:val="0"/>
        </w:rPr>
        <w:t xml:space="preserve">6. Sicurezza e Hardening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bottom w:color="2e75b6" w:space="2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pBdr>
          <w:bottom w:color="2e75b6" w:space="4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6.1 Architettura di Sicurezza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40" w:before="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Lo stack implementa un approccio defense-in-depth con più livelli di protezione: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3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500"/>
        <w:gridCol w:w="1886"/>
        <w:tblGridChange w:id="0">
          <w:tblGrid>
            <w:gridCol w:w="2000"/>
            <w:gridCol w:w="4500"/>
            <w:gridCol w:w="18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Livello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Misura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Porte interne non esposte all'host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✅ Attivo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Reti Docker isolate (frontend/backend)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✅ Attivo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Trasporto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TLS 1.2/1.3 con cipher suite Mozilla Modern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✅ Attivo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Applicazione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Header sicurezza HTTP (X-Frame, CSP, HSTS)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✅ Attivo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Applicazione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Rate limiting per IP (30 req/min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✅ Attivo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Utente non-root nel container RAG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✅ Attivo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API Key Qdrant per accesso al vector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✅ Configurabile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Autenticazione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Open WebUI con login utente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✅ Configurabile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Logging strutturato JSON su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✅ Attivo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pBdr>
          <w:bottom w:color="2e75b6" w:space="4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6.2 Configurazione Nginx SSL/TLS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40" w:before="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Il file nginx.conf implementa la Mozilla Modern TLS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ssl_protocols TLSv1.2 TLSv1.3;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ssl_ciphers ECDHE-ECDSA-AES128-GCM-SHA256:ECDHE-RSA-AES128-GCM-SHA256:...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ssl_prefer_server_ciphers off;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ssl_session_cache shared:SSL:10m;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ssl_session_timeout 1d;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pBdr>
          <w:bottom w:color="2e75b6" w:space="4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6.3 Checklist Sicurezza Pre-Produzione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Modificare TUTTE le password nel file .env (QDRANT_API_KEY, WEBUI_SECRET_KEY)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Aggiungere .env e nginx/ssl/ al .gitignore (già presente nel boilerplate)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Impostare permessi restrittivi: chmod 600 .env nginx/ssl/server.key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Configurare UFW: aprire solo porte 22 (SSH), 80 (HTTP), 443 (HTTPS)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Bloccare porte interne: 6333 (Qdrant), 11434 (Ollama), 8000 (RAG), 8080 (WebUI)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Usare certificati Let's Encrypt in produzione (non self-signed)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Abilitare autenticazione Open WebUI: WEBUI_AUTH=true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Decommentare HSTS in nginx.conf dopo aver verificato il certificato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Installare e configurare fail2ban per protezione brute-force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Pianificare backup regolari dei volumi qdrant_data e rag_uploads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36"/>
          <w:szCs w:val="36"/>
          <w:rtl w:val="0"/>
        </w:rPr>
        <w:t xml:space="preserve">7. Guida al Deploy — Ubuntu + NVIDIA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bottom w:color="2e75b6" w:space="2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pBdr>
          <w:bottom w:color="2e75b6" w:space="4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7.1 Prerequisiti Hardware</w:t>
      </w:r>
      <w:r w:rsidDel="00000000" w:rsidR="00000000" w:rsidRPr="00000000">
        <w:rPr>
          <w:rtl w:val="0"/>
        </w:rPr>
      </w:r>
    </w:p>
    <w:tbl>
      <w:tblPr>
        <w:tblStyle w:val="Table11"/>
        <w:tblW w:w="83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00"/>
        <w:gridCol w:w="3386"/>
        <w:tblGridChange w:id="0">
          <w:tblGrid>
            <w:gridCol w:w="2500"/>
            <w:gridCol w:w="2500"/>
            <w:gridCol w:w="33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Consigliato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8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16+ 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32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64 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VRAM GPU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16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24 GB (RTX 3090/4090)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200 GB SSD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500 GB NVMe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Ubuntu 22.04 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Ubuntu 24.04 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11.8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12.3+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pBdr>
          <w:bottom w:color="2e75b6" w:space="4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7.2 Installazione Sequenziale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24"/>
          <w:szCs w:val="24"/>
          <w:rtl w:val="0"/>
        </w:rPr>
        <w:t xml:space="preserve">Step 1 — Driver NVIDIA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sudo apt update &amp;&amp; sudo apt upgrade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sudo ubuntu-drivers autoinstall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sudo reboot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nvidia-smi   # verifica dopo il riavvio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24"/>
          <w:szCs w:val="24"/>
          <w:rtl w:val="0"/>
        </w:rPr>
        <w:t xml:space="preserve">Step 2 — Docker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curl -fsSL https://get.docker.com |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sudo usermod -aG docker $USER &amp;&amp; newgrp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docker --version &amp;&amp; docker compose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24"/>
          <w:szCs w:val="24"/>
          <w:rtl w:val="0"/>
        </w:rPr>
        <w:t xml:space="preserve">Step 3 — NVIDIA Container Toolkit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curl -fsSL https://nvidia.github.io/libnvidia-container/gpgkey | sudo gpg --dearmor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  -o /usr/share/keyrings/nvidia-container-toolkit-keyring.gpg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sudo apt install nvidia-container-toolkit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sudo nvidia-ctk runtime configure --runtime=docker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sudo systemctl restart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# Test GPU in container: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docker run --rm --gpus all nvidia/cuda:12.3.0-base-ubuntu22.04 nvidia-smi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24"/>
          <w:szCs w:val="24"/>
          <w:rtl w:val="0"/>
        </w:rPr>
        <w:t xml:space="preserve">Step 4 — Configurazione e Avvio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cp .env.example .env &amp;&amp; nano 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mkdir -p nginx/ssl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openssl req -x509 -nodes -days 365 -newkey rsa:4096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  -keyout nginx/ssl/server.key -out nginx/ssl/server.crt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  -subj "/C=IT/ST=Italia/L=Roma/O=Azienda/CN=localhost"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docker compose build rag_backend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docker compose --env-file .env up -d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docker compose logs -f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pBdr>
          <w:bottom w:color="2e75b6" w:space="4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7.3 Verifica 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# Stato servizi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docker compose 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# Test healthcheck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curl -k https://localhost/api/rag/health | jq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# Test query RAG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curl -k -X POST https://localhost/api/rag/chat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  -H "Content-Type: application/json"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  -d '{"question": "test", "top_k": 3}' | jq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36"/>
          <w:szCs w:val="36"/>
          <w:rtl w:val="0"/>
        </w:rPr>
        <w:t xml:space="preserve">8. Monitoring e Operazioni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bottom w:color="2e75b6" w:space="2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pBdr>
          <w:bottom w:color="2e75b6" w:space="4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8.1 Metriche Prometheus Disponibili</w:t>
      </w:r>
      <w:r w:rsidDel="00000000" w:rsidR="00000000" w:rsidRPr="00000000">
        <w:rPr>
          <w:rtl w:val="0"/>
        </w:rPr>
      </w:r>
    </w:p>
    <w:tbl>
      <w:tblPr>
        <w:tblStyle w:val="Table12"/>
        <w:tblW w:w="93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1400"/>
        <w:gridCol w:w="4586"/>
        <w:tblGridChange w:id="0">
          <w:tblGrid>
            <w:gridCol w:w="3400"/>
            <w:gridCol w:w="1400"/>
            <w:gridCol w:w="45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rag_documents_uploaded_total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Documenti caricati (label: file_type)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rag_query_requests_total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Query RAG ricevute totali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rag_query_latency_seconds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Histogram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Distribuzione latenza query (bucket: 0.5s–60s)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rag_chunks_indexed_total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Chunk indicizzati su Qdrant totali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pBdr>
          <w:bottom w:color="2e75b6" w:space="4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8.2 Comandi Operativi Comuni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24"/>
          <w:szCs w:val="24"/>
          <w:rtl w:val="0"/>
        </w:rPr>
        <w:t xml:space="preserve">Log e diagnostica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docker compose logs -f rag_backend         # Log pipeline RAG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docker compose logs -f ollama | grep -i gpu # Verifica utilizzo GPU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watch -n 2 nvidia-smi                       # Monitor VRAM in tempo reale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24"/>
          <w:szCs w:val="24"/>
          <w:rtl w:val="0"/>
        </w:rPr>
        <w:t xml:space="preserve">Gestione modelli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docker compose exec ollama ollama list       # Lista modelli installati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docker compose exec ollama ollama pull mistral:7b  # Aggiunge nuovo modello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24"/>
          <w:szCs w:val="24"/>
          <w:rtl w:val="0"/>
        </w:rPr>
        <w:t xml:space="preserve">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sudo tar -czf backup_$(date +%Y%m%d).tar.gz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  /var/lib/docker/volumes/private-corporate-ai_qdrant_data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  /var/lib/docker/volumes/private-corporate-ai_rag_uploads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4f6f8" w:val="clear"/>
        <w:spacing w:after="0" w:before="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557"/>
          <w:sz w:val="18"/>
          <w:szCs w:val="18"/>
          <w:rtl w:val="0"/>
        </w:rPr>
        <w:t xml:space="preserve">  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pBdr>
          <w:bottom w:color="2e75b6" w:space="4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8.3 Troubleshooting</w:t>
      </w:r>
      <w:r w:rsidDel="00000000" w:rsidR="00000000" w:rsidRPr="00000000">
        <w:rPr>
          <w:rtl w:val="0"/>
        </w:rPr>
      </w:r>
    </w:p>
    <w:tbl>
      <w:tblPr>
        <w:tblStyle w:val="Table13"/>
        <w:tblW w:w="83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3986"/>
        <w:tblGridChange w:id="0">
          <w:tblGrid>
            <w:gridCol w:w="2200"/>
            <w:gridCol w:w="2200"/>
            <w:gridCol w:w="39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Causa Probabile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Soluzione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GPU non rilevata da 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nvidia-ctk non configurato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sudo nvidia-ctk runtime configure --runtime=docker &amp;&amp; sudo systemctl restart 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Modello non disponibile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Download non completato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docker compose exec ollama ollama pull &lt;model&gt;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Qdrant connection refused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Container non avviato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docker compose restart qdrant &amp;&amp; docker compose logs qdrant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Risposte lente (&gt;30s)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VRAM insufficiente o swap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Ridurre CHUNK_SIZE e TOP_K_RESULTS in .env; scegliere modello più piccolo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Upload fallisce (413)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File troppo grande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Ridurre dimensione file o aumentare client_max_body_size in nginx.conf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Certificato SSL non valido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Self-signed non trusted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Importare server.crt nelle CA del browser o sistema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36"/>
          <w:szCs w:val="36"/>
          <w:rtl w:val="0"/>
        </w:rPr>
        <w:t xml:space="preserve">9. Licenze Open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bottom w:color="2e75b6" w:space="2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40" w:before="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Tutti i componenti del progetto sono Open Source con licenze compatibili con l'uso commerciale: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3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1600"/>
        <w:gridCol w:w="2986"/>
        <w:tblGridChange w:id="0">
          <w:tblGrid>
            <w:gridCol w:w="2400"/>
            <w:gridCol w:w="1400"/>
            <w:gridCol w:w="1600"/>
            <w:gridCol w:w="29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Licenza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Uso Commerciale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✅ Permesso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github.com/ollama/ollama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Qdrant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Apache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✅ Permesso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github.com/qdrant/qdrant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Open WebUI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✅ Permesso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github.com/open-webui/open-webui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LangChain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✅ Permesso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github.com/langchain-ai/langchain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✅ Permesso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github.com/fastapi/fastapi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BSD-like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✅ Permesso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nginx.org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nomic-embed-text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Apache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✅ Permesso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huggingface.co/nomic-ai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gemma2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Gemma 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✅ (verificare)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ai.google.dev/gemma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Llama 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Llama 3 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✅ (&lt;700M MAU)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llama.meta.com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a623" w:space="0" w:sz="4" w:val="single"/>
              <w:left w:color="f5a623" w:space="0" w:sz="12" w:val="single"/>
              <w:bottom w:color="f5a623" w:space="0" w:sz="4" w:val="single"/>
              <w:right w:color="f5a623" w:space="0" w:sz="4" w:val="single"/>
            </w:tcBorders>
            <w:shd w:fill="fff4e0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225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557"/>
                <w:sz w:val="22"/>
                <w:szCs w:val="22"/>
                <w:rtl w:val="0"/>
              </w:rPr>
              <w:t xml:space="preserve">⚠️  Nota Legale sui Modelli LLM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 modelli base (gemma2, llama3, mistral) hanno licenze proprie separate dal software runtime.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Verificare sempre i termini di utilizzo del modello specifico scelto per il deploy commerciale.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Ollama (runtime) e LangChain (orchestrazione) sono MIT senza restrizioni.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557"/>
          <w:sz w:val="36"/>
          <w:szCs w:val="36"/>
          <w:rtl w:val="0"/>
        </w:rPr>
        <w:t xml:space="preserve">Appendice — Variabili d'Ambiente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bottom w:color="2e75b6" w:space="2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386"/>
        <w:tblGridChange w:id="0">
          <w:tblGrid>
            <w:gridCol w:w="3000"/>
            <w:gridCol w:w="2000"/>
            <w:gridCol w:w="43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LLM_MODEL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gemma2:9b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Modello Ollama per inferenza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EMBEDDING_MODEL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nomic-embed-text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Modello per vettori embedding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LLM_TEMPERATURE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Temperatura (0=deterministico)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LLM_CONTEXT_WINDOW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4096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Contesto in token del modello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QDRANT_HOST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qdrant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Hostname Qdrant (interno Docker)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QDRANT_PORT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6333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Porta REST Qdrant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QDRANT_API_KEY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changeme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Chiave API Qdrant (cambiare!)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QDRANT_COLLECTION_NAME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corporate_docs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Nome collezione vettoriale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CHUNK_SIZE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Dimensione chunk in caratteri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CHUNK_OVERLAP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Sovrapposizione tra chunk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TOP_K_RESULTS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Chunk recuperati per 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WEBUI_SECRET_KEY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changeme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Chiave segreta WebUI (cambiare!)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WEBUI_AUTH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Abilita login WebUI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LOG_LEVEL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DEBUG/INFO/WARNING/ERROR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Europe/Rome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8e8" w:space="0" w:sz="4" w:val="single"/>
              <w:left w:color="c8d8e8" w:space="0" w:sz="4" w:val="single"/>
              <w:bottom w:color="c8d8e8" w:space="0" w:sz="4" w:val="single"/>
              <w:right w:color="c8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Fuso orario del server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1">
    <w:pPr>
      <w:pBdr>
        <w:top w:color="2e75b6" w:space="2" w:sz="4" w:val="single"/>
      </w:pBdr>
      <w:spacing w:after="0" w:before="6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62">
    <w:pPr>
      <w:tabs>
        <w:tab w:val="center" w:leader="none" w:pos="4693"/>
        <w:tab w:val="right" w:leader="none" w:pos="9386"/>
      </w:tabs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Uso interno — Non distribuirePagina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7"/>
      <w:tblW w:w="93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5000"/>
      <w:gridCol w:w="4386"/>
      <w:tblGridChange w:id="0">
        <w:tblGrid>
          <w:gridCol w:w="5000"/>
          <w:gridCol w:w="4386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60.0" w:type="dxa"/>
            <w:left w:w="0.0" w:type="dxa"/>
            <w:bottom w:w="60.0" w:type="dxa"/>
            <w:right w:w="0.0" w:type="dxa"/>
          </w:tcMar>
        </w:tcPr>
        <w:p w:rsidR="00000000" w:rsidDel="00000000" w:rsidP="00000000" w:rsidRDefault="00000000" w:rsidRPr="00000000" w14:paraId="0000025E">
          <w:pPr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3557"/>
              <w:sz w:val="18"/>
              <w:szCs w:val="18"/>
              <w:rtl w:val="0"/>
            </w:rPr>
            <w:t xml:space="preserve">PRIVATE CORPORATE AI — Documentazione Tecnica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60.0" w:type="dxa"/>
            <w:left w:w="0.0" w:type="dxa"/>
            <w:bottom w:w="60.0" w:type="dxa"/>
            <w:right w:w="0.0" w:type="dxa"/>
          </w:tcMar>
        </w:tcPr>
        <w:p w:rsidR="00000000" w:rsidDel="00000000" w:rsidP="00000000" w:rsidRDefault="00000000" w:rsidRPr="00000000" w14:paraId="0000025F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666666"/>
              <w:sz w:val="18"/>
              <w:szCs w:val="18"/>
              <w:rtl w:val="0"/>
            </w:rPr>
            <w:t xml:space="preserve">v1.0.0 — CONFIDENZIALE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60">
    <w:pPr>
      <w:pBdr>
        <w:bottom w:color="2e75b6" w:space="2" w:sz="4" w:val="single"/>
      </w:pBdr>
      <w:spacing w:after="0" w:before="6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557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557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