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Arial" w:cs="Arial" w:eastAsia="Arial" w:hAnsi="Arial"/>
          <w:b/>
          <w:bCs/>
          <w:color w:val="1A3557"/>
          <w:sz w:val="72"/>
          <w:szCs w:val="72"/>
        </w:rPr>
        <w:t xml:space="preserve">PRIVATE CORPORATE AI</w:t>
      </w:r>
    </w:p>
    <w:p>
      <w:pPr>
        <w:spacing w:before="200" w:after="60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Stack Self-Hosted per PMI</w:t>
      </w:r>
    </w:p>
    <w:p>
      <w:pPr>
        <w:pBdr>
          <w:bottom w:val="single" w:color="2E75B6" w:sz="16" w:space="4"/>
        </w:pBdr>
      </w:pPr>
    </w:p>
    <w:p>
      <w:pPr>
        <w:spacing w:before="0" w:after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Versione</w:t>
            </w:r>
          </w:p>
        </w:tc>
        <w:tc>
          <w:tcPr>
            <w:tcW w:type="dxa" w:w="636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Classificazione</w:t>
            </w:r>
          </w:p>
        </w:tc>
        <w:tc>
          <w:tcPr>
            <w:tcW w:type="dxa" w:w="636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CONFIDENZIALE — USO INTERNO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Autore</w:t>
            </w:r>
          </w:p>
        </w:tc>
        <w:tc>
          <w:tcPr>
            <w:tcW w:type="dxa" w:w="636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Team Solutions Architecture &amp; DevOps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Data</w:t>
            </w:r>
          </w:p>
        </w:tc>
        <w:tc>
          <w:tcPr>
            <w:tcW w:type="dxa" w:w="636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Stato</w:t>
            </w:r>
          </w:p>
        </w:tc>
        <w:tc>
          <w:tcPr>
            <w:tcW w:type="dxa" w:w="636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Approvato — Produzione</w:t>
            </w:r>
          </w:p>
        </w:tc>
      </w:tr>
    </w:tbl>
    <w:p>
      <w:pPr>
        <w:spacing w:before="0" w:after="600"/>
      </w:pP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Stack: Ollama  •  Qdrant  •  LangChain  •  FastAPI  •  Open WebUI  •  Nginx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Indice dei Contenuti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1. Introduzione e Obiettivi</w:t>
      </w:r>
    </w:p>
    <w:p>
      <w:pPr>
        <w:pBdr>
          <w:bottom w:val="single" w:color="2E75B6" w:sz="6" w:space="2"/>
        </w:pBdr>
        <w:spacing w:before="200" w:after="200"/>
      </w:pP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Private Corporate AI è uno stack completamente self-hosted progettato per piccole e medie imprese (PMI) che necessitano di capacità di intelligenza artificiale avanzate senza compromettere la privacy dei dati aziendali. Tutti i componenti sono Open Source con licenza compatibile con l'uso commerciale (Apache 2.0 / MIT).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Problemi Risolti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Privacy dei dati: nessun documento aziendale lascia l'infrastruttura interna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Controllo totale: nessuna dipendenza da API cloud esterne (OpenAI, Google, Azure)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Costi prevedibili: nessun costo per token — il modello gira localmente su GPU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Customizzazione: pipeline RAG personalizzabile per ogni caso d'uso aziendale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Compliance: adatto a contesti con requisiti GDPR, ISO 27001, settore legale/medico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Capacità Principali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Chat con documenti aziendali (PDF, DOCX, TXT, XLSX, Markdown)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Ricerca semantica su knowledge base interna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Selezione dinamica del modello LLM per singola richiesta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API REST compatibile con il protocollo OpenAI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Interfaccia utente moderna con autenticazione</w:t>
      </w:r>
    </w:p>
    <w:p>
      <w:pPr>
        <w:pStyle w:val="ListParagraph"/>
        <w:numPr>
          <w:ilvl w:val="0"/>
          <w:numId w:val="2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Monitoring con metriche Prometheus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5A623" w:sz="1"/>
              <w:left w:val="single" w:color="F5A623" w:sz="12"/>
              <w:bottom w:val="single" w:color="F5A623" w:sz="1"/>
              <w:right w:val="single" w:color="F5A623" w:sz="1"/>
            </w:tcBorders>
            <w:shd w:fill="FFF4E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A3557"/>
                <w:sz w:val="22"/>
                <w:szCs w:val="22"/>
              </w:rPr>
              <w:t xml:space="preserve">⚠️  Nota di Classificazione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Questo documento contiene architetture, configurazioni e credenziali di esempio.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Classificazione: CONFIDENZIALE — Distribuzione limitata al personale tecnico autorizzato.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2. Architettura del Sistema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Diagramma dei Servizi</w:t>
      </w:r>
    </w:p>
    <w:p>
      <w:pPr>
        <w:spacing w:before="0" w:after="8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800"/>
        <w:gridCol w:w="1100"/>
        <w:gridCol w:w="1286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Livello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Servizio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Immagine Docker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Porta Int.</w:t>
            </w:r>
          </w:p>
        </w:tc>
        <w:tc>
          <w:tcPr>
            <w:tcW w:type="dxa" w:w="12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Licenza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Proxy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nginx:alpine</w:t>
            </w:r>
          </w:p>
        </w:tc>
        <w:tc>
          <w:tcPr>
            <w:tcW w:type="dxa" w:w="11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80/443</w:t>
            </w:r>
          </w:p>
        </w:tc>
        <w:tc>
          <w:tcPr>
            <w:tcW w:type="dxa" w:w="12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BSD-like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 WebUI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ghcr.io/open-webui/open-webui:main</w:t>
            </w:r>
          </w:p>
        </w:tc>
        <w:tc>
          <w:tcPr>
            <w:tcW w:type="dxa" w:w="11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8080</w:t>
            </w:r>
          </w:p>
        </w:tc>
        <w:tc>
          <w:tcPr>
            <w:tcW w:type="dxa" w:w="12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Backend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 Backend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custom (FastAPI + LangChain)</w:t>
            </w:r>
          </w:p>
        </w:tc>
        <w:tc>
          <w:tcPr>
            <w:tcW w:type="dxa" w:w="11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8000</w:t>
            </w:r>
          </w:p>
        </w:tc>
        <w:tc>
          <w:tcPr>
            <w:tcW w:type="dxa" w:w="12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Apache 2.0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Inference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ollama/ollama:latest</w:t>
            </w:r>
          </w:p>
        </w:tc>
        <w:tc>
          <w:tcPr>
            <w:tcW w:type="dxa" w:w="11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11434</w:t>
            </w:r>
          </w:p>
        </w:tc>
        <w:tc>
          <w:tcPr>
            <w:tcW w:type="dxa" w:w="12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Vector DB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qdrant/qdrant:latest</w:t>
            </w:r>
          </w:p>
        </w:tc>
        <w:tc>
          <w:tcPr>
            <w:tcW w:type="dxa" w:w="11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6333</w:t>
            </w:r>
          </w:p>
        </w:tc>
        <w:tc>
          <w:tcPr>
            <w:tcW w:type="dxa" w:w="12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Apache 2.0</w:t>
            </w:r>
          </w:p>
        </w:tc>
      </w:tr>
    </w:tbl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Flusso delle Reti Docker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 stack utilizza due reti interne isolate per minimizzare la superficie di attacco:</w:t>
      </w:r>
    </w:p>
    <w:p>
      <w:pPr>
        <w:spacing w:before="0" w:after="8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000"/>
        <w:gridCol w:w="2386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Servizi Connessi</w:t>
            </w:r>
          </w:p>
        </w:tc>
        <w:tc>
          <w:tcPr>
            <w:tcW w:type="dxa" w:w="23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frontend_net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172.20.0.0/24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Nginx, Open WebUI, RAG Backend</w:t>
            </w:r>
          </w:p>
        </w:tc>
        <w:tc>
          <w:tcPr>
            <w:tcW w:type="dxa" w:w="2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Traffico utente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backend_net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172.21.0.0/24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 Backend, Ollama, Qdrant</w:t>
            </w:r>
          </w:p>
        </w:tc>
        <w:tc>
          <w:tcPr>
            <w:tcW w:type="dxa" w:w="2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Traffico dati AI</w:t>
            </w:r>
          </w:p>
        </w:tc>
      </w:tr>
    </w:tbl>
    <w:p>
      <w:pPr>
        <w:spacing w:before="0" w:after="80"/>
      </w:pP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Nginx è l'unico servizio con porte esposte all'host (80 e 443). Tutti gli altri servizi comunicano esclusivamente attraverso le reti interne Docker.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Volumi Persistenti</w:t>
      </w:r>
    </w:p>
    <w:tbl>
      <w:tblPr>
        <w:tblW w:type="dxa" w:w="8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1800"/>
        <w:gridCol w:w="158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Dimensione Attesa</w:t>
            </w:r>
          </w:p>
        </w:tc>
        <w:tc>
          <w:tcPr>
            <w:tcW w:type="dxa" w:w="15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Backup Priorità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ollama_data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Modelli LLM scaricati</w:t>
            </w:r>
          </w:p>
        </w:tc>
        <w:tc>
          <w:tcPr>
            <w:tcW w:type="dxa" w:w="1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5–50 GB</w:t>
            </w:r>
          </w:p>
        </w:tc>
        <w:tc>
          <w:tcPr>
            <w:tcW w:type="dxa" w:w="1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Bassa (ricaricabili)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qdrant_data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Indice vettoriale + collezioni</w:t>
            </w:r>
          </w:p>
        </w:tc>
        <w:tc>
          <w:tcPr>
            <w:tcW w:type="dxa" w:w="1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100MB–5GB</w:t>
            </w:r>
          </w:p>
        </w:tc>
        <w:tc>
          <w:tcPr>
            <w:tcW w:type="dxa" w:w="1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webui_data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Utenti, chat history, config</w:t>
            </w:r>
          </w:p>
        </w:tc>
        <w:tc>
          <w:tcPr>
            <w:tcW w:type="dxa" w:w="1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10–500MB</w:t>
            </w:r>
          </w:p>
        </w:tc>
        <w:tc>
          <w:tcPr>
            <w:tcW w:type="dxa" w:w="1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rag_uploads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Documenti caricati dagli utenti</w:t>
            </w:r>
          </w:p>
        </w:tc>
        <w:tc>
          <w:tcPr>
            <w:tcW w:type="dxa" w:w="1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variabile</w:t>
            </w:r>
          </w:p>
        </w:tc>
        <w:tc>
          <w:tcPr>
            <w:tcW w:type="dxa" w:w="1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nginx_logs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 accessi ed errori</w:t>
            </w:r>
          </w:p>
        </w:tc>
        <w:tc>
          <w:tcPr>
            <w:tcW w:type="dxa" w:w="1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1–10GB</w:t>
            </w:r>
          </w:p>
        </w:tc>
        <w:tc>
          <w:tcPr>
            <w:tcW w:type="dxa" w:w="1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Media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3. Pipeline RAG — Dettaglio Tecnico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Flusso di Indicizzazione Documenti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Quando un documento viene caricato tramite API, viene avviato il seguente pipeline in background:</w:t>
      </w:r>
    </w:p>
    <w:p>
      <w:pPr>
        <w:spacing w:before="0" w:after="80"/>
      </w:pP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Upload — Il file (PDF/DOCX/TXT) viene ricevuto via HTTP multipart e salvato nel volume persistente rag_uploads con un UUID univoco come prefisso del nome.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Loading — Il DocumentLoader appropriato viene selezionato in base all'estensione: PyPDFLoader per PDF, Docx2txtLoader per DOCX, TextLoader per TXT/MD.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Chunking — RecursiveCharacterTextSplitter divide il testo in chunk sovrapposti. I separatori sono applicati in cascata: paragrafo → riga → frase → parola → carattere.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Arricchimento Metadati — Ogni chunk riceve metadati: doc_id, filename, chunk_index, total_chunks, page, indexed_at.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Embedding — OllamaEmbeddings genera un vettore denso per ogni chunk chiamando il modello di embedding configurato (default: nomic-embed-text, 768 dimensioni).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Indicizzazione — I vettori vengono inseriti in batch su Qdrant nella collezione configurata, con distance metric Cosine Similarity.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Flusso di Query RAG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Ricezione Query — L'utente invia una domanda via API /api/chat o /v1/chat/completions.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Embedding Query — La domanda viene trasformata nello stesso spazio vettoriale dei chunk.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Similarity Search — Qdrant recupera i TOP_K chunk più simili semanticamente con score_threshold=0.3 per filtrare risultati irrilevanti.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Context Assembly — I chunk recuperati vengono concatenati in un blocco di contesto strutturato.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Prompt Engineering — Il contesto viene iniettato nel prompt template italiano che vincola il modello a rispondere solo con le informazioni presenti nei documenti.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Inference LLM — Ollama genera la risposta utilizzando il modello configurato con temperatura bassa (0.1–0.3) per risposte fattuali.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Response — La risposta viene restituita insieme ai metadati delle fonti (filename, chunk_index, preview).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Parametri di Configurazione RAG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600"/>
        <w:gridCol w:w="418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41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Impatto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CHUNK_SIZE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1000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200–2000</w:t>
            </w:r>
          </w:p>
        </w:tc>
        <w:tc>
          <w:tcPr>
            <w:tcW w:type="dxa" w:w="41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Granularità contesto recuperato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CHUNK_OVERLAP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200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0–500</w:t>
            </w:r>
          </w:p>
        </w:tc>
        <w:tc>
          <w:tcPr>
            <w:tcW w:type="dxa" w:w="41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Continuità semantica tra chunk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TOP_K_RESULTS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1–20</w:t>
            </w:r>
          </w:p>
        </w:tc>
        <w:tc>
          <w:tcPr>
            <w:tcW w:type="dxa" w:w="41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Ampiezza del contesto fornito all'LLM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LLM_TEMPERATURE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0.2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0.0–1.0</w:t>
            </w:r>
          </w:p>
        </w:tc>
        <w:tc>
          <w:tcPr>
            <w:tcW w:type="dxa" w:w="41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Creatività vs. fedeltà alle fonti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score_threshold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0.3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0.0–1.0</w:t>
            </w:r>
          </w:p>
        </w:tc>
        <w:tc>
          <w:tcPr>
            <w:tcW w:type="dxa" w:w="41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Filtraggio risultati irrilevanti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4. Selezione e Configurazione Modelli LLM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Modelli Testati e Raccomandati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Il modello si configura tramite la variabile LLM_MODEL nel file .env. Il sistema scarica automaticamente il modello al primo avvio. È possibile usare modelli diversi per singola query tramite il campo model nel body della richiesta API.</w:t>
      </w:r>
    </w:p>
    <w:p>
      <w:pPr>
        <w:spacing w:before="0" w:after="8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200"/>
        <w:gridCol w:w="1200"/>
        <w:gridCol w:w="358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Modello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VRAM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Qualità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Velocità</w:t>
            </w:r>
          </w:p>
        </w:tc>
        <w:tc>
          <w:tcPr>
            <w:tcW w:type="dxa" w:w="35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Ideale Per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phi3:mini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~4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⚡⚡⚡⚡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Test, prototipazione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mistral:7b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~6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⚡⚡⚡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Uso generale, bilanciato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gemma2:9b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~8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⚡⚡⚡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ITA/ENG, RAG documentale ✅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llama3.1:8b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~6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⚡⚡⚡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Generale, multilingua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deepseek-r1:14b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~12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Ragionamento complesso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mixtral:8x7b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~26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 avanzato, MoE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llama3.1:70b</w:t>
            </w:r>
          </w:p>
        </w:tc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~48 GB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⭐⭐⭐⭐⭐</w:t>
            </w:r>
          </w:p>
        </w:tc>
        <w:tc>
          <w:tcPr>
            <w:tcW w:type="dxa" w:w="1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⚡</w:t>
            </w:r>
          </w:p>
        </w:tc>
        <w:tc>
          <w:tcPr>
            <w:tcW w:type="dxa" w:w="3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Massima qualità (multi-GPU)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CAF50" w:sz="1"/>
              <w:left w:val="single" w:color="4CAF50" w:sz="12"/>
              <w:bottom w:val="single" w:color="4CAF50" w:sz="1"/>
              <w:right w:val="single" w:color="4CAF50" w:sz="1"/>
            </w:tcBorders>
            <w:shd w:fill="E8F5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A3557"/>
                <w:sz w:val="22"/>
                <w:szCs w:val="22"/>
              </w:rPr>
              <w:t xml:space="preserve">✅  Raccomandazione per RTX 3090/4090 (24GB VRAM)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Modello consigliato: gemma2:9b — ottimo supporto italiano, buona qualità RAG, bassa latenza.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Alternativa per task complessi: deepseek-r1:14b — ragionamento avanzato, rientra nei 24GB.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Embedding: nomic-embed-text — leggero (274MB), multilingua, vettori 768D.</w:t>
            </w:r>
          </w:p>
        </w:tc>
      </w:tr>
    </w:tbl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Cambio Modello a Runtime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Il modello può essere cambiato per singola richiesta senza riavviare i servizi:</w:t>
      </w:r>
    </w:p>
    <w:p>
      <w:pPr>
        <w:spacing w:before="0" w:after="80"/>
      </w:pP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POST /api/chat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{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"question": "Analizza il contratto allegato",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"model": "deepseek-r1:14b",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"top_k": 8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}</w:t>
      </w:r>
    </w:p>
    <w:p>
      <w:pPr>
        <w:spacing w:before="0" w:after="80"/>
      </w:pP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Per cambiare il modello di default, modificare LLM_MODEL in .env e riavviare il RAG Backend: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up -d --no-deps rag_backend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5. Riferimento API REST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Endpoint Disponibili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400"/>
        <w:gridCol w:w="900"/>
      </w:tblGrid>
      <w:tr>
        <w:trPr>
          <w:tblHeader/>
        </w:trP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/health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Stato del servizio e dipendenze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/metrics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Metriche Prometheus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/api/documents/upload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Carica e indicizza un documento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No*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/api/documents/list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Lista documenti indicizzati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No*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/api/documents/{id}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Rimuove documento dall'indice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No*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/api/chat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Query RAG principale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No*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/api/models/available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Lista modelli Ollama disponibili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No*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/v1/chat/completions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Compatibilità API OpenAI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No*</w:t>
            </w:r>
          </w:p>
        </w:tc>
      </w:tr>
      <w:tr>
        <w:tc>
          <w:tcPr>
            <w:tcW w:type="dxa" w:w="1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/docs</w:t>
            </w:r>
          </w:p>
        </w:tc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Swagger UI interattiva</w:t>
            </w:r>
          </w:p>
        </w:tc>
        <w:tc>
          <w:tcPr>
            <w:tcW w:type="dxa" w:w="9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before="0" w:after="120"/>
        <w:ind w:left="4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* In produzione, proteggere tramite autenticazione Nginx o middleware FastAPI.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Upload Documento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Request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POST https://your-server/api/rag/documents/upload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Content-Type: multipart/form-data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/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file: &lt;binary&gt;           # File da indicizzare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collection_name: string  # Opzionale, default da .env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Response 202 Accepted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{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"doc_id":     "550e8400-e29b-41d4-a716-446655440000",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"filename":   "policy_aziendale_2025.pdf",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"size_bytes": 245760,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"collection": "corporate_docs",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"status":     "processing"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}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Chat RAG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Request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POST https://your-server/api/rag/chat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Content-Type: application/json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/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{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"question":        "Qual è la policy per le ferie?",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"model":           "gemma2:9b",     // opzionale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"top_k":           5,               // opzionale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"collection_name": "corporate_docs" // opzionale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}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Response 200 OK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{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"answer":           "Secondo il documento HR Policy 2025, ...",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"model_used":       "gemma2:9b",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"chunks_retrieved": 4,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"latency_seconds":  3.24,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"sources": [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  { "filename": "hr_policy.pdf", "chunk_index": 12, "page": 3,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    "preview": "Le ferie annuali sono pari a 25 giorni lavorativi..." }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]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6. Sicurezza e Hardening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Architettura di Sicurezza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 stack implementa un approccio defense-in-depth con più livelli di protezione:</w:t>
      </w:r>
    </w:p>
    <w:p>
      <w:pPr>
        <w:spacing w:before="0" w:after="80"/>
      </w:pPr>
    </w:p>
    <w:tbl>
      <w:tblPr>
        <w:tblW w:type="dxa" w:w="8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1886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Livello</w:t>
            </w:r>
          </w:p>
        </w:tc>
        <w:tc>
          <w:tcPr>
            <w:tcW w:type="dxa" w:w="4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18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Rete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Porte interne non esposte all'host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Rete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Reti Docker isolate (frontend/backend)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Trasporto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TLS 1.2/1.3 con cipher suite Mozilla Modern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Applicazione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Header sicurezza HTTP (X-Frame, CSP, HSTS)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Applicazione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Rate limiting per IP (30 req/min API)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Container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Utente non-root nel container RAG Backend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Dati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API Key Qdrant per accesso al vector DB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Configurabile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Autenticazione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 WebUI con login utente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Configurabile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</w:t>
            </w:r>
          </w:p>
        </w:tc>
        <w:tc>
          <w:tcPr>
            <w:tcW w:type="dxa" w:w="4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Logging strutturato JSON su Nginx</w:t>
            </w:r>
          </w:p>
        </w:tc>
        <w:tc>
          <w:tcPr>
            <w:tcW w:type="dxa" w:w="18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Attivo</w:t>
            </w:r>
          </w:p>
        </w:tc>
      </w:tr>
    </w:tbl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Configurazione Nginx SSL/TLS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Il file nginx.conf implementa la Mozilla Modern TLS Configuration: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ssl_protocols TLSv1.2 TLSv1.3;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ssl_ciphers ECDHE-ECDSA-AES128-GCM-SHA256:ECDHE-RSA-AES128-GCM-SHA256:...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ssl_prefer_server_ciphers off;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ssl_session_cache shared:SSL:10m;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ssl_session_timeout 1d;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6.3 Checklist Sicurezza Pre-Produzione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Modificare TUTTE le password nel file .env (QDRANT_API_KEY, WEBUI_SECRET_KEY)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Aggiungere .env e nginx/ssl/ al .gitignore (già presente nel boilerplate)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Impostare permessi restrittivi: chmod 600 .env nginx/ssl/server.key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Configurare UFW: aprire solo porte 22 (SSH), 80 (HTTP), 443 (HTTPS)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Bloccare porte interne: 6333 (Qdrant), 11434 (Ollama), 8000 (RAG), 8080 (WebUI)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Usare certificati Let's Encrypt in produzione (non self-signed)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Abilitare autenticazione Open WebUI: WEBUI_AUTH=true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Decommentare HSTS in nginx.conf dopo aver verificato il certificato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Installare e configurare fail2ban per protezione brute-force</w:t>
      </w:r>
    </w:p>
    <w:p>
      <w:pPr>
        <w:pStyle w:val="ListParagraph"/>
        <w:numPr>
          <w:ilvl w:val="0"/>
          <w:numId w:val="3"/>
        </w:num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Pianificare backup regolari dei volumi qdrant_data e rag_uploads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7. Guida al Deploy — Ubuntu + NVIDIA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Prerequisiti Hardware</w:t>
      </w:r>
    </w:p>
    <w:tbl>
      <w:tblPr>
        <w:tblW w:type="dxa" w:w="8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3386"/>
      </w:tblGrid>
      <w:tr>
        <w:trPr>
          <w:tblHeader/>
        </w:trP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Minimo</w:t>
            </w:r>
          </w:p>
        </w:tc>
        <w:tc>
          <w:tcPr>
            <w:tcW w:type="dxa" w:w="33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Consigliato</w:t>
            </w:r>
          </w:p>
        </w:tc>
      </w:tr>
      <w:tr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CPU</w:t>
            </w:r>
          </w:p>
        </w:tc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core</w:t>
            </w:r>
          </w:p>
        </w:tc>
        <w:tc>
          <w:tcPr>
            <w:tcW w:type="dxa" w:w="3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16+ core</w:t>
            </w:r>
          </w:p>
        </w:tc>
      </w:tr>
      <w:tr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RAM</w:t>
            </w:r>
          </w:p>
        </w:tc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32 GB</w:t>
            </w:r>
          </w:p>
        </w:tc>
        <w:tc>
          <w:tcPr>
            <w:tcW w:type="dxa" w:w="3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64 GB</w:t>
            </w:r>
          </w:p>
        </w:tc>
      </w:tr>
      <w:tr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VRAM GPU</w:t>
            </w:r>
          </w:p>
        </w:tc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16 GB</w:t>
            </w:r>
          </w:p>
        </w:tc>
        <w:tc>
          <w:tcPr>
            <w:tcW w:type="dxa" w:w="3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 GB (RTX 3090/4090)</w:t>
            </w:r>
          </w:p>
        </w:tc>
      </w:tr>
      <w:tr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Storage</w:t>
            </w:r>
          </w:p>
        </w:tc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200 GB SSD</w:t>
            </w:r>
          </w:p>
        </w:tc>
        <w:tc>
          <w:tcPr>
            <w:tcW w:type="dxa" w:w="3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500 GB NVMe</w:t>
            </w:r>
          </w:p>
        </w:tc>
      </w:tr>
      <w:tr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OS</w:t>
            </w:r>
          </w:p>
        </w:tc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Ubuntu 22.04 LTS</w:t>
            </w:r>
          </w:p>
        </w:tc>
        <w:tc>
          <w:tcPr>
            <w:tcW w:type="dxa" w:w="3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CUDA</w:t>
            </w:r>
          </w:p>
        </w:tc>
        <w:tc>
          <w:tcPr>
            <w:tcW w:type="dxa" w:w="25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11.8</w:t>
            </w:r>
          </w:p>
        </w:tc>
        <w:tc>
          <w:tcPr>
            <w:tcW w:type="dxa" w:w="3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12.3+</w:t>
            </w:r>
          </w:p>
        </w:tc>
      </w:tr>
    </w:tbl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Installazione Sequenziale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Step 1 — Driver NVIDIA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apt update &amp;&amp; sudo apt upgrade -y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ubuntu-drivers autoinstall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reboot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nvidia-smi   # verifica dopo il riavvio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Step 2 — Docker Engine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curl -fsSL https://get.docker.com | bash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usermod -aG docker $USER &amp;&amp; newgrp docker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--version &amp;&amp; docker compose version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Step 3 — NVIDIA Container Toolkit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curl -fsSL https://nvidia.github.io/libnvidia-container/gpgkey | sudo gpg --dearmor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-o /usr/share/keyrings/nvidia-container-toolkit-keyring.gpg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apt install nvidia-container-toolkit -y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nvidia-ctk runtime configure --runtime=docker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systemctl restart docker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# Test GPU in container: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run --rm --gpus all nvidia/cuda:12.3.0-base-ubuntu22.04 nvidia-smi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Step 4 — Configurazione e Avvio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cp .env.example .env &amp;&amp; nano .env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mkdir -p nginx/ssl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openssl req -x509 -nodes -days 365 -newkey rsa:4096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-keyout nginx/ssl/server.key -out nginx/ssl/server.crt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-subj "/C=IT/ST=Italia/L=Roma/O=Azienda/CN=localhost"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build rag_backend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--env-file .env up -d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logs -f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7.3 Verifica Deploy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# Stato servizi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ps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/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# Test healthcheck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curl -k https://localhost/api/rag/health | jq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/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# Test query RAG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curl -k -X POST https://localhost/api/rag/chat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-H "Content-Type: application/json"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-d '{"question": "test", "top_k": 3}' | jq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8. Monitoring e Operazioni</w:t>
      </w:r>
    </w:p>
    <w:p>
      <w:pPr>
        <w:pBdr>
          <w:bottom w:val="single" w:color="2E75B6" w:sz="6" w:space="2"/>
        </w:pBdr>
        <w:spacing w:before="200" w:after="20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8.1 Metriche Prometheus Disponibili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586"/>
      </w:tblGrid>
      <w:tr>
        <w:trPr>
          <w:tblHeader/>
        </w:trPr>
        <w:tc>
          <w:tcPr>
            <w:tcW w:type="dxa" w:w="3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5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rag_documents_uploaded_total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Counter</w:t>
            </w:r>
          </w:p>
        </w:tc>
        <w:tc>
          <w:tcPr>
            <w:tcW w:type="dxa" w:w="4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Documenti caricati (label: file_type)</w:t>
            </w:r>
          </w:p>
        </w:tc>
      </w:tr>
      <w:tr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rag_query_requests_total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Counter</w:t>
            </w:r>
          </w:p>
        </w:tc>
        <w:tc>
          <w:tcPr>
            <w:tcW w:type="dxa" w:w="4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Query RAG ricevute totali</w:t>
            </w:r>
          </w:p>
        </w:tc>
      </w:tr>
      <w:tr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rag_query_latency_seconds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Histogram</w:t>
            </w:r>
          </w:p>
        </w:tc>
        <w:tc>
          <w:tcPr>
            <w:tcW w:type="dxa" w:w="4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Distribuzione latenza query (bucket: 0.5s–60s)</w:t>
            </w:r>
          </w:p>
        </w:tc>
      </w:tr>
      <w:tr>
        <w:tc>
          <w:tcPr>
            <w:tcW w:type="dxa" w:w="3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rag_chunks_indexed_total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Counter</w:t>
            </w:r>
          </w:p>
        </w:tc>
        <w:tc>
          <w:tcPr>
            <w:tcW w:type="dxa" w:w="45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Chunk indicizzati su Qdrant totali</w:t>
            </w:r>
          </w:p>
        </w:tc>
      </w:tr>
    </w:tbl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8.2 Comandi Operativi Comuni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Log e diagnostica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logs -f rag_backend         # Log pipeline RAG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logs -f ollama | grep -i gpu # Verifica utilizzo GPU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watch -n 2 nvidia-smi                       # Monitor VRAM in tempo reale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Gestione modelli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exec ollama ollama list       # Lista modelli installati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docker compose exec ollama ollama pull mistral:7b  # Aggiunge nuovo modello</w:t>
      </w:r>
    </w:p>
    <w:p>
      <w:pPr>
        <w:spacing w:before="0"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3557"/>
          <w:sz w:val="24"/>
          <w:szCs w:val="24"/>
        </w:rPr>
        <w:t xml:space="preserve">Backup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sudo tar -czf backup_$(date +%Y%m%d).tar.gz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/var/lib/docker/volumes/private-corporate-ai_qdrant_data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/var/lib/docker/volumes/private-corporate-ai_rag_uploads \</w:t>
      </w:r>
    </w:p>
    <w:p>
      <w:pPr>
        <w:shd w:fill="F4F6F8" w:val="clear"/>
        <w:spacing w:before="0" w:after="0"/>
        <w:ind w:left="320" w:right="320"/>
      </w:pPr>
      <w:r>
        <w:rPr>
          <w:rFonts w:ascii="Courier New" w:cs="Courier New" w:eastAsia="Courier New" w:hAnsi="Courier New"/>
          <w:color w:val="1A3557"/>
          <w:sz w:val="18"/>
          <w:szCs w:val="18"/>
        </w:rPr>
        <w:t xml:space="preserve">  .env</w:t>
      </w:r>
    </w:p>
    <w:p>
      <w:pPr>
        <w:spacing w:before="0" w:after="80"/>
      </w:pPr>
    </w:p>
    <w:p>
      <w:pPr>
        <w:pStyle w:val="Heading2"/>
        <w:pBdr>
          <w:bottom w:val="single" w:color="2E75B6" w:sz="4" w:space="4"/>
        </w:pBdr>
        <w:spacing w:before="320" w:after="16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8.3 Troubleshooting</w:t>
      </w:r>
    </w:p>
    <w:tbl>
      <w:tblPr>
        <w:tblW w:type="dxa" w:w="8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398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Causa Probabile</w:t>
            </w:r>
          </w:p>
        </w:tc>
        <w:tc>
          <w:tcPr>
            <w:tcW w:type="dxa" w:w="39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Soluzione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GPU non rilevata da Ollama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nvidia-ctk non configurato</w:t>
            </w:r>
          </w:p>
        </w:tc>
        <w:tc>
          <w:tcPr>
            <w:tcW w:type="dxa" w:w="3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sudo nvidia-ctk runtime configure --runtime=docker &amp;&amp; sudo systemctl restart docker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Modello non disponibile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Download non completato</w:t>
            </w:r>
          </w:p>
        </w:tc>
        <w:tc>
          <w:tcPr>
            <w:tcW w:type="dxa" w:w="3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docker compose exec ollama ollama pull &lt;model&gt;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 connection refused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Container non avviato</w:t>
            </w:r>
          </w:p>
        </w:tc>
        <w:tc>
          <w:tcPr>
            <w:tcW w:type="dxa" w:w="3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docker compose restart qdrant &amp;&amp; docker compose logs qdrant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Risposte lente (&gt;30s)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VRAM insufficiente o swap</w:t>
            </w:r>
          </w:p>
        </w:tc>
        <w:tc>
          <w:tcPr>
            <w:tcW w:type="dxa" w:w="3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Ridurre CHUNK_SIZE e TOP_K_RESULTS in .env; scegliere modello più piccolo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Upload fallisce (413)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File troppo grande</w:t>
            </w:r>
          </w:p>
        </w:tc>
        <w:tc>
          <w:tcPr>
            <w:tcW w:type="dxa" w:w="3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Ridurre dimensione file o aumentare client_max_body_size in nginx.conf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Certificato SSL non valido</w:t>
            </w:r>
          </w:p>
        </w:tc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Self-signed non trusted</w:t>
            </w:r>
          </w:p>
        </w:tc>
        <w:tc>
          <w:tcPr>
            <w:tcW w:type="dxa" w:w="3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Importare server.crt nelle CA del browser o sistema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9. Licenze Open Source</w:t>
      </w:r>
    </w:p>
    <w:p>
      <w:pPr>
        <w:pBdr>
          <w:bottom w:val="single" w:color="2E75B6" w:sz="6" w:space="2"/>
        </w:pBdr>
        <w:spacing w:before="200" w:after="200"/>
      </w:pPr>
    </w:p>
    <w:p>
      <w:pPr>
        <w:spacing w:before="0" w:after="1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Tutti i componenti del progetto sono Open Source con licenze compatibili con l'uso commerciale:</w:t>
      </w:r>
    </w:p>
    <w:p>
      <w:pPr>
        <w:spacing w:before="0" w:after="80"/>
      </w:pPr>
    </w:p>
    <w:tbl>
      <w:tblPr>
        <w:tblW w:type="dxa" w:w="8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298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Licenza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Commerciale</w:t>
            </w:r>
          </w:p>
        </w:tc>
        <w:tc>
          <w:tcPr>
            <w:tcW w:type="dxa" w:w="29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Repository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Ollama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MIT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github.com/ollama/ollama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Apache 2.0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github.com/qdrant/qdrant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 WebUI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MIT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github.com/open-webui/open-webui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LangChain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MIT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github.com/langchain-ai/langchain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FastAPI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MIT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github.com/fastapi/fastapi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Nginx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BSD-like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nginx.org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nomic-embed-text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Apache 2.0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Permesso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huggingface.co/nomic-ai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gemma2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Gemma ToU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(verificare)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ai.google.dev/gemma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Llama 3.1</w:t>
            </w:r>
          </w:p>
        </w:tc>
        <w:tc>
          <w:tcPr>
            <w:tcW w:type="dxa" w:w="1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Llama 3 ToU</w:t>
            </w:r>
          </w:p>
        </w:tc>
        <w:tc>
          <w:tcPr>
            <w:tcW w:type="dxa" w:w="16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(&lt;700M MAU)</w:t>
            </w:r>
          </w:p>
        </w:tc>
        <w:tc>
          <w:tcPr>
            <w:tcW w:type="dxa" w:w="29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llama.meta.com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5A623" w:sz="1"/>
              <w:left w:val="single" w:color="F5A623" w:sz="12"/>
              <w:bottom w:val="single" w:color="F5A623" w:sz="1"/>
              <w:right w:val="single" w:color="F5A623" w:sz="1"/>
            </w:tcBorders>
            <w:shd w:fill="FFF4E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A3557"/>
                <w:sz w:val="22"/>
                <w:szCs w:val="22"/>
              </w:rPr>
              <w:t xml:space="preserve">⚠️  Nota Legale sui Modelli LLM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 modelli base (gemma2, llama3, mistral) hanno licenze proprie separate dal software runtime.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Verificare sempre i termini di utilizzo del modello specifico scelto per il deploy commerciale.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Ollama (runtime) e LangChain (orchestrazione) sono MIT senza restrizioni.</w:t>
            </w:r>
          </w:p>
        </w:tc>
      </w:tr>
    </w:tbl>
    <w:p>
      <w:pPr>
        <w:spacing w:before="0"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557"/>
          <w:sz w:val="36"/>
          <w:szCs w:val="36"/>
        </w:rPr>
        <w:t xml:space="preserve">Appendice — Variabili d'Ambiente</w:t>
      </w:r>
    </w:p>
    <w:p>
      <w:pPr>
        <w:pBdr>
          <w:bottom w:val="single" w:color="2E75B6" w:sz="6" w:space="2"/>
        </w:pBdr>
        <w:spacing w:before="200" w:after="20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86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Variabile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38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A355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LLM_MODEL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gemma2:9b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Modello Ollama per inferenza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EMBEDDING_MODEL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nomic-embed-text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Modello per vettori embedding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LLM_TEMPERATURE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0.2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Temperatura (0=deterministico)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LLM_CONTEXT_WINDOW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4096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Contesto in token del modello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QDRANT_HOST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Hostname Qdrant (interno Docker)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QDRANT_PORT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6333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 REST Qdrant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QDRANT_API_KEY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changeme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Chiave API Qdrant (cambiare!)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QDRANT_COLLECTION_NAME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corporate_docs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Nome collezione vettoriale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CHUNK_SIZE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1000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Dimensione chunk in caratteri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CHUNK_OVERLAP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200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Sovrapposizione tra chunk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TOP_K_RESULTS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Chunk recuperati per query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WEBUI_SECRET_KEY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changeme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Chiave segreta WebUI (cambiare!)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WEBUI_AUTH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true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Abilita login WebUI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LOG_LEVEL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INFO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DEBUG/INFO/WARNING/ERROR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TZ</w:t>
            </w:r>
          </w:p>
        </w:tc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Europe/Rome</w:t>
            </w:r>
          </w:p>
        </w:tc>
        <w:tc>
          <w:tcPr>
            <w:tcW w:type="dxa" w:w="4386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Fuso orario del server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2"/>
      </w:pBdr>
      <w:spacing w:before="60" w:after="0"/>
    </w:pPr>
  </w:p>
  <w:p>
    <w:pPr>
      <w:tabs>
        <w:tab w:val="center" w:pos="4693"/>
        <w:tab w:val="right" w:pos="9386"/>
      </w:tabs>
    </w:pPr>
    <w:r>
      <w:rPr>
        <w:rFonts w:ascii="Arial" w:cs="Arial" w:eastAsia="Arial" w:hAnsi="Arial"/>
        <w:color w:val="666666"/>
        <w:sz w:val="18"/>
        <w:szCs w:val="18"/>
      </w:rPr>
      <w:t xml:space="preserve">Uso interno — Non distribuire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Pagina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8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000"/>
      <w:gridCol w:w="4386"/>
    </w:tblGrid>
    <w:tr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r>
            <w:rPr>
              <w:rFonts w:ascii="Arial" w:cs="Arial" w:eastAsia="Arial" w:hAnsi="Arial"/>
              <w:b/>
              <w:bCs/>
              <w:color w:val="1A3557"/>
              <w:sz w:val="18"/>
              <w:szCs w:val="18"/>
            </w:rPr>
            <w:t xml:space="preserve">PRIVATE CORPORATE AI — Documentazione Tecnica</w:t>
          </w:r>
        </w:p>
      </w:tc>
      <w:tc>
        <w:tcPr>
          <w:tcW w:type="dxa" w:w="438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666666"/>
              <w:sz w:val="18"/>
              <w:szCs w:val="18"/>
            </w:rPr>
            <w:t xml:space="preserve">v1.0.0 — CONFIDENZIALE</w:t>
          </w:r>
        </w:p>
      </w:tc>
    </w:tr>
  </w:tbl>
  <w:p>
    <w:pPr>
      <w:pBdr>
        <w:bottom w:val="single" w:color="2E75B6" w:sz="4" w:space="2"/>
      </w:pBdr>
      <w:spacing w:before="6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3557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1A35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2026-03-05T13:42:31.658Z</dcterms:created>
  <dcterms:modified xsi:type="dcterms:W3CDTF">2026-03-05T13:42:31.659Z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