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Deep Learning vs. Machine Learning Clássico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na Predição de Evasão Estudantil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5B6B7B"/>
          <w:sz w:val="24"/>
          <w:szCs w:val="24"/>
        </w:rPr>
        <w:t xml:space="preserve">Um estudo comparativo com avaliação sem vazamento de dados</w:t>
      </w:r>
    </w:p>
    <w:p>
      <w:pPr>
        <w:spacing w:after="60" w:before="600"/>
        <w:jc w:val="center"/>
      </w:pPr>
      <w:r>
        <w:rPr>
          <w:rFonts w:ascii="Arial" w:cs="Arial" w:eastAsia="Arial" w:hAnsi="Arial"/>
          <w:sz w:val="22"/>
          <w:szCs w:val="22"/>
        </w:rPr>
        <w:t xml:space="preserve">Mestrado em Ciência de Dados e Inteligência Artificial (MCDIA) — IDP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Disciplina: Deep Learning · Modalidade 1 — Trabalho Individual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Aluno(a):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[seu nome]</w:t>
      </w:r>
    </w:p>
    <w:p>
      <w:pPr>
        <w:spacing w:after="60"/>
        <w:jc w:val="center"/>
      </w:pPr>
      <w:r>
        <w:rPr>
          <w:rFonts w:ascii="Arial" w:cs="Arial" w:eastAsia="Arial" w:hAnsi="Arial"/>
          <w:color w:val="5B6B7B"/>
          <w:sz w:val="22"/>
          <w:szCs w:val="22"/>
        </w:rPr>
        <w:t xml:space="preserve">Brasília, 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1. Contexto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evasão no ensino superior é um problema persistente e custoso. Para a instituição, representa perda de receita, ociosidade de vagas e queda em indicadores de qualidade; para o aluno, frustração e endividamento; para a sociedade, desperdício de investimento e redução de mobilidade social. Antecipar quais estudantes estão em risco de evadir — e por quê — permite acionar apoio pedagógico, financeiro e psicológico no momento em que ele ainda faz diferença.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Este trabalho aborda a evasão como uma tarefa de classificação supervisionada sobre o conjunto de dados público de Realinho et al. (2022), que registra a trajetória de 4.424 alunos do Instituto Politécnico de Portalegre (Portugal), matriculados entre 2008 e 2019. Cada aluno é rotulado, ao final da duração regular do curso, em uma de três classes: Dropout (evadiu), Enrolled (ainda matriculado) ou Graduate (formou-se).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2. Justificativa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O ponto de partida é o artigo de Villar &amp; de Andrade (2024), publicado na Discover Artificial Intelligence, que aplica um amplo conjunto de algoritmos de Machine Learning clássico (Decision Tree, SVM, Random Forest, Gradient Boosting, XGBoost, CatBoost e LightGBM) ao mesmo dataset, com balanceamento por SMOTE e otimização por Optuna. Os autores relatam que os algoritmos de boosting (CatBoost e LightGBM) atingem F1 entre 0,86 e 0,88.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O objetivo deste trabalho, conforme a Modalidade 1, é desenvolver um modelo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Deep Learning</w:t>
      </w:r>
      <w:r>
        <w:rPr>
          <w:rFonts w:ascii="Arial" w:cs="Arial" w:eastAsia="Arial" w:hAnsi="Arial"/>
          <w:sz w:val="22"/>
          <w:szCs w:val="22"/>
        </w:rPr>
        <w:t xml:space="preserve"> e verificar se ele consegue superar essas métricas. Como contribuição adicional, submetemos tanto os baselines clássicos quanto o modelo de DL a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protocolo de avaliação rigoroso e sem vazamento de dados</w:t>
      </w:r>
      <w:r>
        <w:rPr>
          <w:rFonts w:ascii="Arial" w:cs="Arial" w:eastAsia="Arial" w:hAnsi="Arial"/>
          <w:sz w:val="22"/>
          <w:szCs w:val="22"/>
        </w:rPr>
        <w:t xml:space="preserve">, o que permite julgar se os números publicados se sustentam sob condições metodológicas mais estritas.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3. Referencial Teórico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3.1 Domínio: evasão e mineração de dados educacionais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predição de evasão é um tema central da mineração de dados educacionais. Rastrollo-Guerrero et al. (2020), em revisão de cerca de 70 estudos, mostram que métodos supervisionados (SVM, árvores de decisão, Random Forest) dominam a literatura de predição de desempenho. Martins et al. (2021) introduzem a base usada aqui, propondo um sistema de alerta precoce no Instituto Politécnico de Portalegre, e Realinho et al. (2022) publicam o dataset de forma aberta. Niyogisubizo et al. (2022) demonstram ganhos com ensembles empilhados (Random Forest + XGBoost + redes neurais feed-forward) para evasão universitária. Villar &amp; de Andrade (2024) é o artigo-base que buscamos superar.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3.2 Técnica: Deep Learning em dados tabulares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Para dados tabulares, a aplicação de Deep Learning é menos trivial do que em imagens ou texto. Guo &amp; Berkhahn (2016) propõem entity embeddings, que representam variáveis categóricas como vetores densos aprendidos — técnica central da nossa arquitetura. Entretanto, Grinsztajn et al. (2022) e Shwartz-Ziv &amp; Armon (2022) documentam que modelos baseados em árvores (gradient boosting) ainda superam redes neurais na maioria dos problemas tabulares de porte moderado, devido a vieses indutivos mais adequados a variáveis heterogêneas. Arquiteturas especializadas como o TabNet (Arik &amp; Pfister, 2021) tentam fechar essa lacuna. Para o desbalanceamento, Chawla et al. (2002) introduzem o SMOTE, usado tanto no artigo-base quanto, de forma controlada (apenas no treino), neste trabalho.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4. Dados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O conjunto de dados (UCI Machine Learning Repository #697, licença CC BY 4.0) contém 4.424 registros e 34 variáveis preditoras, sem valores ausentes. As variáveis cobrem quatro grupos: demográficas (idade, gênero, estado civil, nacionalidade), socioeconômicas (escolaridade e ocupação dos pais, bolsa, situação de pagamento, devedor), macroeconômicas (taxa de desemprego, inflação, PIB) e acadêmicas (nota de admissão, modo de candidatura, unidades curriculares creditadas/matriculadas/aprovadas e notas no 1º e 2º semestres).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B6B7B"/>
          <w:sz w:val="18"/>
          <w:szCs w:val="18"/>
        </w:rPr>
        <w:t xml:space="preserve">Figura 1. Distribuição das classes (esquerda) e correlação entre variáveis acadêmicas (direita).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distribuição das classes é desbalanceada: Graduate 49,9% (2.209), Dropout 32,1% (1.421) e Enrolled 17,9% (794). A classe minoritária Enrolled é também a mais ambígua — corresponde a alunos ainda matriculados, sem desfecho definido —, o que a torna o principal gargalo de qualquer classificador. No notebook, os dados são lidos diretamente de um link público via pandas.read_csv, garantindo reprodutibilidade.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5. Metodologia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5.1 Protocolo de avaliação honesto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decisão metodológica central é separar treino, validação e teste antes de qualquer balanceamento. O artigo-base aplicou SMOTE sobre o conjunto completo e avaliou sobre dados reamostrados, o que provoca vazamento de informação (amostras sintéticas derivadas do teste influenciam o treino) e infla as métricas. Adotamos: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Divisão estratificada 70/15/15 (treino/validação/teste);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StandardScaler ajustado exclusivamente no conjunto de treino;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Pesos de classe e SMOTE aplicados somente no treino;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Baselines clássicos (Random Forest, XGBoost, LightGBM) reproduzidos no mesmo split, para uma comparação justa.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5.2 Arquitetura de Deep Learning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O modelo proposto é um Entity-Embedding MLP. As 18 variáveis categóricas recebem embeddings dedicados (dimensão proporcional à cardinalidade, limitada a 50), concatenados às 16 variáveis numéricas padronizadas. O vetor resultante passa por um MLP de camadas 256→128→64, cada uma com BatchNorm, ativação ReLU e Dropout(0,35), seguido de uma camada de saída com 3 unidades.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O treinamento usa CrossEntropyLoss ponderada por classe (com reforço adicional de 40% sobre a classe Enrolled) e label smoothing de 0,05; otimizador AdamW (lr=1e-3, weight_decay=1e-4); agendador ReduceLROnPlateau; e early stopping pelo macro-F1 de validação. Para reduzir a variância intrínseca às redes neurais, o modelo final é um ensemble de 5 sementes, cujas probabilidades são promediadas.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6. Resultados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Tabela 1 reúne os resultados sob o protocolo honesto e, na última linha, o melhor resultado publicado pelo artigo-base (obtido com SMOTE antes do split).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 1.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Desempenho no conjunto de teste (protocolo honesto, exceto a última linha).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180"/>
        <w:gridCol w:w="1180"/>
        <w:gridCol w:w="1180"/>
        <w:gridCol w:w="1140"/>
        <w:gridCol w:w="940"/>
      </w:tblGrid>
      <w:tr>
        <w:trPr>
          <w:tblHeader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 Dropout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 Enrolled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 Graduate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Macro-F1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AUC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0,82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0,47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0,88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0,722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0,910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XGBoost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0,81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0,56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0,87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0,747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0,910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LightGBM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0,80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0,53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0,87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0,735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0,904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Deep Learning (Emb-MLP ×5)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0,79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0,54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0,84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0,721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0,893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Artigo-base: CatBoost+Optuna*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0,88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0,84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0,86</w:t>
            </w:r>
          </w:p>
        </w:tc>
        <w:tc>
          <w:tcPr>
            <w:tcW w:type="dxa" w:w="11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0,86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7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B7B"/>
          <w:sz w:val="18"/>
          <w:szCs w:val="18"/>
        </w:rPr>
        <w:t xml:space="preserve">* Com SMOTE aplicado antes da divisão treino/teste (possível vazamento de dados).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B6B7B"/>
          <w:sz w:val="18"/>
          <w:szCs w:val="18"/>
        </w:rPr>
        <w:t xml:space="preserve">Figura 2. Macro-F1 no protocolo honesto. A linha tracejada marca o F1 publicado (0,86), obtido com vazamento.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Sob avaliação rigorosa, o melhor modelo é o XGBoost (macro-F1 0,747; AUC 0,910), seguido de perto pelos demais. O modelo de Deep Learning alcança macro-F1 0,721 e AUC 0,893 — competitivo, porém marginalmente inferior ao boosting. Em todas as métricas agregadas (macro-F1, F1 ponderado, acurácia e AUC), o gradient boosting mantém vantagem.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7. Impacto Concreto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Para uso operacional, o objetivo não é classificar perfeitamente as três classes, e sim identificar a tempo quem corre risco de evadir. Tratamos a probabilidade de Dropout estimada pelo modelo de DL como um score de risco binário (Dropout vs. resto). Nesse recorte, o modelo atinge AUC 0,923.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B6B7B"/>
          <w:sz w:val="18"/>
          <w:szCs w:val="18"/>
        </w:rPr>
        <w:t xml:space="preserve">Figura 3. Curva precisão-recall do alerta precoce de evasão (DL). AUC = 0,923.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Como o custo de um falso negativo (não sinalizar um aluno que evadirá) supera o de um falso positivo (oferecer apoio a quem não precisava), a probabilidade contínua permite ajustar o limiar de decisão conforme a política da instituição: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Limiar 0,50: recall 0,72 e precisão 0,90 — alta confiabilidade nos sinalizados;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Limiar 0,21: recall 0,85 e precisão 0,75 — modo intervenção, prioriza cobertura.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Essa flexibilidade é uma vantagem prática da abordagem baseada em probabilidades: cada ponto de recall adicional corresponde a um aluno em risco identificado a tempo de intervir.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8. Discussão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principal, apresentado com honestidade. </w:t>
      </w:r>
      <w:r>
        <w:rPr>
          <w:rFonts w:ascii="Arial" w:cs="Arial" w:eastAsia="Arial" w:hAnsi="Arial"/>
          <w:sz w:val="22"/>
          <w:szCs w:val="22"/>
        </w:rPr>
        <w:t xml:space="preserve">O modelo de Deep Learning não superou o Machine Learning clássico nas métricas agregadas: o boosting permanece à frente por margem pequena, porém consistente. Esse resultado é coerente com a literatura recente (Grinsztajn et al., 2022; Shwartz-Ziv &amp; Armon, 2022), que mostra que modelos baseados em árvores ainda dominam dados tabulares heterogêneos de porte moderado. Trata-se de um resultado negativo informativo: ele confirma, em um caso concreto, uma tendência teórica relevante.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Contribuição metodológica. </w:t>
      </w:r>
      <w:r>
        <w:rPr>
          <w:rFonts w:ascii="Arial" w:cs="Arial" w:eastAsia="Arial" w:hAnsi="Arial"/>
          <w:sz w:val="22"/>
          <w:szCs w:val="22"/>
        </w:rPr>
        <w:t xml:space="preserve">Os F1 de 0,86–0,88 reportados pelo artigo-base não se replicam sob avaliação sem vazamento. Ao aplicar SMOTE antes da divisão treino/teste, os autores superestimam o desempenho; reavaliando de forma rigorosa, o teto realista cai para cerca de 0,75 de macro-F1 para todos os métodos, inclusive os próprios algoritmos de boosting usados por eles. Estabelecer esse benchmark confiável é, possivelmente, a contribuição mais útil deste trabalho para quem pretenda usar tais números em decisões reais.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Onde o Deep Learning agrega valor. </w:t>
      </w:r>
      <w:r>
        <w:rPr>
          <w:rFonts w:ascii="Arial" w:cs="Arial" w:eastAsia="Arial" w:hAnsi="Arial"/>
          <w:sz w:val="22"/>
          <w:szCs w:val="22"/>
        </w:rPr>
        <w:t xml:space="preserve">No uso operacional (alerta precoce de evasão), o modelo entrega AUC 0,923 e probabilidades que permitem ajustar o limiar para priorizar recall — exatamente o comportamento desejável em um sistema de intervenção.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Limitações. </w:t>
      </w:r>
      <w:r>
        <w:rPr>
          <w:rFonts w:ascii="Arial" w:cs="Arial" w:eastAsia="Arial" w:hAnsi="Arial"/>
          <w:sz w:val="22"/>
          <w:szCs w:val="22"/>
        </w:rPr>
        <w:t xml:space="preserve">O estudo se baseia em um único dataset, de uma instituição e período específicos; a classe Enrolled é intrinsecamente ambígua e limita o teto de qualquer classificador (nenhum modelo ultrapassa F1≈0,56 nela); e os resultados derivam de uma única partição, sem intervalos de confiança. Há ainda riscos de equidade: variáveis socioeconômicas e de gênero podem induzir decisões enviesadas, e um sistema de alerta deve apoiar, nunca rotular ou penalizar alunos.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9. Conclusão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Comparamos um modelo de Deep Learning (Entity-Embedding MLP em ensemble) com algoritmos clássicos de Machine Learning na predição de evasão estudantil, sobre o dataset e a tarefa de Villar &amp; de Andrade (2024). Sob avaliação honesta, o Deep Learning mostrou-se competitivo (macro-F1 0,72; AUC 0,89), mas não superou o gradient boosting (macro-F1 0,75; AUC 0,91). A principal contribuição foi metodológica: evidenciar que as métricas publicadas estavam infladas por vazamento de dados e estabelecer um teto de desempenho realista. No plano aplicado, o modelo de DL se mostrou útil como sistema de alerta precoce, com AUC 0,923 e limiar ajustável para intervenção.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Como próximos passos, sugerem-se: validação cruzada repetida com intervalos de confiança; arquiteturas tabulares dedicadas (TabNet, FT-Transformer); calibração de probabilidades; e auditoria de equidade por gênero e situação socioeconômica.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10. Referências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ARIK, S. Ö.; PFISTER, T. TabNet: Attentive Interpretable Tabular Learning. Proceedings of the AAAI Conference on Artificial Intelligence, v. 35, n. 8, p. 6679–6687, 2021.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CHAWLA, N. V.; BOWYER, K. W.; HALL, L. O.; KEGELMEYER, W. P. SMOTE: Synthetic Minority Over-sampling Technique. Journal of Artificial Intelligence Research, v. 16, p. 321–357, 2002.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GRINSZTAJN, L.; OYALLON, E.; VAROQUAUX, G. Why do tree-based models still outperform deep learning on tabular data? Advances in Neural Information Processing Systems (NeurIPS), Datasets and Benchmarks Track, 2022.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GUO, C.; BERKHAHN, F. Entity Embeddings of Categorical Variables. arXiv:1604.06737, 2016.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MARTINS, M. V.; TOLLEDO, D.; MACHADO, J.; BAPTISTA, L. M. T.; REALINHO, V. Early Prediction of Student's Performance in Higher Education: A Case Study. In: Trends and Applications in Information Systems and Technologies, v. 9. Springer, 2021, p. 166–175.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NIYOGISUBIZO, J.; LIAO, L.; NZIYUMVA, E.; MURWANASHYAKA, E.; NSHIMYUMUKIZA, P. C. Predicting student's dropout in university classes using two-layer ensemble machine learning approach: a novel stacked generalization. Computers and Education: Artificial Intelligence, v. 3, 100066, 2022.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RASTROLLO-GUERRERO, J. L.; GÓMEZ-PULIDO, J. A.; DURÁN-DOMÍNGUEZ, A. Analyzing and Predicting Students' Performance by Means of Machine Learning: A Review. Applied Sciences, v. 10, n. 3, 1042, 2020.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REALINHO, V.; MACHADO, J.; BAPTISTA, L.; MARTINS, M. V. Predicting Student Dropout and Academic Success. Data, v. 7, n. 11, 146, 2022.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SHWARTZ-ZIV, R.; ARMON, A. Tabular data: Deep learning is not all you need. Information Fusion, v. 81, p. 84–90, 2022.</w:t>
      </w:r>
    </w:p>
    <w:p>
      <w:pPr>
        <w:spacing w:after="120"/>
        <w:ind w:left="480" w:hanging="480"/>
      </w:pPr>
      <w:r>
        <w:rPr>
          <w:rFonts w:ascii="Arial" w:cs="Arial" w:eastAsia="Arial" w:hAnsi="Arial"/>
          <w:sz w:val="20"/>
          <w:szCs w:val="20"/>
        </w:rPr>
        <w:t xml:space="preserve">VILLAR, A.; DE ANDRADE, C. R. V. Supervised machine learning algorithms for predicting student dropout and academic success: a comparative study. Discover Artificial Intelligence, v. 4, n. 1, art. 2, 2024.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</w:rPr>
        <w:t xml:space="preserve">11. Apêndice Técnico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11.1 Reprodutibilidade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Todo o pipeline está no notebook Evasao_DeepLearning_vs_ML.ipynb (executado, com saídas e figuras). Os dados são lidos diretamente de um link público. Sementes fixadas (NumPy e PyTorch = 42; ensemble com sementes 42, 7, 123, 2024, 99).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11.2 Ambiente e hiperparâmetros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Bibliotecas: Python 3.12, PyTorch, scikit-learn, XGBoost, LightGBM, imbalanced-learn, pandas, seaborn.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Split: 70% treino / 15% validação / 15% teste, estratificado.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MLP: camadas 256-128-64; Dropout 0,35; BatchNorm; AdamW lr=1e-3, weight_decay=1e-4; label smoothing 0,05; early stopping (paciência 20) por macro-F1 de validação; ensemble de 5 sementes.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Baselines: RF (400 árvores, class_weight balanced); XGBoost (500 árvores, max_depth 5, lr 0,05); LightGBM (600 árvores, num_leaves 31, lr 0,03, class_weight balanced).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1762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B6B7B"/>
          <w:sz w:val="18"/>
          <w:szCs w:val="18"/>
        </w:rPr>
        <w:t xml:space="preserve">Figura 4. Curva de treinamento do MLP (esquerda) e matriz de confusão no teste (direita).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</w:rPr>
        <w:t xml:space="preserve">11.3 Estrutura do repositório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Evasao_DeepLearning_vs_ML.ipynb — notebook executado;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dados_evasao.csv — cópia local do dataset;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figs/ — figuras geradas;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README.md, requirements.txt — instruções e dependências.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7C8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A1A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eb5962a9b08dfd903cda2ae447bba6fc34ed32.png"/><Relationship Id="rId8" Type="http://schemas.openxmlformats.org/officeDocument/2006/relationships/image" Target="media/a24673666ef5e8210eb91af1736487249339f454.png"/><Relationship Id="rId9" Type="http://schemas.openxmlformats.org/officeDocument/2006/relationships/image" Target="media/23a232608f225a8fcc6c9b971001ac03968a63e2.png"/><Relationship Id="rId10" Type="http://schemas.openxmlformats.org/officeDocument/2006/relationships/image" Target="media/025e3d13a774f9887d33380b68ae5f1654a9a38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2026-06-29T19:52:54.321Z</dcterms:created>
  <dcterms:modified xsi:type="dcterms:W3CDTF">2026-06-29T19:52:54.322Z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