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3B3486"/>
          <w:sz w:val="72"/>
          <w:szCs w:val="72"/>
        </w:rPr>
        <w:t xml:space="preserve">AIVRE</w:t>
      </w:r>
    </w:p>
    <w:p>
      <w:pPr>
        <w:spacing w:after="300"/>
        <w:jc w:val="center"/>
      </w:pPr>
      <w:r>
        <w:rPr>
          <w:color w:val="444444"/>
          <w:sz w:val="36"/>
          <w:szCs w:val="36"/>
        </w:rPr>
        <w:t xml:space="preserve">The AI-Native Appraisal Platform</w:t>
      </w:r>
    </w:p>
    <w:p>
      <w:pPr>
        <w:spacing w:after="120"/>
        <w:jc w:val="center"/>
      </w:pPr>
      <w:r>
        <w:rPr>
          <w:b/>
          <w:bCs/>
          <w:sz w:val="28"/>
          <w:szCs w:val="28"/>
        </w:rPr>
        <w:t xml:space="preserve">MASTER BUILD BRIEF — v2.0</w:t>
      </w:r>
    </w:p>
    <w:p>
      <w:pPr>
        <w:spacing w:after="600"/>
        <w:jc w:val="center"/>
      </w:pPr>
      <w:r>
        <w:rPr>
          <w:i/>
          <w:iCs/>
          <w:color w:val="666666"/>
          <w:sz w:val="24"/>
          <w:szCs w:val="24"/>
        </w:rPr>
        <w:t xml:space="preserve">From working v1 workspace to a production website appraisers can live in</w:t>
      </w:r>
    </w:p>
    <w:p>
      <w:pPr>
        <w:spacing w:after="80"/>
        <w:jc w:val="center"/>
      </w:pPr>
      <w:r>
        <w:rPr>
          <w:sz w:val="22"/>
          <w:szCs w:val="22"/>
        </w:rPr>
        <w:t xml:space="preserve">Drop this entire document into Claude Code as the project specification.</w:t>
      </w:r>
    </w:p>
    <w:p>
      <w:pPr>
        <w:spacing w:after="80"/>
        <w:jc w:val="center"/>
      </w:pPr>
      <w:r>
        <w:rPr>
          <w:color w:val="666666"/>
          <w:sz w:val="20"/>
          <w:szCs w:val="20"/>
        </w:rPr>
        <w:t xml:space="preserve">Prepared from the working perspective of a certified residential &amp; commercial appraiser</w:t>
      </w:r>
    </w:p>
    <w:p>
      <w:pPr>
        <w:jc w:val="center"/>
      </w:pPr>
      <w:r>
        <w:rPr>
          <w:color w:val="666666"/>
          <w:sz w:val="20"/>
          <w:szCs w:val="20"/>
        </w:rPr>
        <w:t xml:space="preserve">(fifty years in the field) who also ships software and runs AI in production.</w:t>
      </w:r>
    </w:p>
    <w:p>
      <w:pPr>
        <w:spacing w:before="400"/>
        <w:jc w:val="center"/>
      </w:pPr>
      <w:r>
        <w:rPr>
          <w:color w:val="888888"/>
          <w:sz w:val="20"/>
          <w:szCs w:val="20"/>
        </w:rPr>
        <w:t xml:space="preserve">July 10, 2026</w:t>
      </w:r>
    </w:p>
    <w:p>
      <w:r>
        <w:br w:type="page"/>
      </w:r>
    </w:p>
    <w:p>
      <w:pPr>
        <w:pStyle w:val="Heading1"/>
        <w:spacing w:after="16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888888"/>
          <w:sz w:val="18"/>
          <w:szCs w:val="18"/>
        </w:rPr>
        <w:t xml:space="preserve">(In Word: right-click the table and choose </w:t>
      </w:r>
      <w:r>
        <w:rPr>
          <w:b/>
          <w:bCs/>
          <w:i/>
          <w:iCs/>
          <w:color w:val="888888"/>
          <w:sz w:val="18"/>
          <w:szCs w:val="18"/>
        </w:rPr>
        <w:t xml:space="preserve">Update Field</w:t>
      </w:r>
      <w:r>
        <w:rPr>
          <w:i/>
          <w:iCs/>
          <w:color w:val="888888"/>
          <w:sz w:val="18"/>
          <w:szCs w:val="18"/>
        </w:rPr>
        <w:t xml:space="preserve"> to populate page numbers.)</w:t>
      </w:r>
    </w:p>
    <w:p>
      <w:r>
        <w:br w:type="page"/>
      </w:r>
    </w:p>
    <w:p>
      <w:pPr>
        <w:pStyle w:val="Heading1"/>
        <w:spacing w:after="160" w:before="320"/>
      </w:pPr>
      <w:r>
        <w:t xml:space="preserve">How to Use This Document</w:t>
      </w:r>
    </w:p>
    <w:p>
      <w:pPr>
        <w:spacing w:after="120"/>
      </w:pPr>
      <w:r>
        <w:t xml:space="preserve">This is a complete, self-contained specification. Paste it (or attach it) into Claude Code in the project root and say: “Build Phase 1 per the master brief.” Then proceed phase by phase. Each phase has its own acceptance criteria in Section 11 — do not start the next phase until the current one passes.</w:t>
      </w:r>
    </w:p>
    <w:p>
      <w:pPr>
        <w:pStyle w:val="ListParagraph"/>
        <w:numPr>
          <w:ilvl w:val="0"/>
          <w:numId w:val="2"/>
        </w:numPr>
        <w:spacing w:after="80"/>
      </w:pPr>
      <w:r>
        <w:rPr>
          <w:b/>
          <w:bCs/>
        </w:rPr>
        <w:t xml:space="preserve">Phase 0 is already done. </w:t>
      </w:r>
      <w:r>
        <w:t xml:space="preserve">A working v1 of the appraisal workspace exists in this repository and is inventoried in Section 3. The standing instruction to any coding agent is: EXTEND the existing code — never rebuild it, never regress its verified behaviors.</w:t>
      </w:r>
    </w:p>
    <w:p>
      <w:pPr>
        <w:pStyle w:val="ListParagraph"/>
        <w:numPr>
          <w:ilvl w:val="0"/>
          <w:numId w:val="2"/>
        </w:numPr>
        <w:spacing w:after="80"/>
      </w:pPr>
      <w:r>
        <w:rPr>
          <w:b/>
          <w:bCs/>
        </w:rPr>
        <w:t xml:space="preserve">Everything marked SEAM </w:t>
      </w:r>
      <w:r>
        <w:t xml:space="preserve">is an integration boundary: a typed interface with a mock behind it today, a real service later. The UI never knows the difference. Preserve this discipline in every phase.</w:t>
      </w:r>
    </w:p>
    <w:p>
      <w:pPr>
        <w:pStyle w:val="ListParagraph"/>
        <w:numPr>
          <w:ilvl w:val="0"/>
          <w:numId w:val="2"/>
        </w:numPr>
        <w:spacing w:after="80"/>
      </w:pPr>
      <w:r>
        <w:rPr>
          <w:b/>
          <w:bCs/>
        </w:rPr>
        <w:t xml:space="preserve">Everything in Section 10 (Guardrails) is non-negotiable. </w:t>
      </w:r>
      <w:r>
        <w:t xml:space="preserve">Those rules exist because licenses, E&amp;O premiums, and lender relationships depend on them. When a feature idea conflicts with a guardrail, the guardrail wins.</w:t>
      </w:r>
    </w:p>
    <w:p>
      <w:pPr>
        <w:pStyle w:val="Heading1"/>
        <w:spacing w:after="160" w:before="320"/>
      </w:pPr>
      <w:r>
        <w:t xml:space="preserve">1. Role &amp; Mission</w:t>
      </w:r>
    </w:p>
    <w:p>
      <w:pPr>
        <w:spacing w:after="120"/>
      </w:pPr>
      <w:r>
        <w:t xml:space="preserve">You are a senior product engineer building and extending Aivre: a web platform where certified residential appraisers (and supervised trainees) produce UAD 3.6 / dynamic-URAR mortgage appraisals that pass UCDP review on first submission, in materially less time than legacy form-fillers — with AI drafting the write-ups and the appraiser signing the opinion.</w:t>
      </w:r>
    </w:p>
    <w:p>
      <w:pPr>
        <w:spacing w:after="120"/>
      </w:pPr>
      <w:r>
        <w:t xml:space="preserve">The single sentence that governs every decision:</w:t>
      </w:r>
    </w:p>
    <w:p>
      <w:pPr>
        <w:spacing w:after="120"/>
      </w:pPr>
      <w:r>
        <w:rPr>
          <w:b/>
          <w:bCs/>
          <w:i/>
          <w:iCs/>
          <w:color w:val="3B3486"/>
          <w:sz w:val="26"/>
          <w:szCs w:val="26"/>
        </w:rPr>
        <w:t xml:space="preserve">“The AI does the typing. The appraiser does the appraising.”</w:t>
      </w:r>
    </w:p>
    <w:p>
      <w:pPr>
        <w:spacing w:after="120"/>
      </w:pPr>
      <w:r>
        <w:t xml:space="preserve">The product wins on three things, in this order: trust (provenance, audit, compliance), speed (keyboard-first, no spinners on local edits, one-click AI drafts), and defensibility (a workfile that survives a board complaint or a lender ROV five years later). Visual novelty is not on the list.</w:t>
      </w:r>
    </w:p>
    <w:p>
      <w:pPr>
        <w:pStyle w:val="Heading1"/>
        <w:spacing w:after="160" w:before="320"/>
      </w:pPr>
      <w:r>
        <w:t xml:space="preserve">2. Fifty Years of Hard Truths (Domain Doctrine)</w:t>
      </w:r>
    </w:p>
    <w:p>
      <w:pPr>
        <w:spacing w:after="120"/>
      </w:pPr>
      <w:r>
        <w:t xml:space="preserve">These are the field realities the software must be built around. They are ranked roughly by how expensive they are to violate.</w:t>
      </w:r>
    </w:p>
    <w:p>
      <w:pPr>
        <w:pStyle w:val="ListParagraph"/>
        <w:numPr>
          <w:ilvl w:val="0"/>
          <w:numId w:val="3"/>
        </w:numPr>
        <w:spacing w:after="80"/>
      </w:pPr>
      <w:r>
        <w:rPr>
          <w:b/>
          <w:bCs/>
        </w:rPr>
        <w:t xml:space="preserve">The signature is a personal license on the line. </w:t>
      </w:r>
      <w:r>
        <w:t xml:space="preserve">Under USPAP, the signing appraiser is solely responsible for the value opinion and everything in the report. AI may draft commentary, autofill data, flag inconsistencies, and suggest comps or adjustments — but it never sets or alters the opinion of value, an adjustment amount, or a C/Q rating without an explicit human accept. Every AI-originated value must be visibly attributed and one click to accept or reject. A tool that ghost-writes values will end careers, starting with the user’s and ending with the product’s.</w:t>
      </w:r>
    </w:p>
    <w:p>
      <w:pPr>
        <w:pStyle w:val="ListParagraph"/>
        <w:numPr>
          <w:ilvl w:val="0"/>
          <w:numId w:val="3"/>
        </w:numPr>
        <w:spacing w:after="80"/>
      </w:pPr>
      <w:r>
        <w:rPr>
          <w:b/>
          <w:bCs/>
        </w:rPr>
        <w:t xml:space="preserve">UAD 3.6 is a dataset, not a form. </w:t>
      </w:r>
      <w:r>
        <w:t xml:space="preserve">The dynamic URAR replaced the 1004/1073/2055 form zoo. One report type covers SFR, condo, co-op, 2–4 unit, and manufactured; sections turn on and off from subject and assignment characteristics. Model the data, derive the layout. Never ask the user to pick a form number.</w:t>
      </w:r>
    </w:p>
    <w:p>
      <w:pPr>
        <w:pStyle w:val="ListParagraph"/>
        <w:numPr>
          <w:ilvl w:val="0"/>
          <w:numId w:val="3"/>
        </w:numPr>
        <w:spacing w:after="80"/>
      </w:pPr>
      <w:r>
        <w:rPr>
          <w:b/>
          <w:bCs/>
        </w:rPr>
        <w:t xml:space="preserve">Revisions are where the margin dies. </w:t>
      </w:r>
      <w:r>
        <w:t xml:space="preserve">A typical revision request costs 30–90 minutes and lender goodwill. Most are predictable: unbracketed value opinions, over-guideline adjustments without support, stale or distant comps without comment, GLA inconsistencies, missing photos for a claimed condition. The live QC engine is the product’s core economic promise — catch these before delivery, not after.</w:t>
      </w:r>
    </w:p>
    <w:p>
      <w:pPr>
        <w:pStyle w:val="ListParagraph"/>
        <w:numPr>
          <w:ilvl w:val="0"/>
          <w:numId w:val="3"/>
        </w:numPr>
        <w:spacing w:after="80"/>
      </w:pPr>
      <w:r>
        <w:rPr>
          <w:b/>
          <w:bCs/>
        </w:rPr>
        <w:t xml:space="preserve">ANSI Z765-2021 is not optional. </w:t>
      </w:r>
      <w:r>
        <w:t xml:space="preserve">The GSEs require ANSI measurement for single-family subjects. Above-grade finished area is GLA; below-grade is reported separately no matter how nice the basement rec room is. Sketch totals and grid GLA must reconcile to the square foot, or the report is inconsistent on its face.</w:t>
      </w:r>
    </w:p>
    <w:p>
      <w:pPr>
        <w:pStyle w:val="ListParagraph"/>
        <w:numPr>
          <w:ilvl w:val="0"/>
          <w:numId w:val="3"/>
        </w:numPr>
        <w:spacing w:after="80"/>
      </w:pPr>
      <w:r>
        <w:rPr>
          <w:b/>
          <w:bCs/>
        </w:rPr>
        <w:t xml:space="preserve">The delivery target is a UCDP package. </w:t>
      </w:r>
      <w:r>
        <w:t xml:space="preserve">A ZIP containing the MISMO 3.6 XML data file, a human-readable PDF, and the property images. In practice the appraiser delivers to the lender/AMC, and the lender submits to UCDP/EAD — so build a flawless package and delivery workflow, not a direct GSE pipe.</w:t>
      </w:r>
    </w:p>
    <w:p>
      <w:pPr>
        <w:pStyle w:val="ListParagraph"/>
        <w:numPr>
          <w:ilvl w:val="0"/>
          <w:numId w:val="3"/>
        </w:numPr>
        <w:spacing w:after="80"/>
      </w:pPr>
      <w:r>
        <w:rPr>
          <w:b/>
          <w:bCs/>
        </w:rPr>
        <w:t xml:space="preserve">Provenance or nothing. </w:t>
      </w:r>
      <w:r>
        <w:t xml:space="preserve">Every autofilled or AI-suggested datum carries its source, timestamp, and confidence. Public record and MLS disagree constantly (county says 1,850 sf; MLS bragged 2,100). The appraiser resolves conflicts; the software remembers who said what and when. Nothing is ever silently overwritten — the audit trail is append-only.</w:t>
      </w:r>
    </w:p>
    <w:p>
      <w:pPr>
        <w:pStyle w:val="ListParagraph"/>
        <w:numPr>
          <w:ilvl w:val="0"/>
          <w:numId w:val="3"/>
        </w:numPr>
        <w:spacing w:after="80"/>
      </w:pPr>
      <w:r>
        <w:rPr>
          <w:b/>
          <w:bCs/>
        </w:rPr>
        <w:t xml:space="preserve">The workfile is the appraiser’s alibi. </w:t>
      </w:r>
      <w:r>
        <w:t xml:space="preserve">USPAP’s Record Keeping Rule: retain the workfile at least five years, or two years after final disposition of any proceeding, whichever is longer. Everything — data, sources, AI suggestions accepted AND rejected, sign-offs — must export as a complete workfile. Rejected suggestions matter: they prove the appraiser exercised judgment.</w:t>
      </w:r>
    </w:p>
    <w:p>
      <w:pPr>
        <w:pStyle w:val="ListParagraph"/>
        <w:numPr>
          <w:ilvl w:val="0"/>
          <w:numId w:val="3"/>
        </w:numPr>
        <w:spacing w:after="80"/>
      </w:pPr>
      <w:r>
        <w:rPr>
          <w:b/>
          <w:bCs/>
        </w:rPr>
        <w:t xml:space="preserve">Trainees work under a license that is not theirs. </w:t>
      </w:r>
      <w:r>
        <w:t xml:space="preserve">Supervisory appraisers sign for trainee work. The platform must route trainee reports through supervisor review before anything leaves the building. This is a workflow gate, not a checkbox.</w:t>
      </w:r>
    </w:p>
    <w:p>
      <w:pPr>
        <w:pStyle w:val="ListParagraph"/>
        <w:numPr>
          <w:ilvl w:val="0"/>
          <w:numId w:val="3"/>
        </w:numPr>
        <w:spacing w:after="80"/>
      </w:pPr>
      <w:r>
        <w:rPr>
          <w:b/>
          <w:bCs/>
        </w:rPr>
        <w:t xml:space="preserve">Appraisers live in two places: two monitors and a phone in a crawlspace. </w:t>
      </w:r>
      <w:r>
        <w:t xml:space="preserve">Desktop: dense, keyboard-first, minimal modal interruptions. Field: one-handed phone use with gloves on — big targets, photo capture with instant labeling, quick C/Q entry. Both are first-class.</w:t>
      </w:r>
    </w:p>
    <w:p>
      <w:pPr>
        <w:pStyle w:val="ListParagraph"/>
        <w:numPr>
          <w:ilvl w:val="0"/>
          <w:numId w:val="3"/>
        </w:numPr>
        <w:spacing w:after="80"/>
      </w:pPr>
      <w:r>
        <w:rPr>
          <w:b/>
          <w:bCs/>
        </w:rPr>
        <w:t xml:space="preserve">AI in valuation has one mortal sin: fabrication. </w:t>
      </w:r>
      <w:r>
        <w:t xml:space="preserve">A model that invents a comp, a flood zone, or a market trend is worse than no model. Every generation must be grounded in the report’s structured data, must cite the fields it used, and must say “insufficient data” rather than improvise. Where the data is thin, the right output is a question for the appraiser, not a guess.</w:t>
      </w:r>
    </w:p>
    <w:p>
      <w:r>
        <w:br w:type="page"/>
      </w:r>
    </w:p>
    <w:p>
      <w:pPr>
        <w:pStyle w:val="Heading1"/>
        <w:spacing w:after="160" w:before="320"/>
      </w:pPr>
      <w:r>
        <w:t xml:space="preserve">3. What Is Already Built (Phase 0 — Complete v1 Inventory)</w:t>
      </w:r>
    </w:p>
    <w:p>
      <w:pPr>
        <w:spacing w:after="120"/>
      </w:pPr>
      <w:r>
        <w:rPr>
          <w:b/>
          <w:bCs/>
        </w:rPr>
        <w:t xml:space="preserve">Standing instruction: this code exists and works. Extend it; do not rebuild it. </w:t>
      </w:r>
      <w:r>
        <w:t xml:space="preserve">All six v1 acceptance criteria were verified live in a browser: QC click-to-navigate and live recompute; AI suggestions with cited sources landing only on accept; dynamic URAR sections per property type with no form switch; the full trainee → supervisor sign-off → build flow; the mobile inspection view at 375px; zero console errors; clean production build.</w:t>
      </w:r>
    </w:p>
    <w:p>
      <w:pPr>
        <w:pStyle w:val="Heading2"/>
        <w:spacing w:after="120" w:before="240"/>
      </w:pPr>
      <w:r>
        <w:t xml:space="preserve">3.1 Stack &amp; Architecture</w:t>
      </w:r>
    </w:p>
    <w:p>
      <w:pPr>
        <w:pStyle w:val="ListParagraph"/>
        <w:numPr>
          <w:ilvl w:val="0"/>
          <w:numId w:val="2"/>
        </w:numPr>
        <w:spacing w:after="80"/>
      </w:pPr>
      <w:r>
        <w:t xml:space="preserve">Next.js 15 (App Router) + React 19 + TypeScript (strict) + Tailwind CSS 4 + Zustand 5. Node 25 on the dev machine.</w:t>
      </w:r>
    </w:p>
    <w:p>
      <w:pPr>
        <w:pStyle w:val="ListParagraph"/>
        <w:numPr>
          <w:ilvl w:val="0"/>
          <w:numId w:val="2"/>
        </w:numPr>
        <w:spacing w:after="80"/>
      </w:pPr>
      <w:r>
        <w:t xml:space="preserve">No business logic in components. Domain logic lives in typed libraries; QC and completeness are pure derived functions recomputed from the report object on every store change — they are never stored state.</w:t>
      </w:r>
    </w:p>
    <w:p>
      <w:pPr>
        <w:pStyle w:val="ListParagraph"/>
        <w:numPr>
          <w:ilvl w:val="0"/>
          <w:numId w:val="2"/>
        </w:numPr>
        <w:spacing w:after="80"/>
      </w:pPr>
      <w:r>
        <w:t xml:space="preserve">All external capabilities sit behind five service interfaces with typed mocks (Section 3.6). The UI is already written against those interfaces.</w:t>
      </w:r>
    </w:p>
    <w:p>
      <w:pPr>
        <w:pStyle w:val="ListParagraph"/>
        <w:numPr>
          <w:ilvl w:val="0"/>
          <w:numId w:val="2"/>
        </w:numPr>
        <w:spacing w:after="80"/>
      </w:pPr>
      <w:r>
        <w:t xml:space="preserve">v1 state is in-memory and seeded per page load (deliberate — kept hydration trivial before a backend existed). Phase 2 replaces the seed with persistence WITHOUT changing component code: the store’s action signatures are the contract.</w:t>
      </w:r>
    </w:p>
    <w:p>
      <w:pPr>
        <w:pStyle w:val="Heading2"/>
        <w:spacing w:after="120" w:before="240"/>
      </w:pPr>
      <w:r>
        <w:t xml:space="preserve">3.2 Screens &amp; Verified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Screen / Route</w:t>
            </w:r>
          </w:p>
        </w:tc>
        <w:tc>
          <w:tcPr>
            <w:tcW w:type="dxa" w:w="66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What it does (verified)</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Orders dashboard — /</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Dense sortable/filterable table; ↑/↓ + Enter keyboard navigation; live compliance dot per order (red = blockers, amber = warnings, green = clean) derived from the QC engine; due-today / overdue / ready counts; per-order completeness %.</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Report workspace — /orders/[id]</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Left rail of dynamic-URAR sections with per-section issue badges and ◆ inclusion reasons; top status bar with completeness %, B/W counts, and a primary CTA that always names the next blocking action (“Resolve 3 issues” → “Generate commentary” → “Build UCDP package”); always-on QC panel (click-to-navigate with field flash, per-issue AI “Explain”); collapsible AI assistant drawer with pending-suggestion count.</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 grid (Sales Comparison section)</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Subject first column, comps across, UAD attributes down; inline adjustment cells with draft-commit editing; Enter commits and moves down, Ctrl+arrows move between cells; live net/gross/adjusted-price rows with threshold coloring; per-comp guideline flags (distance, sale age, GLA delta, line/net/gross limits); “Find comps” returns ranked candidates with scores and rationale that the appraiser adds explicitly.</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Subject intake / Improvements / dynamic sections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Generic renderer driven by the UAD field registry; provenance chip on every machine-populated field (source · age · confidence tooltip); one-click “Autofill from public record”; C1–C6 / Q1–Q6 segmented controls with inline UAD definitions; MISMO data-point IDs shown on wide screens.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Adjustments workspace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Per-attribute basis + justification (flows to commentary and workfile); per-comp amount summary; “Suggest adjustments (AI)” produces pending suggestion cards with delta math, rationale, and cited fields — comps already human-adjusted are skipped.</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Commentary</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Four narrative blocks (Neighborhood, Market Conditions, Improvements, Reconciliation); “Draft with AI” generates strictly from structured fields, lands as a pending suggestion with sources, only fills the block on Accept; human edits re-stamp provenance to Appraiser.</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Reconciliation</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Live adjusted-comp range; indicated + final value inputs; out-of-range warning inline and in QC.</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Photos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Capture/import, kind + label editing, AI label as accept/reject suggestion; QC ties photo evidence to claimed condition ratings.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Workfile / Audit</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Append-only audit table (every autofill, edit, accept/reject, sign-off event); one-click workfile JSON export.</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Export (UCDP)</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Preflight checklist (XML-complete, PDF, image folder, warnings, sign-off); Build button hard-disabled while blockers exist or trainee lacks approval; mock build returns a package manifest and advances status.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Mobile inspection — /orders/[id]/inspect</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One-handed field mode: photo capture chips by kind, big C/Q rating buttons with definitions, GLA/rooms quick entry, sketch notes, “Start inspection” stamps the effective date, bottom action bar.</w:t>
            </w:r>
          </w:p>
        </w:tc>
      </w:tr>
    </w:tbl>
    <w:p>
      <w:pPr>
        <w:spacing w:after="120"/>
      </w:pPr>
    </w:p>
    <w:p>
      <w:pPr>
        <w:pStyle w:val="Heading2"/>
        <w:spacing w:after="120" w:before="240"/>
      </w:pPr>
      <w:r>
        <w:t xml:space="preserve">3.3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Path</w:t>
            </w:r>
          </w:p>
        </w:tc>
        <w:tc>
          <w:tcPr>
            <w:tcW w:type="dxa" w:w="62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Responsibility</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lib/types.ts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UAD 3.6-native domain model. Sourced&lt;T&gt; (value + Provenance) on every machine-populatable field; AISuggestion lifecycle (pending/accepted/rejected); QCIssue; append-only AuditEntry; Signoff; AppraisalReport aggregate.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lib/uad/fields.ts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single source of truth: UAD field registry (label, type, required, appliesTo property types, MISMO ID) driving intake forms, required-field blockers, and completeness; C/Q rating definitions; deriveSections() for the dynamic URAR; GUIDELINES constants (min 3 settled comps, 1.0 mi, 12 mo, 20% GLA delta, 15% net / 25% gross / 10% line, 6 photos).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lib/qc/rules.ts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Pure rules engine → QCIssue[] (Blocker/Warning/Note) + complianceHealth + completenessPct. Full catalog in Section 3.5.</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lib/comp.ts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Adjustment attribute catalog (URAR grid order); net/gross/adjusted math; guideline flags; adjusted value range. All synchronous.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lib/store.ts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Zustand store: users/tenant/reports; every mutation appends an audit entry; acceptSuggestion applies by target kind (subject field, adjustment, basis, commentary, photo label); useCurrentUser()/useTenant() auth stubs (SEAM).</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lib/seed.ts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Five demo orders spanning the dynamic URAR and pipeline stages (Section 3.7).</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lib/services/*.ts</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five SEAMs with typed mocks (Section 3.6).</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components/ui.tsx</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StatusDot, SeverityBadge, ProvenanceChip (the trust chip), Button, Spinner.</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components/workspace/*</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FieldsSection (registry-driven), CompGrid, AdjustmentsSection, CommentarySection, PhotosSection, ExportSection, QCPanel, AIDrawer, SuggestionCard (the one-click accept/reject primitive), MiscSections (assignment, ANSI sketch, reconciliation, workfile).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app/page.tsx · app/orders/[id]/page.tsx · app/orders/[id]/inspect/page.tsx</w:t>
            </w:r>
          </w:p>
        </w:tc>
        <w:tc>
          <w:tcPr>
            <w:tcW w:type="dxa" w:w="6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Dashboard · workspace shell · mobile inspection.</w:t>
            </w:r>
          </w:p>
        </w:tc>
      </w:tr>
    </w:tbl>
    <w:p>
      <w:pPr>
        <w:spacing w:after="120"/>
      </w:pPr>
    </w:p>
    <w:p>
      <w:pPr>
        <w:pStyle w:val="Heading2"/>
        <w:spacing w:after="120" w:before="240"/>
      </w:pPr>
      <w:r>
        <w:t xml:space="preserve">3.4 Data Model (shape summary)</w:t>
      </w:r>
    </w:p>
    <w:p>
      <w:pPr>
        <w:spacing w:after="120"/>
      </w:pPr>
      <w:r>
        <w:rPr>
          <w:rFonts w:ascii="Consolas" w:cs="Consolas" w:eastAsia="Consolas" w:hAnsi="Consolas"/>
          <w:b/>
          <w:bCs/>
          <w:sz w:val="20"/>
          <w:szCs w:val="20"/>
        </w:rPr>
        <w:t xml:space="preserve">AppraisalReport</w:t>
      </w:r>
      <w:r>
        <w:t xml:space="preserve"> = { assignment, subject, comps[], adjustmentBases[], reconciliation, commentary[], photos[], suggestions[], audit[] (append-only), signoff }. Subject fields are </w:t>
      </w:r>
      <w:r>
        <w:rPr>
          <w:rFonts w:ascii="Consolas" w:cs="Consolas" w:eastAsia="Consolas" w:hAnsi="Consolas"/>
          <w:sz w:val="20"/>
          <w:szCs w:val="20"/>
        </w:rPr>
        <w:t xml:space="preserve">Sourced&lt;T&gt; = { value, provenance: { source: PublicRecord | MLS | AI | Appraiser | Inspection, timestamp, confidence?, detail? } }</w:t>
      </w:r>
      <w:r>
        <w:t xml:space="preserve">. Comparables carry their own provenance (MLS listing ID) and an adjustments array with per-line source. AI output is ALWAYS an </w:t>
      </w:r>
      <w:r>
        <w:rPr>
          <w:rFonts w:ascii="Consolas" w:cs="Consolas" w:eastAsia="Consolas" w:hAnsi="Consolas"/>
          <w:sz w:val="20"/>
          <w:szCs w:val="20"/>
        </w:rPr>
        <w:t xml:space="preserve">AISuggestion { target, value, display, rationale, sourcesUsed[], status }</w:t>
      </w:r>
      <w:r>
        <w:t xml:space="preserve"> until accepted. The product variant label (“URAR — Condominium”) is derived from the subject, never chosen.</w:t>
      </w:r>
    </w:p>
    <w:p>
      <w:pPr>
        <w:pStyle w:val="Heading2"/>
        <w:spacing w:after="120" w:before="240"/>
      </w:pPr>
      <w:r>
        <w:t xml:space="preserve">3.5 QC Rules Catalog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Severity</w:t>
            </w:r>
          </w:p>
        </w:tc>
        <w:tc>
          <w:tcPr>
            <w:tcW w:type="dxa" w:w="79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Rule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Blocker</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Any required UAD field missing for the subject’s property type (driven by the field registry, including dynamic sections: condo project name/HOA/unit count, HUD label for manufactured, unit count/market rent for 2–4 unit).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Blocker</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Missing effective date of value; missing contract price on a purchase assignment; fewer than 3 settled comparables; missing final opinion of value.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Blocker</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ANSI inconsistency: sketch above-grade total ≠ reported GLA.</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Warning</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 beyond 1.0 mi; settled comp older than 12 months vs. effective date; comp GLA delta &gt; 20%; net adjustment &gt; ±15%; gross &gt; 25%; any line &gt; 10% of sale price; below-grade sketch mismatch; value opinion outside the adjusted comp range; photo count &lt; 6; missing front/rear/street photo; C5/C6 claimed with no deficiency photos.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Note</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Adjustment lines without documented basis/justification; empty commentary blocks; value below contract price without narrative treatment.</w:t>
            </w:r>
          </w:p>
        </w:tc>
      </w:tr>
    </w:tbl>
    <w:p>
      <w:pPr>
        <w:spacing w:after="120"/>
      </w:pPr>
    </w:p>
    <w:p>
      <w:pPr>
        <w:pStyle w:val="Heading2"/>
        <w:spacing w:after="120" w:before="240"/>
      </w:pPr>
      <w:r>
        <w:t xml:space="preserve">3.6 Service Seams &amp; the LLM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SEAM (interface, mocked today)</w:t>
            </w:r>
          </w:p>
        </w:tc>
        <w:tc>
          <w:tcPr>
            <w:tcW w:type="dxa" w:w="54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Real implementation (later phases)</w:t>
            </w:r>
          </w:p>
        </w:tc>
      </w:tr>
      <w:tr>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dataService — fetchPublicRecord(address)</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County assessor / public records vendors (ATTOM, CoreLogic, First American DataTree), FEMA NFHL flood layer, census tract. Every field returned WITH provenance.</w:t>
            </w:r>
          </w:p>
        </w:tc>
      </w:tr>
      <w:tr>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compService — searchComps(report)</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MLS via RESO Web API + public-record sales; ranking model returns score + human-readable rationale. Candidates only — never auto-added.</w:t>
            </w:r>
          </w:p>
        </w:tc>
      </w:tr>
      <w:tr>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llmService — generateCommentary, suggestAdjustments, explainIssue, answerCompliance, labelPhoto (vision)</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Anthropic Claude API (Section 6). Structured outputs only; schema-validated.</w:t>
            </w:r>
          </w:p>
        </w:tc>
      </w:tr>
      <w:tr>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exportService — buildPackage, buildWorkfile</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Real MISMO 3.6 XML generation validated against the GSE schema; PDF renderer from the same dataset; ZIP assembly; workfile archive.</w:t>
            </w:r>
          </w:p>
        </w:tc>
      </w:tr>
      <w:tr>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submissionService — submitToUcdp</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Delivery integrations to lender/AMC portals (UCDP submission is performed by the lender). Keep the interface; wire per-client.</w:t>
            </w:r>
          </w:p>
        </w:tc>
      </w:tr>
    </w:tbl>
    <w:p>
      <w:pPr>
        <w:spacing w:after="120"/>
      </w:pPr>
    </w:p>
    <w:p>
      <w:pPr>
        <w:spacing w:after="120"/>
      </w:pPr>
      <w:r>
        <w:rPr>
          <w:b/>
          <w:bCs/>
        </w:rPr>
        <w:t xml:space="preserve">LLM contract (already honored by the mock; must survive into production): </w:t>
      </w:r>
      <w:r>
        <w:t xml:space="preserve">(1) generate only from the supplied structured report slice — if the data does not support the output, return “insufficient data” naming the missing fields; (2) return structured objects (AISuggestion / draft-with-sources), never prose dumped into fields; (3) always return the list of source fields used; (4) stateless calls — the relevant slice is passed per request; (5) the model is swappable behind the interface.</w:t>
      </w:r>
    </w:p>
    <w:p>
      <w:pPr>
        <w:pStyle w:val="Heading2"/>
        <w:spacing w:after="120" w:before="240"/>
      </w:pPr>
      <w:r>
        <w:t xml:space="preserve">3.7 Seed Data (the demo script)</w:t>
      </w:r>
    </w:p>
    <w:p>
      <w:pPr>
        <w:pStyle w:val="ListParagraph"/>
        <w:numPr>
          <w:ilvl w:val="0"/>
          <w:numId w:val="2"/>
        </w:numPr>
        <w:spacing w:after="80"/>
      </w:pPr>
      <w:r>
        <w:t xml:space="preserve">#1001 — SFR purchase, mid-report: mixed provenance intake, 3 comps, partial adjustments, 1 blocker (no final value), warnings queued. The main demo order.</w:t>
      </w:r>
    </w:p>
    <w:p>
      <w:pPr>
        <w:pStyle w:val="ListParagraph"/>
        <w:numPr>
          <w:ilvl w:val="0"/>
          <w:numId w:val="2"/>
        </w:numPr>
        <w:spacing w:after="80"/>
      </w:pPr>
      <w:r>
        <w:t xml:space="preserve">#1002 — Condo refinance, trainee-assigned, nearly empty: shows the Condo Project dynamic section and its required-field blockers.</w:t>
      </w:r>
    </w:p>
    <w:p>
      <w:pPr>
        <w:pStyle w:val="ListParagraph"/>
        <w:numPr>
          <w:ilvl w:val="0"/>
          <w:numId w:val="2"/>
        </w:numPr>
        <w:spacing w:after="80"/>
      </w:pPr>
      <w:r>
        <w:t xml:space="preserve">#1003 — SFR refinance, 100% complete and green: passes every rule; used to demo the sign-off → build flow end to end.</w:t>
      </w:r>
    </w:p>
    <w:p>
      <w:pPr>
        <w:pStyle w:val="ListParagraph"/>
        <w:numPr>
          <w:ilvl w:val="0"/>
          <w:numId w:val="2"/>
        </w:numPr>
        <w:spacing w:after="80"/>
      </w:pPr>
      <w:r>
        <w:t xml:space="preserve">#1004 — 2–4 unit, inspected: Income &amp; Rent Schedule dynamic section; deliberate ANSI sketch-vs-grid mismatch blocker (2,400 vs 2,300 sf).</w:t>
      </w:r>
    </w:p>
    <w:p>
      <w:pPr>
        <w:pStyle w:val="ListParagraph"/>
        <w:numPr>
          <w:ilvl w:val="0"/>
          <w:numId w:val="2"/>
        </w:numPr>
        <w:spacing w:after="80"/>
      </w:pPr>
      <w:r>
        <w:t xml:space="preserve">#1005 — Manufactured, overdue: drives the overdue dashboard stat; Manufactured Home dynamic section.</w:t>
      </w:r>
    </w:p>
    <w:p>
      <w:r>
        <w:br w:type="page"/>
      </w:r>
    </w:p>
    <w:p>
      <w:pPr>
        <w:pStyle w:val="Heading1"/>
        <w:spacing w:after="160" w:before="320"/>
      </w:pPr>
      <w:r>
        <w:t xml:space="preserve">4. Phase 1 — The Public Website</w:t>
      </w:r>
    </w:p>
    <w:p>
      <w:pPr>
        <w:spacing w:after="120"/>
      </w:pPr>
      <w:r>
        <w:t xml:space="preserve">Build the marketing site in the SAME repository using a Next.js route group — app/(marketing)/ — so the demo workspace is one click away and there is exactly one design system. The app moves under app/(app)/ (dashboard at /app, workspace at /app/orders/[id]) with redirects from the old routes.</w:t>
      </w:r>
    </w:p>
    <w:p>
      <w:pPr>
        <w:pStyle w:val="Heading2"/>
        <w:spacing w:after="120" w:before="240"/>
      </w:pPr>
      <w:r>
        <w:t xml:space="preserve">4.1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Route</w:t>
            </w:r>
          </w:p>
        </w:tc>
        <w:tc>
          <w:tcPr>
            <w:tcW w:type="dxa" w:w="78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Content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 (landing)</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Hero: “The AI does the typing. You do the appraising.” Sub: UAD 3.6-native, first-submission UCDP quality, AI write-ups with receipts. Primary CTA “Try the live demo” → /app (seeded, no login). Secondary “See how the QC engine works.” Show the product, not stock photos: an animated or static capture of the comp grid and QC panel.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/product</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Feature walkthrough mapped to the real screens: dynamic URAR, comp grid, live QC (list actual rules from Section 3.5 — appraisers smell vaporware), AI commentary with provenance, mobile inspection, workfile export. Every claim must be demoable in the seeded app.</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/ai</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trust page — most important page on the site. Explain the suggestion lifecycle (pending → accept/reject, audited), grounding and “insufficient data” behavior, source citation, what the AI will NEVER do (set value, C/Q, adjustments, or write to a field uninvited). This page doubles as E&amp;O / compliance-officer collateral.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/compliance</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USPAP alignment (record keeping, supervision workflow), UAD 3.6 / MISMO 3.6, ANSI Z765-2021, data handling and retention, SOC 2 roadmap. Written for the lender/AMC vendor-management reviewer.</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/pricing</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Simple three tiers: Solo ($/mo per appraiser), Team (adds supervisor review, org admin), Enterprise/AMC (SSO, API, volume). Per-seat, unlimited reports; AI usage pooled with fair-use cap. Annual discount. “Start with the live demo — no card.”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/resources</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Blog/guides stub (MDX): “UAD 3.6 field map,” “ANSI pitfalls,” “Why reports get revision requests.” SEO is the long game with appraisers — they search their problems.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/demo</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Redirect into the seeded app with a guided-tour banner (dismissible) pointing at order #1001’s blocker flow.</w:t>
            </w:r>
          </w:p>
        </w:tc>
      </w:tr>
    </w:tbl>
    <w:p>
      <w:pPr>
        <w:spacing w:after="120"/>
      </w:pPr>
    </w:p>
    <w:p>
      <w:pPr>
        <w:pStyle w:val="Heading2"/>
        <w:spacing w:after="120" w:before="240"/>
      </w:pPr>
      <w:r>
        <w:t xml:space="preserve">4.2 Marketing-Site Rules</w:t>
      </w:r>
    </w:p>
    <w:p>
      <w:pPr>
        <w:pStyle w:val="ListParagraph"/>
        <w:numPr>
          <w:ilvl w:val="0"/>
          <w:numId w:val="2"/>
        </w:numPr>
        <w:spacing w:after="80"/>
      </w:pPr>
      <w:r>
        <w:t xml:space="preserve">Same Tailwind theme and accent as the app; the marketing site should look like the product’s calm, dense professionalism, not a startup circus.</w:t>
      </w:r>
    </w:p>
    <w:p>
      <w:pPr>
        <w:pStyle w:val="ListParagraph"/>
        <w:numPr>
          <w:ilvl w:val="0"/>
          <w:numId w:val="2"/>
        </w:numPr>
        <w:spacing w:after="80"/>
      </w:pPr>
      <w:r>
        <w:t xml:space="preserve">Static/SSG for every marketing page; Lighthouse 95+; OpenGraph cards; sitemap.xml; robots.txt.</w:t>
      </w:r>
    </w:p>
    <w:p>
      <w:pPr>
        <w:pStyle w:val="ListParagraph"/>
        <w:numPr>
          <w:ilvl w:val="0"/>
          <w:numId w:val="2"/>
        </w:numPr>
        <w:spacing w:after="80"/>
      </w:pPr>
      <w:r>
        <w:t xml:space="preserve">No fabricated numbers or testimonials. Until real metrics exist, phrase capability claims (“catches over-guideline adjustments before delivery”), not statistics.</w:t>
      </w:r>
    </w:p>
    <w:p>
      <w:pPr>
        <w:pStyle w:val="ListParagraph"/>
        <w:numPr>
          <w:ilvl w:val="0"/>
          <w:numId w:val="2"/>
        </w:numPr>
        <w:spacing w:after="80"/>
      </w:pPr>
      <w:r>
        <w:t xml:space="preserve">Add app/(marketing)/layout.tsx with its own nav/footer; the app keeps its own chrome.</w:t>
      </w:r>
    </w:p>
    <w:p>
      <w:pPr>
        <w:pStyle w:val="Heading1"/>
        <w:spacing w:after="160" w:before="320"/>
      </w:pPr>
      <w:r>
        <w:t xml:space="preserve">5. Phase 2 — Accounts, Tenancy &amp; Persistence</w:t>
      </w:r>
    </w:p>
    <w:p>
      <w:pPr>
        <w:pStyle w:val="Heading2"/>
        <w:spacing w:after="120" w:before="240"/>
      </w:pPr>
      <w:r>
        <w:t xml:space="preserve">5.1 Auth &amp; Roles</w:t>
      </w:r>
    </w:p>
    <w:p>
      <w:pPr>
        <w:pStyle w:val="ListParagraph"/>
        <w:numPr>
          <w:ilvl w:val="0"/>
          <w:numId w:val="2"/>
        </w:numPr>
        <w:spacing w:after="80"/>
      </w:pPr>
      <w:r>
        <w:t xml:space="preserve">Replace the “Viewing as” dev switcher with real auth (Auth.js or Clerk — pick one, keep it behind the existing useCurrentUser()/useTenant() hooks so components don’t change).</w:t>
      </w:r>
    </w:p>
    <w:p>
      <w:pPr>
        <w:pStyle w:val="ListParagraph"/>
        <w:numPr>
          <w:ilvl w:val="0"/>
          <w:numId w:val="2"/>
        </w:numPr>
        <w:spacing w:after="80"/>
      </w:pPr>
      <w:r>
        <w:t xml:space="preserve">Roles as already modeled: Appraiser, Trainee, Supervisor, OrgAdmin. Trainee’s supervisorId drives the sign-off routing that already works. Add the OrgAdmin screens (member invites, role assignment) — v1 deliberately deferred them.</w:t>
      </w:r>
    </w:p>
    <w:p>
      <w:pPr>
        <w:pStyle w:val="ListParagraph"/>
        <w:numPr>
          <w:ilvl w:val="0"/>
          <w:numId w:val="2"/>
        </w:numPr>
        <w:spacing w:after="80"/>
      </w:pPr>
      <w:r>
        <w:t xml:space="preserve">Multi-tenant from row one: every table carries tenantId; every query is tenant-scoped; no cross-tenant reads even for support tooling.</w:t>
      </w:r>
    </w:p>
    <w:p>
      <w:pPr>
        <w:pStyle w:val="Heading2"/>
        <w:spacing w:after="120" w:before="240"/>
      </w:pPr>
      <w:r>
        <w:t xml:space="preserve">5.2 Database</w:t>
      </w:r>
    </w:p>
    <w:p>
      <w:pPr>
        <w:pStyle w:val="ListParagraph"/>
        <w:numPr>
          <w:ilvl w:val="0"/>
          <w:numId w:val="2"/>
        </w:numPr>
        <w:spacing w:after="80"/>
      </w:pPr>
      <w:r>
        <w:t xml:space="preserve">Postgres + Prisma. Tables mirror the domain model: tenants, users, orders/assignments, reports (subject as JSONB — the Sourced&lt;&gt; shape serializes cleanly and the field registry keeps it coherent), comparables, adjustments, adjustment_bases, commentary_blocks, photos (files in S3-compatible storage; DB keeps metadata + provenance), suggestions, audit_entries (INSERT-only — enforce with a DB rule or trigger; no UPDATE/DELETE grants), signoffs.</w:t>
      </w:r>
    </w:p>
    <w:p>
      <w:pPr>
        <w:pStyle w:val="ListParagraph"/>
        <w:numPr>
          <w:ilvl w:val="0"/>
          <w:numId w:val="2"/>
        </w:numPr>
        <w:spacing w:after="80"/>
      </w:pPr>
      <w:r>
        <w:t xml:space="preserve">The Zustand store keeps its exact action signatures but becomes the client cache: server actions / route handlers perform mutations, append audit entries transactionally with the mutation, and return the updated report. Optimistic updates preserve the “no spinner on local edits” speed budget; QC stays a client-side pure function so it still recomputes instantly.</w:t>
      </w:r>
    </w:p>
    <w:p>
      <w:pPr>
        <w:pStyle w:val="ListParagraph"/>
        <w:numPr>
          <w:ilvl w:val="0"/>
          <w:numId w:val="2"/>
        </w:numPr>
        <w:spacing w:after="80"/>
      </w:pPr>
      <w:r>
        <w:t xml:space="preserve">Autosave everything; there is no Save button in this product. Version snapshots at status transitions (Inspected, QC, Ready, Delivered) for the workfile.</w:t>
      </w:r>
    </w:p>
    <w:p>
      <w:pPr>
        <w:pStyle w:val="Heading2"/>
        <w:spacing w:after="120" w:before="240"/>
      </w:pPr>
      <w:r>
        <w:t xml:space="preserve">5.3 Files &amp; PDF</w:t>
      </w:r>
    </w:p>
    <w:p>
      <w:pPr>
        <w:pStyle w:val="ListParagraph"/>
        <w:numPr>
          <w:ilvl w:val="0"/>
          <w:numId w:val="2"/>
        </w:numPr>
        <w:spacing w:after="80"/>
      </w:pPr>
      <w:r>
        <w:t xml:space="preserve">Photos to object storage with EXIF capture time preserved (inspection-date evidence). Generate thumbnails server-side.</w:t>
      </w:r>
    </w:p>
    <w:p>
      <w:pPr>
        <w:pStyle w:val="ListParagraph"/>
        <w:numPr>
          <w:ilvl w:val="0"/>
          <w:numId w:val="2"/>
        </w:numPr>
        <w:spacing w:after="80"/>
      </w:pPr>
      <w:r>
        <w:t xml:space="preserve">PDF rendering from the same dataset that feeds the XML (one source of truth): server-rendered React-PDF or headless-Chromium print of a print-styled report view. The PDF is a VIEW of the data — never a separately maintained document.</w:t>
      </w:r>
    </w:p>
    <w:p>
      <w:pPr>
        <w:pStyle w:val="Heading1"/>
        <w:spacing w:after="160" w:before="320"/>
      </w:pPr>
      <w:r>
        <w:t xml:space="preserve">6. Phase 3 — The Real AI Write-Up Engine</w:t>
      </w:r>
    </w:p>
    <w:p>
      <w:pPr>
        <w:spacing w:after="120"/>
      </w:pPr>
      <w:r>
        <w:t xml:space="preserve">Wire llmService to the Anthropic Claude API. Keep every mock behavior as the fallback for offline/dev mode. Model choice: default to the current mid-tier model for drafts and the top-tier model for the compliance Q&amp;A and ROV/rebuttal drafting; make it a per-tenant config, and pin versions — an unpinned model change is an unaudited change to a regulated workflow.</w:t>
      </w:r>
    </w:p>
    <w:p>
      <w:pPr>
        <w:pStyle w:val="Heading2"/>
        <w:spacing w:after="120" w:before="240"/>
      </w:pPr>
      <w:r>
        <w:t xml:space="preserve">6.1 Invariants (mechanical, not aspirational)</w:t>
      </w:r>
    </w:p>
    <w:p>
      <w:pPr>
        <w:pStyle w:val="ListParagraph"/>
        <w:numPr>
          <w:ilvl w:val="0"/>
          <w:numId w:val="4"/>
        </w:numPr>
        <w:spacing w:after="80"/>
      </w:pPr>
      <w:r>
        <w:t xml:space="preserve">Every call passes a minimal structured slice of the report (the fields the task needs), never free text, never the whole database.</w:t>
      </w:r>
    </w:p>
    <w:p>
      <w:pPr>
        <w:pStyle w:val="ListParagraph"/>
        <w:numPr>
          <w:ilvl w:val="0"/>
          <w:numId w:val="4"/>
        </w:numPr>
        <w:spacing w:after="80"/>
      </w:pPr>
      <w:r>
        <w:t xml:space="preserve">Every response is forced through structured output (tool use / JSON schema) and validated with zod before it becomes an AISuggestion. A response that fails validation is retried once, then surfaced as an error — never coerced.</w:t>
      </w:r>
    </w:p>
    <w:p>
      <w:pPr>
        <w:pStyle w:val="ListParagraph"/>
        <w:numPr>
          <w:ilvl w:val="0"/>
          <w:numId w:val="4"/>
        </w:numPr>
        <w:spacing w:after="80"/>
      </w:pPr>
      <w:r>
        <w:t xml:space="preserve">sourcesUsed[] is required in the schema. A draft with an empty sources list is rejected by the client.</w:t>
      </w:r>
    </w:p>
    <w:p>
      <w:pPr>
        <w:pStyle w:val="ListParagraph"/>
        <w:numPr>
          <w:ilvl w:val="0"/>
          <w:numId w:val="4"/>
        </w:numPr>
        <w:spacing w:after="80"/>
      </w:pPr>
      <w:r>
        <w:t xml:space="preserve">System prompt states: output only from supplied data; if unsupported, return the insufficient_data shape naming missing fields; never estimate market facts; never address the borrower; neutral, factual appraisal register — no advocacy language (USPAP: no misleading reports).</w:t>
      </w:r>
    </w:p>
    <w:p>
      <w:pPr>
        <w:pStyle w:val="ListParagraph"/>
        <w:numPr>
          <w:ilvl w:val="0"/>
          <w:numId w:val="4"/>
        </w:numPr>
        <w:spacing w:after="80"/>
      </w:pPr>
      <w:r>
        <w:t xml:space="preserve">Log every call in the audit trail: model, version, token counts, latency, target. The workfile must show which model drafted what the appraiser accepted.</w:t>
      </w:r>
    </w:p>
    <w:p>
      <w:pPr>
        <w:pStyle w:val="ListParagraph"/>
        <w:numPr>
          <w:ilvl w:val="0"/>
          <w:numId w:val="4"/>
        </w:numPr>
        <w:spacing w:after="80"/>
      </w:pPr>
      <w:r>
        <w:t xml:space="preserve">Temperature low (0–0.3). Narrative style consistency beats creativity in a regulated document.</w:t>
      </w:r>
    </w:p>
    <w:p>
      <w:pPr>
        <w:pStyle w:val="Heading2"/>
        <w:spacing w:after="120" w:before="240"/>
      </w:pPr>
      <w:r>
        <w:t xml:space="preserve">6.2 Write-Up Catalog (the deliverable appraisers actually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Write-up</w:t>
            </w:r>
          </w:p>
        </w:tc>
        <w:tc>
          <w:tcPr>
            <w:tcW w:type="dxa" w:w="33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Grounding inputs</w:t>
            </w:r>
          </w:p>
        </w:tc>
        <w:tc>
          <w:tcPr>
            <w:tcW w:type="dxa" w:w="38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Notes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Neighborhood</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city/county/zoning/design/yearBuilt + (Phase 4) census &amp; market data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Exists in v1; enrich as data seams go live.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Market conditions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settled comps: prices, dates, DOM, concessions; effective date</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Add trend math (median $/sf over trailing quarters) computed in code, narrated by AI — the model narrates numbers it is given, it never computes market trends itself.</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Improvements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full subject improvements slice + sketch + photos metadata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Exists in v1.</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Sales comparison &amp; adjustments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grid, flags, adjustment bases/justifications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NEW: narrates why each comp was selected and weighted, folding in the per-attribute justifications the appraiser wrote.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Reconciliation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adjusted range, weighting, final value</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Exists in v1; must state weighting rationale, never propose the number.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Scope of work / cert commentary</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assignment, inspection type, intended use/user</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NEW: boilerplate-with-facts; the highest-volume typing appraisers do.</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Highest &amp; best use</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zoning, use, conformity</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NEW: short-form for residential; flag when data suggests the analysis is non-trivial (legal nonconforming, excess land) instead of writing it.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Revision-request / ROV response drafts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lender’s request text + the report dataset + QC state</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NEW, high value: drafts a point-by-point professional response citing report data; appraiser edits and sends. Never concedes or changes a value — it explains the support that exists.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Photo labeling (vision)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image + room/kind taxonomy</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Vision endpoint; suggestion lifecycle as today.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“Is this compliant?” Q&amp;A</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live QC output + report slice</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Exists in v1; upgrade to conversational with the same grounding rules.</w:t>
            </w:r>
          </w:p>
        </w:tc>
      </w:tr>
    </w:tbl>
    <w:p>
      <w:pPr>
        <w:spacing w:after="120"/>
      </w:pPr>
    </w:p>
    <w:p>
      <w:pPr>
        <w:pStyle w:val="Heading2"/>
        <w:spacing w:after="120" w:before="240"/>
      </w:pPr>
      <w:r>
        <w:t xml:space="preserve">6.3 Quality &amp; Cost Controls</w:t>
      </w:r>
    </w:p>
    <w:p>
      <w:pPr>
        <w:pStyle w:val="ListParagraph"/>
        <w:numPr>
          <w:ilvl w:val="0"/>
          <w:numId w:val="2"/>
        </w:numPr>
        <w:spacing w:after="80"/>
      </w:pPr>
      <w:r>
        <w:t xml:space="preserve">Golden-set evals: 15–20 curated report slices with reviewed reference narratives; run on every prompt or model change; diff drift before shipping.</w:t>
      </w:r>
    </w:p>
    <w:p>
      <w:pPr>
        <w:pStyle w:val="ListParagraph"/>
        <w:numPr>
          <w:ilvl w:val="0"/>
          <w:numId w:val="2"/>
        </w:numPr>
        <w:spacing w:after="80"/>
      </w:pPr>
      <w:r>
        <w:t xml:space="preserve">Hallucination tripwire in CI: an eval slice with deliberately missing fields must produce insufficient_data, not prose. If it writes prose, the build fails.</w:t>
      </w:r>
    </w:p>
    <w:p>
      <w:pPr>
        <w:pStyle w:val="ListParagraph"/>
        <w:numPr>
          <w:ilvl w:val="0"/>
          <w:numId w:val="2"/>
        </w:numPr>
        <w:spacing w:after="80"/>
      </w:pPr>
      <w:r>
        <w:t xml:space="preserve">Per-tenant monthly token budget with soft warnings; cache identical draft requests on (reportVersion, blockId).</w:t>
      </w:r>
    </w:p>
    <w:p>
      <w:pPr>
        <w:pStyle w:val="Heading1"/>
        <w:spacing w:after="160" w:before="320"/>
      </w:pPr>
      <w:r>
        <w:t xml:space="preserve">7. Phase 4 — Data &amp; Delivery Integrations</w:t>
      </w:r>
    </w:p>
    <w:p>
      <w:pPr>
        <w:pStyle w:val="ListParagraph"/>
        <w:numPr>
          <w:ilvl w:val="0"/>
          <w:numId w:val="2"/>
        </w:numPr>
        <w:spacing w:after="80"/>
      </w:pPr>
      <w:r>
        <w:rPr>
          <w:b/>
          <w:bCs/>
        </w:rPr>
        <w:t xml:space="preserve">Public records &amp; GIS: </w:t>
      </w:r>
      <w:r>
        <w:t xml:space="preserve">one vendor behind dataService (ATTOM / CoreLogic / DataTree). Normalize to the field registry; attach provenance with vendor + record date; NEVER auto-overwrite a field the appraiser touched — surface a conflict chip instead.</w:t>
      </w:r>
    </w:p>
    <w:p>
      <w:pPr>
        <w:pStyle w:val="ListParagraph"/>
        <w:numPr>
          <w:ilvl w:val="0"/>
          <w:numId w:val="2"/>
        </w:numPr>
        <w:spacing w:after="80"/>
      </w:pPr>
      <w:r>
        <w:rPr>
          <w:b/>
          <w:bCs/>
        </w:rPr>
        <w:t xml:space="preserve">MLS: </w:t>
      </w:r>
      <w:r>
        <w:t xml:space="preserve">RESO Web API per-board; this is contract work per market — the compService interface already isolates it. Comp candidates carry listing IDs and photos where licensed.</w:t>
      </w:r>
    </w:p>
    <w:p>
      <w:pPr>
        <w:pStyle w:val="ListParagraph"/>
        <w:numPr>
          <w:ilvl w:val="0"/>
          <w:numId w:val="2"/>
        </w:numPr>
        <w:spacing w:after="80"/>
      </w:pPr>
      <w:r>
        <w:rPr>
          <w:b/>
          <w:bCs/>
        </w:rPr>
        <w:t xml:space="preserve">Flood &amp; census: </w:t>
      </w:r>
      <w:r>
        <w:t xml:space="preserve">FEMA NFHL and census tract lookups are free/public — wire these first; they are easy trust wins.</w:t>
      </w:r>
    </w:p>
    <w:p>
      <w:pPr>
        <w:pStyle w:val="ListParagraph"/>
        <w:numPr>
          <w:ilvl w:val="0"/>
          <w:numId w:val="2"/>
        </w:numPr>
        <w:spacing w:after="80"/>
      </w:pPr>
      <w:r>
        <w:rPr>
          <w:b/>
          <w:bCs/>
        </w:rPr>
        <w:t xml:space="preserve">MISMO 3.6 XML: </w:t>
      </w:r>
      <w:r>
        <w:t xml:space="preserve">generate from the dataset, validate against the GSE-published XSD in CI with fixture reports for every property type. The field registry’s MISMO IDs (already in v1) are the mapping table.</w:t>
      </w:r>
    </w:p>
    <w:p>
      <w:pPr>
        <w:pStyle w:val="ListParagraph"/>
        <w:numPr>
          <w:ilvl w:val="0"/>
          <w:numId w:val="2"/>
        </w:numPr>
        <w:spacing w:after="80"/>
      </w:pPr>
      <w:r>
        <w:rPr>
          <w:b/>
          <w:bCs/>
        </w:rPr>
        <w:t xml:space="preserve">Delivery: </w:t>
      </w:r>
      <w:r>
        <w:t xml:space="preserve">start with a signed, versioned download package + email delivery with tracking; add AMC/portal integrations per client demand. E-signature on the certification page before packaging (the signer must re-authenticate — this is the USPAP signature).</w:t>
      </w:r>
    </w:p>
    <w:p>
      <w:pPr>
        <w:pStyle w:val="Heading1"/>
        <w:spacing w:after="160" w:before="320"/>
      </w:pPr>
      <w:r>
        <w:t xml:space="preserve">8. Phase 5 — The Commercial Roadmap (design for it now, build it later)</w:t>
      </w:r>
    </w:p>
    <w:p>
      <w:pPr>
        <w:spacing w:after="120"/>
      </w:pPr>
      <w:r>
        <w:t xml:space="preserve">Commercial and residential are different worlds with one shared spine: provenance, audit, suggestion lifecycle, and workfile discipline. Keep that spine domain-agnostic so a commercial module reuses it wholesale.</w:t>
      </w:r>
    </w:p>
    <w:p>
      <w:pPr>
        <w:pStyle w:val="ListParagraph"/>
        <w:numPr>
          <w:ilvl w:val="0"/>
          <w:numId w:val="2"/>
        </w:numPr>
        <w:spacing w:after="80"/>
      </w:pPr>
      <w:r>
        <w:t xml:space="preserve">Commercial reports are client-driven narratives (no UAD/UCDP): the AI write-up engine is proportionally MORE valuable — 60-page narratives, not 6 comment fields.</w:t>
      </w:r>
    </w:p>
    <w:p>
      <w:pPr>
        <w:pStyle w:val="ListParagraph"/>
        <w:numPr>
          <w:ilvl w:val="0"/>
          <w:numId w:val="2"/>
        </w:numPr>
        <w:spacing w:after="80"/>
      </w:pPr>
      <w:r>
        <w:t xml:space="preserve">Adds the income approach: rent rolls, expense reconstruction, cap-rate extraction from comparable sales, direct cap and DCF. All math in code; AI narrates and drafts, exactly as in residential.</w:t>
      </w:r>
    </w:p>
    <w:p>
      <w:pPr>
        <w:pStyle w:val="ListParagraph"/>
        <w:numPr>
          <w:ilvl w:val="0"/>
          <w:numId w:val="2"/>
        </w:numPr>
        <w:spacing w:after="80"/>
      </w:pPr>
      <w:r>
        <w:t xml:space="preserve">Adds the cost approach with more weight (Marshall &amp; Swift-style cost data behind a seam).</w:t>
      </w:r>
    </w:p>
    <w:p>
      <w:pPr>
        <w:pStyle w:val="ListParagraph"/>
        <w:numPr>
          <w:ilvl w:val="0"/>
          <w:numId w:val="2"/>
        </w:numPr>
        <w:spacing w:after="80"/>
      </w:pPr>
      <w:r>
        <w:t xml:space="preserve">Report templates become client/engagement-letter driven; the dynamic-section deriver generalizes from “property type” to “assignment template.”</w:t>
      </w:r>
    </w:p>
    <w:p>
      <w:pPr>
        <w:pStyle w:val="Heading1"/>
        <w:spacing w:after="160" w:before="320"/>
      </w:pPr>
      <w:r>
        <w:t xml:space="preserve">9. Design System &amp; UX Doctrine</w:t>
      </w:r>
    </w:p>
    <w:p>
      <w:pPr>
        <w:pStyle w:val="ListParagraph"/>
        <w:numPr>
          <w:ilvl w:val="0"/>
          <w:numId w:val="2"/>
        </w:numPr>
        <w:spacing w:after="80"/>
      </w:pPr>
      <w:r>
        <w:t xml:space="preserve">Information-dense, calm, high-contrast. Neutral zinc surfaces; ONE accent (indigo #4F46E5) for primary actions; red/amber/green reserved exclusively for compliance meaning. Violet marks AI-origin. Color is meaning, never decoration.</w:t>
      </w:r>
    </w:p>
    <w:p>
      <w:pPr>
        <w:pStyle w:val="ListParagraph"/>
        <w:numPr>
          <w:ilvl w:val="0"/>
          <w:numId w:val="2"/>
        </w:numPr>
        <w:spacing w:after="80"/>
      </w:pPr>
      <w:r>
        <w:t xml:space="preserve">Keyboard-first everywhere: current bindings — dashboard ↑/↓/Enter; workspace [ and ] for sections, . for the AI drawer; grid Enter/Shift+Enter and Ctrl+arrows. Extend, never remove. Add a ? shortcut overlay in Phase 1.</w:t>
      </w:r>
    </w:p>
    <w:p>
      <w:pPr>
        <w:pStyle w:val="ListParagraph"/>
        <w:numPr>
          <w:ilvl w:val="0"/>
          <w:numId w:val="2"/>
        </w:numPr>
        <w:spacing w:after="80"/>
      </w:pPr>
      <w:r>
        <w:t xml:space="preserve">Speed budget: comp grid and QC recompute synchronously — no spinner may ever appear on a local edit. Spinners are only for genuine network seams (find comps, AI drafts, package build).</w:t>
      </w:r>
    </w:p>
    <w:p>
      <w:pPr>
        <w:pStyle w:val="ListParagraph"/>
        <w:numPr>
          <w:ilvl w:val="0"/>
          <w:numId w:val="2"/>
        </w:numPr>
        <w:spacing w:after="80"/>
      </w:pPr>
      <w:r>
        <w:t xml:space="preserve">Trust signals: provenance chips, the ◆ dynamic-section reason, AI-pending violet until accepted, disabled-with-reason buttons (title says WHY it’s disabled). Never a mystery-disabled control.</w:t>
      </w:r>
    </w:p>
    <w:p>
      <w:pPr>
        <w:pStyle w:val="ListParagraph"/>
        <w:numPr>
          <w:ilvl w:val="0"/>
          <w:numId w:val="2"/>
        </w:numPr>
        <w:spacing w:after="80"/>
      </w:pPr>
      <w:r>
        <w:t xml:space="preserve">Tabular numerals in every numeric context (the .num utility exists). Dates absolute in documents, relative in chips.</w:t>
      </w:r>
    </w:p>
    <w:p>
      <w:pPr>
        <w:pStyle w:val="Heading1"/>
        <w:spacing w:after="160" w:before="320"/>
      </w:pPr>
      <w:r>
        <w:t xml:space="preserve">10. Non-Negotiable Guardrails</w:t>
      </w:r>
    </w:p>
    <w:p>
      <w:pPr>
        <w:pStyle w:val="ListParagraph"/>
        <w:numPr>
          <w:ilvl w:val="0"/>
          <w:numId w:val="5"/>
        </w:numPr>
        <w:spacing w:after="80"/>
      </w:pPr>
      <w:r>
        <w:t xml:space="preserve">The AI never writes to a field without an explicit accept. No batch “accept all” on value-bearing suggestions (adjustments); batch accept is permissible only for photo labels.</w:t>
      </w:r>
    </w:p>
    <w:p>
      <w:pPr>
        <w:pStyle w:val="ListParagraph"/>
        <w:numPr>
          <w:ilvl w:val="0"/>
          <w:numId w:val="5"/>
        </w:numPr>
        <w:spacing w:after="80"/>
      </w:pPr>
      <w:r>
        <w:t xml:space="preserve">The AI never proposes, sets, or nudges the opinion of value. The reconciliation narrative may describe the range and weighting the appraiser chose; it may not recommend a number.</w:t>
      </w:r>
    </w:p>
    <w:p>
      <w:pPr>
        <w:pStyle w:val="ListParagraph"/>
        <w:numPr>
          <w:ilvl w:val="0"/>
          <w:numId w:val="5"/>
        </w:numPr>
        <w:spacing w:after="80"/>
      </w:pPr>
      <w:r>
        <w:t xml:space="preserve">Audit entries are append-only at the database level. No feature may edit or delete history — including admin tooling.</w:t>
      </w:r>
    </w:p>
    <w:p>
      <w:pPr>
        <w:pStyle w:val="ListParagraph"/>
        <w:numPr>
          <w:ilvl w:val="0"/>
          <w:numId w:val="5"/>
        </w:numPr>
        <w:spacing w:after="80"/>
      </w:pPr>
      <w:r>
        <w:t xml:space="preserve">Blockers gate the package build unconditionally. No override flag, no admin bypass. If a rule is wrong, fix the rule in code where it is reviewed and versioned.</w:t>
      </w:r>
    </w:p>
    <w:p>
      <w:pPr>
        <w:pStyle w:val="ListParagraph"/>
        <w:numPr>
          <w:ilvl w:val="0"/>
          <w:numId w:val="5"/>
        </w:numPr>
        <w:spacing w:after="80"/>
      </w:pPr>
      <w:r>
        <w:t xml:space="preserve">Trainee reports cannot be packaged without supervisor approval recorded in the audit trail.</w:t>
      </w:r>
    </w:p>
    <w:p>
      <w:pPr>
        <w:pStyle w:val="ListParagraph"/>
        <w:numPr>
          <w:ilvl w:val="0"/>
          <w:numId w:val="5"/>
        </w:numPr>
        <w:spacing w:after="80"/>
      </w:pPr>
      <w:r>
        <w:t xml:space="preserve">Report data is confidential (USPAP + client contracts): no cross-tenant data pooling, no training on customer reports, no “market insights” features derived from customer report data without explicit opt-in contracts.</w:t>
      </w:r>
    </w:p>
    <w:p>
      <w:pPr>
        <w:pStyle w:val="ListParagraph"/>
        <w:numPr>
          <w:ilvl w:val="0"/>
          <w:numId w:val="5"/>
        </w:numPr>
        <w:spacing w:after="80"/>
      </w:pPr>
      <w:r>
        <w:t xml:space="preserve">Marketing may not claim compliance outcomes as guarantees. The product reduces revision risk; the appraiser remains responsible. Put this sentence, verbatim, in the site footer and the ToS.</w:t>
      </w:r>
    </w:p>
    <w:p>
      <w:pPr>
        <w:pStyle w:val="ListParagraph"/>
        <w:numPr>
          <w:ilvl w:val="0"/>
          <w:numId w:val="5"/>
        </w:numPr>
        <w:spacing w:after="80"/>
      </w:pPr>
      <w:r>
        <w:t xml:space="preserve">This platform provides workflow software, not appraisal, legal, or USPAP advice — keep that disclaimer on the AI Q&amp;A surface.</w:t>
      </w:r>
    </w:p>
    <w:p>
      <w:r>
        <w:br w:type="page"/>
      </w:r>
    </w:p>
    <w:p>
      <w:pPr>
        <w:pStyle w:val="Heading1"/>
        <w:spacing w:after="160" w:before="320"/>
      </w:pPr>
      <w:r>
        <w:t xml:space="preserve">11. Phase Acceptance Criteria</w:t>
      </w:r>
    </w:p>
    <w:p>
      <w:pPr>
        <w:pStyle w:val="Heading2"/>
        <w:spacing w:after="120" w:before="240"/>
      </w:pPr>
      <w:r>
        <w:t xml:space="preserve">Phase 1 — Website</w:t>
      </w:r>
    </w:p>
    <w:p>
      <w:pPr>
        <w:pStyle w:val="ListParagraph"/>
        <w:numPr>
          <w:ilvl w:val="0"/>
          <w:numId w:val="6"/>
        </w:numPr>
        <w:spacing w:after="80"/>
      </w:pPr>
      <w:r>
        <w:t xml:space="preserve">All seven marketing routes live, SSG, Lighthouse ≥ 95, responsive 375px–1440px.</w:t>
      </w:r>
    </w:p>
    <w:p>
      <w:pPr>
        <w:pStyle w:val="ListParagraph"/>
        <w:numPr>
          <w:ilvl w:val="0"/>
          <w:numId w:val="6"/>
        </w:numPr>
        <w:spacing w:after="80"/>
      </w:pPr>
      <w:r>
        <w:t xml:space="preserve">“Try the live demo” lands in the seeded app with the tour banner; app routes moved under (app) with redirects; nothing in the v1 workspace regressed.</w:t>
      </w:r>
    </w:p>
    <w:p>
      <w:pPr>
        <w:pStyle w:val="ListParagraph"/>
        <w:numPr>
          <w:ilvl w:val="0"/>
          <w:numId w:val="6"/>
        </w:numPr>
        <w:spacing w:after="80"/>
      </w:pPr>
      <w:r>
        <w:t xml:space="preserve">/ai page accurately describes the implemented suggestion lifecycle — every claim demoable.</w:t>
      </w:r>
    </w:p>
    <w:p>
      <w:pPr>
        <w:pStyle w:val="Heading2"/>
        <w:spacing w:after="120" w:before="240"/>
      </w:pPr>
      <w:r>
        <w:t xml:space="preserve">Phase 2 — Accounts &amp; Persistence</w:t>
      </w:r>
    </w:p>
    <w:p>
      <w:pPr>
        <w:pStyle w:val="ListParagraph"/>
        <w:numPr>
          <w:ilvl w:val="0"/>
          <w:numId w:val="7"/>
        </w:numPr>
        <w:spacing w:after="80"/>
      </w:pPr>
      <w:r>
        <w:t xml:space="preserve">Sign-up → org creation → invite → role assignment works; trainee/supervisor routing enforced server-side, not just in UI.</w:t>
      </w:r>
    </w:p>
    <w:p>
      <w:pPr>
        <w:pStyle w:val="ListParagraph"/>
        <w:numPr>
          <w:ilvl w:val="0"/>
          <w:numId w:val="7"/>
        </w:numPr>
        <w:spacing w:after="80"/>
      </w:pPr>
      <w:r>
        <w:t xml:space="preserve">Reports persist across sessions; concurrent edits by two org members don’t corrupt state; audit table is INSERT-only (verified by attempting UPDATE as the app role).</w:t>
      </w:r>
    </w:p>
    <w:p>
      <w:pPr>
        <w:pStyle w:val="ListParagraph"/>
        <w:numPr>
          <w:ilvl w:val="0"/>
          <w:numId w:val="7"/>
        </w:numPr>
        <w:spacing w:after="80"/>
      </w:pPr>
      <w:r>
        <w:t xml:space="preserve">A refreshed page restores exact report state; local-edit speed budget still holds (no spinner on grid edits).</w:t>
      </w:r>
    </w:p>
    <w:p>
      <w:pPr>
        <w:pStyle w:val="Heading2"/>
        <w:spacing w:after="120" w:before="240"/>
      </w:pPr>
      <w:r>
        <w:t xml:space="preserve">Phase 3 — AI Engine</w:t>
      </w:r>
    </w:p>
    <w:p>
      <w:pPr>
        <w:pStyle w:val="ListParagraph"/>
        <w:numPr>
          <w:ilvl w:val="0"/>
          <w:numId w:val="8"/>
        </w:numPr>
        <w:spacing w:after="80"/>
      </w:pPr>
      <w:r>
        <w:t xml:space="preserve">All llmService methods hit the real API behind the same interface; mock remains for dev/offline.</w:t>
      </w:r>
    </w:p>
    <w:p>
      <w:pPr>
        <w:pStyle w:val="ListParagraph"/>
        <w:numPr>
          <w:ilvl w:val="0"/>
          <w:numId w:val="8"/>
        </w:numPr>
        <w:spacing w:after="80"/>
      </w:pPr>
      <w:r>
        <w:t xml:space="preserve">Schema validation rejects malformed model output; hallucination tripwire eval passes (insufficient data → insufficient_data shape).</w:t>
      </w:r>
    </w:p>
    <w:p>
      <w:pPr>
        <w:pStyle w:val="ListParagraph"/>
        <w:numPr>
          <w:ilvl w:val="0"/>
          <w:numId w:val="8"/>
        </w:numPr>
        <w:spacing w:after="80"/>
      </w:pPr>
      <w:r>
        <w:t xml:space="preserve">Every accepted draft’s audit entry records model + version + sources; token usage visible per report.</w:t>
      </w:r>
    </w:p>
    <w:p>
      <w:pPr>
        <w:pStyle w:val="Heading2"/>
        <w:spacing w:after="120" w:before="240"/>
      </w:pPr>
      <w:r>
        <w:t xml:space="preserve">Phase 4 — Data &amp; Delivery</w:t>
      </w:r>
    </w:p>
    <w:p>
      <w:pPr>
        <w:pStyle w:val="ListParagraph"/>
        <w:numPr>
          <w:ilvl w:val="0"/>
          <w:numId w:val="9"/>
        </w:numPr>
        <w:spacing w:after="80"/>
      </w:pPr>
      <w:r>
        <w:t xml:space="preserve">Generated MISMO 3.6 XML validates against the XSD for all five seeded property types.</w:t>
      </w:r>
    </w:p>
    <w:p>
      <w:pPr>
        <w:pStyle w:val="ListParagraph"/>
        <w:numPr>
          <w:ilvl w:val="0"/>
          <w:numId w:val="9"/>
        </w:numPr>
        <w:spacing w:after="80"/>
      </w:pPr>
      <w:r>
        <w:t xml:space="preserve">Public-record autofill never overwrites appraiser-touched fields (conflict chip flow instead).</w:t>
      </w:r>
    </w:p>
    <w:p>
      <w:pPr>
        <w:pStyle w:val="ListParagraph"/>
        <w:numPr>
          <w:ilvl w:val="0"/>
          <w:numId w:val="9"/>
        </w:numPr>
        <w:spacing w:after="80"/>
      </w:pPr>
      <w:r>
        <w:t xml:space="preserve">Signed certification required before packaging; delivered package downloadable with stable versioned manifest.</w:t>
      </w:r>
    </w:p>
    <w:p>
      <w:pPr>
        <w:pStyle w:val="Heading1"/>
        <w:spacing w:after="160" w:before="32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Term</w:t>
            </w:r>
          </w:p>
        </w:tc>
        <w:tc>
          <w:tcPr>
            <w:tcW w:type="dxa" w:w="7460"/>
            <w:tcBorders>
              <w:top w:val="single" w:color="BFBFBF" w:sz="1"/>
              <w:left w:val="single" w:color="BFBFBF" w:sz="1"/>
              <w:bottom w:val="single" w:color="BFBFBF" w:sz="1"/>
              <w:right w:val="single" w:color="BFBFBF" w:sz="1"/>
            </w:tcBorders>
            <w:shd w:fill="E8E6F5" w:val="clear"/>
            <w:tcMar>
              <w:top w:type="dxa" w:w="60"/>
              <w:left w:type="dxa" w:w="100"/>
              <w:bottom w:type="dxa" w:w="60"/>
              <w:right w:type="dxa" w:w="100"/>
            </w:tcMar>
          </w:tcPr>
          <w:p>
            <w:pPr>
              <w:spacing w:after="0"/>
            </w:pPr>
            <w:r>
              <w:rPr>
                <w:b/>
                <w:bCs/>
                <w:sz w:val="19"/>
                <w:szCs w:val="19"/>
              </w:rPr>
              <w:t xml:space="preserve">Meaning</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USPAP</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Uniform Standards of Professional Appraisal Practice — the ethics/performance standards every licensed appraiser signs under.</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UAD 3.6 / dynamic URAR</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GSEs’ Uniform Appraisal Dataset redesign: one data-driven report replacing the 1004/1073/2055 forms; sections derive from property/assignment characteristics.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MISMO 3.6</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XML data standard the report dataset serializes to for delivery.</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UCDP / EAD</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Uniform Collateral Data Portal (Fannie/Freddie) and Electronic Appraisal Delivery (FHA) — where lenders submit appraisal packages; the source of “hard stop” rejections.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SSR</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Submission Summary Report — UCDP’s scorecard back to the lender.</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ANSI Z765-2021</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measurement standard for square footage; above-grade finished area = GLA, below-grade reported separately.</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GLA</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Gross Living Area.</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C1–C6 / Q1–Q6</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UAD condition and construction-quality rating scales (definitions are inline in the product).</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 / bracketing</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Comparable sale; a value opinion is “bracketed” when it falls within the adjusted range of the comps.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Net / gross adjustment</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Sum of signed adjustments vs. sum of absolute adjustments on a comp, as % of sale price — classic guideline thresholds 15% / 25%.</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Paired sales</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Deriving an adjustment by comparing sales differing in one attribute.</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AMC</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Appraisal Management Company — the intermediary ordering much of the work.</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ROV</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Reconsideration of Value — a formal request to revisit the opinion; drafting responses is a Phase 3 AI feature.</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Workfile</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The appraiser’s retained evidence file; USPAP requires 5 years (or 2 years after any proceeding concludes, if longer).</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E&amp;O</w:t>
            </w:r>
          </w:p>
        </w:tc>
        <w:tc>
          <w:tcPr>
            <w:tcW w:type="dxa" w:w="7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9"/>
                <w:szCs w:val="19"/>
              </w:rPr>
              <w:t xml:space="preserve">Errors &amp; Omissions insurance.</w:t>
            </w:r>
          </w:p>
        </w:tc>
      </w:tr>
    </w:tbl>
    <w:p>
      <w:pPr>
        <w:spacing w:after="120"/>
      </w:pPr>
    </w:p>
    <w:p>
      <w:pPr>
        <w:pStyle w:val="Heading1"/>
        <w:spacing w:after="160" w:before="320"/>
      </w:pPr>
      <w:r>
        <w:t xml:space="preserve">Appendix B — Run &amp; Demo</w:t>
      </w:r>
    </w:p>
    <w:p>
      <w:pPr>
        <w:pStyle w:val="ListParagraph"/>
        <w:numPr>
          <w:ilvl w:val="0"/>
          <w:numId w:val="2"/>
        </w:numPr>
        <w:spacing w:after="80"/>
      </w:pPr>
      <w:r>
        <w:rPr>
          <w:rFonts w:ascii="Consolas" w:cs="Consolas" w:eastAsia="Consolas" w:hAnsi="Consolas"/>
          <w:sz w:val="20"/>
          <w:szCs w:val="20"/>
        </w:rPr>
        <w:t xml:space="preserve">npm install · npm run dev (http://localhost:3000) · npm run build · npm run typecheck</w:t>
      </w:r>
    </w:p>
    <w:p>
      <w:pPr>
        <w:pStyle w:val="ListParagraph"/>
        <w:numPr>
          <w:ilvl w:val="0"/>
          <w:numId w:val="2"/>
        </w:numPr>
        <w:spacing w:after="80"/>
      </w:pPr>
      <w:r>
        <w:t xml:space="preserve">Demo script: open #1001 → click the blocker in the QC panel → it navigates to Reconciliation → enter a final value inside the shown range → watch counts/CTA update live → Adjustments → “Suggest adjustments (AI)” → accept one → see it AI-marked in the grid and logged in Workfile.</w:t>
      </w:r>
    </w:p>
    <w:p>
      <w:pPr>
        <w:pStyle w:val="ListParagraph"/>
        <w:numPr>
          <w:ilvl w:val="0"/>
          <w:numId w:val="2"/>
        </w:numPr>
        <w:spacing w:after="80"/>
      </w:pPr>
      <w:r>
        <w:t xml:space="preserve">Role demo: switch header to Jordan Pike (Trainee) on #1003 → Export: Build disabled, request sign-off → switch to Sam Okafor (Supervisor) → approve → back to trainee → Build UCDP package.</w:t>
      </w:r>
    </w:p>
    <w:p>
      <w:pPr>
        <w:pStyle w:val="ListParagraph"/>
        <w:numPr>
          <w:ilvl w:val="0"/>
          <w:numId w:val="2"/>
        </w:numPr>
        <w:spacing w:after="80"/>
      </w:pPr>
      <w:r>
        <w:t xml:space="preserve">Dynamic URAR demo: #1002 (Condo Project section) vs #1004 (Income &amp; Rent Schedule + ANSI mismatch blocker) vs #1001 (SFR) — same report type, no form switch.</w:t>
      </w:r>
    </w:p>
    <w:p>
      <w:pPr>
        <w:spacing w:after="120"/>
      </w:pPr>
      <w:r>
        <w:rPr>
          <w:i/>
          <w:iCs/>
          <w:color w:val="666666"/>
        </w:rPr>
        <w:t xml:space="preserve">— End of brief. Build well; appraisers will trust this product exactly as far as it earns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6"/>
        <w:szCs w:val="16"/>
      </w:rPr>
      <w:t xml:space="preserve">Aivre — Master Build Brief v2.0</w:t>
    </w:r>
    <w:r>
      <w:rPr>
        <w:color w:val="999999"/>
        <w:sz w:val="16"/>
        <w:szCs w:val="16"/>
      </w:rPr>
      <w:t xml:space="preserve">	Confidential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C3E8" w:sz="4" w:space="2"/>
      </w:pBdr>
      <w:spacing w:after="160" w:before="300"/>
      <w:outlineLvl w:val="0"/>
    </w:pPr>
    <w:rPr>
      <w:rFonts w:ascii="Arial" w:cs="Arial" w:eastAsia="Arial" w:hAnsi="Arial"/>
      <w:b/>
      <w:bCs/>
      <w:color w:val="3B3486"/>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22222"/>
      <w:sz w:val="25"/>
      <w:szCs w:val="25"/>
    </w:rPr>
  </w:style>
  <w:style w:type="paragraph" w:styleId="Heading3">
    <w:name w:val="Heading 3"/>
    <w:basedOn w:val="Normal"/>
    <w:next w:val="Normal"/>
    <w:qFormat/>
    <w:pPr>
      <w:spacing w:after="9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2026-07-10T18:31:05.035Z</dcterms:created>
  <dcterms:modified xsi:type="dcterms:W3CDTF">2026-07-10T18:31:05.036Z</dcterms:modified>
</cp:coreProperties>
</file>

<file path=docProps/custom.xml><?xml version="1.0" encoding="utf-8"?>
<Properties xmlns="http://schemas.openxmlformats.org/officeDocument/2006/custom-properties" xmlns:vt="http://schemas.openxmlformats.org/officeDocument/2006/docPropsVTypes"/>
</file>