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left="880" w:hanging="880" w:hangingChars="200"/>
        <w:jc w:val="center"/>
        <w:textAlignment w:val="auto"/>
        <w:rPr>
          <w:rFonts w:hint="eastAsia" w:ascii="方正小标宋_GBK" w:hAnsi="方正小标宋_GBK" w:eastAsia="方正小标宋_GBK" w:cs="方正小标宋_GBK"/>
          <w:sz w:val="44"/>
          <w:szCs w:val="44"/>
        </w:rPr>
      </w:pPr>
      <w:r>
        <w:rPr>
          <w:rFonts w:hint="eastAsia" w:ascii="方正小标宋_GBK" w:hAnsi="方正小标宋_GBK" w:eastAsia="方正小标宋_GBK" w:cs="方正小标宋_GBK"/>
          <w:sz w:val="44"/>
          <w:szCs w:val="44"/>
        </w:rPr>
        <w:t>翡翠山别墅1-2期小区物业服务企业框架性选聘标准（红线）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本标准为小区选聘新物业服务企业的核心红线要求，是后续细化选聘需求书、确定正式选聘条件的基础，任何参选企业均须无条件满足本标准所有条款，选聘小组不得擅自突破本红线制定正式选聘条件。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一、企业资质与信用红线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1.【合法主体与经营范围要求】具备二级及以上物业服务企业资质，在广东省大湾区范围内注册有全资分公司，具备别墅/低密度社区物业服务经营范围。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2.【重大违法与失信限制】当地住房和建设局官网信用评级为AAA级，近3年经营活动中无重大违法记录；未被列入“信用中国”“中国政府采购网”的失信、违法失信名单，不处于政府采购活动禁止期。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二、服务报价与费用管理红线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1.【物业费区间与计费口径】物业服务费报价限定在2.5-3.2元/平方米/月，该报价为包干价，不再另行收取公摊水电费。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2.【公共收益分配与归集】小区经营性公共收益按业主与物业公司5:5比例分配，物业公司所得部分包含对应管理成本与开支；公共收益每半年公示一次，物业退场时须全额转出暂存的业主方收益。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3.【合同期限与续签】物业服务合同期限为5年，无试用期；合同解除与续签严格遵循《民法典》及小区议事规则，物业不得附加不合理续约条件，不得以任何工程投入、垫资或赠与为由要求续约。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三、人员与服务能力红线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1.【人员配置底线】配备固定考勤编制团队，核心岗位人员持证上岗，基础配置不低于：保卫部22人（两班制）、环境部15人、工程部4人、综合管理部5人，人员调整需提前公示并说明理由。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2.【项目负责人资质要求】拟派项目负责人为企业正式参保人员，具备统招本科及以上学历，持有全国物业管理企业经理岗位证书或同等职业资格证书。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3.【同类项目经验】近3年内拥有至少1个以上同等体量别墅/低密度社区的在管服务案例，并提供业主满意度/服务评价材料。同时，需具备独立的设备设施配置能力，能提供自有服务设备清单，满足别墅区基础物业服务与整改升级需求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四、核心服务与硬性投入整改红线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（一）基础服务标准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1.【安防秩序】实行24小时全时段安防值守，规范小区出入管理，建立完善的定时巡逻与应急处置机制，重大事件（盗窃、破坏、纠纷）须在规定时限内响应并留痕。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2.【环境与消杀】公共区域（道路、绿化带、内湖等）保洁、绿化养护及时，垃圾日清，制定常态化病媒防治计划并落地执行。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【庭院清理管控】每年提供至少1次免费庭院基础清理服务，并建立空置房巡查与杂草治理机制，避免虫害与安全隐患。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（二）硬性投入与整改要求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 【供水系统整改】进场后6-12个月内完成小区供水系统全面排查与整改，实现故障小范围停水、突发停水即时公示、计划性停水提前通知，彻底解决大面积停水问题。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 【150万元前期投入】承担人民币150万元小区配套设施整改及升级专项前期投入，该投入为物业企业自主成本，专项用于小区公共配套设施的整改、维修与品质升级。该项投入不属于垫资，不得以任何形式向业主追偿、摊派、要求返还，也不得通过公共收益冲抵、提高收费、设置隐性收费等方式转嫁；不得以该投入作为续约条件或解除限制条件。</w:t>
      </w:r>
      <w:bookmarkStart w:id="0" w:name="_GoBack"/>
      <w:bookmarkEnd w:id="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五、信息披露与监督红线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常态化信息披露制度建设及专项投入信息披露】建立常态化信息披露制度，物业服务费年度预算、决算向全体业主公示，公共收益每半年公示收支明细；150万元配套整改升级资金须单独建立使用台账，全流程公示资金使用明细、整改升级项目进展及成果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2.【信息披露渠道】公示渠道覆盖小区公告栏+官方线上渠道，公示内容真实、完整、可追溯，主动接受业主监督。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3.【配合监督要求】选聘小组/业主大会授权的工作机构有权对物业服务执行、整改升级工作、资金使用情况进行全程监督，物业须配合提供相关资料，无正当理由不得拒绝，直至选出业委会或更换物业时止。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六、其他红线要求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1.【关联关系回避】参选企业及其关联方不得与选聘小组成员、现物业及其关联方存在利益输送安排；不得以任何方式向个人提供回扣、礼品礼金或其他利益。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2.【新旧物业无缝交接】若表决通过解聘原物业，新物业须按法律法规及小区要求，配合完成新旧物业无缝交接，确保交接期间小区服务不中断、不降级。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32"/>
          <w:szCs w:val="32"/>
          <w:lang w:val="en-US" w:eastAsia="zh-CN"/>
        </w:rPr>
        <w:t>本标准未明确但涉及小区业主核心利益的内容，须遵循《民法典》《物业管理条例》及广东省、惠州市相关物业管理规定，不得违反法律法规强制性要求。本框架性选聘标准（红线）经小区临时业主大会表决通过后生效，后续选聘小组据此细化的正式选聘条件，不得与本标准相抵触，最终解释权归翡翠山别墅1-2期小区业主大会所有。</w:t>
      </w:r>
    </w:p>
    <w:sectPr>
      <w:pgSz w:w="11906" w:h="16838"/>
      <w:pgMar w:top="2098" w:right="1474" w:bottom="1984" w:left="158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FF" w:usb1="C0007841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Verdana">
    <w:panose1 w:val="020B0604030504040204"/>
    <w:charset w:val="00"/>
    <w:family w:val="swiss"/>
    <w:pitch w:val="default"/>
    <w:sig w:usb0="A10006FF" w:usb1="4000205B" w:usb2="00000010" w:usb3="00000000" w:csb0="2000019F" w:csb1="00000000"/>
  </w:font>
  <w:font w:name="方正小标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BatangChe">
    <w:panose1 w:val="02030609000101010101"/>
    <w:charset w:val="81"/>
    <w:family w:val="auto"/>
    <w:pitch w:val="default"/>
    <w:sig w:usb0="B00002AF" w:usb1="69D77CFB" w:usb2="00000030" w:usb3="00000000" w:csb0="4008009F" w:csb1="DFD70000"/>
  </w:font>
  <w:font w:name="DFKai-SB">
    <w:panose1 w:val="03000509000000000000"/>
    <w:charset w:val="88"/>
    <w:family w:val="auto"/>
    <w:pitch w:val="default"/>
    <w:sig w:usb0="00000003" w:usb1="082E0000" w:usb2="00000016" w:usb3="00000000" w:csb0="0010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9BCA4B"/>
    <w:rsid w:val="000A2F08"/>
    <w:rsid w:val="00341085"/>
    <w:rsid w:val="007147AD"/>
    <w:rsid w:val="007F2159"/>
    <w:rsid w:val="00C249C8"/>
    <w:rsid w:val="38BF1945"/>
    <w:rsid w:val="769BC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946</Words>
  <Characters>966</Characters>
  <Lines>48</Lines>
  <Paragraphs>30</Paragraphs>
  <TotalTime>6</TotalTime>
  <ScaleCrop>false</ScaleCrop>
  <LinksUpToDate>false</LinksUpToDate>
  <CharactersWithSpaces>1882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2026-03-17T15:00:00Z</dcterms:created>
  <dc:creator>TLP082</dc:creator>
  <cp:lastModifiedBy>Lenovo</cp:lastModifiedBy>
  <dcterms:modified xsi:type="dcterms:W3CDTF">2026-06-12T02:54:59Z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BCA939B23B05C4F2838BB369FDE40E46_41</vt:lpwstr>
  </property>
</Properties>
</file>