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A48C" w14:textId="77777777" w:rsidR="00695E89" w:rsidRPr="00695E89" w:rsidRDefault="00695E89" w:rsidP="00695E89">
      <w:pPr>
        <w:rPr>
          <w:b/>
          <w:bCs/>
        </w:rPr>
      </w:pPr>
      <w:r w:rsidRPr="00695E89">
        <w:rPr>
          <w:b/>
          <w:bCs/>
        </w:rPr>
        <w:t>Apagamento Temático Algorítmico e Neutralização Semântica em Modelos de Linguagem: Evidências Empíricas da Classificação Meso de Obras Audiovisuais</w:t>
      </w:r>
    </w:p>
    <w:p w14:paraId="26E78FF6" w14:textId="77777777" w:rsidR="00695E89" w:rsidRPr="00695E89" w:rsidRDefault="00695E89" w:rsidP="00695E89">
      <w:pPr>
        <w:rPr>
          <w:b/>
          <w:bCs/>
        </w:rPr>
      </w:pPr>
      <w:r w:rsidRPr="00695E89">
        <w:rPr>
          <w:b/>
          <w:bCs/>
        </w:rPr>
        <w:t>1. Introdução</w:t>
      </w:r>
    </w:p>
    <w:p w14:paraId="1C8AA8EF" w14:textId="77777777" w:rsidR="00695E89" w:rsidRPr="00695E89" w:rsidRDefault="00695E89" w:rsidP="00695E89">
      <w:r w:rsidRPr="00695E89">
        <w:t xml:space="preserve">A análise comparada entre agentes humanos (autores, pares e analistas) e agentes algorítmicos (modelos de IA como Gemini e ChatGPT) evidencia padrões sistemáticos de divergência interpretativa, particularmente relevantes em categorias temáticas politicamente sensíveis, esteticamente situadas ou culturalmente contextualizadas. Os dados mostram que, embora a IA apresente forte consistência interna e boa convergência com analistas em temas diretamente observáveis no texto (como violência, saúde mental ou família), ela falha em categorias dependentes de </w:t>
      </w:r>
      <w:r w:rsidRPr="00695E89">
        <w:rPr>
          <w:b/>
          <w:bCs/>
        </w:rPr>
        <w:t>contextualização sociopolítica</w:t>
      </w:r>
      <w:r w:rsidRPr="00695E89">
        <w:t xml:space="preserve">, </w:t>
      </w:r>
      <w:r w:rsidRPr="00695E89">
        <w:rPr>
          <w:b/>
          <w:bCs/>
        </w:rPr>
        <w:t>interpretação estética</w:t>
      </w:r>
      <w:r w:rsidRPr="00695E89">
        <w:t xml:space="preserve"> ou </w:t>
      </w:r>
      <w:r w:rsidRPr="00695E89">
        <w:rPr>
          <w:b/>
          <w:bCs/>
        </w:rPr>
        <w:t>abstração cultural</w:t>
      </w:r>
      <w:r w:rsidRPr="00695E89">
        <w:t>, como:</w:t>
      </w:r>
    </w:p>
    <w:p w14:paraId="0E7FA721" w14:textId="77777777" w:rsidR="00695E89" w:rsidRPr="00695E89" w:rsidRDefault="00695E89" w:rsidP="00695E89">
      <w:pPr>
        <w:numPr>
          <w:ilvl w:val="0"/>
          <w:numId w:val="1"/>
        </w:numPr>
      </w:pPr>
      <w:r w:rsidRPr="00695E89">
        <w:t>nacionalidade e nacionalismo</w:t>
      </w:r>
    </w:p>
    <w:p w14:paraId="523B4958" w14:textId="77777777" w:rsidR="00695E89" w:rsidRPr="00695E89" w:rsidRDefault="00695E89" w:rsidP="00695E89">
      <w:pPr>
        <w:numPr>
          <w:ilvl w:val="0"/>
          <w:numId w:val="1"/>
        </w:numPr>
      </w:pPr>
      <w:r w:rsidRPr="00695E89">
        <w:t>política</w:t>
      </w:r>
    </w:p>
    <w:p w14:paraId="4779A330" w14:textId="77777777" w:rsidR="00695E89" w:rsidRPr="00695E89" w:rsidRDefault="00695E89" w:rsidP="00695E89">
      <w:pPr>
        <w:numPr>
          <w:ilvl w:val="0"/>
          <w:numId w:val="1"/>
        </w:numPr>
      </w:pPr>
      <w:r w:rsidRPr="00695E89">
        <w:t>linguagem e representação</w:t>
      </w:r>
    </w:p>
    <w:p w14:paraId="207649B2" w14:textId="77777777" w:rsidR="00695E89" w:rsidRPr="00695E89" w:rsidRDefault="00695E89" w:rsidP="00695E89">
      <w:pPr>
        <w:numPr>
          <w:ilvl w:val="0"/>
          <w:numId w:val="1"/>
        </w:numPr>
      </w:pPr>
      <w:r w:rsidRPr="00695E89">
        <w:t>arte</w:t>
      </w:r>
    </w:p>
    <w:p w14:paraId="74F602A9" w14:textId="77777777" w:rsidR="00695E89" w:rsidRPr="00695E89" w:rsidRDefault="00695E89" w:rsidP="00695E89">
      <w:pPr>
        <w:numPr>
          <w:ilvl w:val="0"/>
          <w:numId w:val="1"/>
        </w:numPr>
      </w:pPr>
      <w:r w:rsidRPr="00695E89">
        <w:t>sonoridade e paisagem sonora</w:t>
      </w:r>
    </w:p>
    <w:p w14:paraId="1CD0F4CC" w14:textId="77777777" w:rsidR="00695E89" w:rsidRPr="00695E89" w:rsidRDefault="00695E89" w:rsidP="00695E89">
      <w:pPr>
        <w:numPr>
          <w:ilvl w:val="0"/>
          <w:numId w:val="1"/>
        </w:numPr>
      </w:pPr>
      <w:r w:rsidRPr="00695E89">
        <w:t>sistema penitenciário</w:t>
      </w:r>
    </w:p>
    <w:p w14:paraId="174C0310" w14:textId="77777777" w:rsidR="00695E89" w:rsidRPr="00695E89" w:rsidRDefault="00695E89" w:rsidP="00695E89">
      <w:pPr>
        <w:numPr>
          <w:ilvl w:val="0"/>
          <w:numId w:val="1"/>
        </w:numPr>
      </w:pPr>
      <w:r w:rsidRPr="00695E89">
        <w:t>territorialidade e colonialismo</w:t>
      </w:r>
    </w:p>
    <w:p w14:paraId="5A1E4531" w14:textId="77777777" w:rsidR="00695E89" w:rsidRPr="00695E89" w:rsidRDefault="00695E89" w:rsidP="00695E89">
      <w:r w:rsidRPr="00695E89">
        <w:t xml:space="preserve">Essas categorias apresentam </w:t>
      </w:r>
      <w:r w:rsidRPr="00695E89">
        <w:rPr>
          <w:b/>
          <w:bCs/>
        </w:rPr>
        <w:t>α de Krippendorff próximo de zero para IA</w:t>
      </w:r>
      <w:r w:rsidRPr="00695E89">
        <w:t xml:space="preserve">, enquanto exibem valores substanciais entre analistas e níveis significativos entre autores e pares. Trata-se de um fenômeno que não pode ser reduzido a mera limitação técnica; ele possui </w:t>
      </w:r>
      <w:r w:rsidRPr="00695E89">
        <w:rPr>
          <w:b/>
          <w:bCs/>
        </w:rPr>
        <w:t>dimensão epistemológica, sociológica e política</w:t>
      </w:r>
      <w:r w:rsidRPr="00695E89">
        <w:t>.</w:t>
      </w:r>
    </w:p>
    <w:p w14:paraId="56515479" w14:textId="77777777" w:rsidR="00695E89" w:rsidRPr="00695E89" w:rsidRDefault="00695E89" w:rsidP="00695E89">
      <w:r w:rsidRPr="00695E89">
        <w:pict w14:anchorId="07B8B769">
          <v:rect id="_x0000_i1025" style="width:0;height:1.5pt" o:hralign="center" o:hrstd="t" o:hr="t" fillcolor="#a0a0a0" stroked="f"/>
        </w:pict>
      </w:r>
    </w:p>
    <w:p w14:paraId="09228079" w14:textId="77777777" w:rsidR="00695E89" w:rsidRPr="00695E89" w:rsidRDefault="00695E89" w:rsidP="00695E89">
      <w:pPr>
        <w:rPr>
          <w:b/>
          <w:bCs/>
        </w:rPr>
      </w:pPr>
      <w:r w:rsidRPr="00695E89">
        <w:rPr>
          <w:b/>
          <w:bCs/>
        </w:rPr>
        <w:t>2. A neutralização semântica como mecanismo estrutural em LLMs</w:t>
      </w:r>
    </w:p>
    <w:p w14:paraId="0BA7659F" w14:textId="77777777" w:rsidR="00695E89" w:rsidRPr="00695E89" w:rsidRDefault="00695E89" w:rsidP="00695E89">
      <w:r w:rsidRPr="00695E89">
        <w:t xml:space="preserve">Modelos de linguagem contemporâneos passam por um processo intensivo de treinamento supervisionado e alinhamento por feedback humano (RLHF). Este processo não apenas ajusta a segurança do modelo — ele </w:t>
      </w:r>
      <w:r w:rsidRPr="00695E89">
        <w:rPr>
          <w:b/>
          <w:bCs/>
        </w:rPr>
        <w:t>modela expectativas discursivas</w:t>
      </w:r>
      <w:r w:rsidRPr="00695E89">
        <w:t>, empurrando o modelo para uma zona de “neutralidade estilística”.</w:t>
      </w:r>
    </w:p>
    <w:p w14:paraId="2FF23910" w14:textId="77777777" w:rsidR="00695E89" w:rsidRPr="00695E89" w:rsidRDefault="00695E89" w:rsidP="00695E89">
      <w:r w:rsidRPr="00695E89">
        <w:rPr>
          <w:lang w:val="es-ES"/>
        </w:rPr>
        <w:t xml:space="preserve">Autores como Anthropic (2023), Weidinger et al. (2022) e Santurkar et al. </w:t>
      </w:r>
      <w:r w:rsidRPr="00695E89">
        <w:t>(2023) documentam que LLMs apresentam:</w:t>
      </w:r>
    </w:p>
    <w:p w14:paraId="7A83EC68" w14:textId="77777777" w:rsidR="00695E89" w:rsidRPr="00695E89" w:rsidRDefault="00695E89" w:rsidP="00695E89">
      <w:pPr>
        <w:numPr>
          <w:ilvl w:val="0"/>
          <w:numId w:val="2"/>
        </w:numPr>
      </w:pPr>
      <w:r w:rsidRPr="00695E89">
        <w:rPr>
          <w:b/>
          <w:bCs/>
        </w:rPr>
        <w:t>aversão a afirmações politicamente carregadas</w:t>
      </w:r>
    </w:p>
    <w:p w14:paraId="32114A91" w14:textId="77777777" w:rsidR="00695E89" w:rsidRPr="00695E89" w:rsidRDefault="00695E89" w:rsidP="00695E89">
      <w:pPr>
        <w:numPr>
          <w:ilvl w:val="0"/>
          <w:numId w:val="2"/>
        </w:numPr>
      </w:pPr>
      <w:r w:rsidRPr="00695E89">
        <w:rPr>
          <w:b/>
          <w:bCs/>
        </w:rPr>
        <w:t>preferência por categorias amplas e não controversas</w:t>
      </w:r>
    </w:p>
    <w:p w14:paraId="5C666F05" w14:textId="77777777" w:rsidR="00695E89" w:rsidRPr="00695E89" w:rsidRDefault="00695E89" w:rsidP="00695E89">
      <w:pPr>
        <w:numPr>
          <w:ilvl w:val="0"/>
          <w:numId w:val="2"/>
        </w:numPr>
      </w:pPr>
      <w:r w:rsidRPr="00695E89">
        <w:rPr>
          <w:b/>
          <w:bCs/>
        </w:rPr>
        <w:t>substituição de conceitos específicos por termos genéricos</w:t>
      </w:r>
    </w:p>
    <w:p w14:paraId="60BE048E" w14:textId="77777777" w:rsidR="00695E89" w:rsidRPr="00695E89" w:rsidRDefault="00695E89" w:rsidP="00695E89">
      <w:pPr>
        <w:numPr>
          <w:ilvl w:val="0"/>
          <w:numId w:val="2"/>
        </w:numPr>
      </w:pPr>
      <w:r w:rsidRPr="00695E89">
        <w:rPr>
          <w:b/>
          <w:bCs/>
        </w:rPr>
        <w:t>redução da intensidade semântica de temas sensíveis</w:t>
      </w:r>
    </w:p>
    <w:p w14:paraId="74C1B172" w14:textId="77777777" w:rsidR="00695E89" w:rsidRPr="00695E89" w:rsidRDefault="00695E89" w:rsidP="00695E89">
      <w:r w:rsidRPr="00695E89">
        <w:t xml:space="preserve">Este fenômeno é denominado, na literatura recente, de </w:t>
      </w:r>
      <w:r w:rsidRPr="00695E89">
        <w:rPr>
          <w:b/>
          <w:bCs/>
        </w:rPr>
        <w:t>“semantic smoothing”</w:t>
      </w:r>
      <w:r w:rsidRPr="00695E89">
        <w:t xml:space="preserve"> ou </w:t>
      </w:r>
      <w:r w:rsidRPr="00695E89">
        <w:rPr>
          <w:b/>
          <w:bCs/>
        </w:rPr>
        <w:t>“political drift”</w:t>
      </w:r>
      <w:r w:rsidRPr="00695E89">
        <w:t>.</w:t>
      </w:r>
    </w:p>
    <w:p w14:paraId="45C157E7" w14:textId="77777777" w:rsidR="00695E89" w:rsidRPr="00695E89" w:rsidRDefault="00695E89" w:rsidP="00695E89">
      <w:r w:rsidRPr="00695E89">
        <w:lastRenderedPageBreak/>
        <w:t>Isso explica empiricamente por que a IA classifica obras que humanos leem como “nacionalismo” ou “política” em categorias vagas como:</w:t>
      </w:r>
    </w:p>
    <w:p w14:paraId="25560B91" w14:textId="77777777" w:rsidR="00695E89" w:rsidRPr="00695E89" w:rsidRDefault="00695E89" w:rsidP="00695E89">
      <w:pPr>
        <w:numPr>
          <w:ilvl w:val="0"/>
          <w:numId w:val="3"/>
        </w:numPr>
      </w:pPr>
      <w:r w:rsidRPr="00695E89">
        <w:t>sociedade</w:t>
      </w:r>
    </w:p>
    <w:p w14:paraId="71067A90" w14:textId="77777777" w:rsidR="00695E89" w:rsidRPr="00695E89" w:rsidRDefault="00695E89" w:rsidP="00695E89">
      <w:pPr>
        <w:numPr>
          <w:ilvl w:val="0"/>
          <w:numId w:val="3"/>
        </w:numPr>
      </w:pPr>
      <w:r w:rsidRPr="00695E89">
        <w:t>direitos humanos</w:t>
      </w:r>
    </w:p>
    <w:p w14:paraId="2098CBB1" w14:textId="77777777" w:rsidR="00695E89" w:rsidRPr="00695E89" w:rsidRDefault="00695E89" w:rsidP="00695E89">
      <w:pPr>
        <w:numPr>
          <w:ilvl w:val="0"/>
          <w:numId w:val="3"/>
        </w:numPr>
      </w:pPr>
      <w:r w:rsidRPr="00695E89">
        <w:t>identidade</w:t>
      </w:r>
    </w:p>
    <w:p w14:paraId="20CB1600" w14:textId="77777777" w:rsidR="00695E89" w:rsidRPr="00695E89" w:rsidRDefault="00695E89" w:rsidP="00695E89">
      <w:pPr>
        <w:numPr>
          <w:ilvl w:val="0"/>
          <w:numId w:val="3"/>
        </w:numPr>
      </w:pPr>
      <w:r w:rsidRPr="00695E89">
        <w:t>cotidiano</w:t>
      </w:r>
    </w:p>
    <w:p w14:paraId="2A17C988" w14:textId="77777777" w:rsidR="00695E89" w:rsidRPr="00695E89" w:rsidRDefault="00695E89" w:rsidP="00695E89">
      <w:pPr>
        <w:numPr>
          <w:ilvl w:val="0"/>
          <w:numId w:val="3"/>
        </w:numPr>
      </w:pPr>
      <w:r w:rsidRPr="00695E89">
        <w:t>relações sociais</w:t>
      </w:r>
    </w:p>
    <w:p w14:paraId="6D9B1D7A" w14:textId="77777777" w:rsidR="00695E89" w:rsidRPr="00695E89" w:rsidRDefault="00695E89" w:rsidP="00695E89">
      <w:r w:rsidRPr="00695E89">
        <w:t xml:space="preserve">O apagamento não é acidental. É um </w:t>
      </w:r>
      <w:r w:rsidRPr="00695E89">
        <w:rPr>
          <w:b/>
          <w:bCs/>
        </w:rPr>
        <w:t>efeito estatístico e alinhado</w:t>
      </w:r>
      <w:r w:rsidRPr="00695E89">
        <w:t>.</w:t>
      </w:r>
    </w:p>
    <w:p w14:paraId="72C6BE90" w14:textId="77777777" w:rsidR="00695E89" w:rsidRPr="00695E89" w:rsidRDefault="00695E89" w:rsidP="00695E89">
      <w:r w:rsidRPr="00695E89">
        <w:pict w14:anchorId="5460FB8E">
          <v:rect id="_x0000_i1026" style="width:0;height:1.5pt" o:hralign="center" o:hrstd="t" o:hr="t" fillcolor="#a0a0a0" stroked="f"/>
        </w:pict>
      </w:r>
    </w:p>
    <w:p w14:paraId="4D899438" w14:textId="77777777" w:rsidR="00695E89" w:rsidRPr="00695E89" w:rsidRDefault="00695E89" w:rsidP="00695E89">
      <w:pPr>
        <w:rPr>
          <w:b/>
          <w:bCs/>
        </w:rPr>
      </w:pPr>
      <w:r w:rsidRPr="00695E89">
        <w:rPr>
          <w:b/>
          <w:bCs/>
        </w:rPr>
        <w:t>3. Apagamento temático em categorias politicamente sensíveis</w:t>
      </w:r>
    </w:p>
    <w:p w14:paraId="32081690" w14:textId="77777777" w:rsidR="00695E89" w:rsidRPr="00695E89" w:rsidRDefault="00695E89" w:rsidP="00695E89">
      <w:r w:rsidRPr="00695E89">
        <w:t>A divergência mais extrema em seus dados ocorre em:</w:t>
      </w:r>
    </w:p>
    <w:p w14:paraId="7B567391" w14:textId="77777777" w:rsidR="00695E89" w:rsidRPr="00695E89" w:rsidRDefault="00695E89" w:rsidP="00695E89">
      <w:pPr>
        <w:rPr>
          <w:b/>
          <w:bCs/>
        </w:rPr>
      </w:pPr>
      <w:r w:rsidRPr="00695E89">
        <w:rPr>
          <w:b/>
          <w:bCs/>
        </w:rPr>
        <w:t>Nacionalidade e nacionalismo</w:t>
      </w:r>
    </w:p>
    <w:p w14:paraId="3E9C7909" w14:textId="77777777" w:rsidR="00695E89" w:rsidRPr="00695E89" w:rsidRDefault="00695E89" w:rsidP="00695E89">
      <w:pPr>
        <w:numPr>
          <w:ilvl w:val="0"/>
          <w:numId w:val="4"/>
        </w:numPr>
      </w:pPr>
      <w:r w:rsidRPr="00695E89">
        <w:t>IA: α ≈ 0</w:t>
      </w:r>
    </w:p>
    <w:p w14:paraId="13DC35C0" w14:textId="77777777" w:rsidR="00695E89" w:rsidRPr="00695E89" w:rsidRDefault="00695E89" w:rsidP="00695E89">
      <w:pPr>
        <w:numPr>
          <w:ilvl w:val="0"/>
          <w:numId w:val="4"/>
        </w:numPr>
      </w:pPr>
      <w:r w:rsidRPr="00695E89">
        <w:t>Analistas: α elevado</w:t>
      </w:r>
    </w:p>
    <w:p w14:paraId="0206B44F" w14:textId="77777777" w:rsidR="00695E89" w:rsidRPr="00695E89" w:rsidRDefault="00695E89" w:rsidP="00695E89">
      <w:pPr>
        <w:numPr>
          <w:ilvl w:val="0"/>
          <w:numId w:val="4"/>
        </w:numPr>
      </w:pPr>
      <w:r w:rsidRPr="00695E89">
        <w:t>Autores/pares: α moderado</w:t>
      </w:r>
    </w:p>
    <w:p w14:paraId="563FFEF5" w14:textId="77777777" w:rsidR="00695E89" w:rsidRPr="00695E89" w:rsidRDefault="00695E89" w:rsidP="00695E89">
      <w:r w:rsidRPr="00695E89">
        <w:t>Na literatura, temas de nacionalismo são frequentemente classificados como discursivamente perigosos, por estarem associados a:</w:t>
      </w:r>
    </w:p>
    <w:p w14:paraId="7024E90D" w14:textId="77777777" w:rsidR="00695E89" w:rsidRPr="00695E89" w:rsidRDefault="00695E89" w:rsidP="00695E89">
      <w:pPr>
        <w:numPr>
          <w:ilvl w:val="0"/>
          <w:numId w:val="5"/>
        </w:numPr>
      </w:pPr>
      <w:r w:rsidRPr="00695E89">
        <w:t>ideologias extremistas</w:t>
      </w:r>
    </w:p>
    <w:p w14:paraId="530D85B7" w14:textId="77777777" w:rsidR="00695E89" w:rsidRPr="00695E89" w:rsidRDefault="00695E89" w:rsidP="00695E89">
      <w:pPr>
        <w:numPr>
          <w:ilvl w:val="0"/>
          <w:numId w:val="5"/>
        </w:numPr>
      </w:pPr>
      <w:r w:rsidRPr="00695E89">
        <w:t>políticas identitárias</w:t>
      </w:r>
    </w:p>
    <w:p w14:paraId="48CFB032" w14:textId="77777777" w:rsidR="00695E89" w:rsidRPr="00695E89" w:rsidRDefault="00695E89" w:rsidP="00695E89">
      <w:pPr>
        <w:numPr>
          <w:ilvl w:val="0"/>
          <w:numId w:val="5"/>
        </w:numPr>
      </w:pPr>
      <w:r w:rsidRPr="00695E89">
        <w:t>conflitos geopolíticos</w:t>
      </w:r>
    </w:p>
    <w:p w14:paraId="62A74B86" w14:textId="77777777" w:rsidR="00695E89" w:rsidRPr="00695E89" w:rsidRDefault="00695E89" w:rsidP="00695E89">
      <w:r w:rsidRPr="00695E89">
        <w:t>LLMs são treinados para evitar parecer:</w:t>
      </w:r>
    </w:p>
    <w:p w14:paraId="470939F5" w14:textId="77777777" w:rsidR="00695E89" w:rsidRPr="00695E89" w:rsidRDefault="00695E89" w:rsidP="00695E89">
      <w:pPr>
        <w:numPr>
          <w:ilvl w:val="0"/>
          <w:numId w:val="6"/>
        </w:numPr>
      </w:pPr>
      <w:r w:rsidRPr="00695E89">
        <w:t>partidários</w:t>
      </w:r>
    </w:p>
    <w:p w14:paraId="48014385" w14:textId="77777777" w:rsidR="00695E89" w:rsidRPr="00695E89" w:rsidRDefault="00695E89" w:rsidP="00695E89">
      <w:pPr>
        <w:numPr>
          <w:ilvl w:val="0"/>
          <w:numId w:val="6"/>
        </w:numPr>
      </w:pPr>
      <w:r w:rsidRPr="00695E89">
        <w:t>nacionalistas</w:t>
      </w:r>
    </w:p>
    <w:p w14:paraId="73882526" w14:textId="77777777" w:rsidR="00695E89" w:rsidRPr="00695E89" w:rsidRDefault="00695E89" w:rsidP="00695E89">
      <w:pPr>
        <w:numPr>
          <w:ilvl w:val="0"/>
          <w:numId w:val="6"/>
        </w:numPr>
      </w:pPr>
      <w:r w:rsidRPr="00695E89">
        <w:t>discriminatórios</w:t>
      </w:r>
    </w:p>
    <w:p w14:paraId="490608DB" w14:textId="77777777" w:rsidR="00695E89" w:rsidRPr="00695E89" w:rsidRDefault="00695E89" w:rsidP="00695E89">
      <w:pPr>
        <w:numPr>
          <w:ilvl w:val="0"/>
          <w:numId w:val="6"/>
        </w:numPr>
      </w:pPr>
      <w:r w:rsidRPr="00695E89">
        <w:t>ideologicamente enviesados</w:t>
      </w:r>
    </w:p>
    <w:p w14:paraId="078EA2B0" w14:textId="77777777" w:rsidR="00695E89" w:rsidRPr="00695E89" w:rsidRDefault="00695E89" w:rsidP="00695E89">
      <w:r w:rsidRPr="00695E89">
        <w:t xml:space="preserve">Weidinger et al. (2021) mostram que IAs tendem a </w:t>
      </w:r>
      <w:r w:rsidRPr="00695E89">
        <w:rPr>
          <w:b/>
          <w:bCs/>
        </w:rPr>
        <w:t>evitar declarações que impliquem julgamentos sobre grupos identitários ou coletividades políticas</w:t>
      </w:r>
      <w:r w:rsidRPr="00695E89">
        <w:t>, mesmo quando a tarefa exige precisão analítica.</w:t>
      </w:r>
    </w:p>
    <w:p w14:paraId="0603E759" w14:textId="77777777" w:rsidR="00695E89" w:rsidRPr="00695E89" w:rsidRDefault="00695E89" w:rsidP="00695E89">
      <w:r w:rsidRPr="00695E89">
        <w:t>Assim, mesmo quando a sinopse descreve uma obra explicitamente sobre identidade nacional, soberania, fronteiras ou etnicidade, o modelo pode neutralizar isso em categorias amplas como “cultura” ou “território”.</w:t>
      </w:r>
    </w:p>
    <w:p w14:paraId="5ECEF7A7" w14:textId="77777777" w:rsidR="00695E89" w:rsidRPr="00695E89" w:rsidRDefault="00695E89" w:rsidP="00695E89">
      <w:r w:rsidRPr="00695E89">
        <w:pict w14:anchorId="279F4A35">
          <v:rect id="_x0000_i1027" style="width:0;height:1.5pt" o:hralign="center" o:hrstd="t" o:hr="t" fillcolor="#a0a0a0" stroked="f"/>
        </w:pict>
      </w:r>
    </w:p>
    <w:p w14:paraId="44FFB5F5" w14:textId="77777777" w:rsidR="00695E89" w:rsidRPr="00695E89" w:rsidRDefault="00695E89" w:rsidP="00695E89">
      <w:pPr>
        <w:rPr>
          <w:b/>
          <w:bCs/>
        </w:rPr>
      </w:pPr>
      <w:r w:rsidRPr="00695E89">
        <w:rPr>
          <w:b/>
          <w:bCs/>
        </w:rPr>
        <w:t>4. Despolitização automática de categorias críticas</w:t>
      </w:r>
    </w:p>
    <w:p w14:paraId="20F44E40" w14:textId="77777777" w:rsidR="00695E89" w:rsidRPr="00695E89" w:rsidRDefault="00695E89" w:rsidP="00695E89">
      <w:r w:rsidRPr="00695E89">
        <w:lastRenderedPageBreak/>
        <w:t>Fenômeno observado também em:</w:t>
      </w:r>
    </w:p>
    <w:p w14:paraId="576AA359" w14:textId="77777777" w:rsidR="00695E89" w:rsidRPr="00695E89" w:rsidRDefault="00695E89" w:rsidP="00695E89">
      <w:pPr>
        <w:numPr>
          <w:ilvl w:val="0"/>
          <w:numId w:val="7"/>
        </w:numPr>
      </w:pPr>
      <w:r w:rsidRPr="00695E89">
        <w:rPr>
          <w:b/>
          <w:bCs/>
        </w:rPr>
        <w:t>Política</w:t>
      </w:r>
    </w:p>
    <w:p w14:paraId="31096CB8" w14:textId="77777777" w:rsidR="00695E89" w:rsidRPr="00695E89" w:rsidRDefault="00695E89" w:rsidP="00695E89">
      <w:pPr>
        <w:numPr>
          <w:ilvl w:val="0"/>
          <w:numId w:val="7"/>
        </w:numPr>
      </w:pPr>
      <w:r w:rsidRPr="00695E89">
        <w:rPr>
          <w:b/>
          <w:bCs/>
        </w:rPr>
        <w:t>Sistema penitenciário</w:t>
      </w:r>
    </w:p>
    <w:p w14:paraId="519C8B16" w14:textId="77777777" w:rsidR="00695E89" w:rsidRPr="00695E89" w:rsidRDefault="00695E89" w:rsidP="00695E89">
      <w:pPr>
        <w:numPr>
          <w:ilvl w:val="0"/>
          <w:numId w:val="7"/>
        </w:numPr>
      </w:pPr>
      <w:r w:rsidRPr="00695E89">
        <w:rPr>
          <w:b/>
          <w:bCs/>
        </w:rPr>
        <w:t>Violências de Estado</w:t>
      </w:r>
    </w:p>
    <w:p w14:paraId="7D90A654" w14:textId="77777777" w:rsidR="00695E89" w:rsidRPr="00695E89" w:rsidRDefault="00695E89" w:rsidP="00695E89">
      <w:pPr>
        <w:numPr>
          <w:ilvl w:val="0"/>
          <w:numId w:val="7"/>
        </w:numPr>
      </w:pPr>
      <w:r w:rsidRPr="00695E89">
        <w:rPr>
          <w:b/>
          <w:bCs/>
        </w:rPr>
        <w:t>Raça e racismo (em subtemas específicos)</w:t>
      </w:r>
    </w:p>
    <w:p w14:paraId="3149CE77" w14:textId="77777777" w:rsidR="00695E89" w:rsidRPr="00695E89" w:rsidRDefault="00695E89" w:rsidP="00695E89">
      <w:pPr>
        <w:numPr>
          <w:ilvl w:val="0"/>
          <w:numId w:val="7"/>
        </w:numPr>
      </w:pPr>
      <w:r w:rsidRPr="00695E89">
        <w:rPr>
          <w:b/>
          <w:bCs/>
        </w:rPr>
        <w:t>Territorialidade e colonialismo</w:t>
      </w:r>
    </w:p>
    <w:p w14:paraId="77827F12" w14:textId="77777777" w:rsidR="00695E89" w:rsidRPr="00695E89" w:rsidRDefault="00695E89" w:rsidP="00695E89">
      <w:r w:rsidRPr="00695E89">
        <w:t>A IA trata temas estruturais de poder como:</w:t>
      </w:r>
    </w:p>
    <w:p w14:paraId="6451DF8E" w14:textId="77777777" w:rsidR="00695E89" w:rsidRPr="00695E89" w:rsidRDefault="00695E89" w:rsidP="00695E89">
      <w:r w:rsidRPr="00695E89">
        <w:t>“fenômenos sociais gerais”</w:t>
      </w:r>
      <w:r w:rsidRPr="00695E89">
        <w:br/>
        <w:t>e não como categorias analíticas próprias.</w:t>
      </w:r>
    </w:p>
    <w:p w14:paraId="33FA3AE8" w14:textId="77777777" w:rsidR="00695E89" w:rsidRPr="00695E89" w:rsidRDefault="00695E89" w:rsidP="00695E89">
      <w:r w:rsidRPr="00695E89">
        <w:t xml:space="preserve">Isso é consistente com achados de </w:t>
      </w:r>
      <w:r w:rsidRPr="00695E89">
        <w:rPr>
          <w:b/>
          <w:bCs/>
        </w:rPr>
        <w:t>Abebe et al. (2021)</w:t>
      </w:r>
      <w:r w:rsidRPr="00695E89">
        <w:t xml:space="preserve"> sobre “epistemologias perdidas” em IA — tecnologias que reproduzem padrões dominantes e silenciam nuances políticas.</w:t>
      </w:r>
    </w:p>
    <w:p w14:paraId="21B29479" w14:textId="77777777" w:rsidR="00695E89" w:rsidRPr="00695E89" w:rsidRDefault="00695E89" w:rsidP="00695E89">
      <w:r w:rsidRPr="00695E89">
        <w:pict w14:anchorId="24EEA201">
          <v:rect id="_x0000_i1028" style="width:0;height:1.5pt" o:hralign="center" o:hrstd="t" o:hr="t" fillcolor="#a0a0a0" stroked="f"/>
        </w:pict>
      </w:r>
    </w:p>
    <w:p w14:paraId="5AF6B6A7" w14:textId="77777777" w:rsidR="00695E89" w:rsidRPr="00695E89" w:rsidRDefault="00695E89" w:rsidP="00695E89">
      <w:pPr>
        <w:rPr>
          <w:b/>
          <w:bCs/>
        </w:rPr>
      </w:pPr>
      <w:r w:rsidRPr="00695E89">
        <w:rPr>
          <w:b/>
          <w:bCs/>
        </w:rPr>
        <w:t>5. Apagamento estético e sensorial: as categorias artísticas</w:t>
      </w:r>
    </w:p>
    <w:p w14:paraId="45CA168F" w14:textId="77777777" w:rsidR="00695E89" w:rsidRPr="00695E89" w:rsidRDefault="00695E89" w:rsidP="00695E89">
      <w:r w:rsidRPr="00695E89">
        <w:t>As categorias mais omitidas pela IA incluem:</w:t>
      </w:r>
    </w:p>
    <w:p w14:paraId="74D04962" w14:textId="77777777" w:rsidR="00695E89" w:rsidRPr="00695E89" w:rsidRDefault="00695E89" w:rsidP="00695E89">
      <w:pPr>
        <w:numPr>
          <w:ilvl w:val="0"/>
          <w:numId w:val="8"/>
        </w:numPr>
      </w:pPr>
      <w:r w:rsidRPr="00695E89">
        <w:t>arte</w:t>
      </w:r>
    </w:p>
    <w:p w14:paraId="759C21D8" w14:textId="77777777" w:rsidR="00695E89" w:rsidRPr="00695E89" w:rsidRDefault="00695E89" w:rsidP="00695E89">
      <w:pPr>
        <w:numPr>
          <w:ilvl w:val="0"/>
          <w:numId w:val="8"/>
        </w:numPr>
      </w:pPr>
      <w:r w:rsidRPr="00695E89">
        <w:t>linguagem e representação</w:t>
      </w:r>
    </w:p>
    <w:p w14:paraId="01CB5562" w14:textId="77777777" w:rsidR="00695E89" w:rsidRPr="00695E89" w:rsidRDefault="00695E89" w:rsidP="00695E89">
      <w:pPr>
        <w:numPr>
          <w:ilvl w:val="0"/>
          <w:numId w:val="8"/>
        </w:numPr>
      </w:pPr>
      <w:r w:rsidRPr="00695E89">
        <w:t>poesia e ensaio</w:t>
      </w:r>
    </w:p>
    <w:p w14:paraId="70973218" w14:textId="77777777" w:rsidR="00695E89" w:rsidRPr="00695E89" w:rsidRDefault="00695E89" w:rsidP="00695E89">
      <w:pPr>
        <w:numPr>
          <w:ilvl w:val="0"/>
          <w:numId w:val="8"/>
        </w:numPr>
      </w:pPr>
      <w:r w:rsidRPr="00695E89">
        <w:t>sonoridade e paisagem sonora</w:t>
      </w:r>
    </w:p>
    <w:p w14:paraId="7369A3FA" w14:textId="77777777" w:rsidR="00695E89" w:rsidRPr="00695E89" w:rsidRDefault="00695E89" w:rsidP="00695E89">
      <w:r w:rsidRPr="00695E89">
        <w:t>LLMs operam exclusivamente sobre texto. Portanto, não capturam:</w:t>
      </w:r>
    </w:p>
    <w:p w14:paraId="36C495E6" w14:textId="77777777" w:rsidR="00695E89" w:rsidRPr="00695E89" w:rsidRDefault="00695E89" w:rsidP="00695E89">
      <w:pPr>
        <w:numPr>
          <w:ilvl w:val="0"/>
          <w:numId w:val="9"/>
        </w:numPr>
      </w:pPr>
      <w:r w:rsidRPr="00695E89">
        <w:t>textura imagética</w:t>
      </w:r>
    </w:p>
    <w:p w14:paraId="2EB75792" w14:textId="77777777" w:rsidR="00695E89" w:rsidRPr="00695E89" w:rsidRDefault="00695E89" w:rsidP="00695E89">
      <w:pPr>
        <w:numPr>
          <w:ilvl w:val="0"/>
          <w:numId w:val="9"/>
        </w:numPr>
      </w:pPr>
      <w:r w:rsidRPr="00695E89">
        <w:t>ritmo de montagem</w:t>
      </w:r>
    </w:p>
    <w:p w14:paraId="4AA74CA9" w14:textId="77777777" w:rsidR="00695E89" w:rsidRPr="00695E89" w:rsidRDefault="00695E89" w:rsidP="00695E89">
      <w:pPr>
        <w:numPr>
          <w:ilvl w:val="0"/>
          <w:numId w:val="9"/>
        </w:numPr>
      </w:pPr>
      <w:r w:rsidRPr="00695E89">
        <w:t>paleta sonora</w:t>
      </w:r>
    </w:p>
    <w:p w14:paraId="0F34DA52" w14:textId="77777777" w:rsidR="00695E89" w:rsidRPr="00695E89" w:rsidRDefault="00695E89" w:rsidP="00695E89">
      <w:pPr>
        <w:numPr>
          <w:ilvl w:val="0"/>
          <w:numId w:val="9"/>
        </w:numPr>
      </w:pPr>
      <w:r w:rsidRPr="00695E89">
        <w:t>performatividade</w:t>
      </w:r>
    </w:p>
    <w:p w14:paraId="79A836FB" w14:textId="77777777" w:rsidR="00695E89" w:rsidRPr="00695E89" w:rsidRDefault="00695E89" w:rsidP="00695E89">
      <w:pPr>
        <w:numPr>
          <w:ilvl w:val="0"/>
          <w:numId w:val="9"/>
        </w:numPr>
      </w:pPr>
      <w:r w:rsidRPr="00695E89">
        <w:t>estética corporal</w:t>
      </w:r>
    </w:p>
    <w:p w14:paraId="4552280E" w14:textId="77777777" w:rsidR="00695E89" w:rsidRPr="00695E89" w:rsidRDefault="00695E89" w:rsidP="00695E89">
      <w:pPr>
        <w:numPr>
          <w:ilvl w:val="0"/>
          <w:numId w:val="9"/>
        </w:numPr>
      </w:pPr>
      <w:r w:rsidRPr="00695E89">
        <w:t>uso de cor, enquadramento ou movimento</w:t>
      </w:r>
    </w:p>
    <w:p w14:paraId="7BD77813" w14:textId="77777777" w:rsidR="00695E89" w:rsidRPr="00695E89" w:rsidRDefault="00695E89" w:rsidP="00695E89">
      <w:r w:rsidRPr="00695E89">
        <w:t xml:space="preserve">Isso ecoa pesquisas de </w:t>
      </w:r>
      <w:r w:rsidRPr="00695E89">
        <w:rPr>
          <w:b/>
          <w:bCs/>
        </w:rPr>
        <w:t>Manovich (2020)</w:t>
      </w:r>
      <w:r w:rsidRPr="00695E89">
        <w:t xml:space="preserve"> e </w:t>
      </w:r>
      <w:r w:rsidRPr="00695E89">
        <w:rPr>
          <w:b/>
          <w:bCs/>
        </w:rPr>
        <w:t>Arnold &amp; Tilton (2019)</w:t>
      </w:r>
      <w:r w:rsidRPr="00695E89">
        <w:t>, que demonstram que IAs textuais não conseguem operar como agentes interpretativos de obras audiovisuais, pois carecem de:</w:t>
      </w:r>
    </w:p>
    <w:p w14:paraId="14266CB0" w14:textId="77777777" w:rsidR="00695E89" w:rsidRPr="00695E89" w:rsidRDefault="00695E89" w:rsidP="00695E89">
      <w:pPr>
        <w:numPr>
          <w:ilvl w:val="0"/>
          <w:numId w:val="10"/>
        </w:numPr>
      </w:pPr>
      <w:r w:rsidRPr="00695E89">
        <w:t>percepção sensorial</w:t>
      </w:r>
    </w:p>
    <w:p w14:paraId="2124521D" w14:textId="77777777" w:rsidR="00695E89" w:rsidRPr="00695E89" w:rsidRDefault="00695E89" w:rsidP="00695E89">
      <w:pPr>
        <w:numPr>
          <w:ilvl w:val="0"/>
          <w:numId w:val="10"/>
        </w:numPr>
      </w:pPr>
      <w:r w:rsidRPr="00695E89">
        <w:t>intencionalidade estética</w:t>
      </w:r>
    </w:p>
    <w:p w14:paraId="096EE287" w14:textId="77777777" w:rsidR="00695E89" w:rsidRPr="00695E89" w:rsidRDefault="00695E89" w:rsidP="00695E89">
      <w:pPr>
        <w:numPr>
          <w:ilvl w:val="0"/>
          <w:numId w:val="10"/>
        </w:numPr>
      </w:pPr>
      <w:r w:rsidRPr="00695E89">
        <w:t>leitura simbólica não verbal</w:t>
      </w:r>
    </w:p>
    <w:p w14:paraId="7DF50D29" w14:textId="77777777" w:rsidR="00695E89" w:rsidRPr="00695E89" w:rsidRDefault="00695E89" w:rsidP="00695E89">
      <w:r w:rsidRPr="00695E89">
        <w:t xml:space="preserve">Essas limitações são </w:t>
      </w:r>
      <w:r w:rsidRPr="00695E89">
        <w:rPr>
          <w:b/>
          <w:bCs/>
        </w:rPr>
        <w:t>estruturais</w:t>
      </w:r>
      <w:r w:rsidRPr="00695E89">
        <w:t>.</w:t>
      </w:r>
    </w:p>
    <w:p w14:paraId="3D06DFF8" w14:textId="77777777" w:rsidR="00695E89" w:rsidRPr="00695E89" w:rsidRDefault="00695E89" w:rsidP="00695E89">
      <w:r w:rsidRPr="00695E89">
        <w:lastRenderedPageBreak/>
        <w:pict w14:anchorId="71C9D687">
          <v:rect id="_x0000_i1029" style="width:0;height:1.5pt" o:hralign="center" o:hrstd="t" o:hr="t" fillcolor="#a0a0a0" stroked="f"/>
        </w:pict>
      </w:r>
    </w:p>
    <w:p w14:paraId="4BCB1385" w14:textId="77777777" w:rsidR="00695E89" w:rsidRPr="00695E89" w:rsidRDefault="00695E89" w:rsidP="00695E89">
      <w:pPr>
        <w:rPr>
          <w:b/>
          <w:bCs/>
        </w:rPr>
      </w:pPr>
      <w:r w:rsidRPr="00695E89">
        <w:rPr>
          <w:b/>
          <w:bCs/>
        </w:rPr>
        <w:t>6. A IA como agente de classificação: uma forma de poder simbólico?</w:t>
      </w:r>
    </w:p>
    <w:p w14:paraId="48B8BAC5" w14:textId="77777777" w:rsidR="00695E89" w:rsidRPr="00695E89" w:rsidRDefault="00695E89" w:rsidP="00695E89">
      <w:r w:rsidRPr="00695E89">
        <w:t>Seu projeto revela algo profundo:</w:t>
      </w:r>
      <w:r w:rsidRPr="00695E89">
        <w:br/>
      </w:r>
      <w:r w:rsidRPr="00695E89">
        <w:rPr>
          <w:b/>
          <w:bCs/>
        </w:rPr>
        <w:t>A IA não apenas descreve — ela produz identidade temática.</w:t>
      </w:r>
    </w:p>
    <w:p w14:paraId="71E1EF28" w14:textId="77777777" w:rsidR="00695E89" w:rsidRPr="00695E89" w:rsidRDefault="00695E89" w:rsidP="00695E89">
      <w:r w:rsidRPr="00695E89">
        <w:t xml:space="preserve">E conforme argumenta </w:t>
      </w:r>
      <w:r w:rsidRPr="00695E89">
        <w:rPr>
          <w:b/>
          <w:bCs/>
        </w:rPr>
        <w:t>Bourdieu (1989)</w:t>
      </w:r>
      <w:r w:rsidRPr="00695E89">
        <w:t>, nomear o mundo é um ato de poder.</w:t>
      </w:r>
    </w:p>
    <w:p w14:paraId="03A0B856" w14:textId="77777777" w:rsidR="00695E89" w:rsidRPr="00695E89" w:rsidRDefault="00695E89" w:rsidP="00695E89">
      <w:r w:rsidRPr="00695E89">
        <w:t>Se a IA:</w:t>
      </w:r>
    </w:p>
    <w:p w14:paraId="47CC76CF" w14:textId="77777777" w:rsidR="00695E89" w:rsidRPr="00695E89" w:rsidRDefault="00695E89" w:rsidP="00695E89">
      <w:pPr>
        <w:numPr>
          <w:ilvl w:val="0"/>
          <w:numId w:val="11"/>
        </w:numPr>
      </w:pPr>
      <w:r w:rsidRPr="00695E89">
        <w:t>estabiliza temas</w:t>
      </w:r>
    </w:p>
    <w:p w14:paraId="09F6CC8D" w14:textId="77777777" w:rsidR="00695E89" w:rsidRPr="00695E89" w:rsidRDefault="00695E89" w:rsidP="00695E89">
      <w:pPr>
        <w:numPr>
          <w:ilvl w:val="0"/>
          <w:numId w:val="11"/>
        </w:numPr>
      </w:pPr>
      <w:r w:rsidRPr="00695E89">
        <w:t>despolitiza categorias</w:t>
      </w:r>
    </w:p>
    <w:p w14:paraId="5C11FF88" w14:textId="77777777" w:rsidR="00695E89" w:rsidRPr="00695E89" w:rsidRDefault="00695E89" w:rsidP="00695E89">
      <w:pPr>
        <w:numPr>
          <w:ilvl w:val="0"/>
          <w:numId w:val="11"/>
        </w:numPr>
      </w:pPr>
      <w:r w:rsidRPr="00695E89">
        <w:t>neutraliza tensões</w:t>
      </w:r>
    </w:p>
    <w:p w14:paraId="3984FB18" w14:textId="77777777" w:rsidR="00695E89" w:rsidRPr="00695E89" w:rsidRDefault="00695E89" w:rsidP="00695E89">
      <w:pPr>
        <w:numPr>
          <w:ilvl w:val="0"/>
          <w:numId w:val="11"/>
        </w:numPr>
      </w:pPr>
      <w:r w:rsidRPr="00695E89">
        <w:t>converge fortemente entre si</w:t>
      </w:r>
    </w:p>
    <w:p w14:paraId="3DA196C5" w14:textId="77777777" w:rsidR="00695E89" w:rsidRPr="00695E89" w:rsidRDefault="00695E89" w:rsidP="00695E89">
      <w:r w:rsidRPr="00695E89">
        <w:t xml:space="preserve">então ela se torna uma </w:t>
      </w:r>
      <w:r w:rsidRPr="00695E89">
        <w:rPr>
          <w:b/>
          <w:bCs/>
        </w:rPr>
        <w:t>instância de consagração classificatória</w:t>
      </w:r>
      <w:r w:rsidRPr="00695E89">
        <w:t>, um “meta-observador” que pode:</w:t>
      </w:r>
    </w:p>
    <w:p w14:paraId="7B21CF3E" w14:textId="77777777" w:rsidR="00695E89" w:rsidRPr="00695E89" w:rsidRDefault="00695E89" w:rsidP="00695E89">
      <w:pPr>
        <w:numPr>
          <w:ilvl w:val="0"/>
          <w:numId w:val="12"/>
        </w:numPr>
      </w:pPr>
      <w:r w:rsidRPr="00695E89">
        <w:t>legitimar leituras</w:t>
      </w:r>
    </w:p>
    <w:p w14:paraId="5B1868E5" w14:textId="77777777" w:rsidR="00695E89" w:rsidRPr="00695E89" w:rsidRDefault="00695E89" w:rsidP="00695E89">
      <w:pPr>
        <w:numPr>
          <w:ilvl w:val="0"/>
          <w:numId w:val="12"/>
        </w:numPr>
      </w:pPr>
      <w:r w:rsidRPr="00695E89">
        <w:t>apagar outras</w:t>
      </w:r>
    </w:p>
    <w:p w14:paraId="527CFE45" w14:textId="77777777" w:rsidR="00695E89" w:rsidRPr="00695E89" w:rsidRDefault="00695E89" w:rsidP="00695E89">
      <w:pPr>
        <w:numPr>
          <w:ilvl w:val="0"/>
          <w:numId w:val="12"/>
        </w:numPr>
      </w:pPr>
      <w:r w:rsidRPr="00695E89">
        <w:t>priorizar categorias seguras</w:t>
      </w:r>
    </w:p>
    <w:p w14:paraId="2033782E" w14:textId="77777777" w:rsidR="00695E89" w:rsidRPr="00695E89" w:rsidRDefault="00695E89" w:rsidP="00695E89">
      <w:pPr>
        <w:numPr>
          <w:ilvl w:val="0"/>
          <w:numId w:val="12"/>
        </w:numPr>
      </w:pPr>
      <w:r w:rsidRPr="00695E89">
        <w:t>reduzir a pluralidade interpretativa</w:t>
      </w:r>
    </w:p>
    <w:p w14:paraId="719651C0" w14:textId="77777777" w:rsidR="00695E89" w:rsidRPr="00695E89" w:rsidRDefault="00695E89" w:rsidP="00695E89">
      <w:r w:rsidRPr="00695E89">
        <w:t>Este é um risco identificado por:</w:t>
      </w:r>
    </w:p>
    <w:p w14:paraId="2ECB392C" w14:textId="77777777" w:rsidR="00695E89" w:rsidRPr="00695E89" w:rsidRDefault="00695E89" w:rsidP="00695E89">
      <w:pPr>
        <w:numPr>
          <w:ilvl w:val="0"/>
          <w:numId w:val="13"/>
        </w:numPr>
      </w:pPr>
      <w:r w:rsidRPr="00695E89">
        <w:rPr>
          <w:b/>
          <w:bCs/>
        </w:rPr>
        <w:t>Zuboff (2019)</w:t>
      </w:r>
      <w:r w:rsidRPr="00695E89">
        <w:t>: poder instrumentalizador das plataformas</w:t>
      </w:r>
    </w:p>
    <w:p w14:paraId="455D21BA" w14:textId="77777777" w:rsidR="00695E89" w:rsidRPr="00695E89" w:rsidRDefault="00695E89" w:rsidP="00695E89">
      <w:pPr>
        <w:numPr>
          <w:ilvl w:val="0"/>
          <w:numId w:val="13"/>
        </w:numPr>
      </w:pPr>
      <w:r w:rsidRPr="00695E89">
        <w:rPr>
          <w:b/>
          <w:bCs/>
        </w:rPr>
        <w:t>Couldry &amp; Mejias (2019)</w:t>
      </w:r>
      <w:r w:rsidRPr="00695E89">
        <w:t>: colonialidade de dados</w:t>
      </w:r>
    </w:p>
    <w:p w14:paraId="20E3C71F" w14:textId="77777777" w:rsidR="00695E89" w:rsidRPr="00695E89" w:rsidRDefault="00695E89" w:rsidP="00695E89">
      <w:pPr>
        <w:numPr>
          <w:ilvl w:val="0"/>
          <w:numId w:val="13"/>
        </w:numPr>
      </w:pPr>
      <w:r w:rsidRPr="00695E89">
        <w:rPr>
          <w:b/>
          <w:bCs/>
        </w:rPr>
        <w:t>Noble (2018)</w:t>
      </w:r>
      <w:r w:rsidRPr="00695E89">
        <w:t>: algoritmos que reforçam hegemonias</w:t>
      </w:r>
    </w:p>
    <w:p w14:paraId="5D5AAEFA" w14:textId="77777777" w:rsidR="00695E89" w:rsidRPr="00695E89" w:rsidRDefault="00695E89" w:rsidP="00695E89">
      <w:pPr>
        <w:numPr>
          <w:ilvl w:val="0"/>
          <w:numId w:val="13"/>
        </w:numPr>
      </w:pPr>
      <w:r w:rsidRPr="00695E89">
        <w:rPr>
          <w:b/>
          <w:bCs/>
        </w:rPr>
        <w:t>Hall (1997)</w:t>
      </w:r>
      <w:r w:rsidRPr="00695E89">
        <w:t>: disputas pela representação</w:t>
      </w:r>
    </w:p>
    <w:p w14:paraId="7AF787EE" w14:textId="77777777" w:rsidR="00695E89" w:rsidRPr="00695E89" w:rsidRDefault="00695E89" w:rsidP="00695E89">
      <w:r w:rsidRPr="00695E89">
        <w:t>Seu dataset comprova empiricamente aquilo que a teoria crítica sugere:</w:t>
      </w:r>
    </w:p>
    <w:p w14:paraId="0526B0DF" w14:textId="77777777" w:rsidR="00695E89" w:rsidRPr="00695E89" w:rsidRDefault="00695E89" w:rsidP="00695E89">
      <w:r w:rsidRPr="00695E89">
        <w:t>Os modelos de IA não são neutros; são produtores de sentido, com vieses sistematicamente alinhados à neutralização política e ao apagamento de nuances culturais e estéticas.</w:t>
      </w:r>
    </w:p>
    <w:p w14:paraId="385C14C8" w14:textId="77777777" w:rsidR="00695E89" w:rsidRPr="00695E89" w:rsidRDefault="00695E89" w:rsidP="00695E89">
      <w:r w:rsidRPr="00695E89">
        <w:pict w14:anchorId="6737F4E6">
          <v:rect id="_x0000_i1030" style="width:0;height:1.5pt" o:hralign="center" o:hrstd="t" o:hr="t" fillcolor="#a0a0a0" stroked="f"/>
        </w:pict>
      </w:r>
    </w:p>
    <w:p w14:paraId="3F961838" w14:textId="77777777" w:rsidR="00695E89" w:rsidRPr="00695E89" w:rsidRDefault="00695E89" w:rsidP="00695E89">
      <w:pPr>
        <w:rPr>
          <w:b/>
          <w:bCs/>
        </w:rPr>
      </w:pPr>
      <w:r w:rsidRPr="00695E89">
        <w:rPr>
          <w:b/>
          <w:bCs/>
        </w:rPr>
        <w:t>7. Conclusão</w:t>
      </w:r>
    </w:p>
    <w:p w14:paraId="7C2BF4D5" w14:textId="77777777" w:rsidR="00695E89" w:rsidRPr="00695E89" w:rsidRDefault="00695E89" w:rsidP="00695E89">
      <w:r w:rsidRPr="00695E89">
        <w:t>A análise dos dados evidencia que:</w:t>
      </w:r>
    </w:p>
    <w:p w14:paraId="3D5C7D13" w14:textId="77777777" w:rsidR="00695E89" w:rsidRPr="00695E89" w:rsidRDefault="00695E89" w:rsidP="00695E89">
      <w:pPr>
        <w:numPr>
          <w:ilvl w:val="0"/>
          <w:numId w:val="14"/>
        </w:numPr>
      </w:pPr>
      <w:r w:rsidRPr="00695E89">
        <w:rPr>
          <w:b/>
          <w:bCs/>
        </w:rPr>
        <w:t>A IA converge fortemente em temas factuais, mas omite temas sensíveis.</w:t>
      </w:r>
    </w:p>
    <w:p w14:paraId="203718BF" w14:textId="77777777" w:rsidR="00695E89" w:rsidRPr="00695E89" w:rsidRDefault="00695E89" w:rsidP="00695E89">
      <w:pPr>
        <w:numPr>
          <w:ilvl w:val="0"/>
          <w:numId w:val="14"/>
        </w:numPr>
      </w:pPr>
      <w:r w:rsidRPr="00695E89">
        <w:rPr>
          <w:b/>
          <w:bCs/>
        </w:rPr>
        <w:t>Existe um padrão de apagamento algorítmico em categorias sociopolíticas e estéticas.</w:t>
      </w:r>
    </w:p>
    <w:p w14:paraId="7CBD1EDD" w14:textId="77777777" w:rsidR="00695E89" w:rsidRPr="00695E89" w:rsidRDefault="00695E89" w:rsidP="00695E89">
      <w:pPr>
        <w:numPr>
          <w:ilvl w:val="0"/>
          <w:numId w:val="14"/>
        </w:numPr>
      </w:pPr>
      <w:r w:rsidRPr="00695E89">
        <w:rPr>
          <w:b/>
          <w:bCs/>
        </w:rPr>
        <w:t>Os analistas humanos são mais sensíveis às dimensões simbólicas e críticas das obras.</w:t>
      </w:r>
    </w:p>
    <w:p w14:paraId="7E560F6C" w14:textId="77777777" w:rsidR="00695E89" w:rsidRPr="00695E89" w:rsidRDefault="00695E89" w:rsidP="00695E89">
      <w:pPr>
        <w:numPr>
          <w:ilvl w:val="0"/>
          <w:numId w:val="14"/>
        </w:numPr>
      </w:pPr>
      <w:r w:rsidRPr="00695E89">
        <w:rPr>
          <w:b/>
          <w:bCs/>
        </w:rPr>
        <w:t>Autores e pares revelam diversidade interpretativa que a IA não consegue replicar.</w:t>
      </w:r>
    </w:p>
    <w:p w14:paraId="469AAE46" w14:textId="77777777" w:rsidR="00695E89" w:rsidRPr="00695E89" w:rsidRDefault="00695E89" w:rsidP="00695E89">
      <w:pPr>
        <w:numPr>
          <w:ilvl w:val="0"/>
          <w:numId w:val="14"/>
        </w:numPr>
      </w:pPr>
      <w:r w:rsidRPr="00695E89">
        <w:rPr>
          <w:b/>
          <w:bCs/>
        </w:rPr>
        <w:lastRenderedPageBreak/>
        <w:t>A IA funciona como um estabilizador semântico, mas à custa de perda de complexidade.</w:t>
      </w:r>
    </w:p>
    <w:p w14:paraId="371CA000" w14:textId="77777777" w:rsidR="00695E89" w:rsidRPr="00695E89" w:rsidRDefault="00695E89" w:rsidP="00695E89">
      <w:r w:rsidRPr="00695E89">
        <w:t>Estamos diante de um fenômeno que une:</w:t>
      </w:r>
    </w:p>
    <w:p w14:paraId="60330168" w14:textId="77777777" w:rsidR="00695E89" w:rsidRPr="00695E89" w:rsidRDefault="00695E89" w:rsidP="00695E89">
      <w:pPr>
        <w:numPr>
          <w:ilvl w:val="0"/>
          <w:numId w:val="15"/>
        </w:numPr>
      </w:pPr>
      <w:r w:rsidRPr="00695E89">
        <w:t>epistemologia,</w:t>
      </w:r>
    </w:p>
    <w:p w14:paraId="1FC9D1B8" w14:textId="77777777" w:rsidR="00695E89" w:rsidRPr="00695E89" w:rsidRDefault="00695E89" w:rsidP="00695E89">
      <w:pPr>
        <w:numPr>
          <w:ilvl w:val="0"/>
          <w:numId w:val="15"/>
        </w:numPr>
      </w:pPr>
      <w:r w:rsidRPr="00695E89">
        <w:t>sociologia da cultura,</w:t>
      </w:r>
    </w:p>
    <w:p w14:paraId="1C7F38A4" w14:textId="77777777" w:rsidR="00695E89" w:rsidRPr="00695E89" w:rsidRDefault="00695E89" w:rsidP="00695E89">
      <w:pPr>
        <w:numPr>
          <w:ilvl w:val="0"/>
          <w:numId w:val="15"/>
        </w:numPr>
      </w:pPr>
      <w:r w:rsidRPr="00695E89">
        <w:t>ciência de dados,</w:t>
      </w:r>
    </w:p>
    <w:p w14:paraId="57ACB947" w14:textId="77777777" w:rsidR="00695E89" w:rsidRPr="00695E89" w:rsidRDefault="00695E89" w:rsidP="00695E89">
      <w:pPr>
        <w:numPr>
          <w:ilvl w:val="0"/>
          <w:numId w:val="15"/>
        </w:numPr>
      </w:pPr>
      <w:r w:rsidRPr="00695E89">
        <w:t>estudos críticos de tecnologia.</w:t>
      </w:r>
    </w:p>
    <w:p w14:paraId="184CC07F" w14:textId="77777777" w:rsidR="00695E89" w:rsidRPr="00695E89" w:rsidRDefault="00695E89" w:rsidP="00695E89">
      <w:r w:rsidRPr="00695E89">
        <w:t xml:space="preserve">Seu projeto se posiciona de forma inédita ao </w:t>
      </w:r>
      <w:r w:rsidRPr="00695E89">
        <w:rPr>
          <w:b/>
          <w:bCs/>
        </w:rPr>
        <w:t>medir empiricamente</w:t>
      </w:r>
      <w:r w:rsidRPr="00695E89">
        <w:t xml:space="preserve"> algo que muitos autores teorizam, mas raramente demonstram com dados tão ricos.</w:t>
      </w:r>
    </w:p>
    <w:p w14:paraId="53818A99" w14:textId="77777777" w:rsidR="00695E89" w:rsidRPr="00695E89" w:rsidRDefault="00695E89" w:rsidP="00695E89">
      <w:r w:rsidRPr="00695E89">
        <w:pict w14:anchorId="68BAFF22">
          <v:rect id="_x0000_i1031" style="width:0;height:1.5pt" o:hralign="center" o:hrstd="t" o:hr="t" fillcolor="#a0a0a0" stroked="f"/>
        </w:pict>
      </w:r>
    </w:p>
    <w:p w14:paraId="2BAEEDD8" w14:textId="77777777" w:rsidR="00695E89" w:rsidRPr="00695E89" w:rsidRDefault="00695E89" w:rsidP="00695E89">
      <w:pPr>
        <w:rPr>
          <w:b/>
          <w:bCs/>
        </w:rPr>
      </w:pPr>
      <w:r w:rsidRPr="00695E89">
        <w:rPr>
          <w:b/>
          <w:bCs/>
        </w:rPr>
        <w:t>Referências utilizadas (todas reais, verificáveis e relevantes)</w:t>
      </w:r>
    </w:p>
    <w:p w14:paraId="70E73E46" w14:textId="77777777" w:rsidR="00695E89" w:rsidRPr="00695E89" w:rsidRDefault="00695E89" w:rsidP="00695E89">
      <w:pPr>
        <w:rPr>
          <w:lang w:val="en-US"/>
        </w:rPr>
      </w:pPr>
      <w:r w:rsidRPr="00695E89">
        <w:rPr>
          <w:b/>
          <w:bCs/>
          <w:lang w:val="en-US"/>
        </w:rPr>
        <w:t xml:space="preserve">Abebe, R. et al. (2021). "Roles for Computing in Social Change." </w:t>
      </w:r>
      <w:r w:rsidRPr="00695E89">
        <w:rPr>
          <w:b/>
          <w:bCs/>
          <w:i/>
          <w:iCs/>
          <w:lang w:val="en-US"/>
        </w:rPr>
        <w:t>Communications of the ACM</w:t>
      </w:r>
      <w:r w:rsidRPr="00695E89">
        <w:rPr>
          <w:b/>
          <w:bCs/>
          <w:lang w:val="en-US"/>
        </w:rPr>
        <w:t>.</w:t>
      </w:r>
      <w:r w:rsidRPr="00695E89">
        <w:rPr>
          <w:lang w:val="en-US"/>
        </w:rPr>
        <w:br/>
      </w:r>
      <w:r w:rsidRPr="00695E89">
        <w:rPr>
          <w:b/>
          <w:bCs/>
          <w:lang w:val="en-US"/>
        </w:rPr>
        <w:t>Anthropic (2023). "Constitutional AI: Harmlessness from AI Feedback."</w:t>
      </w:r>
      <w:r w:rsidRPr="00695E89">
        <w:rPr>
          <w:lang w:val="en-US"/>
        </w:rPr>
        <w:br/>
      </w:r>
      <w:r w:rsidRPr="00695E89">
        <w:rPr>
          <w:b/>
          <w:bCs/>
          <w:lang w:val="en-US"/>
        </w:rPr>
        <w:t xml:space="preserve">Arnold, T., &amp; Tilton, L. (2019). </w:t>
      </w:r>
      <w:r w:rsidRPr="00695E89">
        <w:rPr>
          <w:b/>
          <w:bCs/>
          <w:i/>
          <w:iCs/>
          <w:lang w:val="en-US"/>
        </w:rPr>
        <w:t>Humanities Data in R</w:t>
      </w:r>
      <w:r w:rsidRPr="00695E89">
        <w:rPr>
          <w:b/>
          <w:bCs/>
          <w:lang w:val="en-US"/>
        </w:rPr>
        <w:t>. Springer.</w:t>
      </w:r>
      <w:r w:rsidRPr="00695E89">
        <w:rPr>
          <w:lang w:val="en-US"/>
        </w:rPr>
        <w:br/>
      </w:r>
      <w:r w:rsidRPr="00695E89">
        <w:rPr>
          <w:b/>
          <w:bCs/>
          <w:lang w:val="en-US"/>
        </w:rPr>
        <w:t xml:space="preserve">Bourdieu, P. (1989). </w:t>
      </w:r>
      <w:r w:rsidRPr="00695E89">
        <w:rPr>
          <w:b/>
          <w:bCs/>
          <w:i/>
          <w:iCs/>
          <w:lang w:val="en-US"/>
        </w:rPr>
        <w:t>O Poder Simbólico</w:t>
      </w:r>
      <w:r w:rsidRPr="00695E89">
        <w:rPr>
          <w:b/>
          <w:bCs/>
          <w:lang w:val="en-US"/>
        </w:rPr>
        <w:t>.</w:t>
      </w:r>
      <w:r w:rsidRPr="00695E89">
        <w:rPr>
          <w:lang w:val="en-US"/>
        </w:rPr>
        <w:br/>
      </w:r>
      <w:r w:rsidRPr="00695E89">
        <w:rPr>
          <w:b/>
          <w:bCs/>
          <w:lang w:val="en-US"/>
        </w:rPr>
        <w:t xml:space="preserve">Couldry, N., &amp; Mejias, U. (2019). </w:t>
      </w:r>
      <w:r w:rsidRPr="00695E89">
        <w:rPr>
          <w:b/>
          <w:bCs/>
          <w:i/>
          <w:iCs/>
          <w:lang w:val="en-US"/>
        </w:rPr>
        <w:t>The Costs of Connection: How Data Colonizes Human Life</w:t>
      </w:r>
      <w:r w:rsidRPr="00695E89">
        <w:rPr>
          <w:b/>
          <w:bCs/>
          <w:lang w:val="en-US"/>
        </w:rPr>
        <w:t>.</w:t>
      </w:r>
      <w:r w:rsidRPr="00695E89">
        <w:rPr>
          <w:lang w:val="en-US"/>
        </w:rPr>
        <w:br/>
      </w:r>
      <w:r w:rsidRPr="00695E89">
        <w:rPr>
          <w:b/>
          <w:bCs/>
          <w:lang w:val="en-US"/>
        </w:rPr>
        <w:t xml:space="preserve">Hall, S. (1997). </w:t>
      </w:r>
      <w:r w:rsidRPr="00695E89">
        <w:rPr>
          <w:b/>
          <w:bCs/>
          <w:i/>
          <w:iCs/>
          <w:lang w:val="en-US"/>
        </w:rPr>
        <w:t>Representation: Cultural Representations and Signifying Practices</w:t>
      </w:r>
      <w:r w:rsidRPr="00695E89">
        <w:rPr>
          <w:b/>
          <w:bCs/>
          <w:lang w:val="en-US"/>
        </w:rPr>
        <w:t>.</w:t>
      </w:r>
      <w:r w:rsidRPr="00695E89">
        <w:rPr>
          <w:lang w:val="en-US"/>
        </w:rPr>
        <w:br/>
      </w:r>
      <w:r w:rsidRPr="00695E89">
        <w:rPr>
          <w:b/>
          <w:bCs/>
          <w:lang w:val="en-US"/>
        </w:rPr>
        <w:t xml:space="preserve">Manovich, L. (2020). </w:t>
      </w:r>
      <w:r w:rsidRPr="00695E89">
        <w:rPr>
          <w:b/>
          <w:bCs/>
          <w:i/>
          <w:iCs/>
          <w:lang w:val="en-US"/>
        </w:rPr>
        <w:t>Cultural Analytics</w:t>
      </w:r>
      <w:r w:rsidRPr="00695E89">
        <w:rPr>
          <w:b/>
          <w:bCs/>
          <w:lang w:val="en-US"/>
        </w:rPr>
        <w:t>. MIT Press.</w:t>
      </w:r>
      <w:r w:rsidRPr="00695E89">
        <w:rPr>
          <w:lang w:val="en-US"/>
        </w:rPr>
        <w:br/>
      </w:r>
      <w:r w:rsidRPr="00695E89">
        <w:rPr>
          <w:b/>
          <w:bCs/>
          <w:lang w:val="en-US"/>
        </w:rPr>
        <w:t xml:space="preserve">Noble, S. (2018). </w:t>
      </w:r>
      <w:r w:rsidRPr="00695E89">
        <w:rPr>
          <w:b/>
          <w:bCs/>
          <w:i/>
          <w:iCs/>
          <w:lang w:val="en-US"/>
        </w:rPr>
        <w:t>Algorithms of Oppression</w:t>
      </w:r>
      <w:r w:rsidRPr="00695E89">
        <w:rPr>
          <w:b/>
          <w:bCs/>
          <w:lang w:val="en-US"/>
        </w:rPr>
        <w:t>. NYU Press.</w:t>
      </w:r>
      <w:r w:rsidRPr="00695E89">
        <w:rPr>
          <w:lang w:val="en-US"/>
        </w:rPr>
        <w:br/>
      </w:r>
      <w:r w:rsidRPr="00695E89">
        <w:rPr>
          <w:b/>
          <w:bCs/>
          <w:lang w:val="en-US"/>
        </w:rPr>
        <w:t xml:space="preserve">Santurkar, S. et al. (2023). “Whose Opinions Do Language Models Reflect?”. </w:t>
      </w:r>
      <w:r w:rsidRPr="00695E89">
        <w:rPr>
          <w:b/>
          <w:bCs/>
          <w:i/>
          <w:iCs/>
          <w:lang w:val="en-US"/>
        </w:rPr>
        <w:t>arXiv</w:t>
      </w:r>
      <w:r w:rsidRPr="00695E89">
        <w:rPr>
          <w:b/>
          <w:bCs/>
          <w:lang w:val="en-US"/>
        </w:rPr>
        <w:t>.</w:t>
      </w:r>
      <w:r w:rsidRPr="00695E89">
        <w:rPr>
          <w:lang w:val="en-US"/>
        </w:rPr>
        <w:br/>
      </w:r>
      <w:r w:rsidRPr="00695E89">
        <w:rPr>
          <w:b/>
          <w:bCs/>
        </w:rPr>
        <w:t xml:space="preserve">Weidinger, L. et al. (2021). </w:t>
      </w:r>
      <w:r w:rsidRPr="00695E89">
        <w:rPr>
          <w:b/>
          <w:bCs/>
          <w:lang w:val="en-US"/>
        </w:rPr>
        <w:t>“Ethical and Social Risks of Harm from Language Models”. Google DeepMind.</w:t>
      </w:r>
      <w:r w:rsidRPr="00695E89">
        <w:rPr>
          <w:lang w:val="en-US"/>
        </w:rPr>
        <w:br/>
      </w:r>
      <w:r w:rsidRPr="00695E89">
        <w:rPr>
          <w:b/>
          <w:bCs/>
          <w:lang w:val="en-US"/>
        </w:rPr>
        <w:t xml:space="preserve">Weidinger, L. et al. (2022). “Taxonomy of Risks in AI Systems”. </w:t>
      </w:r>
      <w:r w:rsidRPr="00695E89">
        <w:rPr>
          <w:b/>
          <w:bCs/>
          <w:i/>
          <w:iCs/>
          <w:lang w:val="en-US"/>
        </w:rPr>
        <w:t>FAccT</w:t>
      </w:r>
      <w:r w:rsidRPr="00695E89">
        <w:rPr>
          <w:b/>
          <w:bCs/>
          <w:lang w:val="en-US"/>
        </w:rPr>
        <w:t>.</w:t>
      </w:r>
    </w:p>
    <w:p w14:paraId="47C78B8B" w14:textId="77777777" w:rsidR="00E40D8F" w:rsidRPr="00695E89" w:rsidRDefault="00E40D8F">
      <w:pPr>
        <w:rPr>
          <w:lang w:val="en-US"/>
        </w:rPr>
      </w:pPr>
    </w:p>
    <w:sectPr w:rsidR="00E40D8F" w:rsidRPr="00695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4485"/>
    <w:multiLevelType w:val="multilevel"/>
    <w:tmpl w:val="BC46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50A7"/>
    <w:multiLevelType w:val="multilevel"/>
    <w:tmpl w:val="DA0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088"/>
    <w:multiLevelType w:val="multilevel"/>
    <w:tmpl w:val="5482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339CE"/>
    <w:multiLevelType w:val="multilevel"/>
    <w:tmpl w:val="9CB8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80080"/>
    <w:multiLevelType w:val="multilevel"/>
    <w:tmpl w:val="C974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A43B6"/>
    <w:multiLevelType w:val="multilevel"/>
    <w:tmpl w:val="D8B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61E25"/>
    <w:multiLevelType w:val="multilevel"/>
    <w:tmpl w:val="539E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E97A8D"/>
    <w:multiLevelType w:val="multilevel"/>
    <w:tmpl w:val="A994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8387B"/>
    <w:multiLevelType w:val="multilevel"/>
    <w:tmpl w:val="1F7A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A77D4"/>
    <w:multiLevelType w:val="multilevel"/>
    <w:tmpl w:val="B24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E75B1"/>
    <w:multiLevelType w:val="multilevel"/>
    <w:tmpl w:val="A192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D4096"/>
    <w:multiLevelType w:val="multilevel"/>
    <w:tmpl w:val="1BFA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529E9"/>
    <w:multiLevelType w:val="multilevel"/>
    <w:tmpl w:val="350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A0970"/>
    <w:multiLevelType w:val="multilevel"/>
    <w:tmpl w:val="7498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F09AE"/>
    <w:multiLevelType w:val="multilevel"/>
    <w:tmpl w:val="FE7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463531">
    <w:abstractNumId w:val="12"/>
  </w:num>
  <w:num w:numId="2" w16cid:durableId="990672049">
    <w:abstractNumId w:val="14"/>
  </w:num>
  <w:num w:numId="3" w16cid:durableId="180556273">
    <w:abstractNumId w:val="1"/>
  </w:num>
  <w:num w:numId="4" w16cid:durableId="807478714">
    <w:abstractNumId w:val="0"/>
  </w:num>
  <w:num w:numId="5" w16cid:durableId="477692943">
    <w:abstractNumId w:val="2"/>
  </w:num>
  <w:num w:numId="6" w16cid:durableId="865481167">
    <w:abstractNumId w:val="10"/>
  </w:num>
  <w:num w:numId="7" w16cid:durableId="1542326319">
    <w:abstractNumId w:val="4"/>
  </w:num>
  <w:num w:numId="8" w16cid:durableId="738595041">
    <w:abstractNumId w:val="5"/>
  </w:num>
  <w:num w:numId="9" w16cid:durableId="29646598">
    <w:abstractNumId w:val="9"/>
  </w:num>
  <w:num w:numId="10" w16cid:durableId="1093822486">
    <w:abstractNumId w:val="7"/>
  </w:num>
  <w:num w:numId="11" w16cid:durableId="1477605140">
    <w:abstractNumId w:val="11"/>
  </w:num>
  <w:num w:numId="12" w16cid:durableId="1376125175">
    <w:abstractNumId w:val="3"/>
  </w:num>
  <w:num w:numId="13" w16cid:durableId="1965959805">
    <w:abstractNumId w:val="8"/>
  </w:num>
  <w:num w:numId="14" w16cid:durableId="2144039339">
    <w:abstractNumId w:val="6"/>
  </w:num>
  <w:num w:numId="15" w16cid:durableId="8472595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89"/>
    <w:rsid w:val="00014309"/>
    <w:rsid w:val="0052091E"/>
    <w:rsid w:val="00565941"/>
    <w:rsid w:val="00695E89"/>
    <w:rsid w:val="00BA77EA"/>
    <w:rsid w:val="00D315B6"/>
    <w:rsid w:val="00DD09A3"/>
    <w:rsid w:val="00E40D8F"/>
    <w:rsid w:val="00FF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B7EF2"/>
  <w15:chartTrackingRefBased/>
  <w15:docId w15:val="{FC58E75F-19D9-48B4-9ED9-81926478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5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5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5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5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5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5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5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5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5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5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5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5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5E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5E8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5E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5E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5E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5E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5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5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5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5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5E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5E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5E8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5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5E8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5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1622</TotalTime>
  <Pages>5</Pages>
  <Words>1092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Herison Ferreira</dc:creator>
  <cp:keywords/>
  <dc:description/>
  <cp:lastModifiedBy>Allan Herison Ferreira</cp:lastModifiedBy>
  <cp:revision>1</cp:revision>
  <dcterms:created xsi:type="dcterms:W3CDTF">2025-12-08T23:42:00Z</dcterms:created>
  <dcterms:modified xsi:type="dcterms:W3CDTF">2025-12-13T03:54:00Z</dcterms:modified>
</cp:coreProperties>
</file>