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293F0" w14:textId="77777777" w:rsidR="00E5701A" w:rsidRPr="00E5701A" w:rsidRDefault="00E5701A" w:rsidP="00E5701A">
      <w:pPr>
        <w:pBdr>
          <w:bottom w:val="single" w:sz="4" w:space="1" w:color="auto"/>
        </w:pBdr>
        <w:spacing w:before="100" w:beforeAutospacing="1" w:after="100" w:afterAutospacing="1"/>
        <w:jc w:val="both"/>
        <w:outlineLvl w:val="0"/>
        <w:rPr>
          <w:rFonts w:ascii="inherit" w:eastAsia="Times New Roman" w:hAnsi="inherit" w:cs="Times New Roman"/>
          <w:b/>
          <w:bCs/>
          <w:color w:val="222222"/>
          <w:spacing w:val="-11"/>
          <w:kern w:val="36"/>
          <w:sz w:val="48"/>
          <w:szCs w:val="44"/>
        </w:rPr>
      </w:pPr>
      <w:r w:rsidRPr="00E5701A">
        <w:rPr>
          <w:rFonts w:ascii="inherit" w:eastAsia="Times New Roman" w:hAnsi="inherit" w:cs="Times New Roman"/>
          <w:b/>
          <w:bCs/>
          <w:color w:val="222222"/>
          <w:spacing w:val="-11"/>
          <w:kern w:val="36"/>
          <w:sz w:val="48"/>
          <w:szCs w:val="44"/>
        </w:rPr>
        <w:t>The ocular adverse effects of oral drugs</w:t>
      </w:r>
    </w:p>
    <w:p w14:paraId="22522838" w14:textId="77777777" w:rsidR="00E5701A" w:rsidRPr="00E5701A" w:rsidRDefault="00E5701A" w:rsidP="00E5701A">
      <w:pPr>
        <w:numPr>
          <w:ilvl w:val="0"/>
          <w:numId w:val="1"/>
        </w:numPr>
        <w:ind w:left="0"/>
        <w:rPr>
          <w:rFonts w:ascii="inherit" w:eastAsia="Times New Roman" w:hAnsi="inherit" w:cs="Times New Roman"/>
          <w:color w:val="40226A"/>
          <w:sz w:val="18"/>
          <w:szCs w:val="20"/>
        </w:rPr>
      </w:pPr>
      <w:r w:rsidRPr="00E5701A">
        <w:rPr>
          <w:rFonts w:ascii="inherit" w:eastAsia="Times New Roman" w:hAnsi="inherit" w:cs="Times New Roman"/>
          <w:color w:val="40226A"/>
          <w:sz w:val="18"/>
          <w:szCs w:val="20"/>
        </w:rPr>
        <w:t>Rawan Ahmad, Hemal Mehta</w:t>
      </w:r>
    </w:p>
    <w:p w14:paraId="44DDB181" w14:textId="77777777" w:rsidR="00E5701A" w:rsidRPr="00E5701A" w:rsidRDefault="00E5701A" w:rsidP="00E5701A">
      <w:pPr>
        <w:numPr>
          <w:ilvl w:val="0"/>
          <w:numId w:val="2"/>
        </w:numPr>
        <w:ind w:left="0"/>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Aust Prescr 2021;44:129-36</w:t>
      </w:r>
    </w:p>
    <w:p w14:paraId="07EF6E72" w14:textId="77777777" w:rsidR="00E5701A" w:rsidRPr="00E5701A" w:rsidRDefault="00E5701A" w:rsidP="00E5701A">
      <w:pPr>
        <w:numPr>
          <w:ilvl w:val="0"/>
          <w:numId w:val="2"/>
        </w:numPr>
        <w:ind w:left="0"/>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2 August 2021</w:t>
      </w:r>
    </w:p>
    <w:p w14:paraId="076CB0F5" w14:textId="77777777" w:rsidR="00E5701A" w:rsidRPr="00E5701A" w:rsidRDefault="00E5701A" w:rsidP="00E5701A">
      <w:pPr>
        <w:numPr>
          <w:ilvl w:val="0"/>
          <w:numId w:val="2"/>
        </w:numPr>
        <w:ind w:left="0"/>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DOI: </w:t>
      </w:r>
      <w:hyperlink r:id="rId5" w:history="1">
        <w:r w:rsidRPr="00E5701A">
          <w:rPr>
            <w:rFonts w:ascii="inherit" w:eastAsia="Times New Roman" w:hAnsi="inherit" w:cs="Times New Roman"/>
            <w:color w:val="40226A"/>
            <w:sz w:val="18"/>
            <w:szCs w:val="20"/>
            <w:u w:val="single"/>
            <w:bdr w:val="none" w:sz="0" w:space="0" w:color="auto" w:frame="1"/>
          </w:rPr>
          <w:t>10.18773/austprescr.2021.028</w:t>
        </w:r>
      </w:hyperlink>
    </w:p>
    <w:p w14:paraId="68AA7E53" w14:textId="77777777" w:rsidR="00E5701A" w:rsidRPr="00E5701A" w:rsidRDefault="00E5701A" w:rsidP="00E5701A">
      <w:pPr>
        <w:outlineLvl w:val="1"/>
        <w:rPr>
          <w:rFonts w:ascii="inherit" w:eastAsia="Times New Roman" w:hAnsi="inherit" w:cs="Times New Roman"/>
          <w:b/>
          <w:bCs/>
          <w:color w:val="D3093F"/>
          <w:spacing w:val="-9"/>
          <w:sz w:val="36"/>
          <w:szCs w:val="32"/>
        </w:rPr>
      </w:pPr>
      <w:r w:rsidRPr="00E5701A">
        <w:rPr>
          <w:rFonts w:ascii="inherit" w:eastAsia="Times New Roman" w:hAnsi="inherit" w:cs="Times New Roman"/>
          <w:b/>
          <w:bCs/>
          <w:color w:val="D3093F"/>
          <w:spacing w:val="-9"/>
          <w:sz w:val="36"/>
          <w:szCs w:val="32"/>
        </w:rPr>
        <w:t>SUMMARY</w:t>
      </w:r>
    </w:p>
    <w:p w14:paraId="6FBD19E1" w14:textId="77777777" w:rsidR="00E5701A" w:rsidRPr="00E5701A" w:rsidRDefault="00E5701A" w:rsidP="00E5701A">
      <w:pPr>
        <w:spacing w:before="100" w:beforeAutospacing="1" w:after="100"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Some commonly prescribed drugs have ocular adverse effects. Many parts of the eye can be affected by oral drugs. Some ocular adverse effects may be reversed with medical or surgical intervention whereas other drugs may cause irreversible loss of vision.</w:t>
      </w:r>
    </w:p>
    <w:p w14:paraId="4496C3E0" w14:textId="77777777" w:rsidR="00E5701A" w:rsidRPr="00E5701A" w:rsidRDefault="00E5701A" w:rsidP="00E5701A">
      <w:pPr>
        <w:spacing w:before="100" w:beforeAutospacing="1" w:after="100"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The risk of visual loss can be reduced by a number of approaches, including monitoring for ocular toxicity, reducing the drug dose, or stopping the drug and looking for an alternative. This can be supported by good communication between the prescribing clinician and ophthalmologist.</w:t>
      </w:r>
    </w:p>
    <w:p w14:paraId="66E53B05" w14:textId="77777777" w:rsidR="00E5701A" w:rsidRPr="00E5701A" w:rsidRDefault="00E5701A" w:rsidP="00E5701A">
      <w:pPr>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Infrequent or delayed ocular adverse effects may not be identified in clinical trials of new drugs. Reporting adverse events is therefore important.</w:t>
      </w:r>
    </w:p>
    <w:p w14:paraId="03161612" w14:textId="29876942" w:rsidR="00E5701A" w:rsidRPr="00E5701A" w:rsidRDefault="00E5701A" w:rsidP="00E5701A">
      <w:pPr>
        <w:rPr>
          <w:rFonts w:ascii="inherit" w:eastAsia="Times New Roman" w:hAnsi="inherit" w:cs="Times New Roman"/>
          <w:color w:val="333333"/>
          <w:sz w:val="18"/>
          <w:szCs w:val="20"/>
        </w:rPr>
      </w:pPr>
    </w:p>
    <w:p w14:paraId="01596F8F" w14:textId="77777777" w:rsidR="00E5701A" w:rsidRPr="00E5701A" w:rsidRDefault="00E5701A" w:rsidP="00E5701A">
      <w:pPr>
        <w:outlineLvl w:val="1"/>
        <w:rPr>
          <w:rFonts w:ascii="inherit" w:eastAsia="Times New Roman" w:hAnsi="inherit" w:cs="Times New Roman"/>
          <w:b/>
          <w:bCs/>
          <w:color w:val="D3093F"/>
          <w:spacing w:val="-9"/>
          <w:sz w:val="36"/>
          <w:szCs w:val="32"/>
        </w:rPr>
      </w:pPr>
      <w:r w:rsidRPr="00E5701A">
        <w:rPr>
          <w:rFonts w:ascii="inherit" w:eastAsia="Times New Roman" w:hAnsi="inherit" w:cs="Times New Roman"/>
          <w:b/>
          <w:bCs/>
          <w:color w:val="D3093F"/>
          <w:spacing w:val="-9"/>
          <w:sz w:val="36"/>
          <w:szCs w:val="32"/>
        </w:rPr>
        <w:t>Introduction</w:t>
      </w:r>
    </w:p>
    <w:p w14:paraId="5F196B36" w14:textId="77777777" w:rsidR="00E5701A" w:rsidRPr="00E5701A" w:rsidRDefault="00E5701A" w:rsidP="00E5701A">
      <w:pPr>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Drugs that are taken orally are systemically absorbed, with the potential to affect all parts of the body including the eye. Its rich blood supply and relatively small mass increase the susceptibility of the eye to drug</w:t>
      </w:r>
      <w:r w:rsidRPr="00E5701A">
        <w:rPr>
          <w:rFonts w:ascii="inherit" w:eastAsia="Times New Roman" w:hAnsi="inherit" w:cs="Times New Roman"/>
          <w:color w:val="333333"/>
          <w:sz w:val="18"/>
          <w:szCs w:val="20"/>
        </w:rPr>
        <w:noBreakHyphen/>
        <w:t>related adverse effects.</w:t>
      </w:r>
      <w:hyperlink r:id="rId6" w:anchor="r1" w:history="1">
        <w:r w:rsidRPr="00E5701A">
          <w:rPr>
            <w:rFonts w:ascii="inherit" w:eastAsia="Times New Roman" w:hAnsi="inherit" w:cs="Times New Roman"/>
            <w:color w:val="D3093F"/>
            <w:sz w:val="14"/>
            <w:szCs w:val="13"/>
            <w:u w:val="single"/>
            <w:bdr w:val="none" w:sz="0" w:space="0" w:color="auto" w:frame="1"/>
            <w:vertAlign w:val="superscript"/>
          </w:rPr>
          <w:t>1</w:t>
        </w:r>
      </w:hyperlink>
      <w:r w:rsidRPr="00E5701A">
        <w:rPr>
          <w:rFonts w:ascii="inherit" w:eastAsia="Times New Roman" w:hAnsi="inherit" w:cs="Times New Roman"/>
          <w:color w:val="333333"/>
          <w:sz w:val="18"/>
          <w:szCs w:val="20"/>
        </w:rPr>
        <w:t> Many parts of the eye can be affected by oral drugs. Patients presenting with unexplained ocular symptoms should be asked which drugs they are taking. </w:t>
      </w:r>
      <w:hyperlink r:id="rId7" w:anchor="t1" w:history="1">
        <w:r w:rsidRPr="00E5701A">
          <w:rPr>
            <w:rFonts w:ascii="inherit" w:eastAsia="Times New Roman" w:hAnsi="inherit" w:cs="Times New Roman"/>
            <w:color w:val="D3093F"/>
            <w:sz w:val="18"/>
            <w:szCs w:val="20"/>
            <w:u w:val="single"/>
            <w:bdr w:val="none" w:sz="0" w:space="0" w:color="auto" w:frame="1"/>
          </w:rPr>
          <w:t>Table 1</w:t>
        </w:r>
      </w:hyperlink>
      <w:r w:rsidRPr="00E5701A">
        <w:rPr>
          <w:rFonts w:ascii="inherit" w:eastAsia="Times New Roman" w:hAnsi="inherit" w:cs="Times New Roman"/>
          <w:color w:val="333333"/>
          <w:sz w:val="18"/>
          <w:szCs w:val="20"/>
        </w:rPr>
        <w:t> shows some of the ocular adverse effects to consider with common orally administered drug classes.</w:t>
      </w:r>
      <w:hyperlink r:id="rId8" w:anchor="r2" w:history="1">
        <w:r w:rsidRPr="00E5701A">
          <w:rPr>
            <w:rFonts w:ascii="inherit" w:eastAsia="Times New Roman" w:hAnsi="inherit" w:cs="Times New Roman"/>
            <w:color w:val="D3093F"/>
            <w:sz w:val="14"/>
            <w:szCs w:val="13"/>
            <w:u w:val="single"/>
            <w:bdr w:val="none" w:sz="0" w:space="0" w:color="auto" w:frame="1"/>
            <w:vertAlign w:val="superscript"/>
          </w:rPr>
          <w:t>2</w:t>
        </w:r>
        <w:r w:rsidRPr="00E5701A">
          <w:rPr>
            <w:rFonts w:ascii="inherit" w:eastAsia="Times New Roman" w:hAnsi="inherit" w:cs="Times New Roman"/>
            <w:color w:val="D3093F"/>
            <w:sz w:val="14"/>
            <w:szCs w:val="13"/>
            <w:u w:val="single"/>
            <w:bdr w:val="none" w:sz="0" w:space="0" w:color="auto" w:frame="1"/>
            <w:vertAlign w:val="superscript"/>
          </w:rPr>
          <w:noBreakHyphen/>
          <w:t>35</w:t>
        </w:r>
      </w:hyperlink>
    </w:p>
    <w:p w14:paraId="6D32D22C" w14:textId="77777777" w:rsidR="00E5701A" w:rsidRPr="00E5701A" w:rsidRDefault="00E5701A" w:rsidP="00E5701A">
      <w:pPr>
        <w:outlineLvl w:val="2"/>
        <w:rPr>
          <w:rFonts w:ascii="inherit" w:eastAsia="Times New Roman" w:hAnsi="inherit" w:cs="Times New Roman"/>
          <w:b/>
          <w:bCs/>
          <w:color w:val="D3093F"/>
          <w:szCs w:val="22"/>
        </w:rPr>
      </w:pPr>
      <w:r w:rsidRPr="00E5701A">
        <w:rPr>
          <w:rFonts w:ascii="inherit" w:eastAsia="Times New Roman" w:hAnsi="inherit" w:cs="Times New Roman"/>
          <w:b/>
          <w:bCs/>
          <w:color w:val="D3093F"/>
          <w:szCs w:val="22"/>
        </w:rPr>
        <w:t>Table 1 - Common or serious ocular adverse effects of selected oral drugs</w:t>
      </w:r>
    </w:p>
    <w:tbl>
      <w:tblPr>
        <w:tblW w:w="13234" w:type="dxa"/>
        <w:tblInd w:w="-859" w:type="dxa"/>
        <w:tblBorders>
          <w:top w:val="single" w:sz="24" w:space="0" w:color="EEEDF6"/>
          <w:left w:val="single" w:sz="6" w:space="0" w:color="D8D8D8"/>
          <w:bottom w:val="single" w:sz="6" w:space="0" w:color="D8D8D8"/>
          <w:right w:val="single" w:sz="6" w:space="0" w:color="D8D8D8"/>
        </w:tblBorders>
        <w:tblCellMar>
          <w:left w:w="0" w:type="dxa"/>
          <w:right w:w="0" w:type="dxa"/>
        </w:tblCellMar>
        <w:tblLook w:val="04A0" w:firstRow="1" w:lastRow="0" w:firstColumn="1" w:lastColumn="0" w:noHBand="0" w:noVBand="1"/>
      </w:tblPr>
      <w:tblGrid>
        <w:gridCol w:w="2269"/>
        <w:gridCol w:w="4394"/>
        <w:gridCol w:w="2126"/>
        <w:gridCol w:w="4445"/>
      </w:tblGrid>
      <w:tr w:rsidR="00E5701A" w:rsidRPr="00E5701A" w14:paraId="56E63C8E"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51B5CDBB"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b/>
                <w:bCs/>
                <w:sz w:val="18"/>
                <w:szCs w:val="20"/>
                <w:bdr w:val="none" w:sz="0" w:space="0" w:color="auto" w:frame="1"/>
              </w:rPr>
              <w:t>Oral drug</w:t>
            </w:r>
          </w:p>
        </w:tc>
        <w:tc>
          <w:tcPr>
            <w:tcW w:w="4394" w:type="dxa"/>
            <w:tcBorders>
              <w:top w:val="single" w:sz="6" w:space="0" w:color="D8D8D8"/>
              <w:left w:val="single" w:sz="6" w:space="0" w:color="D8D8D8"/>
              <w:bottom w:val="single" w:sz="6" w:space="0" w:color="D8D8D8"/>
              <w:right w:val="single" w:sz="6" w:space="0" w:color="D8D8D8"/>
            </w:tcBorders>
            <w:hideMark/>
          </w:tcPr>
          <w:p w14:paraId="46A26091"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b/>
                <w:bCs/>
                <w:sz w:val="18"/>
                <w:szCs w:val="20"/>
                <w:bdr w:val="none" w:sz="0" w:space="0" w:color="auto" w:frame="1"/>
              </w:rPr>
              <w:t>Ocular adverse effects</w:t>
            </w:r>
          </w:p>
        </w:tc>
        <w:tc>
          <w:tcPr>
            <w:tcW w:w="2126" w:type="dxa"/>
            <w:tcBorders>
              <w:top w:val="single" w:sz="6" w:space="0" w:color="D8D8D8"/>
              <w:left w:val="single" w:sz="6" w:space="0" w:color="D8D8D8"/>
              <w:bottom w:val="single" w:sz="6" w:space="0" w:color="D8D8D8"/>
              <w:right w:val="single" w:sz="6" w:space="0" w:color="D8D8D8"/>
            </w:tcBorders>
            <w:hideMark/>
          </w:tcPr>
          <w:p w14:paraId="5E5F6826"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b/>
                <w:bCs/>
                <w:sz w:val="18"/>
                <w:szCs w:val="20"/>
                <w:bdr w:val="none" w:sz="0" w:space="0" w:color="auto" w:frame="1"/>
              </w:rPr>
              <w:t>Management</w:t>
            </w:r>
          </w:p>
        </w:tc>
        <w:tc>
          <w:tcPr>
            <w:tcW w:w="4445" w:type="dxa"/>
            <w:tcBorders>
              <w:top w:val="single" w:sz="6" w:space="0" w:color="D8D8D8"/>
              <w:left w:val="single" w:sz="6" w:space="0" w:color="D8D8D8"/>
              <w:bottom w:val="single" w:sz="6" w:space="0" w:color="D8D8D8"/>
              <w:right w:val="single" w:sz="6" w:space="0" w:color="D8D8D8"/>
            </w:tcBorders>
            <w:hideMark/>
          </w:tcPr>
          <w:p w14:paraId="0D2B72F8"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b/>
                <w:bCs/>
                <w:sz w:val="18"/>
                <w:szCs w:val="20"/>
                <w:bdr w:val="none" w:sz="0" w:space="0" w:color="auto" w:frame="1"/>
              </w:rPr>
              <w:t>Action required</w:t>
            </w:r>
          </w:p>
        </w:tc>
      </w:tr>
      <w:tr w:rsidR="00E5701A" w:rsidRPr="00E5701A" w14:paraId="36581C81"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59ADF0B8"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Alpha</w:t>
            </w:r>
            <w:r w:rsidRPr="00E5701A">
              <w:rPr>
                <w:rFonts w:ascii="inherit" w:eastAsia="Times New Roman" w:hAnsi="inherit" w:cs="Times New Roman"/>
                <w:sz w:val="14"/>
                <w:szCs w:val="13"/>
                <w:bdr w:val="none" w:sz="0" w:space="0" w:color="auto" w:frame="1"/>
                <w:vertAlign w:val="subscript"/>
              </w:rPr>
              <w:t>1</w:t>
            </w:r>
            <w:r w:rsidRPr="00E5701A">
              <w:rPr>
                <w:rFonts w:ascii="inherit" w:eastAsia="Times New Roman" w:hAnsi="inherit" w:cs="Times New Roman"/>
                <w:sz w:val="18"/>
                <w:szCs w:val="20"/>
              </w:rPr>
              <w:t> adrenergic receptor antagonists</w:t>
            </w:r>
          </w:p>
          <w:p w14:paraId="00F8BA95"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tamsulosin</w:t>
            </w:r>
          </w:p>
          <w:p w14:paraId="611AA3A5"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dutasteride</w:t>
            </w:r>
          </w:p>
          <w:p w14:paraId="5604CFA7"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 finasteride</w:t>
            </w:r>
          </w:p>
        </w:tc>
        <w:tc>
          <w:tcPr>
            <w:tcW w:w="4394" w:type="dxa"/>
            <w:tcBorders>
              <w:top w:val="single" w:sz="6" w:space="0" w:color="D8D8D8"/>
              <w:left w:val="single" w:sz="6" w:space="0" w:color="D8D8D8"/>
              <w:bottom w:val="single" w:sz="6" w:space="0" w:color="D8D8D8"/>
              <w:right w:val="single" w:sz="6" w:space="0" w:color="D8D8D8"/>
            </w:tcBorders>
            <w:hideMark/>
          </w:tcPr>
          <w:p w14:paraId="119F0F64"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Intraoperative floppy iris syndrome resulting in the iris becoming mobile during cataract surgery.</w:t>
            </w:r>
            <w:hyperlink r:id="rId9" w:anchor="r2" w:history="1">
              <w:r w:rsidRPr="00E5701A">
                <w:rPr>
                  <w:rFonts w:ascii="inherit" w:eastAsia="Times New Roman" w:hAnsi="inherit" w:cs="Times New Roman"/>
                  <w:color w:val="D3093F"/>
                  <w:sz w:val="14"/>
                  <w:szCs w:val="13"/>
                  <w:u w:val="single"/>
                  <w:bdr w:val="none" w:sz="0" w:space="0" w:color="auto" w:frame="1"/>
                  <w:vertAlign w:val="superscript"/>
                </w:rPr>
                <w:t>2</w:t>
              </w:r>
            </w:hyperlink>
            <w:r w:rsidRPr="00E5701A">
              <w:rPr>
                <w:rFonts w:ascii="inherit" w:eastAsia="Times New Roman" w:hAnsi="inherit" w:cs="Times New Roman"/>
                <w:sz w:val="18"/>
                <w:szCs w:val="20"/>
              </w:rPr>
              <w:t> This increases the risk of iris damage with greater chance of postoperative blurred vision, sensitivity to light and difficulty driving at night.</w:t>
            </w:r>
          </w:p>
          <w:p w14:paraId="1E1E1B04"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Floppy iris syndrome can also increase the risk of damage to the posterior lens capsule – a poor prognostic factor for cataract surgery.</w:t>
            </w:r>
          </w:p>
        </w:tc>
        <w:tc>
          <w:tcPr>
            <w:tcW w:w="2126" w:type="dxa"/>
            <w:tcBorders>
              <w:top w:val="single" w:sz="6" w:space="0" w:color="D8D8D8"/>
              <w:left w:val="single" w:sz="6" w:space="0" w:color="D8D8D8"/>
              <w:bottom w:val="single" w:sz="6" w:space="0" w:color="D8D8D8"/>
              <w:right w:val="single" w:sz="6" w:space="0" w:color="D8D8D8"/>
            </w:tcBorders>
            <w:hideMark/>
          </w:tcPr>
          <w:p w14:paraId="03FF17F6"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Usually there is no need to stop the drug as stopping it does not necessarily prevent floppy iris syndrome.</w:t>
            </w:r>
          </w:p>
          <w:p w14:paraId="6C46F1FC"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The ophthalmic surgeon can take precautions during cataract surgery if aware the patient is on this class of drug.</w:t>
            </w:r>
          </w:p>
        </w:tc>
        <w:tc>
          <w:tcPr>
            <w:tcW w:w="4445" w:type="dxa"/>
            <w:tcBorders>
              <w:top w:val="single" w:sz="6" w:space="0" w:color="D8D8D8"/>
              <w:left w:val="single" w:sz="6" w:space="0" w:color="D8D8D8"/>
              <w:bottom w:val="single" w:sz="6" w:space="0" w:color="D8D8D8"/>
              <w:right w:val="single" w:sz="6" w:space="0" w:color="D8D8D8"/>
            </w:tcBorders>
            <w:hideMark/>
          </w:tcPr>
          <w:p w14:paraId="78BE4488"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Inform ophthalmic surgeon of present or past drug use if patient is referred for cataract surgery.</w:t>
            </w:r>
          </w:p>
        </w:tc>
      </w:tr>
      <w:tr w:rsidR="00E5701A" w:rsidRPr="00E5701A" w14:paraId="208195D2" w14:textId="77777777" w:rsidTr="00E5701A">
        <w:tc>
          <w:tcPr>
            <w:tcW w:w="2269" w:type="dxa"/>
            <w:vMerge w:val="restart"/>
            <w:tcBorders>
              <w:top w:val="single" w:sz="6" w:space="0" w:color="D8D8D8"/>
              <w:left w:val="single" w:sz="6" w:space="0" w:color="D8D8D8"/>
              <w:bottom w:val="single" w:sz="6" w:space="0" w:color="D8D8D8"/>
              <w:right w:val="single" w:sz="6" w:space="0" w:color="D8D8D8"/>
            </w:tcBorders>
            <w:hideMark/>
          </w:tcPr>
          <w:p w14:paraId="6D4A4785"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Antiarrhythmics</w:t>
            </w:r>
          </w:p>
          <w:p w14:paraId="55A69E2B"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 amiodarone</w:t>
            </w:r>
          </w:p>
        </w:tc>
        <w:tc>
          <w:tcPr>
            <w:tcW w:w="4394" w:type="dxa"/>
            <w:tcBorders>
              <w:top w:val="single" w:sz="6" w:space="0" w:color="D8D8D8"/>
              <w:left w:val="single" w:sz="6" w:space="0" w:color="D8D8D8"/>
              <w:bottom w:val="single" w:sz="6" w:space="0" w:color="D8D8D8"/>
              <w:right w:val="single" w:sz="6" w:space="0" w:color="D8D8D8"/>
            </w:tcBorders>
            <w:hideMark/>
          </w:tcPr>
          <w:p w14:paraId="740EC457"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Corneal microdeposits called vortex keratopathy have been reported in most patients.</w:t>
            </w:r>
          </w:p>
        </w:tc>
        <w:tc>
          <w:tcPr>
            <w:tcW w:w="2126" w:type="dxa"/>
            <w:tcBorders>
              <w:top w:val="single" w:sz="6" w:space="0" w:color="D8D8D8"/>
              <w:left w:val="single" w:sz="6" w:space="0" w:color="D8D8D8"/>
              <w:bottom w:val="single" w:sz="6" w:space="0" w:color="D8D8D8"/>
              <w:right w:val="single" w:sz="6" w:space="0" w:color="D8D8D8"/>
            </w:tcBorders>
            <w:hideMark/>
          </w:tcPr>
          <w:p w14:paraId="758F2CF2"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Most are asymptomatic and do not require intervention but advanced corneal deposits can cause visual symptoms.</w:t>
            </w:r>
            <w:hyperlink r:id="rId10" w:anchor="r3" w:history="1">
              <w:r w:rsidRPr="00E5701A">
                <w:rPr>
                  <w:rFonts w:ascii="inherit" w:eastAsia="Times New Roman" w:hAnsi="inherit" w:cs="Times New Roman"/>
                  <w:color w:val="D3093F"/>
                  <w:sz w:val="14"/>
                  <w:szCs w:val="13"/>
                  <w:u w:val="single"/>
                  <w:bdr w:val="none" w:sz="0" w:space="0" w:color="auto" w:frame="1"/>
                  <w:vertAlign w:val="superscript"/>
                </w:rPr>
                <w:t>3</w:t>
              </w:r>
            </w:hyperlink>
          </w:p>
        </w:tc>
        <w:tc>
          <w:tcPr>
            <w:tcW w:w="4445" w:type="dxa"/>
            <w:tcBorders>
              <w:top w:val="single" w:sz="6" w:space="0" w:color="D8D8D8"/>
              <w:left w:val="single" w:sz="6" w:space="0" w:color="D8D8D8"/>
              <w:bottom w:val="single" w:sz="6" w:space="0" w:color="D8D8D8"/>
              <w:right w:val="single" w:sz="6" w:space="0" w:color="D8D8D8"/>
            </w:tcBorders>
            <w:hideMark/>
          </w:tcPr>
          <w:p w14:paraId="10BC3D1F"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Routine ophthalmology referral only if patient is symptomatic.</w:t>
            </w:r>
          </w:p>
        </w:tc>
      </w:tr>
      <w:tr w:rsidR="00E5701A" w:rsidRPr="00E5701A" w14:paraId="070BE7E8" w14:textId="77777777" w:rsidTr="00E5701A">
        <w:tc>
          <w:tcPr>
            <w:tcW w:w="2269" w:type="dxa"/>
            <w:vMerge/>
            <w:tcBorders>
              <w:top w:val="single" w:sz="6" w:space="0" w:color="D8D8D8"/>
              <w:left w:val="single" w:sz="6" w:space="0" w:color="D8D8D8"/>
              <w:bottom w:val="single" w:sz="6" w:space="0" w:color="D8D8D8"/>
              <w:right w:val="single" w:sz="6" w:space="0" w:color="D8D8D8"/>
            </w:tcBorders>
            <w:vAlign w:val="center"/>
            <w:hideMark/>
          </w:tcPr>
          <w:p w14:paraId="265D5EAD" w14:textId="77777777" w:rsidR="00E5701A" w:rsidRPr="00E5701A" w:rsidRDefault="00E5701A" w:rsidP="00E5701A">
            <w:pPr>
              <w:rPr>
                <w:rFonts w:ascii="inherit" w:eastAsia="Times New Roman" w:hAnsi="inherit" w:cs="Times New Roman"/>
                <w:sz w:val="18"/>
                <w:szCs w:val="20"/>
              </w:rPr>
            </w:pPr>
          </w:p>
        </w:tc>
        <w:tc>
          <w:tcPr>
            <w:tcW w:w="4394" w:type="dxa"/>
            <w:tcBorders>
              <w:top w:val="single" w:sz="6" w:space="0" w:color="D8D8D8"/>
              <w:left w:val="single" w:sz="6" w:space="0" w:color="D8D8D8"/>
              <w:bottom w:val="single" w:sz="6" w:space="0" w:color="D8D8D8"/>
              <w:right w:val="single" w:sz="6" w:space="0" w:color="D8D8D8"/>
            </w:tcBorders>
            <w:hideMark/>
          </w:tcPr>
          <w:p w14:paraId="6705CDF7"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Amiodarone can rarely cause optic neuropathy which may result in permanent visual loss.</w:t>
            </w:r>
            <w:hyperlink r:id="rId11" w:anchor="r3" w:history="1">
              <w:r w:rsidRPr="00E5701A">
                <w:rPr>
                  <w:rFonts w:ascii="inherit" w:eastAsia="Times New Roman" w:hAnsi="inherit" w:cs="Times New Roman"/>
                  <w:color w:val="D3093F"/>
                  <w:sz w:val="14"/>
                  <w:szCs w:val="13"/>
                  <w:u w:val="single"/>
                  <w:bdr w:val="none" w:sz="0" w:space="0" w:color="auto" w:frame="1"/>
                  <w:vertAlign w:val="superscript"/>
                </w:rPr>
                <w:t>3</w:t>
              </w:r>
            </w:hyperlink>
          </w:p>
        </w:tc>
        <w:tc>
          <w:tcPr>
            <w:tcW w:w="2126" w:type="dxa"/>
            <w:tcBorders>
              <w:top w:val="single" w:sz="6" w:space="0" w:color="D8D8D8"/>
              <w:left w:val="single" w:sz="6" w:space="0" w:color="D8D8D8"/>
              <w:bottom w:val="single" w:sz="6" w:space="0" w:color="D8D8D8"/>
              <w:right w:val="single" w:sz="6" w:space="0" w:color="D8D8D8"/>
            </w:tcBorders>
            <w:hideMark/>
          </w:tcPr>
          <w:p w14:paraId="64BB62A2"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Consider discussing this potential ocular adverse event when prescribing or dispensing.</w:t>
            </w:r>
          </w:p>
        </w:tc>
        <w:tc>
          <w:tcPr>
            <w:tcW w:w="4445" w:type="dxa"/>
            <w:tcBorders>
              <w:top w:val="single" w:sz="6" w:space="0" w:color="D8D8D8"/>
              <w:left w:val="single" w:sz="6" w:space="0" w:color="D8D8D8"/>
              <w:bottom w:val="single" w:sz="6" w:space="0" w:color="D8D8D8"/>
              <w:right w:val="single" w:sz="6" w:space="0" w:color="D8D8D8"/>
            </w:tcBorders>
            <w:hideMark/>
          </w:tcPr>
          <w:p w14:paraId="03C3BBE5"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Immediate ophthalmology referral if patient has symptoms of optic neuropathy.</w:t>
            </w:r>
          </w:p>
        </w:tc>
      </w:tr>
      <w:tr w:rsidR="00E5701A" w:rsidRPr="00E5701A" w14:paraId="4CE11600"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6ECC6D18"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 digoxin</w:t>
            </w:r>
          </w:p>
        </w:tc>
        <w:tc>
          <w:tcPr>
            <w:tcW w:w="4394" w:type="dxa"/>
            <w:tcBorders>
              <w:top w:val="single" w:sz="6" w:space="0" w:color="D8D8D8"/>
              <w:left w:val="single" w:sz="6" w:space="0" w:color="D8D8D8"/>
              <w:bottom w:val="single" w:sz="6" w:space="0" w:color="D8D8D8"/>
              <w:right w:val="single" w:sz="6" w:space="0" w:color="D8D8D8"/>
            </w:tcBorders>
            <w:hideMark/>
          </w:tcPr>
          <w:p w14:paraId="33822C4D"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Ocular symptoms include yellowing of vision, scintillating scotoma and blurred vision. These changes are likely due to direct photoreceptor toxicity.</w:t>
            </w:r>
            <w:hyperlink r:id="rId12" w:anchor="r4" w:history="1">
              <w:r w:rsidRPr="00E5701A">
                <w:rPr>
                  <w:rFonts w:ascii="inherit" w:eastAsia="Times New Roman" w:hAnsi="inherit" w:cs="Times New Roman"/>
                  <w:color w:val="D3093F"/>
                  <w:sz w:val="14"/>
                  <w:szCs w:val="13"/>
                  <w:u w:val="single"/>
                  <w:bdr w:val="none" w:sz="0" w:space="0" w:color="auto" w:frame="1"/>
                  <w:vertAlign w:val="superscript"/>
                </w:rPr>
                <w:t>4</w:t>
              </w:r>
            </w:hyperlink>
          </w:p>
        </w:tc>
        <w:tc>
          <w:tcPr>
            <w:tcW w:w="2126" w:type="dxa"/>
            <w:tcBorders>
              <w:top w:val="single" w:sz="6" w:space="0" w:color="D8D8D8"/>
              <w:left w:val="single" w:sz="6" w:space="0" w:color="D8D8D8"/>
              <w:bottom w:val="single" w:sz="6" w:space="0" w:color="D8D8D8"/>
              <w:right w:val="single" w:sz="6" w:space="0" w:color="D8D8D8"/>
            </w:tcBorders>
            <w:hideMark/>
          </w:tcPr>
          <w:p w14:paraId="23EA661C"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The visual symptoms usually reverse when digoxin is stopped.</w:t>
            </w:r>
          </w:p>
        </w:tc>
        <w:tc>
          <w:tcPr>
            <w:tcW w:w="4445" w:type="dxa"/>
            <w:tcBorders>
              <w:top w:val="single" w:sz="6" w:space="0" w:color="D8D8D8"/>
              <w:left w:val="single" w:sz="6" w:space="0" w:color="D8D8D8"/>
              <w:bottom w:val="single" w:sz="6" w:space="0" w:color="D8D8D8"/>
              <w:right w:val="single" w:sz="6" w:space="0" w:color="D8D8D8"/>
            </w:tcBorders>
            <w:hideMark/>
          </w:tcPr>
          <w:p w14:paraId="725BF55E"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Routine ophthalmology referral if patient is symptomatic.</w:t>
            </w:r>
          </w:p>
        </w:tc>
      </w:tr>
      <w:tr w:rsidR="00E5701A" w:rsidRPr="00E5701A" w14:paraId="7F80CE60"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7215EBC4"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Allopurinol</w:t>
            </w:r>
          </w:p>
        </w:tc>
        <w:tc>
          <w:tcPr>
            <w:tcW w:w="4394" w:type="dxa"/>
            <w:tcBorders>
              <w:top w:val="single" w:sz="6" w:space="0" w:color="D8D8D8"/>
              <w:left w:val="single" w:sz="6" w:space="0" w:color="D8D8D8"/>
              <w:bottom w:val="single" w:sz="6" w:space="0" w:color="D8D8D8"/>
              <w:right w:val="single" w:sz="6" w:space="0" w:color="D8D8D8"/>
            </w:tcBorders>
            <w:hideMark/>
          </w:tcPr>
          <w:p w14:paraId="4E02C260"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Long-term use of allopurinol has been associated with the development of cortical and subcapsular cataract formation.</w:t>
            </w:r>
            <w:hyperlink r:id="rId13" w:anchor="r5" w:history="1">
              <w:r w:rsidRPr="00E5701A">
                <w:rPr>
                  <w:rFonts w:ascii="inherit" w:eastAsia="Times New Roman" w:hAnsi="inherit" w:cs="Times New Roman"/>
                  <w:color w:val="D3093F"/>
                  <w:sz w:val="14"/>
                  <w:szCs w:val="13"/>
                  <w:u w:val="single"/>
                  <w:bdr w:val="none" w:sz="0" w:space="0" w:color="auto" w:frame="1"/>
                  <w:vertAlign w:val="superscript"/>
                </w:rPr>
                <w:t>5</w:t>
              </w:r>
            </w:hyperlink>
          </w:p>
        </w:tc>
        <w:tc>
          <w:tcPr>
            <w:tcW w:w="2126" w:type="dxa"/>
            <w:tcBorders>
              <w:top w:val="single" w:sz="6" w:space="0" w:color="D8D8D8"/>
              <w:left w:val="single" w:sz="6" w:space="0" w:color="D8D8D8"/>
              <w:bottom w:val="single" w:sz="6" w:space="0" w:color="D8D8D8"/>
              <w:right w:val="single" w:sz="6" w:space="0" w:color="D8D8D8"/>
            </w:tcBorders>
            <w:hideMark/>
          </w:tcPr>
          <w:p w14:paraId="5AE7C699"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Consider discussing this potential ocular adverse event when prescribing or dispensing.</w:t>
            </w:r>
          </w:p>
        </w:tc>
        <w:tc>
          <w:tcPr>
            <w:tcW w:w="4445" w:type="dxa"/>
            <w:tcBorders>
              <w:top w:val="single" w:sz="6" w:space="0" w:color="D8D8D8"/>
              <w:left w:val="single" w:sz="6" w:space="0" w:color="D8D8D8"/>
              <w:bottom w:val="single" w:sz="6" w:space="0" w:color="D8D8D8"/>
              <w:right w:val="single" w:sz="6" w:space="0" w:color="D8D8D8"/>
            </w:tcBorders>
            <w:hideMark/>
          </w:tcPr>
          <w:p w14:paraId="08BAC0BD"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Routine ophthalmology referral if patient is symptomatic.</w:t>
            </w:r>
          </w:p>
        </w:tc>
      </w:tr>
      <w:tr w:rsidR="00E5701A" w:rsidRPr="00E5701A" w14:paraId="2447C16E"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0B7A302A"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lastRenderedPageBreak/>
              <w:t>Anticholinergics including:</w:t>
            </w:r>
          </w:p>
          <w:p w14:paraId="69967553"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antihistamines</w:t>
            </w:r>
          </w:p>
          <w:p w14:paraId="4C1FE896"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antipsychotics</w:t>
            </w:r>
          </w:p>
          <w:p w14:paraId="7F2AB0DC"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 antispasmodics, e.g. oxybutynin</w:t>
            </w:r>
            <w:hyperlink r:id="rId14" w:anchor="r6" w:history="1">
              <w:r w:rsidRPr="00E5701A">
                <w:rPr>
                  <w:rFonts w:ascii="inherit" w:eastAsia="Times New Roman" w:hAnsi="inherit" w:cs="Times New Roman"/>
                  <w:color w:val="D3093F"/>
                  <w:sz w:val="14"/>
                  <w:szCs w:val="13"/>
                  <w:u w:val="single"/>
                  <w:bdr w:val="none" w:sz="0" w:space="0" w:color="auto" w:frame="1"/>
                  <w:vertAlign w:val="superscript"/>
                </w:rPr>
                <w:t>6</w:t>
              </w:r>
            </w:hyperlink>
          </w:p>
        </w:tc>
        <w:tc>
          <w:tcPr>
            <w:tcW w:w="4394" w:type="dxa"/>
            <w:tcBorders>
              <w:top w:val="single" w:sz="6" w:space="0" w:color="D8D8D8"/>
              <w:left w:val="single" w:sz="6" w:space="0" w:color="D8D8D8"/>
              <w:bottom w:val="single" w:sz="6" w:space="0" w:color="D8D8D8"/>
              <w:right w:val="single" w:sz="6" w:space="0" w:color="D8D8D8"/>
            </w:tcBorders>
            <w:hideMark/>
          </w:tcPr>
          <w:p w14:paraId="23CFD71E"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Reduced tear production (dry eyes).</w:t>
            </w:r>
          </w:p>
          <w:p w14:paraId="777C62A7"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Dilated pupils.</w:t>
            </w:r>
            <w:hyperlink r:id="rId15" w:anchor="r7" w:history="1">
              <w:r w:rsidRPr="00E5701A">
                <w:rPr>
                  <w:rFonts w:ascii="inherit" w:eastAsia="Times New Roman" w:hAnsi="inherit" w:cs="Times New Roman"/>
                  <w:color w:val="D3093F"/>
                  <w:sz w:val="14"/>
                  <w:szCs w:val="13"/>
                  <w:u w:val="single"/>
                  <w:bdr w:val="none" w:sz="0" w:space="0" w:color="auto" w:frame="1"/>
                  <w:vertAlign w:val="superscript"/>
                </w:rPr>
                <w:t>7</w:t>
              </w:r>
            </w:hyperlink>
          </w:p>
          <w:p w14:paraId="79E188D1"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Decreased accommodation.</w:t>
            </w:r>
            <w:hyperlink r:id="rId16" w:anchor="r7" w:history="1">
              <w:r w:rsidRPr="00E5701A">
                <w:rPr>
                  <w:rFonts w:ascii="inherit" w:eastAsia="Times New Roman" w:hAnsi="inherit" w:cs="Times New Roman"/>
                  <w:color w:val="D3093F"/>
                  <w:sz w:val="14"/>
                  <w:szCs w:val="13"/>
                  <w:u w:val="single"/>
                  <w:bdr w:val="none" w:sz="0" w:space="0" w:color="auto" w:frame="1"/>
                  <w:vertAlign w:val="superscript"/>
                </w:rPr>
                <w:t>7</w:t>
              </w:r>
            </w:hyperlink>
          </w:p>
          <w:p w14:paraId="5C4AA658"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Risk of acute angle-closure glaucoma in patients with narrow angles – this is unlikely to occur if the patient had previous cataract surgery.</w:t>
            </w:r>
            <w:hyperlink r:id="rId17" w:anchor="r7" w:history="1">
              <w:r w:rsidRPr="00E5701A">
                <w:rPr>
                  <w:rFonts w:ascii="inherit" w:eastAsia="Times New Roman" w:hAnsi="inherit" w:cs="Times New Roman"/>
                  <w:color w:val="D3093F"/>
                  <w:sz w:val="14"/>
                  <w:szCs w:val="13"/>
                  <w:u w:val="single"/>
                  <w:bdr w:val="none" w:sz="0" w:space="0" w:color="auto" w:frame="1"/>
                  <w:vertAlign w:val="superscript"/>
                </w:rPr>
                <w:t>7</w:t>
              </w:r>
            </w:hyperlink>
          </w:p>
        </w:tc>
        <w:tc>
          <w:tcPr>
            <w:tcW w:w="2126" w:type="dxa"/>
            <w:tcBorders>
              <w:top w:val="single" w:sz="6" w:space="0" w:color="D8D8D8"/>
              <w:left w:val="single" w:sz="6" w:space="0" w:color="D8D8D8"/>
              <w:bottom w:val="single" w:sz="6" w:space="0" w:color="D8D8D8"/>
              <w:right w:val="single" w:sz="6" w:space="0" w:color="D8D8D8"/>
            </w:tcBorders>
            <w:hideMark/>
          </w:tcPr>
          <w:p w14:paraId="36DC77E1"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Consider discussing angle-closure glaucoma when prescribing or dispensing.</w:t>
            </w:r>
          </w:p>
        </w:tc>
        <w:tc>
          <w:tcPr>
            <w:tcW w:w="4445" w:type="dxa"/>
            <w:tcBorders>
              <w:top w:val="single" w:sz="6" w:space="0" w:color="D8D8D8"/>
              <w:left w:val="single" w:sz="6" w:space="0" w:color="D8D8D8"/>
              <w:bottom w:val="single" w:sz="6" w:space="0" w:color="D8D8D8"/>
              <w:right w:val="single" w:sz="6" w:space="0" w:color="D8D8D8"/>
            </w:tcBorders>
            <w:hideMark/>
          </w:tcPr>
          <w:p w14:paraId="42EFBA85"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Immediate ophthalmology referral if angle-closure glaucoma is suspected.</w:t>
            </w:r>
          </w:p>
          <w:p w14:paraId="01D35A9C"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Otherwise, routine ophthalmology referral if ocular symptoms persist after stopping the anticholinergic drug or if it has to continue.</w:t>
            </w:r>
            <w:hyperlink r:id="rId18" w:anchor="r7" w:history="1">
              <w:r w:rsidRPr="00E5701A">
                <w:rPr>
                  <w:rFonts w:ascii="inherit" w:eastAsia="Times New Roman" w:hAnsi="inherit" w:cs="Times New Roman"/>
                  <w:color w:val="D3093F"/>
                  <w:sz w:val="14"/>
                  <w:szCs w:val="13"/>
                  <w:u w:val="single"/>
                  <w:bdr w:val="none" w:sz="0" w:space="0" w:color="auto" w:frame="1"/>
                  <w:vertAlign w:val="superscript"/>
                </w:rPr>
                <w:t>7</w:t>
              </w:r>
            </w:hyperlink>
          </w:p>
        </w:tc>
      </w:tr>
      <w:tr w:rsidR="00E5701A" w:rsidRPr="00E5701A" w14:paraId="4FC7D201"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6FD459A0"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Anticoagulants</w:t>
            </w:r>
          </w:p>
          <w:p w14:paraId="407F369A"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aspirin</w:t>
            </w:r>
          </w:p>
          <w:p w14:paraId="6B5E85F0"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clopidogrel</w:t>
            </w:r>
          </w:p>
          <w:p w14:paraId="244539C8"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warfarin</w:t>
            </w:r>
          </w:p>
          <w:p w14:paraId="0EC66F39"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apixaban</w:t>
            </w:r>
          </w:p>
          <w:p w14:paraId="6DA58EB5"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dabigatran</w:t>
            </w:r>
          </w:p>
          <w:p w14:paraId="0360AE05"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rivaroxaban</w:t>
            </w:r>
          </w:p>
          <w:p w14:paraId="2F009776"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 ticagrelor</w:t>
            </w:r>
          </w:p>
        </w:tc>
        <w:tc>
          <w:tcPr>
            <w:tcW w:w="4394" w:type="dxa"/>
            <w:tcBorders>
              <w:top w:val="single" w:sz="6" w:space="0" w:color="D8D8D8"/>
              <w:left w:val="single" w:sz="6" w:space="0" w:color="D8D8D8"/>
              <w:bottom w:val="single" w:sz="6" w:space="0" w:color="D8D8D8"/>
              <w:right w:val="single" w:sz="6" w:space="0" w:color="D8D8D8"/>
            </w:tcBorders>
            <w:hideMark/>
          </w:tcPr>
          <w:p w14:paraId="44BF52B3"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Potential haemorrhagic complications during peri-ocular surgery.</w:t>
            </w:r>
            <w:hyperlink r:id="rId19" w:anchor="r8" w:history="1">
              <w:r w:rsidRPr="00E5701A">
                <w:rPr>
                  <w:rFonts w:ascii="inherit" w:eastAsia="Times New Roman" w:hAnsi="inherit" w:cs="Times New Roman"/>
                  <w:color w:val="D3093F"/>
                  <w:sz w:val="14"/>
                  <w:szCs w:val="13"/>
                  <w:u w:val="single"/>
                  <w:bdr w:val="none" w:sz="0" w:space="0" w:color="auto" w:frame="1"/>
                  <w:vertAlign w:val="superscript"/>
                </w:rPr>
                <w:t>8</w:t>
              </w:r>
            </w:hyperlink>
          </w:p>
        </w:tc>
        <w:tc>
          <w:tcPr>
            <w:tcW w:w="2126" w:type="dxa"/>
            <w:tcBorders>
              <w:top w:val="single" w:sz="6" w:space="0" w:color="D8D8D8"/>
              <w:left w:val="single" w:sz="6" w:space="0" w:color="D8D8D8"/>
              <w:bottom w:val="single" w:sz="6" w:space="0" w:color="D8D8D8"/>
              <w:right w:val="single" w:sz="6" w:space="0" w:color="D8D8D8"/>
            </w:tcBorders>
            <w:hideMark/>
          </w:tcPr>
          <w:p w14:paraId="7AD465C8"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Discussion of possible cessation before certain types of surgery such as eyelid surgery.</w:t>
            </w:r>
            <w:hyperlink r:id="rId20" w:anchor="r8" w:history="1">
              <w:r w:rsidRPr="00E5701A">
                <w:rPr>
                  <w:rFonts w:ascii="inherit" w:eastAsia="Times New Roman" w:hAnsi="inherit" w:cs="Times New Roman"/>
                  <w:color w:val="D3093F"/>
                  <w:sz w:val="14"/>
                  <w:szCs w:val="13"/>
                  <w:u w:val="single"/>
                  <w:bdr w:val="none" w:sz="0" w:space="0" w:color="auto" w:frame="1"/>
                  <w:vertAlign w:val="superscript"/>
                </w:rPr>
                <w:t>8</w:t>
              </w:r>
            </w:hyperlink>
          </w:p>
          <w:p w14:paraId="415191CF"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Anticoagulants do not always need to be stopped before cataract surgery, especially if it is performed under topical anaesthesia. The ophthalmic surgeon should provide guidance.</w:t>
            </w:r>
          </w:p>
          <w:p w14:paraId="71537841"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Anticoagulants are not routinely stopped before intravitreal therapy.</w:t>
            </w:r>
          </w:p>
        </w:tc>
        <w:tc>
          <w:tcPr>
            <w:tcW w:w="4445" w:type="dxa"/>
            <w:tcBorders>
              <w:top w:val="single" w:sz="6" w:space="0" w:color="D8D8D8"/>
              <w:left w:val="single" w:sz="6" w:space="0" w:color="D8D8D8"/>
              <w:bottom w:val="single" w:sz="6" w:space="0" w:color="D8D8D8"/>
              <w:right w:val="single" w:sz="6" w:space="0" w:color="D8D8D8"/>
            </w:tcBorders>
            <w:hideMark/>
          </w:tcPr>
          <w:p w14:paraId="2A394F73"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Immediate ophthalmology referral if there is bleeding in the eye.</w:t>
            </w:r>
          </w:p>
          <w:p w14:paraId="73A9AFBD"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Subconjunctival haemorrhage on the surface of the eye will usually resolve within 3 weeks and does not require ophthalmology referral if there are no other ocular symptoms.</w:t>
            </w:r>
          </w:p>
        </w:tc>
      </w:tr>
      <w:tr w:rsidR="00E5701A" w:rsidRPr="00E5701A" w14:paraId="05327037"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3FD06361"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Antiepileptics</w:t>
            </w:r>
          </w:p>
          <w:p w14:paraId="3881531C"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 topiramate</w:t>
            </w:r>
          </w:p>
        </w:tc>
        <w:tc>
          <w:tcPr>
            <w:tcW w:w="4394" w:type="dxa"/>
            <w:tcBorders>
              <w:top w:val="single" w:sz="6" w:space="0" w:color="D8D8D8"/>
              <w:left w:val="single" w:sz="6" w:space="0" w:color="D8D8D8"/>
              <w:bottom w:val="single" w:sz="6" w:space="0" w:color="D8D8D8"/>
              <w:right w:val="single" w:sz="6" w:space="0" w:color="D8D8D8"/>
            </w:tcBorders>
            <w:hideMark/>
          </w:tcPr>
          <w:p w14:paraId="545E2EF7"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Topiramate can cause secondary angle-closure glaucoma hence onset can sometimes be delayed. Most cases present in the first few weeks of treatment although some cases are reported within hours of treatment.</w:t>
            </w:r>
            <w:hyperlink r:id="rId21" w:anchor="r9" w:history="1">
              <w:r w:rsidRPr="00E5701A">
                <w:rPr>
                  <w:rFonts w:ascii="inherit" w:eastAsia="Times New Roman" w:hAnsi="inherit" w:cs="Times New Roman"/>
                  <w:color w:val="D3093F"/>
                  <w:sz w:val="14"/>
                  <w:szCs w:val="13"/>
                  <w:u w:val="single"/>
                  <w:bdr w:val="none" w:sz="0" w:space="0" w:color="auto" w:frame="1"/>
                  <w:vertAlign w:val="superscript"/>
                </w:rPr>
                <w:t>9-11</w:t>
              </w:r>
            </w:hyperlink>
          </w:p>
          <w:p w14:paraId="3C3C92BF"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Visual field defects.</w:t>
            </w:r>
            <w:hyperlink r:id="rId22" w:anchor="r9" w:history="1">
              <w:r w:rsidRPr="00E5701A">
                <w:rPr>
                  <w:rFonts w:ascii="inherit" w:eastAsia="Times New Roman" w:hAnsi="inherit" w:cs="Times New Roman"/>
                  <w:color w:val="D3093F"/>
                  <w:sz w:val="14"/>
                  <w:szCs w:val="13"/>
                  <w:u w:val="single"/>
                  <w:bdr w:val="none" w:sz="0" w:space="0" w:color="auto" w:frame="1"/>
                  <w:vertAlign w:val="superscript"/>
                </w:rPr>
                <w:t>9</w:t>
              </w:r>
            </w:hyperlink>
          </w:p>
          <w:p w14:paraId="7AD67B21"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Oculogyric crisis – a dystonic reaction characterised by prolonged involuntary upward deviation of the eyes.</w:t>
            </w:r>
            <w:hyperlink r:id="rId23" w:anchor="r9" w:history="1">
              <w:r w:rsidRPr="00E5701A">
                <w:rPr>
                  <w:rFonts w:ascii="inherit" w:eastAsia="Times New Roman" w:hAnsi="inherit" w:cs="Times New Roman"/>
                  <w:color w:val="D3093F"/>
                  <w:sz w:val="14"/>
                  <w:szCs w:val="13"/>
                  <w:u w:val="single"/>
                  <w:bdr w:val="none" w:sz="0" w:space="0" w:color="auto" w:frame="1"/>
                  <w:vertAlign w:val="superscript"/>
                </w:rPr>
                <w:t>9</w:t>
              </w:r>
            </w:hyperlink>
            <w:r w:rsidRPr="00E5701A">
              <w:rPr>
                <w:rFonts w:ascii="inherit" w:eastAsia="Times New Roman" w:hAnsi="inherit" w:cs="Times New Roman"/>
                <w:sz w:val="14"/>
                <w:szCs w:val="13"/>
                <w:bdr w:val="none" w:sz="0" w:space="0" w:color="auto" w:frame="1"/>
                <w:vertAlign w:val="superscript"/>
              </w:rPr>
              <w:t>,</w:t>
            </w:r>
            <w:hyperlink r:id="rId24" w:anchor="r10" w:history="1">
              <w:r w:rsidRPr="00E5701A">
                <w:rPr>
                  <w:rFonts w:ascii="inherit" w:eastAsia="Times New Roman" w:hAnsi="inherit" w:cs="Times New Roman"/>
                  <w:color w:val="D3093F"/>
                  <w:sz w:val="14"/>
                  <w:szCs w:val="13"/>
                  <w:u w:val="single"/>
                  <w:bdr w:val="none" w:sz="0" w:space="0" w:color="auto" w:frame="1"/>
                  <w:vertAlign w:val="superscript"/>
                </w:rPr>
                <w:t>10</w:t>
              </w:r>
            </w:hyperlink>
          </w:p>
          <w:p w14:paraId="113EA7B6"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Uveitis.</w:t>
            </w:r>
            <w:hyperlink r:id="rId25" w:anchor="r9" w:history="1">
              <w:r w:rsidRPr="00E5701A">
                <w:rPr>
                  <w:rFonts w:ascii="inherit" w:eastAsia="Times New Roman" w:hAnsi="inherit" w:cs="Times New Roman"/>
                  <w:color w:val="D3093F"/>
                  <w:sz w:val="14"/>
                  <w:szCs w:val="13"/>
                  <w:u w:val="single"/>
                  <w:bdr w:val="none" w:sz="0" w:space="0" w:color="auto" w:frame="1"/>
                  <w:vertAlign w:val="superscript"/>
                </w:rPr>
                <w:t>9</w:t>
              </w:r>
            </w:hyperlink>
          </w:p>
        </w:tc>
        <w:tc>
          <w:tcPr>
            <w:tcW w:w="2126" w:type="dxa"/>
            <w:tcBorders>
              <w:top w:val="single" w:sz="6" w:space="0" w:color="D8D8D8"/>
              <w:left w:val="single" w:sz="6" w:space="0" w:color="D8D8D8"/>
              <w:bottom w:val="single" w:sz="6" w:space="0" w:color="D8D8D8"/>
              <w:right w:val="single" w:sz="6" w:space="0" w:color="D8D8D8"/>
            </w:tcBorders>
            <w:hideMark/>
          </w:tcPr>
          <w:p w14:paraId="2BB4BB5F"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Bilateral angle closure should raise suspicions of a secondary angle-closure mechanism. Topical or systemic aqueous suppressants and topical cycloplegics (e.g. tropicamide, cyclopentolate or atropine) are initially used to manage secondary angle closure.</w:t>
            </w:r>
          </w:p>
          <w:p w14:paraId="4F850593"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The initial management of primary angle closure is different where, in addition to aqueous suppression, the pupils are constricted with pilocarpine.</w:t>
            </w:r>
          </w:p>
        </w:tc>
        <w:tc>
          <w:tcPr>
            <w:tcW w:w="4445" w:type="dxa"/>
            <w:tcBorders>
              <w:top w:val="single" w:sz="6" w:space="0" w:color="D8D8D8"/>
              <w:left w:val="single" w:sz="6" w:space="0" w:color="D8D8D8"/>
              <w:bottom w:val="single" w:sz="6" w:space="0" w:color="D8D8D8"/>
              <w:right w:val="single" w:sz="6" w:space="0" w:color="D8D8D8"/>
            </w:tcBorders>
            <w:hideMark/>
          </w:tcPr>
          <w:p w14:paraId="3D33BEFB"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Immediate ophthalmology referral for symptomatic patients.</w:t>
            </w:r>
            <w:hyperlink r:id="rId26" w:anchor="r9" w:history="1">
              <w:r w:rsidRPr="00E5701A">
                <w:rPr>
                  <w:rFonts w:ascii="inherit" w:eastAsia="Times New Roman" w:hAnsi="inherit" w:cs="Times New Roman"/>
                  <w:color w:val="D3093F"/>
                  <w:sz w:val="14"/>
                  <w:szCs w:val="13"/>
                  <w:u w:val="single"/>
                  <w:bdr w:val="none" w:sz="0" w:space="0" w:color="auto" w:frame="1"/>
                  <w:vertAlign w:val="superscript"/>
                </w:rPr>
                <w:t>9</w:t>
              </w:r>
            </w:hyperlink>
          </w:p>
        </w:tc>
      </w:tr>
      <w:tr w:rsidR="00E5701A" w:rsidRPr="00E5701A" w14:paraId="413F1E36"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7B0796F7"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 gabapentin</w:t>
            </w:r>
          </w:p>
        </w:tc>
        <w:tc>
          <w:tcPr>
            <w:tcW w:w="4394" w:type="dxa"/>
            <w:tcBorders>
              <w:top w:val="single" w:sz="6" w:space="0" w:color="D8D8D8"/>
              <w:left w:val="single" w:sz="6" w:space="0" w:color="D8D8D8"/>
              <w:bottom w:val="single" w:sz="6" w:space="0" w:color="D8D8D8"/>
              <w:right w:val="single" w:sz="6" w:space="0" w:color="D8D8D8"/>
            </w:tcBorders>
            <w:hideMark/>
          </w:tcPr>
          <w:p w14:paraId="6D376947"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Cases of nystagmus, diplopia and visual field defects have been reported.</w:t>
            </w:r>
            <w:hyperlink r:id="rId27" w:anchor="r12" w:history="1">
              <w:r w:rsidRPr="00E5701A">
                <w:rPr>
                  <w:rFonts w:ascii="inherit" w:eastAsia="Times New Roman" w:hAnsi="inherit" w:cs="Times New Roman"/>
                  <w:color w:val="D3093F"/>
                  <w:sz w:val="14"/>
                  <w:szCs w:val="13"/>
                  <w:u w:val="single"/>
                  <w:bdr w:val="none" w:sz="0" w:space="0" w:color="auto" w:frame="1"/>
                  <w:vertAlign w:val="superscript"/>
                </w:rPr>
                <w:t>12</w:t>
              </w:r>
            </w:hyperlink>
          </w:p>
        </w:tc>
        <w:tc>
          <w:tcPr>
            <w:tcW w:w="2126" w:type="dxa"/>
            <w:tcBorders>
              <w:top w:val="single" w:sz="6" w:space="0" w:color="D8D8D8"/>
              <w:left w:val="single" w:sz="6" w:space="0" w:color="D8D8D8"/>
              <w:bottom w:val="single" w:sz="6" w:space="0" w:color="D8D8D8"/>
              <w:right w:val="single" w:sz="6" w:space="0" w:color="D8D8D8"/>
            </w:tcBorders>
            <w:hideMark/>
          </w:tcPr>
          <w:p w14:paraId="01CECA33"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The incidence of visual field defects is low and therefore routine eye screening is not widely recommended. An annual computerised visual field test as part of the patient’s routine eye check with an optometrist or ophthalmologist is reasonable.</w:t>
            </w:r>
          </w:p>
        </w:tc>
        <w:tc>
          <w:tcPr>
            <w:tcW w:w="4445" w:type="dxa"/>
            <w:tcBorders>
              <w:top w:val="single" w:sz="6" w:space="0" w:color="D8D8D8"/>
              <w:left w:val="single" w:sz="6" w:space="0" w:color="D8D8D8"/>
              <w:bottom w:val="single" w:sz="6" w:space="0" w:color="D8D8D8"/>
              <w:right w:val="single" w:sz="6" w:space="0" w:color="D8D8D8"/>
            </w:tcBorders>
            <w:hideMark/>
          </w:tcPr>
          <w:p w14:paraId="752FAE50"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Immediate ophthalmology referral is recommended for symptomatic patients.</w:t>
            </w:r>
          </w:p>
        </w:tc>
      </w:tr>
      <w:tr w:rsidR="00E5701A" w:rsidRPr="00E5701A" w14:paraId="5E723B9C"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2D76E4CB"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lastRenderedPageBreak/>
              <w:t>• vigabatrin</w:t>
            </w:r>
          </w:p>
        </w:tc>
        <w:tc>
          <w:tcPr>
            <w:tcW w:w="4394" w:type="dxa"/>
            <w:tcBorders>
              <w:top w:val="single" w:sz="6" w:space="0" w:color="D8D8D8"/>
              <w:left w:val="single" w:sz="6" w:space="0" w:color="D8D8D8"/>
              <w:bottom w:val="single" w:sz="6" w:space="0" w:color="D8D8D8"/>
              <w:right w:val="single" w:sz="6" w:space="0" w:color="D8D8D8"/>
            </w:tcBorders>
            <w:hideMark/>
          </w:tcPr>
          <w:p w14:paraId="45341E28"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Patients can develop visual field constriction attributable to vigabatrin. Patients may not notice visual field loss until the central field is affected.</w:t>
            </w:r>
            <w:hyperlink r:id="rId28" w:anchor="r13" w:history="1">
              <w:r w:rsidRPr="00E5701A">
                <w:rPr>
                  <w:rFonts w:ascii="inherit" w:eastAsia="Times New Roman" w:hAnsi="inherit" w:cs="Times New Roman"/>
                  <w:color w:val="D3093F"/>
                  <w:sz w:val="14"/>
                  <w:szCs w:val="13"/>
                  <w:u w:val="single"/>
                  <w:bdr w:val="none" w:sz="0" w:space="0" w:color="auto" w:frame="1"/>
                  <w:vertAlign w:val="superscript"/>
                </w:rPr>
                <w:t>13</w:t>
              </w:r>
            </w:hyperlink>
          </w:p>
          <w:p w14:paraId="7B75B946"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Patients can also develop optic atrophy with pallor of the optic nerve head.</w:t>
            </w:r>
            <w:hyperlink r:id="rId29" w:anchor="r13" w:history="1">
              <w:r w:rsidRPr="00E5701A">
                <w:rPr>
                  <w:rFonts w:ascii="inherit" w:eastAsia="Times New Roman" w:hAnsi="inherit" w:cs="Times New Roman"/>
                  <w:color w:val="D3093F"/>
                  <w:sz w:val="14"/>
                  <w:szCs w:val="13"/>
                  <w:u w:val="single"/>
                  <w:bdr w:val="none" w:sz="0" w:space="0" w:color="auto" w:frame="1"/>
                  <w:vertAlign w:val="superscript"/>
                </w:rPr>
                <w:t>13</w:t>
              </w:r>
            </w:hyperlink>
          </w:p>
        </w:tc>
        <w:tc>
          <w:tcPr>
            <w:tcW w:w="2126" w:type="dxa"/>
            <w:tcBorders>
              <w:top w:val="single" w:sz="6" w:space="0" w:color="D8D8D8"/>
              <w:left w:val="single" w:sz="6" w:space="0" w:color="D8D8D8"/>
              <w:bottom w:val="single" w:sz="6" w:space="0" w:color="D8D8D8"/>
              <w:right w:val="single" w:sz="6" w:space="0" w:color="D8D8D8"/>
            </w:tcBorders>
            <w:hideMark/>
          </w:tcPr>
          <w:p w14:paraId="6E519CFA"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A baseline visual field should be obtained before treatment.</w:t>
            </w:r>
          </w:p>
          <w:p w14:paraId="4C00080C"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Computerised visual field assessment should be repeated every 6 months for 5 years and can be extended to annually thereafter in patients who have no visual field defects.</w:t>
            </w:r>
          </w:p>
          <w:p w14:paraId="38419D7C"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The visual field defects may not reverse on cessation of the drug but would likely worsen with continued use.</w:t>
            </w:r>
            <w:hyperlink r:id="rId30" w:anchor="r13" w:history="1">
              <w:r w:rsidRPr="00E5701A">
                <w:rPr>
                  <w:rFonts w:ascii="inherit" w:eastAsia="Times New Roman" w:hAnsi="inherit" w:cs="Times New Roman"/>
                  <w:color w:val="D3093F"/>
                  <w:sz w:val="14"/>
                  <w:szCs w:val="13"/>
                  <w:u w:val="single"/>
                  <w:bdr w:val="none" w:sz="0" w:space="0" w:color="auto" w:frame="1"/>
                  <w:vertAlign w:val="superscript"/>
                </w:rPr>
                <w:t>13</w:t>
              </w:r>
            </w:hyperlink>
          </w:p>
        </w:tc>
        <w:tc>
          <w:tcPr>
            <w:tcW w:w="4445" w:type="dxa"/>
            <w:tcBorders>
              <w:top w:val="single" w:sz="6" w:space="0" w:color="D8D8D8"/>
              <w:left w:val="single" w:sz="6" w:space="0" w:color="D8D8D8"/>
              <w:bottom w:val="single" w:sz="6" w:space="0" w:color="D8D8D8"/>
              <w:right w:val="single" w:sz="6" w:space="0" w:color="D8D8D8"/>
            </w:tcBorders>
            <w:hideMark/>
          </w:tcPr>
          <w:p w14:paraId="484371D1"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Ensure patients on vigabatrin are referred for ophthalmology screening.</w:t>
            </w:r>
          </w:p>
        </w:tc>
      </w:tr>
      <w:tr w:rsidR="00E5701A" w:rsidRPr="00E5701A" w14:paraId="55D2E5BC"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5F65C3F6"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Bisphosphonates</w:t>
            </w:r>
          </w:p>
          <w:p w14:paraId="5E1B8A9C"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alendronate sodium</w:t>
            </w:r>
          </w:p>
          <w:p w14:paraId="61A15F22"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risedronate</w:t>
            </w:r>
          </w:p>
          <w:p w14:paraId="06CB7ABD"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 zoledronic acid</w:t>
            </w:r>
          </w:p>
        </w:tc>
        <w:tc>
          <w:tcPr>
            <w:tcW w:w="4394" w:type="dxa"/>
            <w:tcBorders>
              <w:top w:val="single" w:sz="6" w:space="0" w:color="D8D8D8"/>
              <w:left w:val="single" w:sz="6" w:space="0" w:color="D8D8D8"/>
              <w:bottom w:val="single" w:sz="6" w:space="0" w:color="D8D8D8"/>
              <w:right w:val="single" w:sz="6" w:space="0" w:color="D8D8D8"/>
            </w:tcBorders>
            <w:hideMark/>
          </w:tcPr>
          <w:p w14:paraId="473060E7"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These drugs can cause inflammation in the eye leading to conjunctivitis, episcleritis, scleritis, keratitis or uveitis.</w:t>
            </w:r>
            <w:hyperlink r:id="rId31" w:anchor="r14" w:history="1">
              <w:r w:rsidRPr="00E5701A">
                <w:rPr>
                  <w:rFonts w:ascii="inherit" w:eastAsia="Times New Roman" w:hAnsi="inherit" w:cs="Times New Roman"/>
                  <w:color w:val="D3093F"/>
                  <w:sz w:val="14"/>
                  <w:szCs w:val="13"/>
                  <w:u w:val="single"/>
                  <w:bdr w:val="none" w:sz="0" w:space="0" w:color="auto" w:frame="1"/>
                  <w:vertAlign w:val="superscript"/>
                </w:rPr>
                <w:t>14</w:t>
              </w:r>
            </w:hyperlink>
          </w:p>
          <w:p w14:paraId="26025942"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Corneal and scleral melting have been reported.</w:t>
            </w:r>
          </w:p>
          <w:p w14:paraId="4326FC90"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Symptoms usually emerge more slowly (usually 6–8 weeks) with oral versus intravenous dosing.</w:t>
            </w:r>
            <w:hyperlink r:id="rId32" w:anchor="r14" w:history="1">
              <w:r w:rsidRPr="00E5701A">
                <w:rPr>
                  <w:rFonts w:ascii="inherit" w:eastAsia="Times New Roman" w:hAnsi="inherit" w:cs="Times New Roman"/>
                  <w:color w:val="D3093F"/>
                  <w:sz w:val="14"/>
                  <w:szCs w:val="13"/>
                  <w:u w:val="single"/>
                  <w:bdr w:val="none" w:sz="0" w:space="0" w:color="auto" w:frame="1"/>
                  <w:vertAlign w:val="superscript"/>
                </w:rPr>
                <w:t>14</w:t>
              </w:r>
            </w:hyperlink>
            <w:r w:rsidRPr="00E5701A">
              <w:rPr>
                <w:rFonts w:ascii="inherit" w:eastAsia="Times New Roman" w:hAnsi="inherit" w:cs="Times New Roman"/>
                <w:sz w:val="14"/>
                <w:szCs w:val="13"/>
                <w:bdr w:val="none" w:sz="0" w:space="0" w:color="auto" w:frame="1"/>
                <w:vertAlign w:val="superscript"/>
              </w:rPr>
              <w:br/>
            </w:r>
          </w:p>
        </w:tc>
        <w:tc>
          <w:tcPr>
            <w:tcW w:w="2126" w:type="dxa"/>
            <w:tcBorders>
              <w:top w:val="single" w:sz="6" w:space="0" w:color="D8D8D8"/>
              <w:left w:val="single" w:sz="6" w:space="0" w:color="D8D8D8"/>
              <w:bottom w:val="single" w:sz="6" w:space="0" w:color="D8D8D8"/>
              <w:right w:val="single" w:sz="6" w:space="0" w:color="D8D8D8"/>
            </w:tcBorders>
            <w:hideMark/>
          </w:tcPr>
          <w:p w14:paraId="49B3F402"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Ocular signs usually abate after stopping the bisphosphonate but might require topical or oral corticosteroids.</w:t>
            </w:r>
            <w:hyperlink r:id="rId33" w:anchor="r14" w:history="1">
              <w:r w:rsidRPr="00E5701A">
                <w:rPr>
                  <w:rFonts w:ascii="inherit" w:eastAsia="Times New Roman" w:hAnsi="inherit" w:cs="Times New Roman"/>
                  <w:color w:val="D3093F"/>
                  <w:sz w:val="14"/>
                  <w:szCs w:val="13"/>
                  <w:u w:val="single"/>
                  <w:bdr w:val="none" w:sz="0" w:space="0" w:color="auto" w:frame="1"/>
                  <w:vertAlign w:val="superscript"/>
                </w:rPr>
                <w:t>14</w:t>
              </w:r>
            </w:hyperlink>
            <w:r w:rsidRPr="00E5701A">
              <w:rPr>
                <w:rFonts w:ascii="inherit" w:eastAsia="Times New Roman" w:hAnsi="inherit" w:cs="Times New Roman"/>
                <w:sz w:val="18"/>
                <w:szCs w:val="20"/>
              </w:rPr>
              <w:br/>
            </w:r>
            <w:r w:rsidRPr="00E5701A">
              <w:rPr>
                <w:rFonts w:ascii="inherit" w:eastAsia="Times New Roman" w:hAnsi="inherit" w:cs="Times New Roman"/>
                <w:sz w:val="18"/>
                <w:szCs w:val="20"/>
              </w:rPr>
              <w:br/>
              <w:t>Symptoms generally recur upon bisphosphonate rechallenge.</w:t>
            </w:r>
          </w:p>
        </w:tc>
        <w:tc>
          <w:tcPr>
            <w:tcW w:w="4445" w:type="dxa"/>
            <w:tcBorders>
              <w:top w:val="single" w:sz="6" w:space="0" w:color="D8D8D8"/>
              <w:left w:val="single" w:sz="6" w:space="0" w:color="D8D8D8"/>
              <w:bottom w:val="single" w:sz="6" w:space="0" w:color="D8D8D8"/>
              <w:right w:val="single" w:sz="6" w:space="0" w:color="D8D8D8"/>
            </w:tcBorders>
            <w:hideMark/>
          </w:tcPr>
          <w:p w14:paraId="17A4C673"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Corneal and scleral melting require urgent ophthalmology referral.</w:t>
            </w:r>
          </w:p>
          <w:p w14:paraId="275DD576"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Conjunctivitis and episcleritis can be referred routinely to ophthalmology.</w:t>
            </w:r>
          </w:p>
        </w:tc>
      </w:tr>
      <w:tr w:rsidR="00E5701A" w:rsidRPr="00E5701A" w14:paraId="7A044C50"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16C43D48"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Chloroquine-based drugs</w:t>
            </w:r>
          </w:p>
          <w:p w14:paraId="016FC0C9"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chloroquine</w:t>
            </w:r>
          </w:p>
          <w:p w14:paraId="37439964"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 hydroxychloroquine</w:t>
            </w:r>
          </w:p>
        </w:tc>
        <w:tc>
          <w:tcPr>
            <w:tcW w:w="4394" w:type="dxa"/>
            <w:tcBorders>
              <w:top w:val="single" w:sz="6" w:space="0" w:color="D8D8D8"/>
              <w:left w:val="single" w:sz="6" w:space="0" w:color="D8D8D8"/>
              <w:bottom w:val="single" w:sz="6" w:space="0" w:color="D8D8D8"/>
              <w:right w:val="single" w:sz="6" w:space="0" w:color="D8D8D8"/>
            </w:tcBorders>
            <w:hideMark/>
          </w:tcPr>
          <w:p w14:paraId="376057EA"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Patients are usually asymptomatic early on but advanced maculopathy or peripheral retinopathy can result in irreversible visual loss.</w:t>
            </w:r>
            <w:hyperlink r:id="rId34" w:anchor="r15" w:history="1">
              <w:r w:rsidRPr="00E5701A">
                <w:rPr>
                  <w:rFonts w:ascii="inherit" w:eastAsia="Times New Roman" w:hAnsi="inherit" w:cs="Times New Roman"/>
                  <w:color w:val="D3093F"/>
                  <w:sz w:val="14"/>
                  <w:szCs w:val="13"/>
                  <w:u w:val="single"/>
                  <w:bdr w:val="none" w:sz="0" w:space="0" w:color="auto" w:frame="1"/>
                  <w:vertAlign w:val="superscript"/>
                </w:rPr>
                <w:t>15-17</w:t>
              </w:r>
            </w:hyperlink>
          </w:p>
          <w:p w14:paraId="06196EFF"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Patients who have been taking hydroxychloroquine for a period longer than 5 years or have been taking doses greater than 5 mg/kg/day are at an increased risk of maculopathy. Renal or liver impairment or concomitant tamoxifen use increase the risk.</w:t>
            </w:r>
            <w:hyperlink r:id="rId35" w:anchor="r15" w:history="1">
              <w:r w:rsidRPr="00E5701A">
                <w:rPr>
                  <w:rFonts w:ascii="inherit" w:eastAsia="Times New Roman" w:hAnsi="inherit" w:cs="Times New Roman"/>
                  <w:color w:val="D3093F"/>
                  <w:sz w:val="14"/>
                  <w:szCs w:val="13"/>
                  <w:u w:val="single"/>
                  <w:bdr w:val="none" w:sz="0" w:space="0" w:color="auto" w:frame="1"/>
                  <w:vertAlign w:val="superscript"/>
                </w:rPr>
                <w:t>15-17</w:t>
              </w:r>
            </w:hyperlink>
          </w:p>
        </w:tc>
        <w:tc>
          <w:tcPr>
            <w:tcW w:w="2126" w:type="dxa"/>
            <w:tcBorders>
              <w:top w:val="single" w:sz="6" w:space="0" w:color="D8D8D8"/>
              <w:left w:val="single" w:sz="6" w:space="0" w:color="D8D8D8"/>
              <w:bottom w:val="single" w:sz="6" w:space="0" w:color="D8D8D8"/>
              <w:right w:val="single" w:sz="6" w:space="0" w:color="D8D8D8"/>
            </w:tcBorders>
            <w:hideMark/>
          </w:tcPr>
          <w:p w14:paraId="18C3EEF3"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Ocular screening consists of structural imaging such as optical coherence tomography or fundus autofluorescence, and functional tests such as computerised visual fields or less widely available multifocal electroretinograms.</w:t>
            </w:r>
            <w:hyperlink r:id="rId36" w:anchor="r15" w:history="1">
              <w:r w:rsidRPr="00E5701A">
                <w:rPr>
                  <w:rFonts w:ascii="inherit" w:eastAsia="Times New Roman" w:hAnsi="inherit" w:cs="Times New Roman"/>
                  <w:color w:val="D3093F"/>
                  <w:sz w:val="14"/>
                  <w:szCs w:val="13"/>
                  <w:u w:val="single"/>
                  <w:bdr w:val="none" w:sz="0" w:space="0" w:color="auto" w:frame="1"/>
                  <w:vertAlign w:val="superscript"/>
                </w:rPr>
                <w:t>15-17</w:t>
              </w:r>
            </w:hyperlink>
            <w:r w:rsidRPr="00E5701A">
              <w:rPr>
                <w:rFonts w:ascii="inherit" w:eastAsia="Times New Roman" w:hAnsi="inherit" w:cs="Times New Roman"/>
                <w:sz w:val="18"/>
                <w:szCs w:val="20"/>
              </w:rPr>
              <w:br/>
              <w:t>Baseline ocular assessment is recommended up to 12 months after starting hydroxychloroquine treatment. Repeat assessment should occur annually after 5 years of treatment or after 12 months in high-risk groups.</w:t>
            </w:r>
            <w:hyperlink r:id="rId37" w:anchor="r15" w:history="1">
              <w:r w:rsidRPr="00E5701A">
                <w:rPr>
                  <w:rFonts w:ascii="inherit" w:eastAsia="Times New Roman" w:hAnsi="inherit" w:cs="Times New Roman"/>
                  <w:color w:val="D3093F"/>
                  <w:sz w:val="14"/>
                  <w:szCs w:val="13"/>
                  <w:u w:val="single"/>
                  <w:bdr w:val="none" w:sz="0" w:space="0" w:color="auto" w:frame="1"/>
                  <w:vertAlign w:val="superscript"/>
                </w:rPr>
                <w:t>15-18</w:t>
              </w:r>
            </w:hyperlink>
          </w:p>
          <w:p w14:paraId="2FB2B09A"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Chloroquine has a worse adverse effect profile than hydroxychloroquine and all patients on chloroquine require baseline and at least annual ocular monitoring.</w:t>
            </w:r>
          </w:p>
        </w:tc>
        <w:tc>
          <w:tcPr>
            <w:tcW w:w="4445" w:type="dxa"/>
            <w:tcBorders>
              <w:top w:val="single" w:sz="6" w:space="0" w:color="D8D8D8"/>
              <w:left w:val="single" w:sz="6" w:space="0" w:color="D8D8D8"/>
              <w:bottom w:val="single" w:sz="6" w:space="0" w:color="D8D8D8"/>
              <w:right w:val="single" w:sz="6" w:space="0" w:color="D8D8D8"/>
            </w:tcBorders>
            <w:hideMark/>
          </w:tcPr>
          <w:p w14:paraId="752DD2FE"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Ensure patients on chloroquine-based drugs are referred for ophthalmology screening.</w:t>
            </w:r>
          </w:p>
        </w:tc>
      </w:tr>
      <w:tr w:rsidR="00E5701A" w:rsidRPr="00E5701A" w14:paraId="433874EA"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11F08496"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Corticosteroids</w:t>
            </w:r>
          </w:p>
          <w:p w14:paraId="531B3B25"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prednisolone</w:t>
            </w:r>
          </w:p>
          <w:p w14:paraId="56B8CD50"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 dexamethasone</w:t>
            </w:r>
          </w:p>
        </w:tc>
        <w:tc>
          <w:tcPr>
            <w:tcW w:w="4394" w:type="dxa"/>
            <w:tcBorders>
              <w:top w:val="single" w:sz="6" w:space="0" w:color="D8D8D8"/>
              <w:left w:val="single" w:sz="6" w:space="0" w:color="D8D8D8"/>
              <w:bottom w:val="single" w:sz="6" w:space="0" w:color="D8D8D8"/>
              <w:right w:val="single" w:sz="6" w:space="0" w:color="D8D8D8"/>
            </w:tcBorders>
            <w:hideMark/>
          </w:tcPr>
          <w:p w14:paraId="0AA94BDC"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Corticosteroid-induced raised intraocular pressure can lead to glaucoma.</w:t>
            </w:r>
            <w:hyperlink r:id="rId38" w:anchor="r19" w:history="1">
              <w:r w:rsidRPr="00E5701A">
                <w:rPr>
                  <w:rFonts w:ascii="inherit" w:eastAsia="Times New Roman" w:hAnsi="inherit" w:cs="Times New Roman"/>
                  <w:color w:val="D3093F"/>
                  <w:sz w:val="14"/>
                  <w:szCs w:val="13"/>
                  <w:u w:val="single"/>
                  <w:bdr w:val="none" w:sz="0" w:space="0" w:color="auto" w:frame="1"/>
                  <w:vertAlign w:val="superscript"/>
                </w:rPr>
                <w:t>19</w:t>
              </w:r>
            </w:hyperlink>
            <w:r w:rsidRPr="00E5701A">
              <w:rPr>
                <w:rFonts w:ascii="inherit" w:eastAsia="Times New Roman" w:hAnsi="inherit" w:cs="Times New Roman"/>
                <w:sz w:val="18"/>
                <w:szCs w:val="20"/>
              </w:rPr>
              <w:t> Open-angle glaucoma is asymptomatic until advanced.</w:t>
            </w:r>
          </w:p>
          <w:p w14:paraId="1BCFE993"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lastRenderedPageBreak/>
              <w:t>Corticosteroids can accelerate cataract progression and cause posterior subcapsular cataracts.</w:t>
            </w:r>
          </w:p>
        </w:tc>
        <w:tc>
          <w:tcPr>
            <w:tcW w:w="2126" w:type="dxa"/>
            <w:tcBorders>
              <w:top w:val="single" w:sz="6" w:space="0" w:color="D8D8D8"/>
              <w:left w:val="single" w:sz="6" w:space="0" w:color="D8D8D8"/>
              <w:bottom w:val="single" w:sz="6" w:space="0" w:color="D8D8D8"/>
              <w:right w:val="single" w:sz="6" w:space="0" w:color="D8D8D8"/>
            </w:tcBorders>
            <w:hideMark/>
          </w:tcPr>
          <w:p w14:paraId="12407E27"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lastRenderedPageBreak/>
              <w:t xml:space="preserve">Open-angle glaucoma is usually managed with drops or laser. However, </w:t>
            </w:r>
            <w:r w:rsidRPr="00E5701A">
              <w:rPr>
                <w:rFonts w:ascii="inherit" w:eastAsia="Times New Roman" w:hAnsi="inherit" w:cs="Times New Roman"/>
                <w:sz w:val="18"/>
                <w:szCs w:val="20"/>
              </w:rPr>
              <w:lastRenderedPageBreak/>
              <w:t>more complicated cases may require surgery.</w:t>
            </w:r>
          </w:p>
          <w:p w14:paraId="4F345829"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Intraocular pressure should be monitored by an optometrist with referral to an ophthalmologist if it is raised. Intraocular pressure often returns to normal following cessation of corticosteroids.</w:t>
            </w:r>
          </w:p>
        </w:tc>
        <w:tc>
          <w:tcPr>
            <w:tcW w:w="4445" w:type="dxa"/>
            <w:tcBorders>
              <w:top w:val="single" w:sz="6" w:space="0" w:color="D8D8D8"/>
              <w:left w:val="single" w:sz="6" w:space="0" w:color="D8D8D8"/>
              <w:bottom w:val="single" w:sz="6" w:space="0" w:color="D8D8D8"/>
              <w:right w:val="single" w:sz="6" w:space="0" w:color="D8D8D8"/>
            </w:tcBorders>
            <w:hideMark/>
          </w:tcPr>
          <w:p w14:paraId="26270D5D"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lastRenderedPageBreak/>
              <w:t>Routine ophthalmology referral if patient is symptomatic with cataract or noted to have raised intraocular pressure. If the intraocular pressure is greater than 30 mmHg the referral should be expedited.</w:t>
            </w:r>
          </w:p>
        </w:tc>
      </w:tr>
      <w:tr w:rsidR="00E5701A" w:rsidRPr="00E5701A" w14:paraId="15ADA79B"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67E9FD76"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Ethambutol</w:t>
            </w:r>
          </w:p>
        </w:tc>
        <w:tc>
          <w:tcPr>
            <w:tcW w:w="4394" w:type="dxa"/>
            <w:tcBorders>
              <w:top w:val="single" w:sz="6" w:space="0" w:color="D8D8D8"/>
              <w:left w:val="single" w:sz="6" w:space="0" w:color="D8D8D8"/>
              <w:bottom w:val="single" w:sz="6" w:space="0" w:color="D8D8D8"/>
              <w:right w:val="single" w:sz="6" w:space="0" w:color="D8D8D8"/>
            </w:tcBorders>
            <w:hideMark/>
          </w:tcPr>
          <w:p w14:paraId="16AD8A83"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Ethambutol can cause optic neuropathy characterised by bilateral central visual loss, decreased colour vision, central visual field defects and eventually optic atrophy.</w:t>
            </w:r>
            <w:hyperlink r:id="rId39" w:anchor="r20" w:history="1">
              <w:r w:rsidRPr="00E5701A">
                <w:rPr>
                  <w:rFonts w:ascii="inherit" w:eastAsia="Times New Roman" w:hAnsi="inherit" w:cs="Times New Roman"/>
                  <w:color w:val="D3093F"/>
                  <w:sz w:val="14"/>
                  <w:szCs w:val="13"/>
                  <w:u w:val="single"/>
                  <w:bdr w:val="none" w:sz="0" w:space="0" w:color="auto" w:frame="1"/>
                  <w:vertAlign w:val="superscript"/>
                </w:rPr>
                <w:t>20</w:t>
              </w:r>
            </w:hyperlink>
          </w:p>
          <w:p w14:paraId="1AA7739F"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Toxicity is dose-related with an incidence of 18% above 35 mg/kg/day and under 1% at 15 mg/kg/day or less.</w:t>
            </w:r>
          </w:p>
        </w:tc>
        <w:tc>
          <w:tcPr>
            <w:tcW w:w="2126" w:type="dxa"/>
            <w:tcBorders>
              <w:top w:val="single" w:sz="6" w:space="0" w:color="D8D8D8"/>
              <w:left w:val="single" w:sz="6" w:space="0" w:color="D8D8D8"/>
              <w:bottom w:val="single" w:sz="6" w:space="0" w:color="D8D8D8"/>
              <w:right w:val="single" w:sz="6" w:space="0" w:color="D8D8D8"/>
            </w:tcBorders>
            <w:hideMark/>
          </w:tcPr>
          <w:p w14:paraId="250B5ECC"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Between 30% and 64% of patients will show some visual recovery if the optic neuropathy is detected early and the ethambutol is stopped.</w:t>
            </w:r>
            <w:hyperlink r:id="rId40" w:anchor="r20" w:history="1">
              <w:r w:rsidRPr="00E5701A">
                <w:rPr>
                  <w:rFonts w:ascii="inherit" w:eastAsia="Times New Roman" w:hAnsi="inherit" w:cs="Times New Roman"/>
                  <w:color w:val="D3093F"/>
                  <w:sz w:val="14"/>
                  <w:szCs w:val="13"/>
                  <w:u w:val="single"/>
                  <w:bdr w:val="none" w:sz="0" w:space="0" w:color="auto" w:frame="1"/>
                  <w:vertAlign w:val="superscript"/>
                </w:rPr>
                <w:t>20</w:t>
              </w:r>
            </w:hyperlink>
          </w:p>
          <w:p w14:paraId="40408F40"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Baseline ophthalmology assessment is required. Re-assessment every 3 months while the patient remains on low-dose treatment or every month if the dose is above 15 mg/kg/day.</w:t>
            </w:r>
          </w:p>
        </w:tc>
        <w:tc>
          <w:tcPr>
            <w:tcW w:w="4445" w:type="dxa"/>
            <w:tcBorders>
              <w:top w:val="single" w:sz="6" w:space="0" w:color="D8D8D8"/>
              <w:left w:val="single" w:sz="6" w:space="0" w:color="D8D8D8"/>
              <w:bottom w:val="single" w:sz="6" w:space="0" w:color="D8D8D8"/>
              <w:right w:val="single" w:sz="6" w:space="0" w:color="D8D8D8"/>
            </w:tcBorders>
            <w:hideMark/>
          </w:tcPr>
          <w:p w14:paraId="07C46D9C"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Ensure patients on ethambutol are referred for ophthalmology screening.</w:t>
            </w:r>
          </w:p>
        </w:tc>
      </w:tr>
      <w:tr w:rsidR="00E5701A" w:rsidRPr="00E5701A" w14:paraId="1E5C891B"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4203A60C"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Fingolimod</w:t>
            </w:r>
          </w:p>
        </w:tc>
        <w:tc>
          <w:tcPr>
            <w:tcW w:w="4394" w:type="dxa"/>
            <w:tcBorders>
              <w:top w:val="single" w:sz="6" w:space="0" w:color="D8D8D8"/>
              <w:left w:val="single" w:sz="6" w:space="0" w:color="D8D8D8"/>
              <w:bottom w:val="single" w:sz="6" w:space="0" w:color="D8D8D8"/>
              <w:right w:val="single" w:sz="6" w:space="0" w:color="D8D8D8"/>
            </w:tcBorders>
            <w:hideMark/>
          </w:tcPr>
          <w:p w14:paraId="2105F1CE"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Fingolimod-associated macular oedema has been reported in approximately 0.4% of patients. It usually develops within 4 months of starting treatment.</w:t>
            </w:r>
            <w:hyperlink r:id="rId41" w:anchor="r21" w:history="1">
              <w:r w:rsidRPr="00E5701A">
                <w:rPr>
                  <w:rFonts w:ascii="inherit" w:eastAsia="Times New Roman" w:hAnsi="inherit" w:cs="Times New Roman"/>
                  <w:color w:val="D3093F"/>
                  <w:sz w:val="14"/>
                  <w:szCs w:val="13"/>
                  <w:u w:val="single"/>
                  <w:bdr w:val="none" w:sz="0" w:space="0" w:color="auto" w:frame="1"/>
                  <w:vertAlign w:val="superscript"/>
                </w:rPr>
                <w:t>21</w:t>
              </w:r>
            </w:hyperlink>
            <w:r w:rsidRPr="00E5701A">
              <w:rPr>
                <w:rFonts w:ascii="inherit" w:eastAsia="Times New Roman" w:hAnsi="inherit" w:cs="Times New Roman"/>
                <w:sz w:val="18"/>
                <w:szCs w:val="20"/>
              </w:rPr>
              <w:t> Patients can report blurred vision, distortion and impaired reading vision.</w:t>
            </w:r>
          </w:p>
        </w:tc>
        <w:tc>
          <w:tcPr>
            <w:tcW w:w="2126" w:type="dxa"/>
            <w:tcBorders>
              <w:top w:val="single" w:sz="6" w:space="0" w:color="D8D8D8"/>
              <w:left w:val="single" w:sz="6" w:space="0" w:color="D8D8D8"/>
              <w:bottom w:val="single" w:sz="6" w:space="0" w:color="D8D8D8"/>
              <w:right w:val="single" w:sz="6" w:space="0" w:color="D8D8D8"/>
            </w:tcBorders>
            <w:hideMark/>
          </w:tcPr>
          <w:p w14:paraId="7C1A1E56"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Ophthalmic assessment including optical coherence tomography imaging at baseline and then 3–4 months after starting treatment. Ocular surveillance can be annual thereafter or earlier if the patient becomes symptomatic.</w:t>
            </w:r>
          </w:p>
          <w:p w14:paraId="110AB36B"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Fingolimod should ideally not be started within 3 months of intraocular surgery as it can make differentiating postoperative macula oedema from drug toxicity challenging.</w:t>
            </w:r>
          </w:p>
          <w:p w14:paraId="6291D22E"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Patients with fingolimod-associated macular oedema do not always have to stop the treatment. Stopping may cause a rebound of multiple sclerosis. The macular oedema can often be treated with local therapy.</w:t>
            </w:r>
          </w:p>
        </w:tc>
        <w:tc>
          <w:tcPr>
            <w:tcW w:w="4445" w:type="dxa"/>
            <w:tcBorders>
              <w:top w:val="single" w:sz="6" w:space="0" w:color="D8D8D8"/>
              <w:left w:val="single" w:sz="6" w:space="0" w:color="D8D8D8"/>
              <w:bottom w:val="single" w:sz="6" w:space="0" w:color="D8D8D8"/>
              <w:right w:val="single" w:sz="6" w:space="0" w:color="D8D8D8"/>
            </w:tcBorders>
            <w:hideMark/>
          </w:tcPr>
          <w:p w14:paraId="0F392567"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Ensure patients on fingolimod are referred for ophthalmology screening.</w:t>
            </w:r>
          </w:p>
        </w:tc>
      </w:tr>
      <w:tr w:rsidR="00E5701A" w:rsidRPr="00E5701A" w14:paraId="4F3024C3"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5F049C7C"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Isotretinoin and vitamin A</w:t>
            </w:r>
          </w:p>
        </w:tc>
        <w:tc>
          <w:tcPr>
            <w:tcW w:w="4394" w:type="dxa"/>
            <w:tcBorders>
              <w:top w:val="single" w:sz="6" w:space="0" w:color="D8D8D8"/>
              <w:left w:val="single" w:sz="6" w:space="0" w:color="D8D8D8"/>
              <w:bottom w:val="single" w:sz="6" w:space="0" w:color="D8D8D8"/>
              <w:right w:val="single" w:sz="6" w:space="0" w:color="D8D8D8"/>
            </w:tcBorders>
            <w:hideMark/>
          </w:tcPr>
          <w:p w14:paraId="4EF42C6B"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Ocular surface signs:</w:t>
            </w:r>
            <w:hyperlink r:id="rId42" w:anchor="r22" w:history="1">
              <w:r w:rsidRPr="00E5701A">
                <w:rPr>
                  <w:rFonts w:ascii="inherit" w:eastAsia="Times New Roman" w:hAnsi="inherit" w:cs="Times New Roman"/>
                  <w:color w:val="D3093F"/>
                  <w:sz w:val="14"/>
                  <w:szCs w:val="13"/>
                  <w:u w:val="single"/>
                  <w:bdr w:val="none" w:sz="0" w:space="0" w:color="auto" w:frame="1"/>
                  <w:vertAlign w:val="superscript"/>
                </w:rPr>
                <w:t>22</w:t>
              </w:r>
            </w:hyperlink>
          </w:p>
          <w:p w14:paraId="0858E9E1"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blepharoconjunctivitis</w:t>
            </w:r>
          </w:p>
          <w:p w14:paraId="56110A85"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lastRenderedPageBreak/>
              <w:t>• chalazia</w:t>
            </w:r>
          </w:p>
          <w:p w14:paraId="66CD697B"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corneal opacities</w:t>
            </w:r>
          </w:p>
          <w:p w14:paraId="7154735D"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dry eyes.</w:t>
            </w:r>
          </w:p>
          <w:p w14:paraId="4FDAB543"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Retinopathy:</w:t>
            </w:r>
            <w:hyperlink r:id="rId43" w:anchor="r22" w:history="1">
              <w:r w:rsidRPr="00E5701A">
                <w:rPr>
                  <w:rFonts w:ascii="inherit" w:eastAsia="Times New Roman" w:hAnsi="inherit" w:cs="Times New Roman"/>
                  <w:color w:val="D3093F"/>
                  <w:sz w:val="14"/>
                  <w:szCs w:val="13"/>
                  <w:u w:val="single"/>
                  <w:bdr w:val="none" w:sz="0" w:space="0" w:color="auto" w:frame="1"/>
                  <w:vertAlign w:val="superscript"/>
                </w:rPr>
                <w:t>22</w:t>
              </w:r>
            </w:hyperlink>
          </w:p>
          <w:p w14:paraId="1468BC8F"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 excess vitamin A may worsen certain retinal dystrophies.</w:t>
            </w:r>
          </w:p>
        </w:tc>
        <w:tc>
          <w:tcPr>
            <w:tcW w:w="2126" w:type="dxa"/>
            <w:tcBorders>
              <w:top w:val="single" w:sz="6" w:space="0" w:color="D8D8D8"/>
              <w:left w:val="single" w:sz="6" w:space="0" w:color="D8D8D8"/>
              <w:bottom w:val="single" w:sz="6" w:space="0" w:color="D8D8D8"/>
              <w:right w:val="single" w:sz="6" w:space="0" w:color="D8D8D8"/>
            </w:tcBorders>
            <w:hideMark/>
          </w:tcPr>
          <w:p w14:paraId="11167F09"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lastRenderedPageBreak/>
              <w:t>Visual symptoms should stop with drug cessation if not too advanced.</w:t>
            </w:r>
            <w:hyperlink r:id="rId44" w:anchor="r22" w:history="1">
              <w:r w:rsidRPr="00E5701A">
                <w:rPr>
                  <w:rFonts w:ascii="inherit" w:eastAsia="Times New Roman" w:hAnsi="inherit" w:cs="Times New Roman"/>
                  <w:color w:val="D3093F"/>
                  <w:sz w:val="14"/>
                  <w:szCs w:val="13"/>
                  <w:u w:val="single"/>
                  <w:bdr w:val="none" w:sz="0" w:space="0" w:color="auto" w:frame="1"/>
                  <w:vertAlign w:val="superscript"/>
                </w:rPr>
                <w:t>22</w:t>
              </w:r>
            </w:hyperlink>
          </w:p>
        </w:tc>
        <w:tc>
          <w:tcPr>
            <w:tcW w:w="4445" w:type="dxa"/>
            <w:tcBorders>
              <w:top w:val="single" w:sz="6" w:space="0" w:color="D8D8D8"/>
              <w:left w:val="single" w:sz="6" w:space="0" w:color="D8D8D8"/>
              <w:bottom w:val="single" w:sz="6" w:space="0" w:color="D8D8D8"/>
              <w:right w:val="single" w:sz="6" w:space="0" w:color="D8D8D8"/>
            </w:tcBorders>
            <w:hideMark/>
          </w:tcPr>
          <w:p w14:paraId="271441E1"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Routine ophthalmology referral if symptomatic.</w:t>
            </w:r>
          </w:p>
        </w:tc>
      </w:tr>
      <w:tr w:rsidR="00E5701A" w:rsidRPr="00E5701A" w14:paraId="5783EE54"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04FF2662"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MEK inhibitors e.g. crizotinib</w:t>
            </w:r>
          </w:p>
        </w:tc>
        <w:tc>
          <w:tcPr>
            <w:tcW w:w="4394" w:type="dxa"/>
            <w:tcBorders>
              <w:top w:val="single" w:sz="6" w:space="0" w:color="D8D8D8"/>
              <w:left w:val="single" w:sz="6" w:space="0" w:color="D8D8D8"/>
              <w:bottom w:val="single" w:sz="6" w:space="0" w:color="D8D8D8"/>
              <w:right w:val="single" w:sz="6" w:space="0" w:color="D8D8D8"/>
            </w:tcBorders>
            <w:hideMark/>
          </w:tcPr>
          <w:p w14:paraId="4B703366"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Visual disturbances have been reported in patients taking oral MEK inhibitors. Reported ocular adverse effects include:</w:t>
            </w:r>
          </w:p>
          <w:p w14:paraId="2A70B9EE"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decreased visual acuity</w:t>
            </w:r>
          </w:p>
          <w:p w14:paraId="4199AC30"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visual field defects</w:t>
            </w:r>
          </w:p>
          <w:p w14:paraId="3F6F8747"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dry-eye symptoms</w:t>
            </w:r>
          </w:p>
          <w:p w14:paraId="34A58077"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4"/>
                <w:szCs w:val="13"/>
                <w:bdr w:val="none" w:sz="0" w:space="0" w:color="auto" w:frame="1"/>
                <w:vertAlign w:val="superscript"/>
              </w:rPr>
              <w:t>•</w:t>
            </w:r>
            <w:r w:rsidRPr="00E5701A">
              <w:rPr>
                <w:rFonts w:ascii="inherit" w:eastAsia="Times New Roman" w:hAnsi="inherit" w:cs="Times New Roman"/>
                <w:sz w:val="18"/>
                <w:szCs w:val="20"/>
              </w:rPr>
              <w:t> eyelid abnormalities</w:t>
            </w:r>
            <w:hyperlink r:id="rId45" w:anchor="r23" w:history="1">
              <w:r w:rsidRPr="00E5701A">
                <w:rPr>
                  <w:rFonts w:ascii="inherit" w:eastAsia="Times New Roman" w:hAnsi="inherit" w:cs="Times New Roman"/>
                  <w:color w:val="D3093F"/>
                  <w:sz w:val="14"/>
                  <w:szCs w:val="13"/>
                  <w:u w:val="single"/>
                  <w:bdr w:val="none" w:sz="0" w:space="0" w:color="auto" w:frame="1"/>
                  <w:vertAlign w:val="superscript"/>
                </w:rPr>
                <w:t>23</w:t>
              </w:r>
            </w:hyperlink>
          </w:p>
          <w:p w14:paraId="4C3E2E9F"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retinal vein occlusion</w:t>
            </w:r>
          </w:p>
          <w:p w14:paraId="088F57FE"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 MEK-associated retinopathy.</w:t>
            </w:r>
            <w:hyperlink r:id="rId46" w:anchor="r23" w:history="1">
              <w:r w:rsidRPr="00E5701A">
                <w:rPr>
                  <w:rFonts w:ascii="inherit" w:eastAsia="Times New Roman" w:hAnsi="inherit" w:cs="Times New Roman"/>
                  <w:color w:val="D3093F"/>
                  <w:sz w:val="14"/>
                  <w:szCs w:val="13"/>
                  <w:u w:val="single"/>
                  <w:bdr w:val="none" w:sz="0" w:space="0" w:color="auto" w:frame="1"/>
                  <w:vertAlign w:val="superscript"/>
                </w:rPr>
                <w:t>23</w:t>
              </w:r>
            </w:hyperlink>
          </w:p>
        </w:tc>
        <w:tc>
          <w:tcPr>
            <w:tcW w:w="2126" w:type="dxa"/>
            <w:tcBorders>
              <w:top w:val="single" w:sz="6" w:space="0" w:color="D8D8D8"/>
              <w:left w:val="single" w:sz="6" w:space="0" w:color="D8D8D8"/>
              <w:bottom w:val="single" w:sz="6" w:space="0" w:color="D8D8D8"/>
              <w:right w:val="single" w:sz="6" w:space="0" w:color="D8D8D8"/>
            </w:tcBorders>
            <w:hideMark/>
          </w:tcPr>
          <w:p w14:paraId="7E2F50A9"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MEK-associated retinopathy has been reported to improve after drug cessation.</w:t>
            </w:r>
            <w:hyperlink r:id="rId47" w:anchor="r23" w:history="1">
              <w:r w:rsidRPr="00E5701A">
                <w:rPr>
                  <w:rFonts w:ascii="inherit" w:eastAsia="Times New Roman" w:hAnsi="inherit" w:cs="Times New Roman"/>
                  <w:color w:val="D3093F"/>
                  <w:sz w:val="14"/>
                  <w:szCs w:val="13"/>
                  <w:u w:val="single"/>
                  <w:bdr w:val="none" w:sz="0" w:space="0" w:color="auto" w:frame="1"/>
                  <w:vertAlign w:val="superscript"/>
                </w:rPr>
                <w:t>23</w:t>
              </w:r>
            </w:hyperlink>
          </w:p>
        </w:tc>
        <w:tc>
          <w:tcPr>
            <w:tcW w:w="4445" w:type="dxa"/>
            <w:tcBorders>
              <w:top w:val="single" w:sz="6" w:space="0" w:color="D8D8D8"/>
              <w:left w:val="single" w:sz="6" w:space="0" w:color="D8D8D8"/>
              <w:bottom w:val="single" w:sz="6" w:space="0" w:color="D8D8D8"/>
              <w:right w:val="single" w:sz="6" w:space="0" w:color="D8D8D8"/>
            </w:tcBorders>
            <w:hideMark/>
          </w:tcPr>
          <w:p w14:paraId="783655BB"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Routine ophthalmology referral if symptomatic.</w:t>
            </w:r>
          </w:p>
        </w:tc>
      </w:tr>
      <w:tr w:rsidR="00E5701A" w:rsidRPr="00E5701A" w14:paraId="5376FCCD"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7B5AEF0B"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Pentosan polysulfate</w:t>
            </w:r>
          </w:p>
        </w:tc>
        <w:tc>
          <w:tcPr>
            <w:tcW w:w="4394" w:type="dxa"/>
            <w:tcBorders>
              <w:top w:val="single" w:sz="6" w:space="0" w:color="D8D8D8"/>
              <w:left w:val="single" w:sz="6" w:space="0" w:color="D8D8D8"/>
              <w:bottom w:val="single" w:sz="6" w:space="0" w:color="D8D8D8"/>
              <w:right w:val="single" w:sz="6" w:space="0" w:color="D8D8D8"/>
            </w:tcBorders>
            <w:hideMark/>
          </w:tcPr>
          <w:p w14:paraId="6A9173BA"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Pentosan polysulfate maculopathy has been reported to have an incidence of 16%. Retinal pigment epithelial lesions are more common with prolonged use and higher daily and cumulative doses.</w:t>
            </w:r>
            <w:hyperlink r:id="rId48" w:anchor="r24" w:history="1">
              <w:r w:rsidRPr="00E5701A">
                <w:rPr>
                  <w:rFonts w:ascii="inherit" w:eastAsia="Times New Roman" w:hAnsi="inherit" w:cs="Times New Roman"/>
                  <w:color w:val="D3093F"/>
                  <w:sz w:val="14"/>
                  <w:szCs w:val="13"/>
                  <w:u w:val="single"/>
                  <w:bdr w:val="none" w:sz="0" w:space="0" w:color="auto" w:frame="1"/>
                  <w:vertAlign w:val="superscript"/>
                </w:rPr>
                <w:t>24</w:t>
              </w:r>
            </w:hyperlink>
          </w:p>
        </w:tc>
        <w:tc>
          <w:tcPr>
            <w:tcW w:w="2126" w:type="dxa"/>
            <w:tcBorders>
              <w:top w:val="single" w:sz="6" w:space="0" w:color="D8D8D8"/>
              <w:left w:val="single" w:sz="6" w:space="0" w:color="D8D8D8"/>
              <w:bottom w:val="single" w:sz="6" w:space="0" w:color="D8D8D8"/>
              <w:right w:val="single" w:sz="6" w:space="0" w:color="D8D8D8"/>
            </w:tcBorders>
            <w:hideMark/>
          </w:tcPr>
          <w:p w14:paraId="691194CA"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Multimodal retinal imaging can identify pentosan polysulfate maculopathy before irreversible macular damage has developed.</w:t>
            </w:r>
          </w:p>
          <w:p w14:paraId="6285EAA3"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Patients with cumulative dosages over 500 g should receive annual ophthalmology assessment and those with cumulative dosages over 1000 g, especially over 1500 g, should be monitored for macular toxicity even more regularly.</w:t>
            </w:r>
          </w:p>
        </w:tc>
        <w:tc>
          <w:tcPr>
            <w:tcW w:w="4445" w:type="dxa"/>
            <w:tcBorders>
              <w:top w:val="single" w:sz="6" w:space="0" w:color="D8D8D8"/>
              <w:left w:val="single" w:sz="6" w:space="0" w:color="D8D8D8"/>
              <w:bottom w:val="single" w:sz="6" w:space="0" w:color="D8D8D8"/>
              <w:right w:val="single" w:sz="6" w:space="0" w:color="D8D8D8"/>
            </w:tcBorders>
            <w:hideMark/>
          </w:tcPr>
          <w:p w14:paraId="46876693"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Ensure patients on pentosan polysulfate with a cumulative dose over 500 g are referred for ophthalmology screening.</w:t>
            </w:r>
          </w:p>
        </w:tc>
      </w:tr>
      <w:tr w:rsidR="00E5701A" w:rsidRPr="00E5701A" w14:paraId="2DF003D3"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16CD37CA"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Phenothiazines</w:t>
            </w:r>
          </w:p>
        </w:tc>
        <w:tc>
          <w:tcPr>
            <w:tcW w:w="4394" w:type="dxa"/>
            <w:tcBorders>
              <w:top w:val="single" w:sz="6" w:space="0" w:color="D8D8D8"/>
              <w:left w:val="single" w:sz="6" w:space="0" w:color="D8D8D8"/>
              <w:bottom w:val="single" w:sz="6" w:space="0" w:color="D8D8D8"/>
              <w:right w:val="single" w:sz="6" w:space="0" w:color="D8D8D8"/>
            </w:tcBorders>
            <w:hideMark/>
          </w:tcPr>
          <w:p w14:paraId="59E208C3"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High doses result in abnormal pigmentation of the eyelids, conjunctiva and cornea.</w:t>
            </w:r>
            <w:hyperlink r:id="rId49" w:anchor="r25" w:history="1">
              <w:r w:rsidRPr="00E5701A">
                <w:rPr>
                  <w:rFonts w:ascii="inherit" w:eastAsia="Times New Roman" w:hAnsi="inherit" w:cs="Times New Roman"/>
                  <w:color w:val="D3093F"/>
                  <w:sz w:val="14"/>
                  <w:szCs w:val="13"/>
                  <w:u w:val="single"/>
                  <w:bdr w:val="none" w:sz="0" w:space="0" w:color="auto" w:frame="1"/>
                  <w:vertAlign w:val="superscript"/>
                </w:rPr>
                <w:t>25</w:t>
              </w:r>
            </w:hyperlink>
          </w:p>
          <w:p w14:paraId="4F770C83"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High doses have been reported to cause corneal epithelial changes.</w:t>
            </w:r>
            <w:hyperlink r:id="rId50" w:anchor="r25" w:history="1">
              <w:r w:rsidRPr="00E5701A">
                <w:rPr>
                  <w:rFonts w:ascii="inherit" w:eastAsia="Times New Roman" w:hAnsi="inherit" w:cs="Times New Roman"/>
                  <w:color w:val="D3093F"/>
                  <w:sz w:val="14"/>
                  <w:szCs w:val="13"/>
                  <w:u w:val="single"/>
                  <w:bdr w:val="none" w:sz="0" w:space="0" w:color="auto" w:frame="1"/>
                  <w:vertAlign w:val="superscript"/>
                </w:rPr>
                <w:t>25</w:t>
              </w:r>
            </w:hyperlink>
          </w:p>
          <w:p w14:paraId="2527D81B"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A rare but serious adverse effect is development of corneal oedema.</w:t>
            </w:r>
          </w:p>
        </w:tc>
        <w:tc>
          <w:tcPr>
            <w:tcW w:w="2126" w:type="dxa"/>
            <w:tcBorders>
              <w:top w:val="single" w:sz="6" w:space="0" w:color="D8D8D8"/>
              <w:left w:val="single" w:sz="6" w:space="0" w:color="D8D8D8"/>
              <w:bottom w:val="single" w:sz="6" w:space="0" w:color="D8D8D8"/>
              <w:right w:val="single" w:sz="6" w:space="0" w:color="D8D8D8"/>
            </w:tcBorders>
            <w:hideMark/>
          </w:tcPr>
          <w:p w14:paraId="049A4779"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Epithelial keratopathy does not usually cause any visual impairment and normally clears after stopping the drug.</w:t>
            </w:r>
          </w:p>
          <w:p w14:paraId="2DB4A142"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Corneal oedema may result in irreversible visual impairment if the drug is not stopped promptly.</w:t>
            </w:r>
            <w:hyperlink r:id="rId51" w:anchor="r25" w:history="1">
              <w:r w:rsidRPr="00E5701A">
                <w:rPr>
                  <w:rFonts w:ascii="inherit" w:eastAsia="Times New Roman" w:hAnsi="inherit" w:cs="Times New Roman"/>
                  <w:color w:val="D3093F"/>
                  <w:sz w:val="14"/>
                  <w:szCs w:val="13"/>
                  <w:u w:val="single"/>
                  <w:bdr w:val="none" w:sz="0" w:space="0" w:color="auto" w:frame="1"/>
                  <w:vertAlign w:val="superscript"/>
                </w:rPr>
                <w:t>25</w:t>
              </w:r>
            </w:hyperlink>
          </w:p>
        </w:tc>
        <w:tc>
          <w:tcPr>
            <w:tcW w:w="4445" w:type="dxa"/>
            <w:tcBorders>
              <w:top w:val="single" w:sz="6" w:space="0" w:color="D8D8D8"/>
              <w:left w:val="single" w:sz="6" w:space="0" w:color="D8D8D8"/>
              <w:bottom w:val="single" w:sz="6" w:space="0" w:color="D8D8D8"/>
              <w:right w:val="single" w:sz="6" w:space="0" w:color="D8D8D8"/>
            </w:tcBorders>
            <w:hideMark/>
          </w:tcPr>
          <w:p w14:paraId="059B3294"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Immediate ophthalmology referral in symptomatic patients.</w:t>
            </w:r>
          </w:p>
        </w:tc>
      </w:tr>
      <w:tr w:rsidR="00E5701A" w:rsidRPr="00E5701A" w14:paraId="59351801"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6BCF87FF"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Phosphodiesterase type 5 inhibitors</w:t>
            </w:r>
          </w:p>
          <w:p w14:paraId="13A13362"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sildenafil</w:t>
            </w:r>
          </w:p>
          <w:p w14:paraId="2A3CDFE4"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lastRenderedPageBreak/>
              <w:t>• tadalafil</w:t>
            </w:r>
          </w:p>
        </w:tc>
        <w:tc>
          <w:tcPr>
            <w:tcW w:w="4394" w:type="dxa"/>
            <w:tcBorders>
              <w:top w:val="single" w:sz="6" w:space="0" w:color="D8D8D8"/>
              <w:left w:val="single" w:sz="6" w:space="0" w:color="D8D8D8"/>
              <w:bottom w:val="single" w:sz="6" w:space="0" w:color="D8D8D8"/>
              <w:right w:val="single" w:sz="6" w:space="0" w:color="D8D8D8"/>
            </w:tcBorders>
            <w:hideMark/>
          </w:tcPr>
          <w:p w14:paraId="7C65E486"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lastRenderedPageBreak/>
              <w:t>A bluish discoloration of vision may occur 1–2 hours after ingestion.</w:t>
            </w:r>
            <w:hyperlink r:id="rId52" w:anchor="r26" w:history="1">
              <w:r w:rsidRPr="00E5701A">
                <w:rPr>
                  <w:rFonts w:ascii="inherit" w:eastAsia="Times New Roman" w:hAnsi="inherit" w:cs="Times New Roman"/>
                  <w:color w:val="D3093F"/>
                  <w:sz w:val="14"/>
                  <w:szCs w:val="13"/>
                  <w:u w:val="single"/>
                  <w:bdr w:val="none" w:sz="0" w:space="0" w:color="auto" w:frame="1"/>
                  <w:vertAlign w:val="superscript"/>
                </w:rPr>
                <w:t>26</w:t>
              </w:r>
            </w:hyperlink>
          </w:p>
          <w:p w14:paraId="6BFCD972"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lastRenderedPageBreak/>
              <w:t>Persistent blurred vision has been reported secondary to non-arteritic ischaemic optic neuropathy, cilioretinal artery occlusion, or central serous chorioretinopathy.</w:t>
            </w:r>
            <w:hyperlink r:id="rId53" w:anchor="r27" w:history="1">
              <w:r w:rsidRPr="00E5701A">
                <w:rPr>
                  <w:rFonts w:ascii="inherit" w:eastAsia="Times New Roman" w:hAnsi="inherit" w:cs="Times New Roman"/>
                  <w:color w:val="D3093F"/>
                  <w:sz w:val="14"/>
                  <w:szCs w:val="13"/>
                  <w:u w:val="single"/>
                  <w:bdr w:val="none" w:sz="0" w:space="0" w:color="auto" w:frame="1"/>
                  <w:vertAlign w:val="superscript"/>
                </w:rPr>
                <w:t>27</w:t>
              </w:r>
            </w:hyperlink>
            <w:r w:rsidRPr="00E5701A">
              <w:rPr>
                <w:rFonts w:ascii="inherit" w:eastAsia="Times New Roman" w:hAnsi="inherit" w:cs="Times New Roman"/>
                <w:sz w:val="14"/>
                <w:szCs w:val="13"/>
                <w:bdr w:val="none" w:sz="0" w:space="0" w:color="auto" w:frame="1"/>
                <w:vertAlign w:val="superscript"/>
              </w:rPr>
              <w:t>,</w:t>
            </w:r>
            <w:hyperlink r:id="rId54" w:anchor="r28" w:history="1">
              <w:r w:rsidRPr="00E5701A">
                <w:rPr>
                  <w:rFonts w:ascii="inherit" w:eastAsia="Times New Roman" w:hAnsi="inherit" w:cs="Times New Roman"/>
                  <w:color w:val="D3093F"/>
                  <w:sz w:val="14"/>
                  <w:szCs w:val="13"/>
                  <w:u w:val="single"/>
                  <w:bdr w:val="none" w:sz="0" w:space="0" w:color="auto" w:frame="1"/>
                  <w:vertAlign w:val="superscript"/>
                </w:rPr>
                <w:t>28</w:t>
              </w:r>
            </w:hyperlink>
          </w:p>
        </w:tc>
        <w:tc>
          <w:tcPr>
            <w:tcW w:w="2126" w:type="dxa"/>
            <w:tcBorders>
              <w:top w:val="single" w:sz="6" w:space="0" w:color="D8D8D8"/>
              <w:left w:val="single" w:sz="6" w:space="0" w:color="D8D8D8"/>
              <w:bottom w:val="single" w:sz="6" w:space="0" w:color="D8D8D8"/>
              <w:right w:val="single" w:sz="6" w:space="0" w:color="D8D8D8"/>
            </w:tcBorders>
            <w:hideMark/>
          </w:tcPr>
          <w:p w14:paraId="5E2ED27D"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lastRenderedPageBreak/>
              <w:t>Consider discussing this potential ocular adverse event when prescribing or dispensing.</w:t>
            </w:r>
          </w:p>
        </w:tc>
        <w:tc>
          <w:tcPr>
            <w:tcW w:w="4445" w:type="dxa"/>
            <w:tcBorders>
              <w:top w:val="single" w:sz="6" w:space="0" w:color="D8D8D8"/>
              <w:left w:val="single" w:sz="6" w:space="0" w:color="D8D8D8"/>
              <w:bottom w:val="single" w:sz="6" w:space="0" w:color="D8D8D8"/>
              <w:right w:val="single" w:sz="6" w:space="0" w:color="D8D8D8"/>
            </w:tcBorders>
            <w:hideMark/>
          </w:tcPr>
          <w:p w14:paraId="454DEACA"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Routine ophthalmology referral if any persisting visual symptoms.</w:t>
            </w:r>
            <w:hyperlink r:id="rId55" w:anchor="r27" w:history="1">
              <w:r w:rsidRPr="00E5701A">
                <w:rPr>
                  <w:rFonts w:ascii="inherit" w:eastAsia="Times New Roman" w:hAnsi="inherit" w:cs="Times New Roman"/>
                  <w:color w:val="D3093F"/>
                  <w:sz w:val="14"/>
                  <w:szCs w:val="13"/>
                  <w:u w:val="single"/>
                  <w:bdr w:val="none" w:sz="0" w:space="0" w:color="auto" w:frame="1"/>
                  <w:vertAlign w:val="superscript"/>
                </w:rPr>
                <w:t>27</w:t>
              </w:r>
            </w:hyperlink>
            <w:r w:rsidRPr="00E5701A">
              <w:rPr>
                <w:rFonts w:ascii="inherit" w:eastAsia="Times New Roman" w:hAnsi="inherit" w:cs="Times New Roman"/>
                <w:sz w:val="14"/>
                <w:szCs w:val="13"/>
                <w:bdr w:val="none" w:sz="0" w:space="0" w:color="auto" w:frame="1"/>
                <w:vertAlign w:val="superscript"/>
              </w:rPr>
              <w:t>,</w:t>
            </w:r>
            <w:hyperlink r:id="rId56" w:anchor="r28" w:history="1">
              <w:r w:rsidRPr="00E5701A">
                <w:rPr>
                  <w:rFonts w:ascii="inherit" w:eastAsia="Times New Roman" w:hAnsi="inherit" w:cs="Times New Roman"/>
                  <w:color w:val="D3093F"/>
                  <w:sz w:val="14"/>
                  <w:szCs w:val="13"/>
                  <w:u w:val="single"/>
                  <w:bdr w:val="none" w:sz="0" w:space="0" w:color="auto" w:frame="1"/>
                  <w:vertAlign w:val="superscript"/>
                </w:rPr>
                <w:t>28</w:t>
              </w:r>
            </w:hyperlink>
          </w:p>
        </w:tc>
      </w:tr>
      <w:tr w:rsidR="00E5701A" w:rsidRPr="00E5701A" w14:paraId="1BAB5824"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64E6C949"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Tamoxifen</w:t>
            </w:r>
          </w:p>
        </w:tc>
        <w:tc>
          <w:tcPr>
            <w:tcW w:w="4394" w:type="dxa"/>
            <w:tcBorders>
              <w:top w:val="single" w:sz="6" w:space="0" w:color="D8D8D8"/>
              <w:left w:val="single" w:sz="6" w:space="0" w:color="D8D8D8"/>
              <w:bottom w:val="single" w:sz="6" w:space="0" w:color="D8D8D8"/>
              <w:right w:val="single" w:sz="6" w:space="0" w:color="D8D8D8"/>
            </w:tcBorders>
            <w:hideMark/>
          </w:tcPr>
          <w:p w14:paraId="04C4D715"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Intraretinal crystalline deposits, macular oedema and punctate retinal pigmentary changes have been reported.</w:t>
            </w:r>
            <w:hyperlink r:id="rId57" w:anchor="r29" w:history="1">
              <w:r w:rsidRPr="00E5701A">
                <w:rPr>
                  <w:rFonts w:ascii="inherit" w:eastAsia="Times New Roman" w:hAnsi="inherit" w:cs="Times New Roman"/>
                  <w:color w:val="D3093F"/>
                  <w:sz w:val="14"/>
                  <w:szCs w:val="13"/>
                  <w:u w:val="single"/>
                  <w:bdr w:val="none" w:sz="0" w:space="0" w:color="auto" w:frame="1"/>
                  <w:vertAlign w:val="superscript"/>
                </w:rPr>
                <w:t>29-32</w:t>
              </w:r>
            </w:hyperlink>
          </w:p>
          <w:p w14:paraId="0E7BE0C7"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The degree of toxicity is related to the dose and duration of tamoxifen use.</w:t>
            </w:r>
            <w:hyperlink r:id="rId58" w:anchor="r30" w:history="1">
              <w:r w:rsidRPr="00E5701A">
                <w:rPr>
                  <w:rFonts w:ascii="inherit" w:eastAsia="Times New Roman" w:hAnsi="inherit" w:cs="Times New Roman"/>
                  <w:color w:val="D3093F"/>
                  <w:sz w:val="14"/>
                  <w:szCs w:val="13"/>
                  <w:u w:val="single"/>
                  <w:bdr w:val="none" w:sz="0" w:space="0" w:color="auto" w:frame="1"/>
                  <w:vertAlign w:val="superscript"/>
                </w:rPr>
                <w:t>30</w:t>
              </w:r>
            </w:hyperlink>
          </w:p>
        </w:tc>
        <w:tc>
          <w:tcPr>
            <w:tcW w:w="2126" w:type="dxa"/>
            <w:tcBorders>
              <w:top w:val="single" w:sz="6" w:space="0" w:color="D8D8D8"/>
              <w:left w:val="single" w:sz="6" w:space="0" w:color="D8D8D8"/>
              <w:bottom w:val="single" w:sz="6" w:space="0" w:color="D8D8D8"/>
              <w:right w:val="single" w:sz="6" w:space="0" w:color="D8D8D8"/>
            </w:tcBorders>
            <w:hideMark/>
          </w:tcPr>
          <w:p w14:paraId="416AE2D9" w14:textId="77777777" w:rsidR="00E5701A" w:rsidRPr="00E5701A" w:rsidRDefault="00E5701A" w:rsidP="00E5701A">
            <w:pPr>
              <w:spacing w:beforeAutospacing="1" w:afterAutospacing="1"/>
              <w:rPr>
                <w:rFonts w:ascii="inherit" w:eastAsia="Times New Roman" w:hAnsi="inherit" w:cs="Times New Roman"/>
                <w:sz w:val="18"/>
                <w:szCs w:val="20"/>
              </w:rPr>
            </w:pPr>
            <w:r w:rsidRPr="00E5701A">
              <w:rPr>
                <w:rFonts w:ascii="inherit" w:eastAsia="Times New Roman" w:hAnsi="inherit" w:cs="Times New Roman"/>
                <w:sz w:val="18"/>
                <w:szCs w:val="20"/>
              </w:rPr>
              <w:t>Systematic screening of all symptom-free patients taking the lower dose (20–40 mg a day) for metastatic breast cancer has not been shown to be of high yield in detecting ocular toxity.</w:t>
            </w:r>
            <w:hyperlink r:id="rId59" w:anchor="r31" w:history="1">
              <w:r w:rsidRPr="00E5701A">
                <w:rPr>
                  <w:rFonts w:ascii="inherit" w:eastAsia="Times New Roman" w:hAnsi="inherit" w:cs="Times New Roman"/>
                  <w:color w:val="D3093F"/>
                  <w:sz w:val="14"/>
                  <w:szCs w:val="13"/>
                  <w:u w:val="single"/>
                  <w:bdr w:val="none" w:sz="0" w:space="0" w:color="auto" w:frame="1"/>
                  <w:vertAlign w:val="superscript"/>
                </w:rPr>
                <w:t>31</w:t>
              </w:r>
            </w:hyperlink>
            <w:r w:rsidRPr="00E5701A">
              <w:rPr>
                <w:rFonts w:ascii="inherit" w:eastAsia="Times New Roman" w:hAnsi="inherit" w:cs="Times New Roman"/>
                <w:sz w:val="14"/>
                <w:szCs w:val="13"/>
                <w:bdr w:val="none" w:sz="0" w:space="0" w:color="auto" w:frame="1"/>
                <w:vertAlign w:val="superscript"/>
              </w:rPr>
              <w:t> </w:t>
            </w:r>
            <w:r w:rsidRPr="00E5701A">
              <w:rPr>
                <w:rFonts w:ascii="inherit" w:eastAsia="Times New Roman" w:hAnsi="inherit" w:cs="Times New Roman"/>
                <w:sz w:val="18"/>
                <w:szCs w:val="20"/>
              </w:rPr>
              <w:t>However, routine ophthalmological assessment is reasonable in asymptomatic patients on higher doses, treatment for more than 5 years or pre-existing macular disease.</w:t>
            </w:r>
            <w:hyperlink r:id="rId60" w:anchor="r32" w:history="1">
              <w:r w:rsidRPr="00E5701A">
                <w:rPr>
                  <w:rFonts w:ascii="inherit" w:eastAsia="Times New Roman" w:hAnsi="inherit" w:cs="Times New Roman"/>
                  <w:color w:val="D3093F"/>
                  <w:sz w:val="14"/>
                  <w:szCs w:val="13"/>
                  <w:u w:val="single"/>
                  <w:bdr w:val="none" w:sz="0" w:space="0" w:color="auto" w:frame="1"/>
                  <w:vertAlign w:val="superscript"/>
                </w:rPr>
                <w:t>32</w:t>
              </w:r>
            </w:hyperlink>
          </w:p>
          <w:p w14:paraId="3C8D6D48"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Early crystalline maculopathy without visual symptoms does not always require stopping the drug. Alternative oncological therapies are available if serious ocular complications arise.</w:t>
            </w:r>
          </w:p>
        </w:tc>
        <w:tc>
          <w:tcPr>
            <w:tcW w:w="4445" w:type="dxa"/>
            <w:tcBorders>
              <w:top w:val="single" w:sz="6" w:space="0" w:color="D8D8D8"/>
              <w:left w:val="single" w:sz="6" w:space="0" w:color="D8D8D8"/>
              <w:bottom w:val="single" w:sz="6" w:space="0" w:color="D8D8D8"/>
              <w:right w:val="single" w:sz="6" w:space="0" w:color="D8D8D8"/>
            </w:tcBorders>
            <w:hideMark/>
          </w:tcPr>
          <w:p w14:paraId="18A643D1"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Baseline ophthalmology assessment and regular monitoring in high-risk groups.</w:t>
            </w:r>
          </w:p>
          <w:p w14:paraId="3D84688A"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Immediate ophthalmology referral in symptomatic patients.</w:t>
            </w:r>
          </w:p>
        </w:tc>
      </w:tr>
      <w:tr w:rsidR="00E5701A" w:rsidRPr="00E5701A" w14:paraId="4FD83473"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17612709"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Tetracyclines</w:t>
            </w:r>
          </w:p>
          <w:p w14:paraId="05234277"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doxycycline</w:t>
            </w:r>
          </w:p>
          <w:p w14:paraId="34B97991"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 tetracycline</w:t>
            </w:r>
          </w:p>
        </w:tc>
        <w:tc>
          <w:tcPr>
            <w:tcW w:w="4394" w:type="dxa"/>
            <w:tcBorders>
              <w:top w:val="single" w:sz="6" w:space="0" w:color="D8D8D8"/>
              <w:left w:val="single" w:sz="6" w:space="0" w:color="D8D8D8"/>
              <w:bottom w:val="single" w:sz="6" w:space="0" w:color="D8D8D8"/>
              <w:right w:val="single" w:sz="6" w:space="0" w:color="D8D8D8"/>
            </w:tcBorders>
            <w:hideMark/>
          </w:tcPr>
          <w:p w14:paraId="4A797B34"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Nausea, vomiting and morning headaches may be symptoms of idiopathic intracranial hypertension which can lead to permanent loss of vision.</w:t>
            </w:r>
            <w:hyperlink r:id="rId61" w:anchor="r33" w:history="1">
              <w:r w:rsidRPr="00E5701A">
                <w:rPr>
                  <w:rFonts w:ascii="inherit" w:eastAsia="Times New Roman" w:hAnsi="inherit" w:cs="Times New Roman"/>
                  <w:color w:val="D3093F"/>
                  <w:sz w:val="14"/>
                  <w:szCs w:val="13"/>
                  <w:u w:val="single"/>
                  <w:bdr w:val="none" w:sz="0" w:space="0" w:color="auto" w:frame="1"/>
                  <w:vertAlign w:val="superscript"/>
                </w:rPr>
                <w:t>33</w:t>
              </w:r>
            </w:hyperlink>
          </w:p>
        </w:tc>
        <w:tc>
          <w:tcPr>
            <w:tcW w:w="2126" w:type="dxa"/>
            <w:tcBorders>
              <w:top w:val="single" w:sz="6" w:space="0" w:color="D8D8D8"/>
              <w:left w:val="single" w:sz="6" w:space="0" w:color="D8D8D8"/>
              <w:bottom w:val="single" w:sz="6" w:space="0" w:color="D8D8D8"/>
              <w:right w:val="single" w:sz="6" w:space="0" w:color="D8D8D8"/>
            </w:tcBorders>
            <w:hideMark/>
          </w:tcPr>
          <w:p w14:paraId="31785754"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Consider discussing the symptoms of idiopathic intracranial hypertension when prescribing or dispensing this medication.</w:t>
            </w:r>
          </w:p>
        </w:tc>
        <w:tc>
          <w:tcPr>
            <w:tcW w:w="4445" w:type="dxa"/>
            <w:tcBorders>
              <w:top w:val="single" w:sz="6" w:space="0" w:color="D8D8D8"/>
              <w:left w:val="single" w:sz="6" w:space="0" w:color="D8D8D8"/>
              <w:bottom w:val="single" w:sz="6" w:space="0" w:color="D8D8D8"/>
              <w:right w:val="single" w:sz="6" w:space="0" w:color="D8D8D8"/>
            </w:tcBorders>
            <w:hideMark/>
          </w:tcPr>
          <w:p w14:paraId="70BAF865"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Urgent ophthalmology referral if patient is symptomatic.</w:t>
            </w:r>
          </w:p>
        </w:tc>
      </w:tr>
      <w:tr w:rsidR="00E5701A" w:rsidRPr="00E5701A" w14:paraId="60B729E3" w14:textId="77777777" w:rsidTr="00E5701A">
        <w:tc>
          <w:tcPr>
            <w:tcW w:w="2269" w:type="dxa"/>
            <w:tcBorders>
              <w:top w:val="single" w:sz="6" w:space="0" w:color="D8D8D8"/>
              <w:left w:val="single" w:sz="6" w:space="0" w:color="D8D8D8"/>
              <w:bottom w:val="single" w:sz="6" w:space="0" w:color="D8D8D8"/>
              <w:right w:val="single" w:sz="6" w:space="0" w:color="D8D8D8"/>
            </w:tcBorders>
            <w:hideMark/>
          </w:tcPr>
          <w:p w14:paraId="34610010"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Thiazolidinediones (glitazones)</w:t>
            </w:r>
          </w:p>
          <w:p w14:paraId="084C28F4" w14:textId="77777777" w:rsidR="00E5701A" w:rsidRPr="00E5701A" w:rsidRDefault="00E5701A" w:rsidP="00E5701A">
            <w:pPr>
              <w:spacing w:before="100" w:beforeAutospacing="1" w:after="100" w:afterAutospacing="1"/>
              <w:rPr>
                <w:rFonts w:ascii="inherit" w:eastAsia="Times New Roman" w:hAnsi="inherit" w:cs="Times New Roman"/>
                <w:sz w:val="18"/>
                <w:szCs w:val="20"/>
              </w:rPr>
            </w:pPr>
            <w:r w:rsidRPr="00E5701A">
              <w:rPr>
                <w:rFonts w:ascii="inherit" w:eastAsia="Times New Roman" w:hAnsi="inherit" w:cs="Times New Roman"/>
                <w:sz w:val="18"/>
                <w:szCs w:val="20"/>
              </w:rPr>
              <w:t>• pioglitazone</w:t>
            </w:r>
          </w:p>
          <w:p w14:paraId="6CCBC286"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 rosiglitazone</w:t>
            </w:r>
          </w:p>
        </w:tc>
        <w:tc>
          <w:tcPr>
            <w:tcW w:w="4394" w:type="dxa"/>
            <w:tcBorders>
              <w:top w:val="single" w:sz="6" w:space="0" w:color="D8D8D8"/>
              <w:left w:val="single" w:sz="6" w:space="0" w:color="D8D8D8"/>
              <w:bottom w:val="single" w:sz="6" w:space="0" w:color="D8D8D8"/>
              <w:right w:val="single" w:sz="6" w:space="0" w:color="D8D8D8"/>
            </w:tcBorders>
            <w:hideMark/>
          </w:tcPr>
          <w:p w14:paraId="5FF27D1F"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May result in development of macular oedema.</w:t>
            </w:r>
            <w:hyperlink r:id="rId62" w:anchor="r34" w:history="1">
              <w:r w:rsidRPr="00E5701A">
                <w:rPr>
                  <w:rFonts w:ascii="inherit" w:eastAsia="Times New Roman" w:hAnsi="inherit" w:cs="Times New Roman"/>
                  <w:color w:val="D3093F"/>
                  <w:sz w:val="14"/>
                  <w:szCs w:val="13"/>
                  <w:u w:val="single"/>
                  <w:bdr w:val="none" w:sz="0" w:space="0" w:color="auto" w:frame="1"/>
                  <w:vertAlign w:val="superscript"/>
                </w:rPr>
                <w:t>34</w:t>
              </w:r>
            </w:hyperlink>
            <w:r w:rsidRPr="00E5701A">
              <w:rPr>
                <w:rFonts w:ascii="inherit" w:eastAsia="Times New Roman" w:hAnsi="inherit" w:cs="Times New Roman"/>
                <w:sz w:val="14"/>
                <w:szCs w:val="13"/>
                <w:bdr w:val="none" w:sz="0" w:space="0" w:color="auto" w:frame="1"/>
                <w:vertAlign w:val="superscript"/>
              </w:rPr>
              <w:t>,</w:t>
            </w:r>
            <w:hyperlink r:id="rId63" w:anchor="r35" w:history="1">
              <w:r w:rsidRPr="00E5701A">
                <w:rPr>
                  <w:rFonts w:ascii="inherit" w:eastAsia="Times New Roman" w:hAnsi="inherit" w:cs="Times New Roman"/>
                  <w:color w:val="D3093F"/>
                  <w:sz w:val="14"/>
                  <w:szCs w:val="13"/>
                  <w:u w:val="single"/>
                  <w:bdr w:val="none" w:sz="0" w:space="0" w:color="auto" w:frame="1"/>
                  <w:vertAlign w:val="superscript"/>
                </w:rPr>
                <w:t>35</w:t>
              </w:r>
            </w:hyperlink>
          </w:p>
        </w:tc>
        <w:tc>
          <w:tcPr>
            <w:tcW w:w="2126" w:type="dxa"/>
            <w:tcBorders>
              <w:top w:val="single" w:sz="6" w:space="0" w:color="D8D8D8"/>
              <w:left w:val="single" w:sz="6" w:space="0" w:color="D8D8D8"/>
              <w:bottom w:val="single" w:sz="6" w:space="0" w:color="D8D8D8"/>
              <w:right w:val="single" w:sz="6" w:space="0" w:color="D8D8D8"/>
            </w:tcBorders>
            <w:hideMark/>
          </w:tcPr>
          <w:p w14:paraId="74B70492"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Consider an alternative drug in patients with diabetic retinopathy.</w:t>
            </w:r>
            <w:hyperlink r:id="rId64" w:anchor="r34" w:history="1">
              <w:r w:rsidRPr="00E5701A">
                <w:rPr>
                  <w:rFonts w:ascii="inherit" w:eastAsia="Times New Roman" w:hAnsi="inherit" w:cs="Times New Roman"/>
                  <w:color w:val="D3093F"/>
                  <w:sz w:val="14"/>
                  <w:szCs w:val="13"/>
                  <w:u w:val="single"/>
                  <w:bdr w:val="none" w:sz="0" w:space="0" w:color="auto" w:frame="1"/>
                  <w:vertAlign w:val="superscript"/>
                </w:rPr>
                <w:t>34</w:t>
              </w:r>
            </w:hyperlink>
            <w:r w:rsidRPr="00E5701A">
              <w:rPr>
                <w:rFonts w:ascii="inherit" w:eastAsia="Times New Roman" w:hAnsi="inherit" w:cs="Times New Roman"/>
                <w:sz w:val="14"/>
                <w:szCs w:val="13"/>
                <w:bdr w:val="none" w:sz="0" w:space="0" w:color="auto" w:frame="1"/>
                <w:vertAlign w:val="superscript"/>
              </w:rPr>
              <w:t>,</w:t>
            </w:r>
            <w:hyperlink r:id="rId65" w:anchor="r35" w:history="1">
              <w:r w:rsidRPr="00E5701A">
                <w:rPr>
                  <w:rFonts w:ascii="inherit" w:eastAsia="Times New Roman" w:hAnsi="inherit" w:cs="Times New Roman"/>
                  <w:color w:val="D3093F"/>
                  <w:sz w:val="14"/>
                  <w:szCs w:val="13"/>
                  <w:u w:val="single"/>
                  <w:bdr w:val="none" w:sz="0" w:space="0" w:color="auto" w:frame="1"/>
                  <w:vertAlign w:val="superscript"/>
                </w:rPr>
                <w:t>35</w:t>
              </w:r>
            </w:hyperlink>
          </w:p>
        </w:tc>
        <w:tc>
          <w:tcPr>
            <w:tcW w:w="4445" w:type="dxa"/>
            <w:tcBorders>
              <w:top w:val="single" w:sz="6" w:space="0" w:color="D8D8D8"/>
              <w:left w:val="single" w:sz="6" w:space="0" w:color="D8D8D8"/>
              <w:bottom w:val="single" w:sz="6" w:space="0" w:color="D8D8D8"/>
              <w:right w:val="single" w:sz="6" w:space="0" w:color="D8D8D8"/>
            </w:tcBorders>
            <w:hideMark/>
          </w:tcPr>
          <w:p w14:paraId="2C374DFA"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Diabetic retinopathy screening as per national guidelines and immediate ophthalmic referral in symptomatic patients.</w:t>
            </w:r>
          </w:p>
        </w:tc>
      </w:tr>
    </w:tbl>
    <w:p w14:paraId="6DCEE0E6" w14:textId="77777777" w:rsidR="00E5701A" w:rsidRPr="00E5701A" w:rsidRDefault="00E5701A" w:rsidP="00E5701A">
      <w:pPr>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bdr w:val="none" w:sz="0" w:space="0" w:color="auto" w:frame="1"/>
          <w:shd w:val="clear" w:color="auto" w:fill="D3093F"/>
        </w:rPr>
        <w:t> </w:t>
      </w:r>
    </w:p>
    <w:p w14:paraId="3496C5ED" w14:textId="77777777" w:rsidR="00E5701A" w:rsidRPr="00E5701A" w:rsidRDefault="00E5701A" w:rsidP="00E5701A">
      <w:pPr>
        <w:outlineLvl w:val="1"/>
        <w:rPr>
          <w:rFonts w:ascii="inherit" w:eastAsia="Times New Roman" w:hAnsi="inherit" w:cs="Times New Roman"/>
          <w:b/>
          <w:bCs/>
          <w:color w:val="D3093F"/>
          <w:spacing w:val="-9"/>
          <w:sz w:val="36"/>
          <w:szCs w:val="32"/>
        </w:rPr>
      </w:pPr>
      <w:r w:rsidRPr="00E5701A">
        <w:rPr>
          <w:rFonts w:ascii="inherit" w:eastAsia="Times New Roman" w:hAnsi="inherit" w:cs="Times New Roman"/>
          <w:b/>
          <w:bCs/>
          <w:color w:val="D3093F"/>
          <w:spacing w:val="-9"/>
          <w:sz w:val="36"/>
          <w:szCs w:val="32"/>
        </w:rPr>
        <w:t>Structures of the eye affected by oral drugs</w:t>
      </w:r>
    </w:p>
    <w:p w14:paraId="1733DE01" w14:textId="77777777" w:rsidR="00E5701A" w:rsidRPr="00E5701A" w:rsidRDefault="00E5701A" w:rsidP="00E5701A">
      <w:pPr>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Drugs may cause symptoms characteristic of specific eye diseases (</w:t>
      </w:r>
      <w:hyperlink r:id="rId66" w:anchor="t2" w:history="1">
        <w:r w:rsidRPr="00E5701A">
          <w:rPr>
            <w:rFonts w:ascii="inherit" w:eastAsia="Times New Roman" w:hAnsi="inherit" w:cs="Times New Roman"/>
            <w:color w:val="D3093F"/>
            <w:sz w:val="18"/>
            <w:szCs w:val="20"/>
            <w:u w:val="single"/>
            <w:bdr w:val="none" w:sz="0" w:space="0" w:color="auto" w:frame="1"/>
          </w:rPr>
          <w:t>Table 2</w:t>
        </w:r>
      </w:hyperlink>
      <w:r w:rsidRPr="00E5701A">
        <w:rPr>
          <w:rFonts w:ascii="inherit" w:eastAsia="Times New Roman" w:hAnsi="inherit" w:cs="Times New Roman"/>
          <w:color w:val="333333"/>
          <w:sz w:val="18"/>
          <w:szCs w:val="20"/>
        </w:rPr>
        <w:t>). Some drugs, such as those with anticholinergic activity, affect several parts of the eye (see </w:t>
      </w:r>
      <w:hyperlink r:id="rId67" w:anchor="f1" w:history="1">
        <w:r w:rsidRPr="00E5701A">
          <w:rPr>
            <w:rFonts w:ascii="inherit" w:eastAsia="Times New Roman" w:hAnsi="inherit" w:cs="Times New Roman"/>
            <w:color w:val="D3093F"/>
            <w:sz w:val="18"/>
            <w:szCs w:val="20"/>
            <w:u w:val="single"/>
            <w:bdr w:val="none" w:sz="0" w:space="0" w:color="auto" w:frame="1"/>
          </w:rPr>
          <w:t>Fig</w:t>
        </w:r>
      </w:hyperlink>
      <w:r w:rsidRPr="00E5701A">
        <w:rPr>
          <w:rFonts w:ascii="inherit" w:eastAsia="Times New Roman" w:hAnsi="inherit" w:cs="Times New Roman"/>
          <w:color w:val="333333"/>
          <w:sz w:val="18"/>
          <w:szCs w:val="20"/>
        </w:rPr>
        <w:t>.).</w:t>
      </w:r>
    </w:p>
    <w:p w14:paraId="3BD89C16" w14:textId="77777777" w:rsidR="00E5701A" w:rsidRPr="00E5701A" w:rsidRDefault="00E5701A" w:rsidP="00E5701A">
      <w:pPr>
        <w:outlineLvl w:val="2"/>
        <w:rPr>
          <w:rFonts w:ascii="inherit" w:eastAsia="Times New Roman" w:hAnsi="inherit" w:cs="Times New Roman"/>
          <w:b/>
          <w:bCs/>
          <w:color w:val="D3093F"/>
          <w:szCs w:val="22"/>
        </w:rPr>
      </w:pPr>
      <w:r w:rsidRPr="00E5701A">
        <w:rPr>
          <w:rFonts w:ascii="inherit" w:eastAsia="Times New Roman" w:hAnsi="inherit" w:cs="Times New Roman"/>
          <w:b/>
          <w:bCs/>
          <w:color w:val="D3093F"/>
          <w:szCs w:val="22"/>
        </w:rPr>
        <w:t>Table 2 - Symptoms associated with disease of different parts of the eye</w:t>
      </w:r>
    </w:p>
    <w:tbl>
      <w:tblPr>
        <w:tblW w:w="12375" w:type="dxa"/>
        <w:tblBorders>
          <w:top w:val="single" w:sz="24" w:space="0" w:color="EEEDF6"/>
          <w:left w:val="single" w:sz="6" w:space="0" w:color="D8D8D8"/>
          <w:bottom w:val="single" w:sz="6" w:space="0" w:color="D8D8D8"/>
          <w:right w:val="single" w:sz="6" w:space="0" w:color="D8D8D8"/>
        </w:tblBorders>
        <w:tblCellMar>
          <w:left w:w="0" w:type="dxa"/>
          <w:right w:w="0" w:type="dxa"/>
        </w:tblCellMar>
        <w:tblLook w:val="04A0" w:firstRow="1" w:lastRow="0" w:firstColumn="1" w:lastColumn="0" w:noHBand="0" w:noVBand="1"/>
      </w:tblPr>
      <w:tblGrid>
        <w:gridCol w:w="4729"/>
        <w:gridCol w:w="7646"/>
      </w:tblGrid>
      <w:tr w:rsidR="00E5701A" w:rsidRPr="00E5701A" w14:paraId="72DECF64" w14:textId="77777777" w:rsidTr="00E5701A">
        <w:trPr>
          <w:trHeight w:val="380"/>
        </w:trPr>
        <w:tc>
          <w:tcPr>
            <w:tcW w:w="4729" w:type="dxa"/>
            <w:tcBorders>
              <w:top w:val="single" w:sz="6" w:space="0" w:color="D8D8D8"/>
              <w:left w:val="single" w:sz="6" w:space="0" w:color="D8D8D8"/>
              <w:bottom w:val="single" w:sz="6" w:space="0" w:color="D8D8D8"/>
              <w:right w:val="single" w:sz="6" w:space="0" w:color="D8D8D8"/>
            </w:tcBorders>
            <w:hideMark/>
          </w:tcPr>
          <w:p w14:paraId="7FE8DC05"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b/>
                <w:bCs/>
                <w:sz w:val="18"/>
                <w:szCs w:val="20"/>
                <w:bdr w:val="none" w:sz="0" w:space="0" w:color="auto" w:frame="1"/>
              </w:rPr>
              <w:t>Disease</w:t>
            </w:r>
          </w:p>
        </w:tc>
        <w:tc>
          <w:tcPr>
            <w:tcW w:w="7646" w:type="dxa"/>
            <w:tcBorders>
              <w:top w:val="single" w:sz="6" w:space="0" w:color="D8D8D8"/>
              <w:left w:val="single" w:sz="6" w:space="0" w:color="D8D8D8"/>
              <w:bottom w:val="single" w:sz="6" w:space="0" w:color="D8D8D8"/>
              <w:right w:val="single" w:sz="6" w:space="0" w:color="D8D8D8"/>
            </w:tcBorders>
            <w:hideMark/>
          </w:tcPr>
          <w:p w14:paraId="234D9877"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b/>
                <w:bCs/>
                <w:sz w:val="18"/>
                <w:szCs w:val="20"/>
                <w:bdr w:val="none" w:sz="0" w:space="0" w:color="auto" w:frame="1"/>
              </w:rPr>
              <w:t>Symptoms</w:t>
            </w:r>
          </w:p>
        </w:tc>
      </w:tr>
      <w:tr w:rsidR="00E5701A" w:rsidRPr="00E5701A" w14:paraId="72B68E9E" w14:textId="77777777" w:rsidTr="00E5701A">
        <w:trPr>
          <w:trHeight w:val="380"/>
        </w:trPr>
        <w:tc>
          <w:tcPr>
            <w:tcW w:w="0" w:type="auto"/>
            <w:tcBorders>
              <w:top w:val="single" w:sz="6" w:space="0" w:color="D8D8D8"/>
              <w:left w:val="single" w:sz="6" w:space="0" w:color="D8D8D8"/>
              <w:bottom w:val="single" w:sz="6" w:space="0" w:color="D8D8D8"/>
              <w:right w:val="single" w:sz="6" w:space="0" w:color="D8D8D8"/>
            </w:tcBorders>
            <w:hideMark/>
          </w:tcPr>
          <w:p w14:paraId="68C71813"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Angle</w:t>
            </w:r>
            <w:r w:rsidRPr="00E5701A">
              <w:rPr>
                <w:rFonts w:ascii="inherit" w:eastAsia="Times New Roman" w:hAnsi="inherit" w:cs="Times New Roman"/>
                <w:sz w:val="18"/>
                <w:szCs w:val="20"/>
              </w:rPr>
              <w:noBreakHyphen/>
              <w:t>closure glaucoma</w:t>
            </w:r>
          </w:p>
        </w:tc>
        <w:tc>
          <w:tcPr>
            <w:tcW w:w="0" w:type="auto"/>
            <w:tcBorders>
              <w:top w:val="single" w:sz="6" w:space="0" w:color="D8D8D8"/>
              <w:left w:val="single" w:sz="6" w:space="0" w:color="D8D8D8"/>
              <w:bottom w:val="single" w:sz="6" w:space="0" w:color="D8D8D8"/>
              <w:right w:val="single" w:sz="6" w:space="0" w:color="D8D8D8"/>
            </w:tcBorders>
            <w:hideMark/>
          </w:tcPr>
          <w:p w14:paraId="38F38EB5"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Ocular pain, haloes around lights, nausea and vomiting</w:t>
            </w:r>
          </w:p>
        </w:tc>
      </w:tr>
      <w:tr w:rsidR="00E5701A" w:rsidRPr="00E5701A" w14:paraId="035796CF" w14:textId="77777777" w:rsidTr="00E5701A">
        <w:trPr>
          <w:trHeight w:val="380"/>
        </w:trPr>
        <w:tc>
          <w:tcPr>
            <w:tcW w:w="0" w:type="auto"/>
            <w:tcBorders>
              <w:top w:val="single" w:sz="6" w:space="0" w:color="D8D8D8"/>
              <w:left w:val="single" w:sz="6" w:space="0" w:color="D8D8D8"/>
              <w:bottom w:val="single" w:sz="6" w:space="0" w:color="D8D8D8"/>
              <w:right w:val="single" w:sz="6" w:space="0" w:color="D8D8D8"/>
            </w:tcBorders>
            <w:hideMark/>
          </w:tcPr>
          <w:p w14:paraId="608A2D92"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Corneal disease</w:t>
            </w:r>
          </w:p>
        </w:tc>
        <w:tc>
          <w:tcPr>
            <w:tcW w:w="0" w:type="auto"/>
            <w:tcBorders>
              <w:top w:val="single" w:sz="6" w:space="0" w:color="D8D8D8"/>
              <w:left w:val="single" w:sz="6" w:space="0" w:color="D8D8D8"/>
              <w:bottom w:val="single" w:sz="6" w:space="0" w:color="D8D8D8"/>
              <w:right w:val="single" w:sz="6" w:space="0" w:color="D8D8D8"/>
            </w:tcBorders>
            <w:hideMark/>
          </w:tcPr>
          <w:p w14:paraId="300322B7"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Photophobia, grittiness, ocular pain, blurred vision</w:t>
            </w:r>
          </w:p>
        </w:tc>
      </w:tr>
      <w:tr w:rsidR="00E5701A" w:rsidRPr="00E5701A" w14:paraId="34DDA374" w14:textId="77777777" w:rsidTr="00E5701A">
        <w:trPr>
          <w:trHeight w:val="380"/>
        </w:trPr>
        <w:tc>
          <w:tcPr>
            <w:tcW w:w="0" w:type="auto"/>
            <w:tcBorders>
              <w:top w:val="single" w:sz="6" w:space="0" w:color="D8D8D8"/>
              <w:left w:val="single" w:sz="6" w:space="0" w:color="D8D8D8"/>
              <w:bottom w:val="single" w:sz="6" w:space="0" w:color="D8D8D8"/>
              <w:right w:val="single" w:sz="6" w:space="0" w:color="D8D8D8"/>
            </w:tcBorders>
            <w:hideMark/>
          </w:tcPr>
          <w:p w14:paraId="52412BE2"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Ocular inflammation (uveitis, scleritis)</w:t>
            </w:r>
          </w:p>
        </w:tc>
        <w:tc>
          <w:tcPr>
            <w:tcW w:w="0" w:type="auto"/>
            <w:tcBorders>
              <w:top w:val="single" w:sz="6" w:space="0" w:color="D8D8D8"/>
              <w:left w:val="single" w:sz="6" w:space="0" w:color="D8D8D8"/>
              <w:bottom w:val="single" w:sz="6" w:space="0" w:color="D8D8D8"/>
              <w:right w:val="single" w:sz="6" w:space="0" w:color="D8D8D8"/>
            </w:tcBorders>
            <w:hideMark/>
          </w:tcPr>
          <w:p w14:paraId="293D6F25"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Photophobia, blurred vision, ocular pain, floaters</w:t>
            </w:r>
          </w:p>
        </w:tc>
      </w:tr>
      <w:tr w:rsidR="00E5701A" w:rsidRPr="00E5701A" w14:paraId="44F2FCA3" w14:textId="77777777" w:rsidTr="00E5701A">
        <w:trPr>
          <w:trHeight w:val="380"/>
        </w:trPr>
        <w:tc>
          <w:tcPr>
            <w:tcW w:w="0" w:type="auto"/>
            <w:tcBorders>
              <w:top w:val="single" w:sz="6" w:space="0" w:color="D8D8D8"/>
              <w:left w:val="single" w:sz="6" w:space="0" w:color="D8D8D8"/>
              <w:bottom w:val="single" w:sz="6" w:space="0" w:color="D8D8D8"/>
              <w:right w:val="single" w:sz="6" w:space="0" w:color="D8D8D8"/>
            </w:tcBorders>
            <w:hideMark/>
          </w:tcPr>
          <w:p w14:paraId="35D457C8"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Cataract</w:t>
            </w:r>
          </w:p>
        </w:tc>
        <w:tc>
          <w:tcPr>
            <w:tcW w:w="0" w:type="auto"/>
            <w:tcBorders>
              <w:top w:val="single" w:sz="6" w:space="0" w:color="D8D8D8"/>
              <w:left w:val="single" w:sz="6" w:space="0" w:color="D8D8D8"/>
              <w:bottom w:val="single" w:sz="6" w:space="0" w:color="D8D8D8"/>
              <w:right w:val="single" w:sz="6" w:space="0" w:color="D8D8D8"/>
            </w:tcBorders>
            <w:hideMark/>
          </w:tcPr>
          <w:p w14:paraId="2E3867CD"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Constant clouded, blurred and dim vision, glare (for example when driving)</w:t>
            </w:r>
          </w:p>
        </w:tc>
      </w:tr>
      <w:tr w:rsidR="00E5701A" w:rsidRPr="00E5701A" w14:paraId="7013DC56" w14:textId="77777777" w:rsidTr="00E5701A">
        <w:trPr>
          <w:trHeight w:val="380"/>
        </w:trPr>
        <w:tc>
          <w:tcPr>
            <w:tcW w:w="0" w:type="auto"/>
            <w:tcBorders>
              <w:top w:val="single" w:sz="6" w:space="0" w:color="D8D8D8"/>
              <w:left w:val="single" w:sz="6" w:space="0" w:color="D8D8D8"/>
              <w:bottom w:val="single" w:sz="6" w:space="0" w:color="D8D8D8"/>
              <w:right w:val="single" w:sz="6" w:space="0" w:color="D8D8D8"/>
            </w:tcBorders>
            <w:hideMark/>
          </w:tcPr>
          <w:p w14:paraId="38D2D8E6"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Macular disease</w:t>
            </w:r>
          </w:p>
        </w:tc>
        <w:tc>
          <w:tcPr>
            <w:tcW w:w="0" w:type="auto"/>
            <w:tcBorders>
              <w:top w:val="single" w:sz="6" w:space="0" w:color="D8D8D8"/>
              <w:left w:val="single" w:sz="6" w:space="0" w:color="D8D8D8"/>
              <w:bottom w:val="single" w:sz="6" w:space="0" w:color="D8D8D8"/>
              <w:right w:val="single" w:sz="6" w:space="0" w:color="D8D8D8"/>
            </w:tcBorders>
            <w:hideMark/>
          </w:tcPr>
          <w:p w14:paraId="0BD7C7AD"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Distortion, central scotoma, blurred vision, difficulty reading</w:t>
            </w:r>
          </w:p>
        </w:tc>
      </w:tr>
      <w:tr w:rsidR="00E5701A" w:rsidRPr="00E5701A" w14:paraId="5C39C368" w14:textId="77777777" w:rsidTr="00E5701A">
        <w:trPr>
          <w:trHeight w:val="380"/>
        </w:trPr>
        <w:tc>
          <w:tcPr>
            <w:tcW w:w="0" w:type="auto"/>
            <w:tcBorders>
              <w:top w:val="single" w:sz="6" w:space="0" w:color="D8D8D8"/>
              <w:left w:val="single" w:sz="6" w:space="0" w:color="D8D8D8"/>
              <w:bottom w:val="single" w:sz="6" w:space="0" w:color="D8D8D8"/>
              <w:right w:val="single" w:sz="6" w:space="0" w:color="D8D8D8"/>
            </w:tcBorders>
            <w:hideMark/>
          </w:tcPr>
          <w:p w14:paraId="44F8BAB0"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Optic neuropathy</w:t>
            </w:r>
          </w:p>
        </w:tc>
        <w:tc>
          <w:tcPr>
            <w:tcW w:w="0" w:type="auto"/>
            <w:tcBorders>
              <w:top w:val="single" w:sz="6" w:space="0" w:color="D8D8D8"/>
              <w:left w:val="single" w:sz="6" w:space="0" w:color="D8D8D8"/>
              <w:bottom w:val="single" w:sz="6" w:space="0" w:color="D8D8D8"/>
              <w:right w:val="single" w:sz="6" w:space="0" w:color="D8D8D8"/>
            </w:tcBorders>
            <w:hideMark/>
          </w:tcPr>
          <w:p w14:paraId="151EDE10" w14:textId="77777777" w:rsidR="00E5701A" w:rsidRPr="00E5701A" w:rsidRDefault="00E5701A" w:rsidP="00E5701A">
            <w:pPr>
              <w:rPr>
                <w:rFonts w:ascii="inherit" w:eastAsia="Times New Roman" w:hAnsi="inherit" w:cs="Times New Roman"/>
                <w:sz w:val="18"/>
                <w:szCs w:val="20"/>
              </w:rPr>
            </w:pPr>
            <w:r w:rsidRPr="00E5701A">
              <w:rPr>
                <w:rFonts w:ascii="inherit" w:eastAsia="Times New Roman" w:hAnsi="inherit" w:cs="Times New Roman"/>
                <w:sz w:val="18"/>
                <w:szCs w:val="20"/>
              </w:rPr>
              <w:t>Impaired colour vision, red desaturation, blurred vision, field defect</w:t>
            </w:r>
          </w:p>
        </w:tc>
      </w:tr>
    </w:tbl>
    <w:p w14:paraId="2F0A6471" w14:textId="77777777" w:rsidR="00E5701A" w:rsidRPr="00E5701A" w:rsidRDefault="00E5701A" w:rsidP="00E5701A">
      <w:pPr>
        <w:shd w:val="clear" w:color="auto" w:fill="F5F5F5"/>
        <w:spacing w:beforeAutospacing="1" w:after="100" w:afterAutospacing="1"/>
        <w:outlineLvl w:val="1"/>
        <w:rPr>
          <w:rFonts w:ascii="inherit" w:eastAsia="Times New Roman" w:hAnsi="inherit" w:cs="Times New Roman"/>
          <w:b/>
          <w:bCs/>
          <w:color w:val="D3093F"/>
          <w:szCs w:val="22"/>
        </w:rPr>
      </w:pPr>
      <w:r w:rsidRPr="00E5701A">
        <w:rPr>
          <w:rFonts w:ascii="inherit" w:eastAsia="Times New Roman" w:hAnsi="inherit" w:cs="Times New Roman"/>
          <w:b/>
          <w:bCs/>
          <w:color w:val="D3093F"/>
          <w:szCs w:val="22"/>
        </w:rPr>
        <w:lastRenderedPageBreak/>
        <w:t>Fig. - Examples of drugs affecting different parts of the eye</w:t>
      </w:r>
    </w:p>
    <w:p w14:paraId="3CBC1FF6" w14:textId="31FF485A" w:rsidR="00E5701A" w:rsidRPr="00E5701A" w:rsidRDefault="00E5701A" w:rsidP="00E5701A">
      <w:pPr>
        <w:shd w:val="clear" w:color="auto" w:fill="F5F5F5"/>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lastRenderedPageBreak/>
        <w:fldChar w:fldCharType="begin"/>
      </w:r>
      <w:r w:rsidRPr="00E5701A">
        <w:rPr>
          <w:rFonts w:ascii="inherit" w:eastAsia="Times New Roman" w:hAnsi="inherit" w:cs="Times New Roman"/>
          <w:color w:val="333333"/>
          <w:sz w:val="18"/>
          <w:szCs w:val="20"/>
        </w:rPr>
        <w:instrText xml:space="preserve"> INCLUDEPICTURE "https://www.nps.org.au/assets/AP/images/Fig_p129-Ahmad-Mehta-6.png" \* MERGEFORMATINET </w:instrText>
      </w:r>
      <w:r w:rsidRPr="00E5701A">
        <w:rPr>
          <w:rFonts w:ascii="inherit" w:eastAsia="Times New Roman" w:hAnsi="inherit" w:cs="Times New Roman"/>
          <w:color w:val="333333"/>
          <w:sz w:val="18"/>
          <w:szCs w:val="20"/>
        </w:rPr>
        <w:fldChar w:fldCharType="separate"/>
      </w:r>
      <w:r w:rsidRPr="00E5701A">
        <w:rPr>
          <w:rFonts w:ascii="inherit" w:eastAsia="Times New Roman" w:hAnsi="inherit" w:cs="Times New Roman"/>
          <w:noProof/>
          <w:color w:val="333333"/>
          <w:sz w:val="18"/>
          <w:szCs w:val="20"/>
        </w:rPr>
        <w:drawing>
          <wp:inline distT="0" distB="0" distL="0" distR="0" wp14:anchorId="1A75AFB6" wp14:editId="4FE22702">
            <wp:extent cx="5641340" cy="8229600"/>
            <wp:effectExtent l="0" t="0" r="0" b="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41340" cy="8229600"/>
                    </a:xfrm>
                    <a:prstGeom prst="rect">
                      <a:avLst/>
                    </a:prstGeom>
                    <a:noFill/>
                    <a:ln>
                      <a:noFill/>
                    </a:ln>
                  </pic:spPr>
                </pic:pic>
              </a:graphicData>
            </a:graphic>
          </wp:inline>
        </w:drawing>
      </w:r>
      <w:r w:rsidRPr="00E5701A">
        <w:rPr>
          <w:rFonts w:ascii="inherit" w:eastAsia="Times New Roman" w:hAnsi="inherit" w:cs="Times New Roman"/>
          <w:color w:val="333333"/>
          <w:sz w:val="18"/>
          <w:szCs w:val="20"/>
        </w:rPr>
        <w:fldChar w:fldCharType="end"/>
      </w:r>
    </w:p>
    <w:p w14:paraId="18230333" w14:textId="77777777" w:rsidR="00E5701A" w:rsidRPr="00E5701A" w:rsidRDefault="00E5701A" w:rsidP="00E5701A">
      <w:pPr>
        <w:spacing w:beforeAutospacing="1" w:after="100" w:afterAutospacing="1"/>
        <w:outlineLvl w:val="1"/>
        <w:rPr>
          <w:rFonts w:ascii="inherit" w:eastAsia="Times New Roman" w:hAnsi="inherit" w:cs="Times New Roman"/>
          <w:b/>
          <w:bCs/>
          <w:color w:val="333333"/>
          <w:spacing w:val="-9"/>
          <w:sz w:val="36"/>
          <w:szCs w:val="32"/>
        </w:rPr>
      </w:pPr>
      <w:r w:rsidRPr="00E5701A">
        <w:rPr>
          <w:rFonts w:ascii="inherit" w:eastAsia="Times New Roman" w:hAnsi="inherit" w:cs="Times New Roman"/>
          <w:b/>
          <w:bCs/>
          <w:color w:val="333333"/>
          <w:spacing w:val="-9"/>
          <w:sz w:val="36"/>
          <w:szCs w:val="32"/>
        </w:rPr>
        <w:lastRenderedPageBreak/>
        <w:t>Anterior chamber and cornea </w:t>
      </w:r>
    </w:p>
    <w:p w14:paraId="123E8569"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Anticholinergic drugs cause the relaxation of the ciliary muscle, leading to temporary blurred vision.</w:t>
      </w:r>
      <w:hyperlink r:id="rId69" w:anchor="r7" w:history="1">
        <w:r w:rsidRPr="00E5701A">
          <w:rPr>
            <w:rFonts w:ascii="inherit" w:eastAsia="Times New Roman" w:hAnsi="inherit" w:cs="Times New Roman"/>
            <w:color w:val="D3093F"/>
            <w:sz w:val="14"/>
            <w:szCs w:val="13"/>
            <w:u w:val="single"/>
            <w:bdr w:val="none" w:sz="0" w:space="0" w:color="auto" w:frame="1"/>
            <w:vertAlign w:val="superscript"/>
          </w:rPr>
          <w:t>7</w:t>
        </w:r>
      </w:hyperlink>
      <w:r w:rsidRPr="00E5701A">
        <w:rPr>
          <w:rFonts w:ascii="inherit" w:eastAsia="Times New Roman" w:hAnsi="inherit" w:cs="Times New Roman"/>
          <w:color w:val="333333"/>
          <w:sz w:val="18"/>
          <w:szCs w:val="20"/>
        </w:rPr>
        <w:t> They can contribute to dry</w:t>
      </w:r>
      <w:r w:rsidRPr="00E5701A">
        <w:rPr>
          <w:rFonts w:ascii="inherit" w:eastAsia="Times New Roman" w:hAnsi="inherit" w:cs="Times New Roman"/>
          <w:color w:val="333333"/>
          <w:sz w:val="18"/>
          <w:szCs w:val="20"/>
        </w:rPr>
        <w:noBreakHyphen/>
        <w:t>eye symptoms by suppressing normal parasympathetic activity. Anticholinergic drugs can also cause the severe adverse effect of angle</w:t>
      </w:r>
      <w:r w:rsidRPr="00E5701A">
        <w:rPr>
          <w:rFonts w:ascii="inherit" w:eastAsia="Times New Roman" w:hAnsi="inherit" w:cs="Times New Roman"/>
          <w:color w:val="333333"/>
          <w:sz w:val="18"/>
          <w:szCs w:val="20"/>
        </w:rPr>
        <w:noBreakHyphen/>
        <w:t>closure glaucoma.</w:t>
      </w:r>
      <w:hyperlink r:id="rId70" w:anchor="r7" w:history="1">
        <w:r w:rsidRPr="00E5701A">
          <w:rPr>
            <w:rFonts w:ascii="inherit" w:eastAsia="Times New Roman" w:hAnsi="inherit" w:cs="Times New Roman"/>
            <w:color w:val="D3093F"/>
            <w:sz w:val="14"/>
            <w:szCs w:val="13"/>
            <w:u w:val="single"/>
            <w:bdr w:val="none" w:sz="0" w:space="0" w:color="auto" w:frame="1"/>
            <w:vertAlign w:val="superscript"/>
          </w:rPr>
          <w:t>7</w:t>
        </w:r>
      </w:hyperlink>
      <w:r w:rsidRPr="00E5701A">
        <w:rPr>
          <w:rFonts w:ascii="inherit" w:eastAsia="Times New Roman" w:hAnsi="inherit" w:cs="Times New Roman"/>
          <w:color w:val="333333"/>
          <w:sz w:val="18"/>
          <w:szCs w:val="20"/>
        </w:rPr>
        <w:t> This usually occurs in long</w:t>
      </w:r>
      <w:r w:rsidRPr="00E5701A">
        <w:rPr>
          <w:rFonts w:ascii="inherit" w:eastAsia="Times New Roman" w:hAnsi="inherit" w:cs="Times New Roman"/>
          <w:color w:val="333333"/>
          <w:sz w:val="18"/>
          <w:szCs w:val="20"/>
        </w:rPr>
        <w:noBreakHyphen/>
        <w:t>sighted patients with narrow drainage angles. Angle closure is highly unlikely in patients who have had cataract surgery because removing the lens deepens the anterior chamber.</w:t>
      </w:r>
    </w:p>
    <w:p w14:paraId="0390C45F"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Bisphosphonates can cause inflammation leading to conjunctivitis, episcleritis, scleritis, keratitis and uveitis. The exact mechanism of this ocular inflammation is not yet known.</w:t>
      </w:r>
      <w:hyperlink r:id="rId71" w:anchor="r14" w:history="1">
        <w:r w:rsidRPr="00E5701A">
          <w:rPr>
            <w:rFonts w:ascii="inherit" w:eastAsia="Times New Roman" w:hAnsi="inherit" w:cs="Times New Roman"/>
            <w:color w:val="D3093F"/>
            <w:sz w:val="14"/>
            <w:szCs w:val="13"/>
            <w:u w:val="single"/>
            <w:bdr w:val="none" w:sz="0" w:space="0" w:color="auto" w:frame="1"/>
            <w:vertAlign w:val="superscript"/>
          </w:rPr>
          <w:t>14</w:t>
        </w:r>
      </w:hyperlink>
      <w:r w:rsidRPr="00E5701A">
        <w:rPr>
          <w:rFonts w:ascii="inherit" w:eastAsia="Times New Roman" w:hAnsi="inherit" w:cs="Times New Roman"/>
          <w:color w:val="333333"/>
          <w:sz w:val="18"/>
          <w:szCs w:val="20"/>
        </w:rPr>
        <w:t> Symptoms usually emerge more slowly (usually 6–8 weeks) with oral versus intravenous dosing. Unilateral and bilateral ocular presentations have been reported.</w:t>
      </w:r>
      <w:hyperlink r:id="rId72" w:anchor="r14" w:history="1">
        <w:r w:rsidRPr="00E5701A">
          <w:rPr>
            <w:rFonts w:ascii="inherit" w:eastAsia="Times New Roman" w:hAnsi="inherit" w:cs="Times New Roman"/>
            <w:color w:val="D3093F"/>
            <w:sz w:val="14"/>
            <w:szCs w:val="13"/>
            <w:u w:val="single"/>
            <w:bdr w:val="none" w:sz="0" w:space="0" w:color="auto" w:frame="1"/>
            <w:vertAlign w:val="superscript"/>
          </w:rPr>
          <w:t>14</w:t>
        </w:r>
      </w:hyperlink>
      <w:r w:rsidRPr="00E5701A">
        <w:rPr>
          <w:rFonts w:ascii="inherit" w:eastAsia="Times New Roman" w:hAnsi="inherit" w:cs="Times New Roman"/>
          <w:color w:val="333333"/>
          <w:sz w:val="18"/>
          <w:szCs w:val="20"/>
        </w:rPr>
        <w:t> Bisphosphonates may also cause corneal or scleral melting which requires urgent ophthalmology referral.</w:t>
      </w:r>
    </w:p>
    <w:p w14:paraId="63CA1EF7"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Amiodarone, and other drugs such as hydroxychloroquine, can deposit on the basal epithelial layer of the cornea causing the formation of whirl</w:t>
      </w:r>
      <w:r w:rsidRPr="00E5701A">
        <w:rPr>
          <w:rFonts w:ascii="inherit" w:eastAsia="Times New Roman" w:hAnsi="inherit" w:cs="Times New Roman"/>
          <w:color w:val="333333"/>
          <w:sz w:val="18"/>
          <w:szCs w:val="20"/>
        </w:rPr>
        <w:noBreakHyphen/>
        <w:t>like corneal microdeposits called vortex keratopathy.</w:t>
      </w:r>
      <w:hyperlink r:id="rId73" w:anchor="r3" w:history="1">
        <w:r w:rsidRPr="00E5701A">
          <w:rPr>
            <w:rFonts w:ascii="inherit" w:eastAsia="Times New Roman" w:hAnsi="inherit" w:cs="Times New Roman"/>
            <w:color w:val="D3093F"/>
            <w:sz w:val="14"/>
            <w:szCs w:val="13"/>
            <w:u w:val="single"/>
            <w:bdr w:val="none" w:sz="0" w:space="0" w:color="auto" w:frame="1"/>
            <w:vertAlign w:val="superscript"/>
          </w:rPr>
          <w:t>3</w:t>
        </w:r>
      </w:hyperlink>
      <w:r w:rsidRPr="00E5701A">
        <w:rPr>
          <w:rFonts w:ascii="inherit" w:eastAsia="Times New Roman" w:hAnsi="inherit" w:cs="Times New Roman"/>
          <w:color w:val="333333"/>
          <w:sz w:val="18"/>
          <w:szCs w:val="20"/>
        </w:rPr>
        <w:t> This is usually asymptomatic and does not require stopping the treatment. However, advanced corneal deposits can cause visual symptoms, hence patients should be referred for an ophthalmic review if the keratopathy affects their vision.</w:t>
      </w:r>
    </w:p>
    <w:p w14:paraId="5C12DB3F"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Phenothiazines can cause the development of corneal epithelial changes that can eventually result in corneal oedema. The changes of corneal oedema can become permanent if the drug is not stopped promptly.</w:t>
      </w:r>
      <w:hyperlink r:id="rId74" w:anchor="r25" w:history="1">
        <w:r w:rsidRPr="00E5701A">
          <w:rPr>
            <w:rFonts w:ascii="inherit" w:eastAsia="Times New Roman" w:hAnsi="inherit" w:cs="Times New Roman"/>
            <w:color w:val="D3093F"/>
            <w:sz w:val="14"/>
            <w:szCs w:val="13"/>
            <w:u w:val="single"/>
            <w:bdr w:val="none" w:sz="0" w:space="0" w:color="auto" w:frame="1"/>
            <w:vertAlign w:val="superscript"/>
          </w:rPr>
          <w:t>25</w:t>
        </w:r>
      </w:hyperlink>
    </w:p>
    <w:p w14:paraId="5A71E0D8"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The long</w:t>
      </w:r>
      <w:r w:rsidRPr="00E5701A">
        <w:rPr>
          <w:rFonts w:ascii="inherit" w:eastAsia="Times New Roman" w:hAnsi="inherit" w:cs="Times New Roman"/>
          <w:color w:val="333333"/>
          <w:sz w:val="18"/>
          <w:szCs w:val="20"/>
        </w:rPr>
        <w:noBreakHyphen/>
        <w:t>term use of corticosteroids via any route of administration may increase intraocular pressure by interfering with the outflow from the trabecular meshwork. This is a significant risk factor for the development of glaucoma.</w:t>
      </w:r>
      <w:hyperlink r:id="rId75" w:anchor="r19" w:history="1">
        <w:r w:rsidRPr="00E5701A">
          <w:rPr>
            <w:rFonts w:ascii="inherit" w:eastAsia="Times New Roman" w:hAnsi="inherit" w:cs="Times New Roman"/>
            <w:color w:val="D3093F"/>
            <w:sz w:val="14"/>
            <w:szCs w:val="13"/>
            <w:u w:val="single"/>
            <w:bdr w:val="none" w:sz="0" w:space="0" w:color="auto" w:frame="1"/>
            <w:vertAlign w:val="superscript"/>
          </w:rPr>
          <w:t>19</w:t>
        </w:r>
      </w:hyperlink>
    </w:p>
    <w:p w14:paraId="5DCB99F4" w14:textId="77777777" w:rsidR="00E5701A" w:rsidRPr="00E5701A" w:rsidRDefault="00E5701A" w:rsidP="00E5701A">
      <w:pPr>
        <w:spacing w:before="100" w:beforeAutospacing="1" w:after="100" w:afterAutospacing="1"/>
        <w:outlineLvl w:val="1"/>
        <w:rPr>
          <w:rFonts w:ascii="inherit" w:eastAsia="Times New Roman" w:hAnsi="inherit" w:cs="Times New Roman"/>
          <w:b/>
          <w:bCs/>
          <w:color w:val="333333"/>
          <w:spacing w:val="-9"/>
          <w:sz w:val="36"/>
          <w:szCs w:val="32"/>
        </w:rPr>
      </w:pPr>
      <w:r w:rsidRPr="00E5701A">
        <w:rPr>
          <w:rFonts w:ascii="inherit" w:eastAsia="Times New Roman" w:hAnsi="inherit" w:cs="Times New Roman"/>
          <w:b/>
          <w:bCs/>
          <w:color w:val="333333"/>
          <w:spacing w:val="-9"/>
          <w:sz w:val="36"/>
          <w:szCs w:val="32"/>
        </w:rPr>
        <w:t>Iris and lens</w:t>
      </w:r>
    </w:p>
    <w:p w14:paraId="66DE1D86"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Corticosteroids can accelerate cataract progression. Classically, they cause posterior subcapsular cataracts which develop more rapidly than typical age</w:t>
      </w:r>
      <w:r w:rsidRPr="00E5701A">
        <w:rPr>
          <w:rFonts w:ascii="inherit" w:eastAsia="Times New Roman" w:hAnsi="inherit" w:cs="Times New Roman"/>
          <w:color w:val="333333"/>
          <w:sz w:val="18"/>
          <w:szCs w:val="20"/>
        </w:rPr>
        <w:noBreakHyphen/>
        <w:t>related nuclear sclerotic cataracts.</w:t>
      </w:r>
      <w:hyperlink r:id="rId76" w:anchor="r19" w:history="1">
        <w:r w:rsidRPr="00E5701A">
          <w:rPr>
            <w:rFonts w:ascii="inherit" w:eastAsia="Times New Roman" w:hAnsi="inherit" w:cs="Times New Roman"/>
            <w:color w:val="D3093F"/>
            <w:sz w:val="14"/>
            <w:szCs w:val="13"/>
            <w:u w:val="single"/>
            <w:bdr w:val="none" w:sz="0" w:space="0" w:color="auto" w:frame="1"/>
            <w:vertAlign w:val="superscript"/>
          </w:rPr>
          <w:t>19</w:t>
        </w:r>
      </w:hyperlink>
      <w:r w:rsidRPr="00E5701A">
        <w:rPr>
          <w:rFonts w:ascii="inherit" w:eastAsia="Times New Roman" w:hAnsi="inherit" w:cs="Times New Roman"/>
          <w:color w:val="333333"/>
          <w:sz w:val="18"/>
          <w:szCs w:val="20"/>
        </w:rPr>
        <w:t> This may relate to corticosteroid</w:t>
      </w:r>
      <w:r w:rsidRPr="00E5701A">
        <w:rPr>
          <w:rFonts w:ascii="inherit" w:eastAsia="Times New Roman" w:hAnsi="inherit" w:cs="Times New Roman"/>
          <w:color w:val="333333"/>
          <w:sz w:val="18"/>
          <w:szCs w:val="20"/>
        </w:rPr>
        <w:noBreakHyphen/>
        <w:t>induced changes to gene transcription in the epithelial cells of the lens.</w:t>
      </w:r>
      <w:hyperlink r:id="rId77" w:anchor="r19" w:history="1">
        <w:r w:rsidRPr="00E5701A">
          <w:rPr>
            <w:rFonts w:ascii="inherit" w:eastAsia="Times New Roman" w:hAnsi="inherit" w:cs="Times New Roman"/>
            <w:color w:val="D3093F"/>
            <w:sz w:val="14"/>
            <w:szCs w:val="13"/>
            <w:u w:val="single"/>
            <w:bdr w:val="none" w:sz="0" w:space="0" w:color="auto" w:frame="1"/>
            <w:vertAlign w:val="superscript"/>
          </w:rPr>
          <w:t>19</w:t>
        </w:r>
      </w:hyperlink>
      <w:r w:rsidRPr="00E5701A">
        <w:rPr>
          <w:rFonts w:ascii="inherit" w:eastAsia="Times New Roman" w:hAnsi="inherit" w:cs="Times New Roman"/>
          <w:color w:val="333333"/>
          <w:sz w:val="18"/>
          <w:szCs w:val="20"/>
        </w:rPr>
        <w:t> The long</w:t>
      </w:r>
      <w:r w:rsidRPr="00E5701A">
        <w:rPr>
          <w:rFonts w:ascii="inherit" w:eastAsia="Times New Roman" w:hAnsi="inherit" w:cs="Times New Roman"/>
          <w:color w:val="333333"/>
          <w:sz w:val="18"/>
          <w:szCs w:val="20"/>
        </w:rPr>
        <w:noBreakHyphen/>
        <w:t>term use of allopurinol has also been linked to cataract formation.</w:t>
      </w:r>
      <w:hyperlink r:id="rId78" w:anchor="r5" w:history="1">
        <w:r w:rsidRPr="00E5701A">
          <w:rPr>
            <w:rFonts w:ascii="inherit" w:eastAsia="Times New Roman" w:hAnsi="inherit" w:cs="Times New Roman"/>
            <w:color w:val="D3093F"/>
            <w:sz w:val="14"/>
            <w:szCs w:val="13"/>
            <w:u w:val="single"/>
            <w:bdr w:val="none" w:sz="0" w:space="0" w:color="auto" w:frame="1"/>
            <w:vertAlign w:val="superscript"/>
          </w:rPr>
          <w:t>5</w:t>
        </w:r>
      </w:hyperlink>
    </w:p>
    <w:p w14:paraId="721F8F7E"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The use of alpha</w:t>
      </w:r>
      <w:r w:rsidRPr="00E5701A">
        <w:rPr>
          <w:rFonts w:ascii="inherit" w:eastAsia="Times New Roman" w:hAnsi="inherit" w:cs="Times New Roman"/>
          <w:color w:val="333333"/>
          <w:sz w:val="14"/>
          <w:szCs w:val="13"/>
          <w:bdr w:val="none" w:sz="0" w:space="0" w:color="auto" w:frame="1"/>
          <w:vertAlign w:val="subscript"/>
        </w:rPr>
        <w:t>1</w:t>
      </w:r>
      <w:r w:rsidRPr="00E5701A">
        <w:rPr>
          <w:rFonts w:ascii="inherit" w:eastAsia="Times New Roman" w:hAnsi="inherit" w:cs="Times New Roman"/>
          <w:color w:val="333333"/>
          <w:sz w:val="18"/>
          <w:szCs w:val="20"/>
        </w:rPr>
        <w:t> adrenergic receptor antagonists, such as tamsulosin, may lead to the iris becoming mobile during cataract surgery, a phenomenon called intraoperative floppy iris syndrome.</w:t>
      </w:r>
      <w:hyperlink r:id="rId79" w:anchor="r2" w:history="1">
        <w:r w:rsidRPr="00E5701A">
          <w:rPr>
            <w:rFonts w:ascii="inherit" w:eastAsia="Times New Roman" w:hAnsi="inherit" w:cs="Times New Roman"/>
            <w:color w:val="D3093F"/>
            <w:sz w:val="14"/>
            <w:szCs w:val="13"/>
            <w:u w:val="single"/>
            <w:bdr w:val="none" w:sz="0" w:space="0" w:color="auto" w:frame="1"/>
            <w:vertAlign w:val="superscript"/>
          </w:rPr>
          <w:t>2</w:t>
        </w:r>
      </w:hyperlink>
      <w:r w:rsidRPr="00E5701A">
        <w:rPr>
          <w:rFonts w:ascii="inherit" w:eastAsia="Times New Roman" w:hAnsi="inherit" w:cs="Times New Roman"/>
          <w:color w:val="333333"/>
          <w:sz w:val="18"/>
          <w:szCs w:val="20"/>
        </w:rPr>
        <w:t> The mechanism is probably related to the blockade of alpha</w:t>
      </w:r>
      <w:r w:rsidRPr="00E5701A">
        <w:rPr>
          <w:rFonts w:ascii="inherit" w:eastAsia="Times New Roman" w:hAnsi="inherit" w:cs="Times New Roman"/>
          <w:color w:val="333333"/>
          <w:sz w:val="14"/>
          <w:szCs w:val="13"/>
          <w:bdr w:val="none" w:sz="0" w:space="0" w:color="auto" w:frame="1"/>
          <w:vertAlign w:val="subscript"/>
        </w:rPr>
        <w:t>1</w:t>
      </w:r>
      <w:r w:rsidRPr="00E5701A">
        <w:rPr>
          <w:rFonts w:ascii="inherit" w:eastAsia="Times New Roman" w:hAnsi="inherit" w:cs="Times New Roman"/>
          <w:color w:val="333333"/>
          <w:sz w:val="18"/>
          <w:szCs w:val="20"/>
        </w:rPr>
        <w:t> adrenergic receptors within the dilator muscle of the iris. Floppy iris syndrome may increase the likelihood of iris or posterior capsule damage during intraocular surgery. Usually there is no need to stop the drug as stopping it does not necessarily prevent floppy iris syndrome. Instead, the ophthalmic surgeon should be informed so they can take appropriate precautions during cataract surgery.</w:t>
      </w:r>
    </w:p>
    <w:p w14:paraId="3FD0D19B" w14:textId="77777777" w:rsidR="00E5701A" w:rsidRPr="00E5701A" w:rsidRDefault="00E5701A" w:rsidP="00E5701A">
      <w:pPr>
        <w:spacing w:before="100" w:beforeAutospacing="1" w:after="100" w:afterAutospacing="1"/>
        <w:outlineLvl w:val="1"/>
        <w:rPr>
          <w:rFonts w:ascii="inherit" w:eastAsia="Times New Roman" w:hAnsi="inherit" w:cs="Times New Roman"/>
          <w:b/>
          <w:bCs/>
          <w:color w:val="333333"/>
          <w:spacing w:val="-9"/>
          <w:sz w:val="36"/>
          <w:szCs w:val="32"/>
        </w:rPr>
      </w:pPr>
      <w:r w:rsidRPr="00E5701A">
        <w:rPr>
          <w:rFonts w:ascii="inherit" w:eastAsia="Times New Roman" w:hAnsi="inherit" w:cs="Times New Roman"/>
          <w:b/>
          <w:bCs/>
          <w:color w:val="333333"/>
          <w:spacing w:val="-9"/>
          <w:sz w:val="36"/>
          <w:szCs w:val="32"/>
        </w:rPr>
        <w:t>Retina</w:t>
      </w:r>
    </w:p>
    <w:p w14:paraId="4905F276"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Chloroquine and hydroxychloroquine can cause degeneration of the retina and retinal pigment epithelium.</w:t>
      </w:r>
      <w:hyperlink r:id="rId80" w:anchor="r15" w:history="1">
        <w:r w:rsidRPr="00E5701A">
          <w:rPr>
            <w:rFonts w:ascii="inherit" w:eastAsia="Times New Roman" w:hAnsi="inherit" w:cs="Times New Roman"/>
            <w:color w:val="D3093F"/>
            <w:sz w:val="14"/>
            <w:szCs w:val="13"/>
            <w:u w:val="single"/>
            <w:bdr w:val="none" w:sz="0" w:space="0" w:color="auto" w:frame="1"/>
            <w:vertAlign w:val="superscript"/>
          </w:rPr>
          <w:t>15</w:t>
        </w:r>
        <w:r w:rsidRPr="00E5701A">
          <w:rPr>
            <w:rFonts w:ascii="inherit" w:eastAsia="Times New Roman" w:hAnsi="inherit" w:cs="Times New Roman"/>
            <w:color w:val="D3093F"/>
            <w:sz w:val="14"/>
            <w:szCs w:val="13"/>
            <w:u w:val="single"/>
            <w:bdr w:val="none" w:sz="0" w:space="0" w:color="auto" w:frame="1"/>
            <w:vertAlign w:val="superscript"/>
          </w:rPr>
          <w:noBreakHyphen/>
          <w:t>17</w:t>
        </w:r>
      </w:hyperlink>
      <w:r w:rsidRPr="00E5701A">
        <w:rPr>
          <w:rFonts w:ascii="inherit" w:eastAsia="Times New Roman" w:hAnsi="inherit" w:cs="Times New Roman"/>
          <w:color w:val="333333"/>
          <w:sz w:val="14"/>
          <w:szCs w:val="13"/>
          <w:bdr w:val="none" w:sz="0" w:space="0" w:color="auto" w:frame="1"/>
          <w:vertAlign w:val="superscript"/>
        </w:rPr>
        <w:t>,</w:t>
      </w:r>
      <w:hyperlink r:id="rId81" w:anchor="r36" w:history="1">
        <w:r w:rsidRPr="00E5701A">
          <w:rPr>
            <w:rFonts w:ascii="inherit" w:eastAsia="Times New Roman" w:hAnsi="inherit" w:cs="Times New Roman"/>
            <w:color w:val="D3093F"/>
            <w:sz w:val="14"/>
            <w:szCs w:val="13"/>
            <w:u w:val="single"/>
            <w:bdr w:val="none" w:sz="0" w:space="0" w:color="auto" w:frame="1"/>
            <w:vertAlign w:val="superscript"/>
          </w:rPr>
          <w:t>36</w:t>
        </w:r>
      </w:hyperlink>
      <w:r w:rsidRPr="00E5701A">
        <w:rPr>
          <w:rFonts w:ascii="inherit" w:eastAsia="Times New Roman" w:hAnsi="inherit" w:cs="Times New Roman"/>
          <w:color w:val="333333"/>
          <w:sz w:val="18"/>
          <w:szCs w:val="20"/>
        </w:rPr>
        <w:t> The risk of toxicity is increased with higher doses and a longer duration of treatment. Additional risk factors are renal or liver impairment or concomitant tamoxifen use. Toxicity can lead to reduced visual acuity, paracentral scotomas and bull’s eye (parafoveal) maculopathy. Retinopathy does not always develop in a bull’s eye pattern as a more peripheral paracentral pattern of damage can be observed in patients of Asian backgrounds. As a result, screening practices need to be adjusted to recognise both paracentral and parafoveal retinopathy. The damage may be irreversible. Ocular screening during treatment is therefore recommended (</w:t>
      </w:r>
      <w:hyperlink r:id="rId82" w:anchor="t1" w:history="1">
        <w:r w:rsidRPr="00E5701A">
          <w:rPr>
            <w:rFonts w:ascii="inherit" w:eastAsia="Times New Roman" w:hAnsi="inherit" w:cs="Times New Roman"/>
            <w:color w:val="D3093F"/>
            <w:sz w:val="18"/>
            <w:szCs w:val="20"/>
            <w:u w:val="single"/>
            <w:bdr w:val="none" w:sz="0" w:space="0" w:color="auto" w:frame="1"/>
          </w:rPr>
          <w:t>Table 1</w:t>
        </w:r>
      </w:hyperlink>
      <w:r w:rsidRPr="00E5701A">
        <w:rPr>
          <w:rFonts w:ascii="inherit" w:eastAsia="Times New Roman" w:hAnsi="inherit" w:cs="Times New Roman"/>
          <w:color w:val="333333"/>
          <w:sz w:val="18"/>
          <w:szCs w:val="20"/>
        </w:rPr>
        <w:t>).</w:t>
      </w:r>
      <w:hyperlink r:id="rId83" w:anchor="r15" w:history="1">
        <w:r w:rsidRPr="00E5701A">
          <w:rPr>
            <w:rFonts w:ascii="inherit" w:eastAsia="Times New Roman" w:hAnsi="inherit" w:cs="Times New Roman"/>
            <w:color w:val="D3093F"/>
            <w:sz w:val="14"/>
            <w:szCs w:val="13"/>
            <w:u w:val="single"/>
            <w:bdr w:val="none" w:sz="0" w:space="0" w:color="auto" w:frame="1"/>
            <w:vertAlign w:val="superscript"/>
          </w:rPr>
          <w:t>15</w:t>
        </w:r>
        <w:r w:rsidRPr="00E5701A">
          <w:rPr>
            <w:rFonts w:ascii="inherit" w:eastAsia="Times New Roman" w:hAnsi="inherit" w:cs="Times New Roman"/>
            <w:color w:val="D3093F"/>
            <w:sz w:val="14"/>
            <w:szCs w:val="13"/>
            <w:u w:val="single"/>
            <w:bdr w:val="none" w:sz="0" w:space="0" w:color="auto" w:frame="1"/>
            <w:vertAlign w:val="superscript"/>
          </w:rPr>
          <w:noBreakHyphen/>
          <w:t>17</w:t>
        </w:r>
      </w:hyperlink>
      <w:r w:rsidRPr="00E5701A">
        <w:rPr>
          <w:rFonts w:ascii="inherit" w:eastAsia="Times New Roman" w:hAnsi="inherit" w:cs="Times New Roman"/>
          <w:color w:val="333333"/>
          <w:sz w:val="14"/>
          <w:szCs w:val="13"/>
          <w:bdr w:val="none" w:sz="0" w:space="0" w:color="auto" w:frame="1"/>
          <w:vertAlign w:val="superscript"/>
        </w:rPr>
        <w:t>,</w:t>
      </w:r>
      <w:hyperlink r:id="rId84" w:anchor="r36" w:history="1">
        <w:r w:rsidRPr="00E5701A">
          <w:rPr>
            <w:rFonts w:ascii="inherit" w:eastAsia="Times New Roman" w:hAnsi="inherit" w:cs="Times New Roman"/>
            <w:color w:val="D3093F"/>
            <w:sz w:val="14"/>
            <w:szCs w:val="13"/>
            <w:u w:val="single"/>
            <w:bdr w:val="none" w:sz="0" w:space="0" w:color="auto" w:frame="1"/>
            <w:vertAlign w:val="superscript"/>
          </w:rPr>
          <w:t>36</w:t>
        </w:r>
      </w:hyperlink>
      <w:r w:rsidRPr="00E5701A">
        <w:rPr>
          <w:rFonts w:ascii="inherit" w:eastAsia="Times New Roman" w:hAnsi="inherit" w:cs="Times New Roman"/>
          <w:color w:val="333333"/>
          <w:sz w:val="14"/>
          <w:szCs w:val="13"/>
          <w:bdr w:val="none" w:sz="0" w:space="0" w:color="auto" w:frame="1"/>
          <w:vertAlign w:val="superscript"/>
        </w:rPr>
        <w:t>,</w:t>
      </w:r>
      <w:hyperlink r:id="rId85" w:anchor="r37" w:history="1">
        <w:r w:rsidRPr="00E5701A">
          <w:rPr>
            <w:rFonts w:ascii="inherit" w:eastAsia="Times New Roman" w:hAnsi="inherit" w:cs="Times New Roman"/>
            <w:color w:val="D3093F"/>
            <w:sz w:val="14"/>
            <w:szCs w:val="13"/>
            <w:u w:val="single"/>
            <w:bdr w:val="none" w:sz="0" w:space="0" w:color="auto" w:frame="1"/>
            <w:vertAlign w:val="superscript"/>
          </w:rPr>
          <w:t>37</w:t>
        </w:r>
      </w:hyperlink>
    </w:p>
    <w:p w14:paraId="043379D4"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Tamoxifen retinal toxicity can cause symptoms of decreased visual acuity and colour vision with signs of intraretinal crystalline deposits, macular oedema and punctate retinal pigment epithelial changes. These adverse effects usually occur with higher doses of the tamoxifen (</w:t>
      </w:r>
      <w:hyperlink r:id="rId86" w:anchor="t1" w:history="1">
        <w:r w:rsidRPr="00E5701A">
          <w:rPr>
            <w:rFonts w:ascii="inherit" w:eastAsia="Times New Roman" w:hAnsi="inherit" w:cs="Times New Roman"/>
            <w:color w:val="D3093F"/>
            <w:sz w:val="18"/>
            <w:szCs w:val="20"/>
            <w:u w:val="single"/>
            <w:bdr w:val="none" w:sz="0" w:space="0" w:color="auto" w:frame="1"/>
          </w:rPr>
          <w:t>Table 1</w:t>
        </w:r>
      </w:hyperlink>
      <w:r w:rsidRPr="00E5701A">
        <w:rPr>
          <w:rFonts w:ascii="inherit" w:eastAsia="Times New Roman" w:hAnsi="inherit" w:cs="Times New Roman"/>
          <w:color w:val="333333"/>
          <w:sz w:val="18"/>
          <w:szCs w:val="20"/>
        </w:rPr>
        <w:t>).</w:t>
      </w:r>
      <w:hyperlink r:id="rId87" w:anchor="r29" w:history="1">
        <w:r w:rsidRPr="00E5701A">
          <w:rPr>
            <w:rFonts w:ascii="inherit" w:eastAsia="Times New Roman" w:hAnsi="inherit" w:cs="Times New Roman"/>
            <w:color w:val="D3093F"/>
            <w:sz w:val="14"/>
            <w:szCs w:val="13"/>
            <w:u w:val="single"/>
            <w:bdr w:val="none" w:sz="0" w:space="0" w:color="auto" w:frame="1"/>
            <w:vertAlign w:val="superscript"/>
          </w:rPr>
          <w:t>29</w:t>
        </w:r>
        <w:r w:rsidRPr="00E5701A">
          <w:rPr>
            <w:rFonts w:ascii="inherit" w:eastAsia="Times New Roman" w:hAnsi="inherit" w:cs="Times New Roman"/>
            <w:color w:val="D3093F"/>
            <w:sz w:val="14"/>
            <w:szCs w:val="13"/>
            <w:u w:val="single"/>
            <w:bdr w:val="none" w:sz="0" w:space="0" w:color="auto" w:frame="1"/>
            <w:vertAlign w:val="superscript"/>
          </w:rPr>
          <w:noBreakHyphen/>
          <w:t>32</w:t>
        </w:r>
      </w:hyperlink>
    </w:p>
    <w:p w14:paraId="45D56F24"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Digoxin can cause ocular symptoms including yellowing of vision, scintillating scotoma and blurred vision. These changes are likely to be due to direct photoreceptor toxicity.</w:t>
      </w:r>
      <w:hyperlink r:id="rId88" w:anchor="r4" w:history="1">
        <w:r w:rsidRPr="00E5701A">
          <w:rPr>
            <w:rFonts w:ascii="inherit" w:eastAsia="Times New Roman" w:hAnsi="inherit" w:cs="Times New Roman"/>
            <w:color w:val="D3093F"/>
            <w:sz w:val="14"/>
            <w:szCs w:val="13"/>
            <w:u w:val="single"/>
            <w:bdr w:val="none" w:sz="0" w:space="0" w:color="auto" w:frame="1"/>
            <w:vertAlign w:val="superscript"/>
          </w:rPr>
          <w:t>4</w:t>
        </w:r>
      </w:hyperlink>
      <w:r w:rsidRPr="00E5701A">
        <w:rPr>
          <w:rFonts w:ascii="inherit" w:eastAsia="Times New Roman" w:hAnsi="inherit" w:cs="Times New Roman"/>
          <w:color w:val="333333"/>
          <w:sz w:val="18"/>
          <w:szCs w:val="20"/>
        </w:rPr>
        <w:t> The visual symptoms usually reverse when digoxin is discontinued.</w:t>
      </w:r>
    </w:p>
    <w:p w14:paraId="2815899A"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lastRenderedPageBreak/>
        <w:t>Fingolimod, used in the management of multiple sclerosis, has secondary effects on the function of the vascular–endothelial barrier, thereby potentially compromising the blood–retina barrier. Fingolimod</w:t>
      </w:r>
      <w:r w:rsidRPr="00E5701A">
        <w:rPr>
          <w:rFonts w:ascii="inherit" w:eastAsia="Times New Roman" w:hAnsi="inherit" w:cs="Times New Roman"/>
          <w:color w:val="333333"/>
          <w:sz w:val="18"/>
          <w:szCs w:val="20"/>
        </w:rPr>
        <w:noBreakHyphen/>
        <w:t xml:space="preserve"> associated macular oedema can cause blurred vision, distortion and impaired reading vision.</w:t>
      </w:r>
      <w:hyperlink r:id="rId89" w:anchor="r21" w:history="1">
        <w:r w:rsidRPr="00E5701A">
          <w:rPr>
            <w:rFonts w:ascii="inherit" w:eastAsia="Times New Roman" w:hAnsi="inherit" w:cs="Times New Roman"/>
            <w:color w:val="D3093F"/>
            <w:sz w:val="14"/>
            <w:szCs w:val="13"/>
            <w:u w:val="single"/>
            <w:bdr w:val="none" w:sz="0" w:space="0" w:color="auto" w:frame="1"/>
            <w:vertAlign w:val="superscript"/>
          </w:rPr>
          <w:t>21</w:t>
        </w:r>
      </w:hyperlink>
      <w:r w:rsidRPr="00E5701A">
        <w:rPr>
          <w:rFonts w:ascii="inherit" w:eastAsia="Times New Roman" w:hAnsi="inherit" w:cs="Times New Roman"/>
          <w:color w:val="333333"/>
          <w:sz w:val="18"/>
          <w:szCs w:val="20"/>
        </w:rPr>
        <w:t> Patients with fingolimod</w:t>
      </w:r>
      <w:r w:rsidRPr="00E5701A">
        <w:rPr>
          <w:rFonts w:ascii="inherit" w:eastAsia="Times New Roman" w:hAnsi="inherit" w:cs="Times New Roman"/>
          <w:color w:val="333333"/>
          <w:sz w:val="18"/>
          <w:szCs w:val="20"/>
        </w:rPr>
        <w:noBreakHyphen/>
        <w:t>associated macular oedema do not always have to stop treatment because of the risk of a flare</w:t>
      </w:r>
      <w:r w:rsidRPr="00E5701A">
        <w:rPr>
          <w:rFonts w:ascii="inherit" w:eastAsia="Times New Roman" w:hAnsi="inherit" w:cs="Times New Roman"/>
          <w:color w:val="333333"/>
          <w:sz w:val="18"/>
          <w:szCs w:val="20"/>
        </w:rPr>
        <w:noBreakHyphen/>
        <w:t>up of the multiple sclerosis. The macular oedema can often be treated with ocular therapy.</w:t>
      </w:r>
    </w:p>
    <w:p w14:paraId="5D4CA466"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New ocular adverse effects are being identified with the increased use of oral immune</w:t>
      </w:r>
      <w:r w:rsidRPr="00E5701A">
        <w:rPr>
          <w:rFonts w:ascii="inherit" w:eastAsia="Times New Roman" w:hAnsi="inherit" w:cs="Times New Roman"/>
          <w:color w:val="333333"/>
          <w:sz w:val="18"/>
          <w:szCs w:val="20"/>
        </w:rPr>
        <w:noBreakHyphen/>
        <w:t>based therapies such as kinase inhibitors. These include visual disturbances, visual field defects as well as retinal vein occlusion and MEK</w:t>
      </w:r>
      <w:r w:rsidRPr="00E5701A">
        <w:rPr>
          <w:rFonts w:ascii="inherit" w:eastAsia="Times New Roman" w:hAnsi="inherit" w:cs="Times New Roman"/>
          <w:color w:val="333333"/>
          <w:sz w:val="18"/>
          <w:szCs w:val="20"/>
        </w:rPr>
        <w:noBreakHyphen/>
        <w:t>associated retinopathy. Communication between the physician and ophthalmologist is important if ocular adverse effects are suspected.</w:t>
      </w:r>
      <w:hyperlink r:id="rId90" w:anchor="r23" w:history="1">
        <w:r w:rsidRPr="00E5701A">
          <w:rPr>
            <w:rFonts w:ascii="inherit" w:eastAsia="Times New Roman" w:hAnsi="inherit" w:cs="Times New Roman"/>
            <w:color w:val="D3093F"/>
            <w:sz w:val="14"/>
            <w:szCs w:val="13"/>
            <w:u w:val="single"/>
            <w:bdr w:val="none" w:sz="0" w:space="0" w:color="auto" w:frame="1"/>
            <w:vertAlign w:val="superscript"/>
          </w:rPr>
          <w:t>23</w:t>
        </w:r>
      </w:hyperlink>
    </w:p>
    <w:p w14:paraId="604BB385"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Thiazolidinediones, such as pioglitazone, have been associated with systemic fluid retention. These drugs can worsen diabetic macular oedema, especially in patients with pre</w:t>
      </w:r>
      <w:r w:rsidRPr="00E5701A">
        <w:rPr>
          <w:rFonts w:ascii="inherit" w:eastAsia="Times New Roman" w:hAnsi="inherit" w:cs="Times New Roman"/>
          <w:color w:val="333333"/>
          <w:sz w:val="18"/>
          <w:szCs w:val="20"/>
        </w:rPr>
        <w:noBreakHyphen/>
        <w:t>existing diabetic retinopathy.</w:t>
      </w:r>
      <w:hyperlink r:id="rId91" w:anchor="r6" w:history="1">
        <w:r w:rsidRPr="00E5701A">
          <w:rPr>
            <w:rFonts w:ascii="inherit" w:eastAsia="Times New Roman" w:hAnsi="inherit" w:cs="Times New Roman"/>
            <w:color w:val="D3093F"/>
            <w:sz w:val="14"/>
            <w:szCs w:val="13"/>
            <w:u w:val="single"/>
            <w:bdr w:val="none" w:sz="0" w:space="0" w:color="auto" w:frame="1"/>
            <w:vertAlign w:val="superscript"/>
          </w:rPr>
          <w:t>6</w:t>
        </w:r>
      </w:hyperlink>
      <w:r w:rsidRPr="00E5701A">
        <w:rPr>
          <w:rFonts w:ascii="inherit" w:eastAsia="Times New Roman" w:hAnsi="inherit" w:cs="Times New Roman"/>
          <w:color w:val="333333"/>
          <w:sz w:val="14"/>
          <w:szCs w:val="13"/>
          <w:bdr w:val="none" w:sz="0" w:space="0" w:color="auto" w:frame="1"/>
          <w:vertAlign w:val="superscript"/>
        </w:rPr>
        <w:t>,</w:t>
      </w:r>
      <w:hyperlink r:id="rId92" w:anchor="34" w:history="1">
        <w:r w:rsidRPr="00E5701A">
          <w:rPr>
            <w:rFonts w:ascii="inherit" w:eastAsia="Times New Roman" w:hAnsi="inherit" w:cs="Times New Roman"/>
            <w:color w:val="D3093F"/>
            <w:sz w:val="14"/>
            <w:szCs w:val="13"/>
            <w:u w:val="single"/>
            <w:bdr w:val="none" w:sz="0" w:space="0" w:color="auto" w:frame="1"/>
            <w:vertAlign w:val="superscript"/>
          </w:rPr>
          <w:t>34</w:t>
        </w:r>
      </w:hyperlink>
      <w:r w:rsidRPr="00E5701A">
        <w:rPr>
          <w:rFonts w:ascii="inherit" w:eastAsia="Times New Roman" w:hAnsi="inherit" w:cs="Times New Roman"/>
          <w:color w:val="333333"/>
          <w:sz w:val="14"/>
          <w:szCs w:val="13"/>
          <w:bdr w:val="none" w:sz="0" w:space="0" w:color="auto" w:frame="1"/>
          <w:vertAlign w:val="superscript"/>
        </w:rPr>
        <w:t>,</w:t>
      </w:r>
      <w:hyperlink r:id="rId93" w:anchor="r35" w:history="1">
        <w:r w:rsidRPr="00E5701A">
          <w:rPr>
            <w:rFonts w:ascii="inherit" w:eastAsia="Times New Roman" w:hAnsi="inherit" w:cs="Times New Roman"/>
            <w:color w:val="D3093F"/>
            <w:sz w:val="14"/>
            <w:szCs w:val="13"/>
            <w:u w:val="single"/>
            <w:bdr w:val="none" w:sz="0" w:space="0" w:color="auto" w:frame="1"/>
            <w:vertAlign w:val="superscript"/>
          </w:rPr>
          <w:t>35</w:t>
        </w:r>
      </w:hyperlink>
    </w:p>
    <w:p w14:paraId="5332E6AF"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Drugs for erectile dysfunction, such as sildenafil, can inhibit photoreceptor function. This may cause transient blurring of vision or altered colour perception. There have also been reports of non</w:t>
      </w:r>
      <w:r w:rsidRPr="00E5701A">
        <w:rPr>
          <w:rFonts w:ascii="inherit" w:eastAsia="Times New Roman" w:hAnsi="inherit" w:cs="Times New Roman"/>
          <w:color w:val="333333"/>
          <w:sz w:val="18"/>
          <w:szCs w:val="20"/>
        </w:rPr>
        <w:noBreakHyphen/>
        <w:t>arteritic ischaemic optic neuropathy, cilioretinal artery occlusion and central serous chorioretinopathy.</w:t>
      </w:r>
      <w:hyperlink r:id="rId94" w:anchor="r26" w:history="1">
        <w:r w:rsidRPr="00E5701A">
          <w:rPr>
            <w:rFonts w:ascii="inherit" w:eastAsia="Times New Roman" w:hAnsi="inherit" w:cs="Times New Roman"/>
            <w:color w:val="D3093F"/>
            <w:sz w:val="14"/>
            <w:szCs w:val="13"/>
            <w:u w:val="single"/>
            <w:bdr w:val="none" w:sz="0" w:space="0" w:color="auto" w:frame="1"/>
            <w:vertAlign w:val="superscript"/>
          </w:rPr>
          <w:t>26</w:t>
        </w:r>
        <w:r w:rsidRPr="00E5701A">
          <w:rPr>
            <w:rFonts w:ascii="inherit" w:eastAsia="Times New Roman" w:hAnsi="inherit" w:cs="Times New Roman"/>
            <w:color w:val="D3093F"/>
            <w:sz w:val="14"/>
            <w:szCs w:val="13"/>
            <w:u w:val="single"/>
            <w:bdr w:val="none" w:sz="0" w:space="0" w:color="auto" w:frame="1"/>
            <w:vertAlign w:val="superscript"/>
          </w:rPr>
          <w:noBreakHyphen/>
          <w:t>28</w:t>
        </w:r>
      </w:hyperlink>
      <w:r w:rsidRPr="00E5701A">
        <w:rPr>
          <w:rFonts w:ascii="inherit" w:eastAsia="Times New Roman" w:hAnsi="inherit" w:cs="Times New Roman"/>
          <w:color w:val="333333"/>
          <w:sz w:val="18"/>
          <w:szCs w:val="20"/>
        </w:rPr>
        <w:t> Routine referral to an ophthalmologist is required if there are persisting visual symptoms.</w:t>
      </w:r>
    </w:p>
    <w:p w14:paraId="62C89A98" w14:textId="77777777" w:rsidR="00E5701A" w:rsidRPr="00E5701A" w:rsidRDefault="00E5701A" w:rsidP="00E5701A">
      <w:pPr>
        <w:spacing w:before="100" w:beforeAutospacing="1" w:after="100"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Central serous chorioretinopathy is characterised by the accumulation of fluid in the central vision of patients. Symptoms include blurred central vision, distortion and washing out of colours. Central serous chorioretinopathy is associated with systemic steroid use and has been reported with sildenafil.</w:t>
      </w:r>
    </w:p>
    <w:p w14:paraId="44DF9CF3"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Vigabatrin has been associated with the development of visual field constriction. Patients may not notice any visual field loss until the central field is affected. The visual field defects do not reverse when the drug is stopped and may worsen with continued use. Hence, a computerised visual field assessment is usually obtained before treatment and is repeated every six months for five years. This can then be extended to an annual review if the patient does not have any visual field defects.</w:t>
      </w:r>
      <w:hyperlink r:id="rId95" w:anchor="r13" w:history="1">
        <w:r w:rsidRPr="00E5701A">
          <w:rPr>
            <w:rFonts w:ascii="inherit" w:eastAsia="Times New Roman" w:hAnsi="inherit" w:cs="Times New Roman"/>
            <w:color w:val="D3093F"/>
            <w:sz w:val="14"/>
            <w:szCs w:val="13"/>
            <w:u w:val="single"/>
            <w:bdr w:val="none" w:sz="0" w:space="0" w:color="auto" w:frame="1"/>
            <w:vertAlign w:val="superscript"/>
          </w:rPr>
          <w:t>13</w:t>
        </w:r>
      </w:hyperlink>
    </w:p>
    <w:p w14:paraId="5194E70D" w14:textId="77777777" w:rsidR="00E5701A" w:rsidRPr="00E5701A" w:rsidRDefault="00E5701A" w:rsidP="00E5701A">
      <w:pPr>
        <w:spacing w:before="100" w:beforeAutospacing="1" w:after="100" w:afterAutospacing="1"/>
        <w:outlineLvl w:val="1"/>
        <w:rPr>
          <w:rFonts w:ascii="inherit" w:eastAsia="Times New Roman" w:hAnsi="inherit" w:cs="Times New Roman"/>
          <w:b/>
          <w:bCs/>
          <w:color w:val="333333"/>
          <w:spacing w:val="-9"/>
          <w:sz w:val="36"/>
          <w:szCs w:val="32"/>
        </w:rPr>
      </w:pPr>
      <w:r w:rsidRPr="00E5701A">
        <w:rPr>
          <w:rFonts w:ascii="inherit" w:eastAsia="Times New Roman" w:hAnsi="inherit" w:cs="Times New Roman"/>
          <w:b/>
          <w:bCs/>
          <w:color w:val="333333"/>
          <w:spacing w:val="-9"/>
          <w:sz w:val="36"/>
          <w:szCs w:val="32"/>
        </w:rPr>
        <w:t>Optic nerve</w:t>
      </w:r>
    </w:p>
    <w:p w14:paraId="5870B038"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Amiodarone may rarely induce optic neuropathy.</w:t>
      </w:r>
      <w:hyperlink r:id="rId96" w:anchor="r3" w:history="1">
        <w:r w:rsidRPr="00E5701A">
          <w:rPr>
            <w:rFonts w:ascii="inherit" w:eastAsia="Times New Roman" w:hAnsi="inherit" w:cs="Times New Roman"/>
            <w:color w:val="D3093F"/>
            <w:sz w:val="14"/>
            <w:szCs w:val="13"/>
            <w:u w:val="single"/>
            <w:bdr w:val="none" w:sz="0" w:space="0" w:color="auto" w:frame="1"/>
            <w:vertAlign w:val="superscript"/>
          </w:rPr>
          <w:t>3</w:t>
        </w:r>
      </w:hyperlink>
      <w:r w:rsidRPr="00E5701A">
        <w:rPr>
          <w:rFonts w:ascii="inherit" w:eastAsia="Times New Roman" w:hAnsi="inherit" w:cs="Times New Roman"/>
          <w:color w:val="333333"/>
          <w:sz w:val="18"/>
          <w:szCs w:val="20"/>
        </w:rPr>
        <w:t> This is characterised by swelling of the optic discs in addition to the typical symptoms of optic neuropathy (</w:t>
      </w:r>
      <w:hyperlink r:id="rId97" w:anchor="t2" w:history="1">
        <w:r w:rsidRPr="00E5701A">
          <w:rPr>
            <w:rFonts w:ascii="inherit" w:eastAsia="Times New Roman" w:hAnsi="inherit" w:cs="Times New Roman"/>
            <w:color w:val="D3093F"/>
            <w:sz w:val="18"/>
            <w:szCs w:val="20"/>
            <w:u w:val="single"/>
            <w:bdr w:val="none" w:sz="0" w:space="0" w:color="auto" w:frame="1"/>
          </w:rPr>
          <w:t>Table 2</w:t>
        </w:r>
      </w:hyperlink>
      <w:r w:rsidRPr="00E5701A">
        <w:rPr>
          <w:rFonts w:ascii="inherit" w:eastAsia="Times New Roman" w:hAnsi="inherit" w:cs="Times New Roman"/>
          <w:color w:val="333333"/>
          <w:sz w:val="18"/>
          <w:szCs w:val="20"/>
        </w:rPr>
        <w:t>). The main differential diagnosis is non</w:t>
      </w:r>
      <w:r w:rsidRPr="00E5701A">
        <w:rPr>
          <w:rFonts w:ascii="inherit" w:eastAsia="Times New Roman" w:hAnsi="inherit" w:cs="Times New Roman"/>
          <w:color w:val="333333"/>
          <w:sz w:val="18"/>
          <w:szCs w:val="20"/>
        </w:rPr>
        <w:noBreakHyphen/>
        <w:t>arteritic anterior ischaemic optic neuropathy, which is more common in patients with vasculopathy and is associated with an altitudinal monocular visual field defect (superior or inferior half of the vision is affected).</w:t>
      </w:r>
    </w:p>
    <w:p w14:paraId="76252DA8"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Tetracyclines have been reported to cause idiopathic intracranial hypertension which in some instances can lead to permanent loss of vision.</w:t>
      </w:r>
      <w:hyperlink r:id="rId98" w:anchor="r33" w:history="1">
        <w:r w:rsidRPr="00E5701A">
          <w:rPr>
            <w:rFonts w:ascii="inherit" w:eastAsia="Times New Roman" w:hAnsi="inherit" w:cs="Times New Roman"/>
            <w:color w:val="D3093F"/>
            <w:sz w:val="14"/>
            <w:szCs w:val="13"/>
            <w:u w:val="single"/>
            <w:bdr w:val="none" w:sz="0" w:space="0" w:color="auto" w:frame="1"/>
            <w:vertAlign w:val="superscript"/>
          </w:rPr>
          <w:t>33</w:t>
        </w:r>
      </w:hyperlink>
      <w:r w:rsidRPr="00E5701A">
        <w:rPr>
          <w:rFonts w:ascii="inherit" w:eastAsia="Times New Roman" w:hAnsi="inherit" w:cs="Times New Roman"/>
          <w:color w:val="333333"/>
          <w:sz w:val="18"/>
          <w:szCs w:val="20"/>
        </w:rPr>
        <w:t> Nausea, vomiting and morning headaches, as well as the symptoms of optic neuropathy (</w:t>
      </w:r>
      <w:hyperlink r:id="rId99" w:anchor="t2" w:history="1">
        <w:r w:rsidRPr="00E5701A">
          <w:rPr>
            <w:rFonts w:ascii="inherit" w:eastAsia="Times New Roman" w:hAnsi="inherit" w:cs="Times New Roman"/>
            <w:color w:val="D3093F"/>
            <w:sz w:val="18"/>
            <w:szCs w:val="20"/>
            <w:u w:val="single"/>
            <w:bdr w:val="none" w:sz="0" w:space="0" w:color="auto" w:frame="1"/>
          </w:rPr>
          <w:t>Table 2</w:t>
        </w:r>
      </w:hyperlink>
      <w:r w:rsidRPr="00E5701A">
        <w:rPr>
          <w:rFonts w:ascii="inherit" w:eastAsia="Times New Roman" w:hAnsi="inherit" w:cs="Times New Roman"/>
          <w:color w:val="333333"/>
          <w:sz w:val="18"/>
          <w:szCs w:val="20"/>
        </w:rPr>
        <w:t>), can be suggestive of idiopathic intracranial hypertension.</w:t>
      </w:r>
    </w:p>
    <w:p w14:paraId="0B5573A8" w14:textId="77777777" w:rsidR="00E5701A" w:rsidRPr="00E5701A" w:rsidRDefault="00E5701A" w:rsidP="00E5701A">
      <w:pPr>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Ethambutol can cause optic neuropathy. Animal studies have suggested retinal ganglion cells are predominantly affected.</w:t>
      </w:r>
      <w:hyperlink r:id="rId100" w:anchor="r32" w:history="1">
        <w:r w:rsidRPr="00E5701A">
          <w:rPr>
            <w:rFonts w:ascii="inherit" w:eastAsia="Times New Roman" w:hAnsi="inherit" w:cs="Times New Roman"/>
            <w:color w:val="D3093F"/>
            <w:sz w:val="14"/>
            <w:szCs w:val="13"/>
            <w:u w:val="single"/>
            <w:bdr w:val="none" w:sz="0" w:space="0" w:color="auto" w:frame="1"/>
            <w:vertAlign w:val="superscript"/>
          </w:rPr>
          <w:t>32</w:t>
        </w:r>
      </w:hyperlink>
      <w:r w:rsidRPr="00E5701A">
        <w:rPr>
          <w:rFonts w:ascii="inherit" w:eastAsia="Times New Roman" w:hAnsi="inherit" w:cs="Times New Roman"/>
          <w:color w:val="333333"/>
          <w:sz w:val="18"/>
          <w:szCs w:val="20"/>
        </w:rPr>
        <w:t> Risk factors include higher doses, prolonged use, poor renal function and concurrent antiretroviral therapy.</w:t>
      </w:r>
    </w:p>
    <w:p w14:paraId="68429D9D" w14:textId="77777777" w:rsidR="00E5701A" w:rsidRPr="00E5701A" w:rsidRDefault="00E5701A" w:rsidP="00E5701A">
      <w:pPr>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bdr w:val="none" w:sz="0" w:space="0" w:color="auto" w:frame="1"/>
          <w:shd w:val="clear" w:color="auto" w:fill="D3093F"/>
        </w:rPr>
        <w:t> </w:t>
      </w:r>
    </w:p>
    <w:p w14:paraId="5EA588F8" w14:textId="77777777" w:rsidR="00E5701A" w:rsidRPr="00E5701A" w:rsidRDefault="00E5701A" w:rsidP="00E5701A">
      <w:pPr>
        <w:outlineLvl w:val="1"/>
        <w:rPr>
          <w:rFonts w:ascii="inherit" w:eastAsia="Times New Roman" w:hAnsi="inherit" w:cs="Times New Roman"/>
          <w:b/>
          <w:bCs/>
          <w:color w:val="D3093F"/>
          <w:spacing w:val="-9"/>
          <w:sz w:val="36"/>
          <w:szCs w:val="32"/>
        </w:rPr>
      </w:pPr>
      <w:r w:rsidRPr="00E5701A">
        <w:rPr>
          <w:rFonts w:ascii="inherit" w:eastAsia="Times New Roman" w:hAnsi="inherit" w:cs="Times New Roman"/>
          <w:b/>
          <w:bCs/>
          <w:color w:val="D3093F"/>
          <w:spacing w:val="-9"/>
          <w:sz w:val="36"/>
          <w:szCs w:val="32"/>
        </w:rPr>
        <w:t>Management of ocular adverse effects</w:t>
      </w:r>
    </w:p>
    <w:p w14:paraId="0F847261" w14:textId="77777777" w:rsidR="00E5701A" w:rsidRPr="00E5701A" w:rsidRDefault="00E5701A" w:rsidP="00E5701A">
      <w:pPr>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Consultation with an ophthalmologist is recommended if a drug is suspected to be affecting a patient’s vision. Interventions can include screening before treatment, monitoring for ocular toxicity, reducing drug doses, or stopping the drug and looking for an alternative. Some ocular adverse effects such as raised intraocular pressure can be managed with medical or laser therapy. Cataracts can be managed with surgical intervention. However, some ocular adverse events such as macular atrophy can cause irreversible visual loss, hence the need to screen for damage at an early stage.</w:t>
      </w:r>
    </w:p>
    <w:p w14:paraId="6724B65F" w14:textId="77777777" w:rsidR="00E5701A" w:rsidRPr="00E5701A" w:rsidRDefault="00E5701A" w:rsidP="00E5701A">
      <w:pPr>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bdr w:val="none" w:sz="0" w:space="0" w:color="auto" w:frame="1"/>
          <w:shd w:val="clear" w:color="auto" w:fill="D3093F"/>
        </w:rPr>
        <w:t> </w:t>
      </w:r>
    </w:p>
    <w:p w14:paraId="06755121" w14:textId="77777777" w:rsidR="00E5701A" w:rsidRPr="00E5701A" w:rsidRDefault="00E5701A" w:rsidP="00E5701A">
      <w:pPr>
        <w:outlineLvl w:val="1"/>
        <w:rPr>
          <w:rFonts w:ascii="inherit" w:eastAsia="Times New Roman" w:hAnsi="inherit" w:cs="Times New Roman"/>
          <w:b/>
          <w:bCs/>
          <w:color w:val="D3093F"/>
          <w:spacing w:val="-9"/>
          <w:sz w:val="36"/>
          <w:szCs w:val="32"/>
        </w:rPr>
      </w:pPr>
      <w:r w:rsidRPr="00E5701A">
        <w:rPr>
          <w:rFonts w:ascii="inherit" w:eastAsia="Times New Roman" w:hAnsi="inherit" w:cs="Times New Roman"/>
          <w:b/>
          <w:bCs/>
          <w:color w:val="D3093F"/>
          <w:spacing w:val="-9"/>
          <w:sz w:val="36"/>
          <w:szCs w:val="32"/>
        </w:rPr>
        <w:t>Pharmacovigilance</w:t>
      </w:r>
    </w:p>
    <w:p w14:paraId="5DB600B4" w14:textId="77777777" w:rsidR="00E5701A" w:rsidRPr="00E5701A" w:rsidRDefault="00E5701A" w:rsidP="00E5701A">
      <w:pPr>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Medicine is a constantly evolving field with new drugs being developed all the time. Many ocular adverse effects are reported during the clinical trials of drug development but others emerge later. Postmarketing surveillance, such as the </w:t>
      </w:r>
      <w:hyperlink r:id="rId101" w:tgtFrame="_blank" w:history="1">
        <w:r w:rsidRPr="00E5701A">
          <w:rPr>
            <w:rFonts w:ascii="inherit" w:eastAsia="Times New Roman" w:hAnsi="inherit" w:cs="Times New Roman"/>
            <w:color w:val="D3093F"/>
            <w:sz w:val="18"/>
            <w:szCs w:val="20"/>
            <w:u w:val="single"/>
            <w:bdr w:val="none" w:sz="0" w:space="0" w:color="auto" w:frame="1"/>
          </w:rPr>
          <w:t>Black Triangle Scheme</w:t>
        </w:r>
      </w:hyperlink>
      <w:r w:rsidRPr="00E5701A">
        <w:rPr>
          <w:rFonts w:ascii="inherit" w:eastAsia="Times New Roman" w:hAnsi="inherit" w:cs="Times New Roman"/>
          <w:color w:val="333333"/>
          <w:sz w:val="18"/>
          <w:szCs w:val="20"/>
        </w:rPr>
        <w:t xml:space="preserve">, has proved to be valuable in the identification of rare and otherwise not previously reported </w:t>
      </w:r>
      <w:r w:rsidRPr="00E5701A">
        <w:rPr>
          <w:rFonts w:ascii="inherit" w:eastAsia="Times New Roman" w:hAnsi="inherit" w:cs="Times New Roman"/>
          <w:color w:val="333333"/>
          <w:sz w:val="18"/>
          <w:szCs w:val="20"/>
        </w:rPr>
        <w:lastRenderedPageBreak/>
        <w:t>adverse effects. It is important to keep an open mind when prescribing new drugs and be vigilant in assessing any possible ocular adverse effects. </w:t>
      </w:r>
      <w:hyperlink r:id="rId102" w:tgtFrame="_blank" w:history="1">
        <w:r w:rsidRPr="00E5701A">
          <w:rPr>
            <w:rFonts w:ascii="inherit" w:eastAsia="Times New Roman" w:hAnsi="inherit" w:cs="Times New Roman"/>
            <w:color w:val="D3093F"/>
            <w:sz w:val="18"/>
            <w:szCs w:val="20"/>
            <w:u w:val="single"/>
            <w:bdr w:val="none" w:sz="0" w:space="0" w:color="auto" w:frame="1"/>
          </w:rPr>
          <w:t>Adverse events should be reported to the Therapeutic Goods </w:t>
        </w:r>
      </w:hyperlink>
      <w:hyperlink r:id="rId103" w:tgtFrame="_blank" w:history="1">
        <w:r w:rsidRPr="00E5701A">
          <w:rPr>
            <w:rFonts w:ascii="inherit" w:eastAsia="Times New Roman" w:hAnsi="inherit" w:cs="Times New Roman"/>
            <w:color w:val="D3093F"/>
            <w:sz w:val="18"/>
            <w:szCs w:val="20"/>
            <w:u w:val="single"/>
            <w:bdr w:val="none" w:sz="0" w:space="0" w:color="auto" w:frame="1"/>
          </w:rPr>
          <w:t>Administration</w:t>
        </w:r>
      </w:hyperlink>
      <w:r w:rsidRPr="00E5701A">
        <w:rPr>
          <w:rFonts w:ascii="inherit" w:eastAsia="Times New Roman" w:hAnsi="inherit" w:cs="Times New Roman"/>
          <w:color w:val="333333"/>
          <w:sz w:val="18"/>
          <w:szCs w:val="20"/>
        </w:rPr>
        <w:t>.</w:t>
      </w:r>
    </w:p>
    <w:p w14:paraId="2A45EF8E" w14:textId="77777777" w:rsidR="00E5701A" w:rsidRPr="00E5701A" w:rsidRDefault="00E5701A" w:rsidP="00E5701A">
      <w:pPr>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bdr w:val="none" w:sz="0" w:space="0" w:color="auto" w:frame="1"/>
          <w:shd w:val="clear" w:color="auto" w:fill="D3093F"/>
        </w:rPr>
        <w:t> </w:t>
      </w:r>
    </w:p>
    <w:p w14:paraId="5803DF38" w14:textId="77777777" w:rsidR="00E5701A" w:rsidRPr="00E5701A" w:rsidRDefault="00E5701A" w:rsidP="00E5701A">
      <w:pPr>
        <w:outlineLvl w:val="1"/>
        <w:rPr>
          <w:rFonts w:ascii="inherit" w:eastAsia="Times New Roman" w:hAnsi="inherit" w:cs="Times New Roman"/>
          <w:b/>
          <w:bCs/>
          <w:color w:val="D3093F"/>
          <w:spacing w:val="-9"/>
          <w:sz w:val="36"/>
          <w:szCs w:val="32"/>
        </w:rPr>
      </w:pPr>
      <w:r w:rsidRPr="00E5701A">
        <w:rPr>
          <w:rFonts w:ascii="inherit" w:eastAsia="Times New Roman" w:hAnsi="inherit" w:cs="Times New Roman"/>
          <w:b/>
          <w:bCs/>
          <w:color w:val="D3093F"/>
          <w:spacing w:val="-9"/>
          <w:sz w:val="36"/>
          <w:szCs w:val="32"/>
        </w:rPr>
        <w:t>Conclusion</w:t>
      </w:r>
    </w:p>
    <w:p w14:paraId="27974FDF" w14:textId="77777777" w:rsidR="00E5701A" w:rsidRPr="00E5701A" w:rsidRDefault="00E5701A" w:rsidP="00E5701A">
      <w:pPr>
        <w:spacing w:before="100" w:beforeAutospacing="1" w:after="100" w:afterAutospacing="1"/>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Commonly used oral drugs can cause ocular adverse effects. As well as retinal toxicity, oral drugs can affect other parts of the eye including the cornea, lens and optic nerve. Consider drugs as a possible cause of unexplained ocular symptoms. Communication between the prescribing clinician and ophthalmologist will facilitate the best possible patient care.</w:t>
      </w:r>
    </w:p>
    <w:p w14:paraId="72DFE065" w14:textId="77777777" w:rsidR="00E5701A" w:rsidRPr="00E5701A" w:rsidRDefault="00E5701A" w:rsidP="00E5701A">
      <w:pPr>
        <w:spacing w:beforeAutospacing="1" w:afterAutospacing="1"/>
        <w:rPr>
          <w:rFonts w:ascii="inherit" w:eastAsia="Times New Roman" w:hAnsi="inherit" w:cs="Times New Roman"/>
          <w:color w:val="333333"/>
          <w:sz w:val="18"/>
          <w:szCs w:val="20"/>
        </w:rPr>
      </w:pPr>
      <w:r w:rsidRPr="00E5701A">
        <w:rPr>
          <w:rFonts w:ascii="inherit" w:eastAsia="Times New Roman" w:hAnsi="inherit" w:cs="Times New Roman"/>
          <w:i/>
          <w:iCs/>
          <w:color w:val="333333"/>
          <w:sz w:val="18"/>
          <w:szCs w:val="20"/>
          <w:bdr w:val="none" w:sz="0" w:space="0" w:color="auto" w:frame="1"/>
        </w:rPr>
        <w:t>Conflicts</w:t>
      </w:r>
      <w:r w:rsidRPr="00E5701A">
        <w:rPr>
          <w:rFonts w:ascii="inherit" w:eastAsia="Times New Roman" w:hAnsi="inherit" w:cs="Times New Roman"/>
          <w:color w:val="333333"/>
          <w:sz w:val="18"/>
          <w:szCs w:val="20"/>
        </w:rPr>
        <w:t> </w:t>
      </w:r>
      <w:r w:rsidRPr="00E5701A">
        <w:rPr>
          <w:rFonts w:ascii="inherit" w:eastAsia="Times New Roman" w:hAnsi="inherit" w:cs="Times New Roman"/>
          <w:i/>
          <w:iCs/>
          <w:color w:val="333333"/>
          <w:sz w:val="18"/>
          <w:szCs w:val="20"/>
          <w:bdr w:val="none" w:sz="0" w:space="0" w:color="auto" w:frame="1"/>
        </w:rPr>
        <w:t>of</w:t>
      </w:r>
      <w:r w:rsidRPr="00E5701A">
        <w:rPr>
          <w:rFonts w:ascii="inherit" w:eastAsia="Times New Roman" w:hAnsi="inherit" w:cs="Times New Roman"/>
          <w:color w:val="333333"/>
          <w:sz w:val="18"/>
          <w:szCs w:val="20"/>
        </w:rPr>
        <w:t> </w:t>
      </w:r>
      <w:r w:rsidRPr="00E5701A">
        <w:rPr>
          <w:rFonts w:ascii="inherit" w:eastAsia="Times New Roman" w:hAnsi="inherit" w:cs="Times New Roman"/>
          <w:i/>
          <w:iCs/>
          <w:color w:val="333333"/>
          <w:sz w:val="18"/>
          <w:szCs w:val="20"/>
          <w:bdr w:val="none" w:sz="0" w:space="0" w:color="auto" w:frame="1"/>
        </w:rPr>
        <w:t>interest:</w:t>
      </w:r>
      <w:r w:rsidRPr="00E5701A">
        <w:rPr>
          <w:rFonts w:ascii="inherit" w:eastAsia="Times New Roman" w:hAnsi="inherit" w:cs="Times New Roman"/>
          <w:color w:val="333333"/>
          <w:sz w:val="18"/>
          <w:szCs w:val="20"/>
        </w:rPr>
        <w:t> </w:t>
      </w:r>
      <w:r w:rsidRPr="00E5701A">
        <w:rPr>
          <w:rFonts w:ascii="inherit" w:eastAsia="Times New Roman" w:hAnsi="inherit" w:cs="Times New Roman"/>
          <w:i/>
          <w:iCs/>
          <w:color w:val="333333"/>
          <w:sz w:val="18"/>
          <w:szCs w:val="20"/>
          <w:bdr w:val="none" w:sz="0" w:space="0" w:color="auto" w:frame="1"/>
        </w:rPr>
        <w:t>none</w:t>
      </w:r>
      <w:r w:rsidRPr="00E5701A">
        <w:rPr>
          <w:rFonts w:ascii="inherit" w:eastAsia="Times New Roman" w:hAnsi="inherit" w:cs="Times New Roman"/>
          <w:color w:val="333333"/>
          <w:sz w:val="18"/>
          <w:szCs w:val="20"/>
        </w:rPr>
        <w:t> </w:t>
      </w:r>
      <w:r w:rsidRPr="00E5701A">
        <w:rPr>
          <w:rFonts w:ascii="inherit" w:eastAsia="Times New Roman" w:hAnsi="inherit" w:cs="Times New Roman"/>
          <w:i/>
          <w:iCs/>
          <w:color w:val="333333"/>
          <w:sz w:val="18"/>
          <w:szCs w:val="20"/>
          <w:bdr w:val="none" w:sz="0" w:space="0" w:color="auto" w:frame="1"/>
        </w:rPr>
        <w:t>declared</w:t>
      </w:r>
    </w:p>
    <w:p w14:paraId="11B08059" w14:textId="77777777" w:rsidR="00E5701A" w:rsidRPr="00E5701A" w:rsidRDefault="00E5701A" w:rsidP="00E5701A">
      <w:pPr>
        <w:rPr>
          <w:rFonts w:ascii="inherit" w:eastAsia="Times New Roman" w:hAnsi="inherit" w:cs="Times New Roman"/>
          <w:color w:val="333333"/>
          <w:sz w:val="18"/>
          <w:szCs w:val="20"/>
        </w:rPr>
      </w:pPr>
      <w:r w:rsidRPr="00E5701A">
        <w:rPr>
          <w:rFonts w:ascii="inherit" w:eastAsia="Times New Roman" w:hAnsi="inherit" w:cs="Times New Roman"/>
          <w:b/>
          <w:bCs/>
          <w:color w:val="333333"/>
          <w:sz w:val="18"/>
          <w:szCs w:val="20"/>
          <w:bdr w:val="none" w:sz="0" w:space="0" w:color="auto" w:frame="1"/>
        </w:rPr>
        <w:t>This article is peer-reviewed.</w:t>
      </w:r>
    </w:p>
    <w:p w14:paraId="3B38A156" w14:textId="77777777" w:rsidR="00E5701A" w:rsidRPr="00E5701A" w:rsidRDefault="00E5701A" w:rsidP="00E5701A">
      <w:pPr>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bdr w:val="none" w:sz="0" w:space="0" w:color="auto" w:frame="1"/>
          <w:shd w:val="clear" w:color="auto" w:fill="D3093F"/>
        </w:rPr>
        <w:t> </w:t>
      </w:r>
    </w:p>
    <w:p w14:paraId="06923344" w14:textId="77777777" w:rsidR="00E5701A" w:rsidRPr="00E5701A" w:rsidRDefault="00E5701A" w:rsidP="00E5701A">
      <w:pPr>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rPr>
        <w:t>Australian Prescriber welcomes </w:t>
      </w:r>
      <w:hyperlink r:id="rId104" w:history="1">
        <w:r w:rsidRPr="00E5701A">
          <w:rPr>
            <w:rFonts w:ascii="inherit" w:eastAsia="Times New Roman" w:hAnsi="inherit" w:cs="Times New Roman"/>
            <w:color w:val="D3093F"/>
            <w:sz w:val="18"/>
            <w:szCs w:val="20"/>
            <w:u w:val="single"/>
            <w:bdr w:val="none" w:sz="0" w:space="0" w:color="auto" w:frame="1"/>
          </w:rPr>
          <w:t>Feedback</w:t>
        </w:r>
      </w:hyperlink>
      <w:r w:rsidRPr="00E5701A">
        <w:rPr>
          <w:rFonts w:ascii="inherit" w:eastAsia="Times New Roman" w:hAnsi="inherit" w:cs="Times New Roman"/>
          <w:color w:val="333333"/>
          <w:sz w:val="18"/>
          <w:szCs w:val="20"/>
        </w:rPr>
        <w:t>.</w:t>
      </w:r>
    </w:p>
    <w:p w14:paraId="31C57512" w14:textId="77777777" w:rsidR="00E5701A" w:rsidRPr="00E5701A" w:rsidRDefault="00E5701A" w:rsidP="00E5701A">
      <w:pPr>
        <w:rPr>
          <w:rFonts w:ascii="inherit" w:eastAsia="Times New Roman" w:hAnsi="inherit" w:cs="Times New Roman"/>
          <w:color w:val="333333"/>
          <w:sz w:val="18"/>
          <w:szCs w:val="20"/>
        </w:rPr>
      </w:pPr>
      <w:r w:rsidRPr="00E5701A">
        <w:rPr>
          <w:rFonts w:ascii="inherit" w:eastAsia="Times New Roman" w:hAnsi="inherit" w:cs="Times New Roman"/>
          <w:color w:val="333333"/>
          <w:sz w:val="18"/>
          <w:szCs w:val="20"/>
          <w:bdr w:val="none" w:sz="0" w:space="0" w:color="auto" w:frame="1"/>
          <w:shd w:val="clear" w:color="auto" w:fill="D3093F"/>
        </w:rPr>
        <w:t> </w:t>
      </w:r>
    </w:p>
    <w:p w14:paraId="7F29044F" w14:textId="77777777" w:rsidR="00E5701A" w:rsidRPr="00E5701A" w:rsidRDefault="00E5701A" w:rsidP="00E5701A">
      <w:pPr>
        <w:outlineLvl w:val="1"/>
        <w:rPr>
          <w:rFonts w:ascii="inherit" w:eastAsia="Times New Roman" w:hAnsi="inherit" w:cs="Times New Roman"/>
          <w:b/>
          <w:bCs/>
          <w:color w:val="D3093F"/>
          <w:spacing w:val="-9"/>
          <w:sz w:val="36"/>
          <w:szCs w:val="32"/>
        </w:rPr>
      </w:pPr>
      <w:r w:rsidRPr="00E5701A">
        <w:rPr>
          <w:rFonts w:ascii="inherit" w:eastAsia="Times New Roman" w:hAnsi="inherit" w:cs="Times New Roman"/>
          <w:b/>
          <w:bCs/>
          <w:color w:val="D3093F"/>
          <w:spacing w:val="-9"/>
          <w:sz w:val="36"/>
          <w:szCs w:val="32"/>
        </w:rPr>
        <w:t>References</w:t>
      </w:r>
    </w:p>
    <w:p w14:paraId="6397438F"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05" w:tgtFrame="_blank" w:history="1">
        <w:r w:rsidRPr="00E5701A">
          <w:rPr>
            <w:rFonts w:ascii="inherit" w:eastAsia="Times New Roman" w:hAnsi="inherit" w:cs="Times New Roman"/>
            <w:color w:val="222222"/>
            <w:sz w:val="15"/>
            <w:szCs w:val="16"/>
            <w:u w:val="single"/>
            <w:bdr w:val="none" w:sz="0" w:space="0" w:color="auto" w:frame="1"/>
          </w:rPr>
          <w:t>Santaella RM, Fraunfelder FW. Ocular adverse effects associated with systemic medications : recognition and management. Drugs 2007;67:75</w:t>
        </w:r>
        <w:r w:rsidRPr="00E5701A">
          <w:rPr>
            <w:rFonts w:ascii="inherit" w:eastAsia="Times New Roman" w:hAnsi="inherit" w:cs="Times New Roman"/>
            <w:color w:val="222222"/>
            <w:sz w:val="15"/>
            <w:szCs w:val="16"/>
            <w:u w:val="single"/>
            <w:bdr w:val="none" w:sz="0" w:space="0" w:color="auto" w:frame="1"/>
          </w:rPr>
          <w:noBreakHyphen/>
          <w:t>93.</w:t>
        </w:r>
      </w:hyperlink>
    </w:p>
    <w:p w14:paraId="3D079E57"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06" w:tgtFrame="_blank" w:history="1">
        <w:r w:rsidRPr="00E5701A">
          <w:rPr>
            <w:rFonts w:ascii="inherit" w:eastAsia="Times New Roman" w:hAnsi="inherit" w:cs="Times New Roman"/>
            <w:color w:val="222222"/>
            <w:sz w:val="15"/>
            <w:szCs w:val="16"/>
            <w:u w:val="single"/>
            <w:bdr w:val="none" w:sz="0" w:space="0" w:color="auto" w:frame="1"/>
          </w:rPr>
          <w:t>Fung A, McCluskey P. Tamsulosin</w:t>
        </w:r>
        <w:r w:rsidRPr="00E5701A">
          <w:rPr>
            <w:rFonts w:ascii="inherit" w:eastAsia="Times New Roman" w:hAnsi="inherit" w:cs="Times New Roman"/>
            <w:color w:val="222222"/>
            <w:sz w:val="15"/>
            <w:szCs w:val="16"/>
            <w:u w:val="single"/>
            <w:bdr w:val="none" w:sz="0" w:space="0" w:color="auto" w:frame="1"/>
          </w:rPr>
          <w:noBreakHyphen/>
          <w:t>induced intraoperative floppy iris syndrome during cataract surgery. Aust Prescr 2010;33:88</w:t>
        </w:r>
        <w:r w:rsidRPr="00E5701A">
          <w:rPr>
            <w:rFonts w:ascii="inherit" w:eastAsia="Times New Roman" w:hAnsi="inherit" w:cs="Times New Roman"/>
            <w:color w:val="222222"/>
            <w:sz w:val="15"/>
            <w:szCs w:val="16"/>
            <w:u w:val="single"/>
            <w:bdr w:val="none" w:sz="0" w:space="0" w:color="auto" w:frame="1"/>
          </w:rPr>
          <w:noBreakHyphen/>
          <w:t>9.</w:t>
        </w:r>
      </w:hyperlink>
    </w:p>
    <w:p w14:paraId="68523DD4"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07" w:tgtFrame="_blank" w:history="1">
        <w:r w:rsidRPr="00E5701A">
          <w:rPr>
            <w:rFonts w:ascii="inherit" w:eastAsia="Times New Roman" w:hAnsi="inherit" w:cs="Times New Roman"/>
            <w:color w:val="222222"/>
            <w:sz w:val="15"/>
            <w:szCs w:val="16"/>
            <w:u w:val="single"/>
            <w:bdr w:val="none" w:sz="0" w:space="0" w:color="auto" w:frame="1"/>
          </w:rPr>
          <w:t>Nagra PK, Foroozan R, Savino PJ, Castillo I, Sergott RC. Amiodarone induced optic neuropathy. Br J Ophthalmol 2003;87:420</w:t>
        </w:r>
        <w:r w:rsidRPr="00E5701A">
          <w:rPr>
            <w:rFonts w:ascii="inherit" w:eastAsia="Times New Roman" w:hAnsi="inherit" w:cs="Times New Roman"/>
            <w:color w:val="222222"/>
            <w:sz w:val="15"/>
            <w:szCs w:val="16"/>
            <w:u w:val="single"/>
            <w:bdr w:val="none" w:sz="0" w:space="0" w:color="auto" w:frame="1"/>
          </w:rPr>
          <w:noBreakHyphen/>
          <w:t>2.</w:t>
        </w:r>
      </w:hyperlink>
    </w:p>
    <w:p w14:paraId="361AE022"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08" w:tgtFrame="_blank" w:history="1">
        <w:r w:rsidRPr="00E5701A">
          <w:rPr>
            <w:rFonts w:ascii="inherit" w:eastAsia="Times New Roman" w:hAnsi="inherit" w:cs="Times New Roman"/>
            <w:color w:val="222222"/>
            <w:sz w:val="15"/>
            <w:szCs w:val="16"/>
            <w:u w:val="single"/>
            <w:bdr w:val="none" w:sz="0" w:space="0" w:color="auto" w:frame="1"/>
          </w:rPr>
          <w:t>Renard D, Rubli E, Voide N, Borruat FX, Rothuizen LE. Spectrum of digoxin</w:t>
        </w:r>
        <w:r w:rsidRPr="00E5701A">
          <w:rPr>
            <w:rFonts w:ascii="inherit" w:eastAsia="Times New Roman" w:hAnsi="inherit" w:cs="Times New Roman"/>
            <w:color w:val="222222"/>
            <w:sz w:val="15"/>
            <w:szCs w:val="16"/>
            <w:u w:val="single"/>
            <w:bdr w:val="none" w:sz="0" w:space="0" w:color="auto" w:frame="1"/>
          </w:rPr>
          <w:noBreakHyphen/>
          <w:t>induced ocular toxicity: a case report and literature review. BMC Res Notes 2015;8:368.</w:t>
        </w:r>
      </w:hyperlink>
    </w:p>
    <w:p w14:paraId="40154454"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09" w:tgtFrame="_blank" w:history="1">
        <w:r w:rsidRPr="00E5701A">
          <w:rPr>
            <w:rFonts w:ascii="inherit" w:eastAsia="Times New Roman" w:hAnsi="inherit" w:cs="Times New Roman"/>
            <w:color w:val="222222"/>
            <w:sz w:val="15"/>
            <w:szCs w:val="16"/>
            <w:u w:val="single"/>
            <w:bdr w:val="none" w:sz="0" w:space="0" w:color="auto" w:frame="1"/>
          </w:rPr>
          <w:t>Luo C, Chen X, Jin H, Yao K. The association between gout and cataract risk: A meta</w:t>
        </w:r>
        <w:r w:rsidRPr="00E5701A">
          <w:rPr>
            <w:rFonts w:ascii="inherit" w:eastAsia="Times New Roman" w:hAnsi="inherit" w:cs="Times New Roman"/>
            <w:color w:val="222222"/>
            <w:sz w:val="15"/>
            <w:szCs w:val="16"/>
            <w:u w:val="single"/>
            <w:bdr w:val="none" w:sz="0" w:space="0" w:color="auto" w:frame="1"/>
          </w:rPr>
          <w:noBreakHyphen/>
          <w:t>analysis. PLoS One 2017;12:e0180188.</w:t>
        </w:r>
      </w:hyperlink>
    </w:p>
    <w:p w14:paraId="0AEB2B67"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10" w:tgtFrame="_blank" w:history="1">
        <w:r w:rsidRPr="00E5701A">
          <w:rPr>
            <w:rFonts w:ascii="inherit" w:eastAsia="Times New Roman" w:hAnsi="inherit" w:cs="Times New Roman"/>
            <w:color w:val="222222"/>
            <w:sz w:val="15"/>
            <w:szCs w:val="16"/>
            <w:u w:val="single"/>
            <w:bdr w:val="none" w:sz="0" w:space="0" w:color="auto" w:frame="1"/>
          </w:rPr>
          <w:t>Yang MC, Lin KY. Drug</w:t>
        </w:r>
        <w:r w:rsidRPr="00E5701A">
          <w:rPr>
            <w:rFonts w:ascii="inherit" w:eastAsia="Times New Roman" w:hAnsi="inherit" w:cs="Times New Roman"/>
            <w:color w:val="222222"/>
            <w:sz w:val="15"/>
            <w:szCs w:val="16"/>
            <w:u w:val="single"/>
            <w:bdr w:val="none" w:sz="0" w:space="0" w:color="auto" w:frame="1"/>
          </w:rPr>
          <w:noBreakHyphen/>
          <w:t>induced acute angle</w:t>
        </w:r>
        <w:r w:rsidRPr="00E5701A">
          <w:rPr>
            <w:rFonts w:ascii="inherit" w:eastAsia="Times New Roman" w:hAnsi="inherit" w:cs="Times New Roman"/>
            <w:color w:val="222222"/>
            <w:sz w:val="15"/>
            <w:szCs w:val="16"/>
            <w:u w:val="single"/>
            <w:bdr w:val="none" w:sz="0" w:space="0" w:color="auto" w:frame="1"/>
          </w:rPr>
          <w:noBreakHyphen/>
          <w:t>closure glaucoma: a review. J Curr Glaucoma Pract 2019;13:104</w:t>
        </w:r>
        <w:r w:rsidRPr="00E5701A">
          <w:rPr>
            <w:rFonts w:ascii="inherit" w:eastAsia="Times New Roman" w:hAnsi="inherit" w:cs="Times New Roman"/>
            <w:color w:val="222222"/>
            <w:sz w:val="15"/>
            <w:szCs w:val="16"/>
            <w:u w:val="single"/>
            <w:bdr w:val="none" w:sz="0" w:space="0" w:color="auto" w:frame="1"/>
          </w:rPr>
          <w:noBreakHyphen/>
          <w:t>9.</w:t>
        </w:r>
      </w:hyperlink>
    </w:p>
    <w:p w14:paraId="7AECBC92"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11" w:tgtFrame="_blank" w:history="1">
        <w:r w:rsidRPr="00E5701A">
          <w:rPr>
            <w:rFonts w:ascii="inherit" w:eastAsia="Times New Roman" w:hAnsi="inherit" w:cs="Times New Roman"/>
            <w:color w:val="222222"/>
            <w:sz w:val="15"/>
            <w:szCs w:val="16"/>
            <w:u w:val="single"/>
            <w:bdr w:val="none" w:sz="0" w:space="0" w:color="auto" w:frame="1"/>
          </w:rPr>
          <w:t>Sekeroglu MA, Hekimoglu E, Anayol MA, Tasci Y, Dolen I. An overlooked effect of systemic anticholinergics: alteration on accommodation amplitude. Int J Ophthalmol 2016;9:743</w:t>
        </w:r>
        <w:r w:rsidRPr="00E5701A">
          <w:rPr>
            <w:rFonts w:ascii="inherit" w:eastAsia="Times New Roman" w:hAnsi="inherit" w:cs="Times New Roman"/>
            <w:color w:val="222222"/>
            <w:sz w:val="15"/>
            <w:szCs w:val="16"/>
            <w:u w:val="single"/>
            <w:bdr w:val="none" w:sz="0" w:space="0" w:color="auto" w:frame="1"/>
          </w:rPr>
          <w:noBreakHyphen/>
          <w:t>5.</w:t>
        </w:r>
      </w:hyperlink>
    </w:p>
    <w:p w14:paraId="670B290B"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12" w:tgtFrame="_blank" w:history="1">
        <w:r w:rsidRPr="00E5701A">
          <w:rPr>
            <w:rFonts w:ascii="inherit" w:eastAsia="Times New Roman" w:hAnsi="inherit" w:cs="Times New Roman"/>
            <w:color w:val="222222"/>
            <w:sz w:val="15"/>
            <w:szCs w:val="16"/>
            <w:u w:val="single"/>
            <w:bdr w:val="none" w:sz="0" w:space="0" w:color="auto" w:frame="1"/>
          </w:rPr>
          <w:t>Shieh WS, Sridhar J, Hong BK, Maguire JI, Rahimy E, Shahlaee A, et al. Ophthalmic complications associated with direct oral anticoagulant medications. Semin Ophthalmol 2017;32:614</w:t>
        </w:r>
        <w:r w:rsidRPr="00E5701A">
          <w:rPr>
            <w:rFonts w:ascii="inherit" w:eastAsia="Times New Roman" w:hAnsi="inherit" w:cs="Times New Roman"/>
            <w:color w:val="222222"/>
            <w:sz w:val="15"/>
            <w:szCs w:val="16"/>
            <w:u w:val="single"/>
            <w:bdr w:val="none" w:sz="0" w:space="0" w:color="auto" w:frame="1"/>
          </w:rPr>
          <w:noBreakHyphen/>
          <w:t>9.</w:t>
        </w:r>
      </w:hyperlink>
    </w:p>
    <w:p w14:paraId="32327C83"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13" w:tgtFrame="_blank" w:history="1">
        <w:r w:rsidRPr="00E5701A">
          <w:rPr>
            <w:rFonts w:ascii="inherit" w:eastAsia="Times New Roman" w:hAnsi="inherit" w:cs="Times New Roman"/>
            <w:color w:val="222222"/>
            <w:sz w:val="15"/>
            <w:szCs w:val="16"/>
            <w:u w:val="single"/>
            <w:bdr w:val="none" w:sz="0" w:space="0" w:color="auto" w:frame="1"/>
          </w:rPr>
          <w:t>Hesami O, Hosseini SS, Kazemi N, Hosseini</w:t>
        </w:r>
        <w:r w:rsidRPr="00E5701A">
          <w:rPr>
            <w:rFonts w:ascii="inherit" w:eastAsia="Times New Roman" w:hAnsi="inherit" w:cs="Times New Roman"/>
            <w:color w:val="222222"/>
            <w:sz w:val="15"/>
            <w:szCs w:val="16"/>
            <w:u w:val="single"/>
            <w:bdr w:val="none" w:sz="0" w:space="0" w:color="auto" w:frame="1"/>
          </w:rPr>
          <w:noBreakHyphen/>
          <w:t>Zijoud SM, Moghaddam NB, Assarzadegan F, et al. Evaluation of ocular side effects in the patients on topiramate therapy for control of migrainous headache. J Clin Diagn Res 2016;10:NC01</w:t>
        </w:r>
        <w:r w:rsidRPr="00E5701A">
          <w:rPr>
            <w:rFonts w:ascii="inherit" w:eastAsia="Times New Roman" w:hAnsi="inherit" w:cs="Times New Roman"/>
            <w:color w:val="222222"/>
            <w:sz w:val="15"/>
            <w:szCs w:val="16"/>
            <w:u w:val="single"/>
            <w:bdr w:val="none" w:sz="0" w:space="0" w:color="auto" w:frame="1"/>
          </w:rPr>
          <w:noBreakHyphen/>
          <w:t>04.</w:t>
        </w:r>
      </w:hyperlink>
    </w:p>
    <w:p w14:paraId="55DF8E8C"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14" w:tgtFrame="_blank" w:history="1">
        <w:r w:rsidRPr="00E5701A">
          <w:rPr>
            <w:rFonts w:ascii="inherit" w:eastAsia="Times New Roman" w:hAnsi="inherit" w:cs="Times New Roman"/>
            <w:color w:val="222222"/>
            <w:sz w:val="15"/>
            <w:szCs w:val="16"/>
            <w:u w:val="single"/>
            <w:bdr w:val="none" w:sz="0" w:space="0" w:color="auto" w:frame="1"/>
          </w:rPr>
          <w:t>Abtahi MA, Abtahi SH, Fazel F, Roomizadeh P, Etemadifar M, Jenab K, et al. Topiramate and the vision: a systematic review. Clin Ophthalmol 2012;6:117</w:t>
        </w:r>
        <w:r w:rsidRPr="00E5701A">
          <w:rPr>
            <w:rFonts w:ascii="inherit" w:eastAsia="Times New Roman" w:hAnsi="inherit" w:cs="Times New Roman"/>
            <w:color w:val="222222"/>
            <w:sz w:val="15"/>
            <w:szCs w:val="16"/>
            <w:u w:val="single"/>
            <w:bdr w:val="none" w:sz="0" w:space="0" w:color="auto" w:frame="1"/>
          </w:rPr>
          <w:noBreakHyphen/>
          <w:t>31.</w:t>
        </w:r>
      </w:hyperlink>
    </w:p>
    <w:p w14:paraId="7C6C6C58"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15" w:tgtFrame="_blank" w:history="1">
        <w:r w:rsidRPr="00E5701A">
          <w:rPr>
            <w:rFonts w:ascii="inherit" w:eastAsia="Times New Roman" w:hAnsi="inherit" w:cs="Times New Roman"/>
            <w:color w:val="222222"/>
            <w:sz w:val="15"/>
            <w:szCs w:val="16"/>
            <w:u w:val="single"/>
            <w:bdr w:val="none" w:sz="0" w:space="0" w:color="auto" w:frame="1"/>
          </w:rPr>
          <w:t>Craig JE, Ong TJ, Louis DL, Wells JM. Mechanism of topiramate</w:t>
        </w:r>
        <w:r w:rsidRPr="00E5701A">
          <w:rPr>
            <w:rFonts w:ascii="inherit" w:eastAsia="Times New Roman" w:hAnsi="inherit" w:cs="Times New Roman"/>
            <w:color w:val="222222"/>
            <w:sz w:val="15"/>
            <w:szCs w:val="16"/>
            <w:u w:val="single"/>
            <w:bdr w:val="none" w:sz="0" w:space="0" w:color="auto" w:frame="1"/>
          </w:rPr>
          <w:noBreakHyphen/>
          <w:t>induced acute</w:t>
        </w:r>
        <w:r w:rsidRPr="00E5701A">
          <w:rPr>
            <w:rFonts w:ascii="inherit" w:eastAsia="Times New Roman" w:hAnsi="inherit" w:cs="Times New Roman"/>
            <w:color w:val="222222"/>
            <w:sz w:val="15"/>
            <w:szCs w:val="16"/>
            <w:u w:val="single"/>
            <w:bdr w:val="none" w:sz="0" w:space="0" w:color="auto" w:frame="1"/>
          </w:rPr>
          <w:noBreakHyphen/>
          <w:t>onset myopia and angle closure glaucoma. Am J Ophthalmol 2004;137:193</w:t>
        </w:r>
        <w:r w:rsidRPr="00E5701A">
          <w:rPr>
            <w:rFonts w:ascii="inherit" w:eastAsia="Times New Roman" w:hAnsi="inherit" w:cs="Times New Roman"/>
            <w:color w:val="222222"/>
            <w:sz w:val="15"/>
            <w:szCs w:val="16"/>
            <w:u w:val="single"/>
            <w:bdr w:val="none" w:sz="0" w:space="0" w:color="auto" w:frame="1"/>
          </w:rPr>
          <w:noBreakHyphen/>
          <w:t>5.</w:t>
        </w:r>
      </w:hyperlink>
    </w:p>
    <w:p w14:paraId="668563DA"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16" w:tgtFrame="_blank" w:history="1">
        <w:r w:rsidRPr="00E5701A">
          <w:rPr>
            <w:rFonts w:ascii="inherit" w:eastAsia="Times New Roman" w:hAnsi="inherit" w:cs="Times New Roman"/>
            <w:color w:val="222222"/>
            <w:sz w:val="15"/>
            <w:szCs w:val="16"/>
            <w:u w:val="single"/>
            <w:bdr w:val="none" w:sz="0" w:space="0" w:color="auto" w:frame="1"/>
          </w:rPr>
          <w:t>Quintero GC. Review about gabapentin misuse, interactions, contraindications and side effects. J Exp Pharmacol 2017;9:13</w:t>
        </w:r>
        <w:r w:rsidRPr="00E5701A">
          <w:rPr>
            <w:rFonts w:ascii="inherit" w:eastAsia="Times New Roman" w:hAnsi="inherit" w:cs="Times New Roman"/>
            <w:color w:val="222222"/>
            <w:sz w:val="15"/>
            <w:szCs w:val="16"/>
            <w:u w:val="single"/>
            <w:bdr w:val="none" w:sz="0" w:space="0" w:color="auto" w:frame="1"/>
          </w:rPr>
          <w:noBreakHyphen/>
          <w:t>21.</w:t>
        </w:r>
      </w:hyperlink>
    </w:p>
    <w:p w14:paraId="26549403"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17" w:tgtFrame="_blank" w:history="1">
        <w:r w:rsidRPr="00E5701A">
          <w:rPr>
            <w:rFonts w:ascii="inherit" w:eastAsia="Times New Roman" w:hAnsi="inherit" w:cs="Times New Roman"/>
            <w:color w:val="222222"/>
            <w:sz w:val="15"/>
            <w:szCs w:val="16"/>
            <w:u w:val="single"/>
            <w:bdr w:val="none" w:sz="0" w:space="0" w:color="auto" w:frame="1"/>
          </w:rPr>
          <w:t>Hawker MJ, Astbury NJ. The ocular side effects of vigabatrin (Sabril): information and guidance for screening. Eye (Lond) 2008;22:1097</w:t>
        </w:r>
        <w:r w:rsidRPr="00E5701A">
          <w:rPr>
            <w:rFonts w:ascii="inherit" w:eastAsia="Times New Roman" w:hAnsi="inherit" w:cs="Times New Roman"/>
            <w:color w:val="222222"/>
            <w:sz w:val="15"/>
            <w:szCs w:val="16"/>
            <w:u w:val="single"/>
            <w:bdr w:val="none" w:sz="0" w:space="0" w:color="auto" w:frame="1"/>
          </w:rPr>
          <w:noBreakHyphen/>
          <w:t>8.</w:t>
        </w:r>
      </w:hyperlink>
    </w:p>
    <w:p w14:paraId="15BF0D8F"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18" w:tgtFrame="_blank" w:history="1">
        <w:r w:rsidRPr="00E5701A">
          <w:rPr>
            <w:rFonts w:ascii="inherit" w:eastAsia="Times New Roman" w:hAnsi="inherit" w:cs="Times New Roman"/>
            <w:color w:val="222222"/>
            <w:sz w:val="15"/>
            <w:szCs w:val="16"/>
            <w:u w:val="single"/>
            <w:bdr w:val="none" w:sz="0" w:space="0" w:color="auto" w:frame="1"/>
          </w:rPr>
          <w:t>McKague M, Jorgenson D, Buxton KA. Ocular side effects of bisphosphonates: A case report and literature review. Can Fam Physician 2010;56:1015</w:t>
        </w:r>
        <w:r w:rsidRPr="00E5701A">
          <w:rPr>
            <w:rFonts w:ascii="inherit" w:eastAsia="Times New Roman" w:hAnsi="inherit" w:cs="Times New Roman"/>
            <w:color w:val="222222"/>
            <w:sz w:val="15"/>
            <w:szCs w:val="16"/>
            <w:u w:val="single"/>
            <w:bdr w:val="none" w:sz="0" w:space="0" w:color="auto" w:frame="1"/>
          </w:rPr>
          <w:noBreakHyphen/>
          <w:t>7.</w:t>
        </w:r>
      </w:hyperlink>
    </w:p>
    <w:p w14:paraId="5D77F1F3"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19" w:tgtFrame="_blank" w:history="1">
        <w:r w:rsidRPr="00E5701A">
          <w:rPr>
            <w:rFonts w:ascii="inherit" w:eastAsia="Times New Roman" w:hAnsi="inherit" w:cs="Times New Roman"/>
            <w:color w:val="222222"/>
            <w:sz w:val="15"/>
            <w:szCs w:val="16"/>
            <w:u w:val="single"/>
            <w:bdr w:val="none" w:sz="0" w:space="0" w:color="auto" w:frame="1"/>
          </w:rPr>
          <w:t>Grierson DJ. Hydroxychloroquine and visual screening in a rheumatology outpatient clinic. Ann Rheum Dis 1997;56:188</w:t>
        </w:r>
        <w:r w:rsidRPr="00E5701A">
          <w:rPr>
            <w:rFonts w:ascii="inherit" w:eastAsia="Times New Roman" w:hAnsi="inherit" w:cs="Times New Roman"/>
            <w:color w:val="222222"/>
            <w:sz w:val="15"/>
            <w:szCs w:val="16"/>
            <w:u w:val="single"/>
            <w:bdr w:val="none" w:sz="0" w:space="0" w:color="auto" w:frame="1"/>
          </w:rPr>
          <w:noBreakHyphen/>
          <w:t>90.</w:t>
        </w:r>
      </w:hyperlink>
    </w:p>
    <w:p w14:paraId="5D89F0A9"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20" w:tgtFrame="_blank" w:history="1">
        <w:r w:rsidRPr="00E5701A">
          <w:rPr>
            <w:rFonts w:ascii="inherit" w:eastAsia="Times New Roman" w:hAnsi="inherit" w:cs="Times New Roman"/>
            <w:color w:val="222222"/>
            <w:sz w:val="15"/>
            <w:szCs w:val="16"/>
            <w:u w:val="single"/>
            <w:bdr w:val="none" w:sz="0" w:space="0" w:color="auto" w:frame="1"/>
          </w:rPr>
          <w:t>Browning DJ. Hydroxychloroquine and chloroquine retinopathy: screening for drug toxicity. Am J Ophthalmol 2002;133:649</w:t>
        </w:r>
        <w:r w:rsidRPr="00E5701A">
          <w:rPr>
            <w:rFonts w:ascii="inherit" w:eastAsia="Times New Roman" w:hAnsi="inherit" w:cs="Times New Roman"/>
            <w:color w:val="222222"/>
            <w:sz w:val="15"/>
            <w:szCs w:val="16"/>
            <w:u w:val="single"/>
            <w:bdr w:val="none" w:sz="0" w:space="0" w:color="auto" w:frame="1"/>
          </w:rPr>
          <w:noBreakHyphen/>
          <w:t>56.</w:t>
        </w:r>
      </w:hyperlink>
    </w:p>
    <w:p w14:paraId="0FE26721"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21" w:tgtFrame="_blank" w:history="1">
        <w:r w:rsidRPr="00E5701A">
          <w:rPr>
            <w:rFonts w:ascii="inherit" w:eastAsia="Times New Roman" w:hAnsi="inherit" w:cs="Times New Roman"/>
            <w:color w:val="222222"/>
            <w:sz w:val="15"/>
            <w:szCs w:val="16"/>
            <w:u w:val="single"/>
            <w:bdr w:val="none" w:sz="0" w:space="0" w:color="auto" w:frame="1"/>
          </w:rPr>
          <w:t>Michaelides M, Stover NB, Francis PJ, Weleber RG. Retinal toxicity associated with hydroxychloroquine and chloroquine: risk factors, screening, and progression despite cessation of therapy. Arch Ophthalmol 2011;129:30</w:t>
        </w:r>
        <w:r w:rsidRPr="00E5701A">
          <w:rPr>
            <w:rFonts w:ascii="inherit" w:eastAsia="Times New Roman" w:hAnsi="inherit" w:cs="Times New Roman"/>
            <w:color w:val="222222"/>
            <w:sz w:val="15"/>
            <w:szCs w:val="16"/>
            <w:u w:val="single"/>
            <w:bdr w:val="none" w:sz="0" w:space="0" w:color="auto" w:frame="1"/>
          </w:rPr>
          <w:noBreakHyphen/>
          <w:t>9.</w:t>
        </w:r>
      </w:hyperlink>
    </w:p>
    <w:p w14:paraId="7B9B0765"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22" w:tgtFrame="_blank" w:history="1">
        <w:r w:rsidRPr="00E5701A">
          <w:rPr>
            <w:rFonts w:ascii="inherit" w:eastAsia="Times New Roman" w:hAnsi="inherit" w:cs="Times New Roman"/>
            <w:color w:val="222222"/>
            <w:sz w:val="15"/>
            <w:szCs w:val="16"/>
            <w:u w:val="single"/>
            <w:bdr w:val="none" w:sz="0" w:space="0" w:color="auto" w:frame="1"/>
          </w:rPr>
          <w:t>Mavrikakis I, Sfikakis PP, Mavrikakis E, Rougas K, Nikolaou A, Kostopoulos C, et al. The incidence of irreversible retinal toxicity in patients treated with hydroxychloroquine: a reappraisal. Ophthalmology 2003;110:1321</w:t>
        </w:r>
        <w:r w:rsidRPr="00E5701A">
          <w:rPr>
            <w:rFonts w:ascii="inherit" w:eastAsia="Times New Roman" w:hAnsi="inherit" w:cs="Times New Roman"/>
            <w:color w:val="222222"/>
            <w:sz w:val="15"/>
            <w:szCs w:val="16"/>
            <w:u w:val="single"/>
            <w:bdr w:val="none" w:sz="0" w:space="0" w:color="auto" w:frame="1"/>
          </w:rPr>
          <w:noBreakHyphen/>
          <w:t>6.</w:t>
        </w:r>
      </w:hyperlink>
    </w:p>
    <w:p w14:paraId="0577A68E"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23" w:tgtFrame="_blank" w:history="1">
        <w:r w:rsidRPr="00E5701A">
          <w:rPr>
            <w:rFonts w:ascii="inherit" w:eastAsia="Times New Roman" w:hAnsi="inherit" w:cs="Times New Roman"/>
            <w:color w:val="222222"/>
            <w:sz w:val="15"/>
            <w:szCs w:val="16"/>
            <w:u w:val="single"/>
            <w:bdr w:val="none" w:sz="0" w:space="0" w:color="auto" w:frame="1"/>
          </w:rPr>
          <w:t>Jones R 3rd, Rhee DJ. Corticosteroid</w:t>
        </w:r>
        <w:r w:rsidRPr="00E5701A">
          <w:rPr>
            <w:rFonts w:ascii="inherit" w:eastAsia="Times New Roman" w:hAnsi="inherit" w:cs="Times New Roman"/>
            <w:color w:val="222222"/>
            <w:sz w:val="15"/>
            <w:szCs w:val="16"/>
            <w:u w:val="single"/>
            <w:bdr w:val="none" w:sz="0" w:space="0" w:color="auto" w:frame="1"/>
          </w:rPr>
          <w:noBreakHyphen/>
          <w:t>induced ocular hypertension and glaucoma: a brief review and update of the literature. Curr Opin Ophthalmol 2006;17:163</w:t>
        </w:r>
        <w:r w:rsidRPr="00E5701A">
          <w:rPr>
            <w:rFonts w:ascii="inherit" w:eastAsia="Times New Roman" w:hAnsi="inherit" w:cs="Times New Roman"/>
            <w:color w:val="222222"/>
            <w:sz w:val="15"/>
            <w:szCs w:val="16"/>
            <w:u w:val="single"/>
            <w:bdr w:val="none" w:sz="0" w:space="0" w:color="auto" w:frame="1"/>
          </w:rPr>
          <w:noBreakHyphen/>
          <w:t>7.</w:t>
        </w:r>
      </w:hyperlink>
    </w:p>
    <w:p w14:paraId="5A3D489C"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24" w:tgtFrame="_blank" w:history="1">
        <w:r w:rsidRPr="00E5701A">
          <w:rPr>
            <w:rFonts w:ascii="inherit" w:eastAsia="Times New Roman" w:hAnsi="inherit" w:cs="Times New Roman"/>
            <w:color w:val="222222"/>
            <w:sz w:val="15"/>
            <w:szCs w:val="16"/>
            <w:u w:val="single"/>
            <w:bdr w:val="none" w:sz="0" w:space="0" w:color="auto" w:frame="1"/>
          </w:rPr>
          <w:t>Chamberlain PD, Sadaka A, Berry S, Lee AG. Ethambutol optic neuropathy. Curr Opin Ophthalmol 2017;28:545</w:t>
        </w:r>
        <w:r w:rsidRPr="00E5701A">
          <w:rPr>
            <w:rFonts w:ascii="inherit" w:eastAsia="Times New Roman" w:hAnsi="inherit" w:cs="Times New Roman"/>
            <w:color w:val="222222"/>
            <w:sz w:val="15"/>
            <w:szCs w:val="16"/>
            <w:u w:val="single"/>
            <w:bdr w:val="none" w:sz="0" w:space="0" w:color="auto" w:frame="1"/>
          </w:rPr>
          <w:noBreakHyphen/>
          <w:t>51.</w:t>
        </w:r>
      </w:hyperlink>
    </w:p>
    <w:p w14:paraId="7C177D42"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25" w:tgtFrame="_blank" w:history="1">
        <w:r w:rsidRPr="00E5701A">
          <w:rPr>
            <w:rFonts w:ascii="inherit" w:eastAsia="Times New Roman" w:hAnsi="inherit" w:cs="Times New Roman"/>
            <w:color w:val="222222"/>
            <w:sz w:val="15"/>
            <w:szCs w:val="16"/>
            <w:u w:val="single"/>
            <w:bdr w:val="none" w:sz="0" w:space="0" w:color="auto" w:frame="1"/>
          </w:rPr>
          <w:t>Jain N, Bhatti MT. Macular edema associated with fingolimod. EyeNet Magazine May 2021. [cited 2021 Jul 1]</w:t>
        </w:r>
      </w:hyperlink>
    </w:p>
    <w:p w14:paraId="2C2D3F18"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26" w:tgtFrame="_blank" w:history="1">
        <w:r w:rsidRPr="00E5701A">
          <w:rPr>
            <w:rFonts w:ascii="inherit" w:eastAsia="Times New Roman" w:hAnsi="inherit" w:cs="Times New Roman"/>
            <w:color w:val="222222"/>
            <w:sz w:val="15"/>
            <w:szCs w:val="16"/>
            <w:u w:val="single"/>
            <w:bdr w:val="none" w:sz="0" w:space="0" w:color="auto" w:frame="1"/>
          </w:rPr>
          <w:t>Fraunfelder FT, Fraunfelder FW, Edwards R. Ocular side effects possibly associated with isotretinoin usage. Am J Ophthalmol 2001;132:299</w:t>
        </w:r>
        <w:r w:rsidRPr="00E5701A">
          <w:rPr>
            <w:rFonts w:ascii="inherit" w:eastAsia="Times New Roman" w:hAnsi="inherit" w:cs="Times New Roman"/>
            <w:color w:val="222222"/>
            <w:sz w:val="15"/>
            <w:szCs w:val="16"/>
            <w:u w:val="single"/>
            <w:bdr w:val="none" w:sz="0" w:space="0" w:color="auto" w:frame="1"/>
          </w:rPr>
          <w:noBreakHyphen/>
          <w:t>305.</w:t>
        </w:r>
      </w:hyperlink>
    </w:p>
    <w:p w14:paraId="5EDA47C5"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27" w:tgtFrame="_blank" w:history="1">
        <w:r w:rsidRPr="00E5701A">
          <w:rPr>
            <w:rFonts w:ascii="inherit" w:eastAsia="Times New Roman" w:hAnsi="inherit" w:cs="Times New Roman"/>
            <w:color w:val="222222"/>
            <w:sz w:val="15"/>
            <w:szCs w:val="16"/>
            <w:u w:val="single"/>
            <w:bdr w:val="none" w:sz="0" w:space="0" w:color="auto" w:frame="1"/>
          </w:rPr>
          <w:t>Méndez</w:t>
        </w:r>
        <w:r w:rsidRPr="00E5701A">
          <w:rPr>
            <w:rFonts w:ascii="inherit" w:eastAsia="Times New Roman" w:hAnsi="inherit" w:cs="Times New Roman"/>
            <w:color w:val="222222"/>
            <w:sz w:val="15"/>
            <w:szCs w:val="16"/>
            <w:u w:val="single"/>
            <w:bdr w:val="none" w:sz="0" w:space="0" w:color="auto" w:frame="1"/>
          </w:rPr>
          <w:noBreakHyphen/>
          <w:t>Martínez S, Calvo P, Ruiz</w:t>
        </w:r>
        <w:r w:rsidRPr="00E5701A">
          <w:rPr>
            <w:rFonts w:ascii="inherit" w:eastAsia="Times New Roman" w:hAnsi="inherit" w:cs="Times New Roman"/>
            <w:color w:val="222222"/>
            <w:sz w:val="15"/>
            <w:szCs w:val="16"/>
            <w:u w:val="single"/>
            <w:bdr w:val="none" w:sz="0" w:space="0" w:color="auto" w:frame="1"/>
          </w:rPr>
          <w:noBreakHyphen/>
          <w:t>Moreno O, Pardiñas Barón N, Leciñena Bueno J, Gil Ruiz MD, et al. Ocular adverse events associated with MEK inhibitors. Retina 2019;39:1435</w:t>
        </w:r>
        <w:r w:rsidRPr="00E5701A">
          <w:rPr>
            <w:rFonts w:ascii="inherit" w:eastAsia="Times New Roman" w:hAnsi="inherit" w:cs="Times New Roman"/>
            <w:color w:val="222222"/>
            <w:sz w:val="15"/>
            <w:szCs w:val="16"/>
            <w:u w:val="single"/>
            <w:bdr w:val="none" w:sz="0" w:space="0" w:color="auto" w:frame="1"/>
          </w:rPr>
          <w:noBreakHyphen/>
          <w:t>50.</w:t>
        </w:r>
      </w:hyperlink>
    </w:p>
    <w:p w14:paraId="7700386A"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28" w:tgtFrame="_blank" w:history="1">
        <w:r w:rsidRPr="00E5701A">
          <w:rPr>
            <w:rFonts w:ascii="inherit" w:eastAsia="Times New Roman" w:hAnsi="inherit" w:cs="Times New Roman"/>
            <w:color w:val="222222"/>
            <w:sz w:val="15"/>
            <w:szCs w:val="16"/>
            <w:u w:val="single"/>
            <w:bdr w:val="none" w:sz="0" w:space="0" w:color="auto" w:frame="1"/>
          </w:rPr>
          <w:t>Wang D, Velaga SB, Grondin C, Au A, Nittala M, Chhablani J, et al. Pentosan polysulfate maculopathy: prevalence, spectrum of disease, and choroidal imaging analysis based on prospective screening. Am J Ophthalmol 2021;227:125</w:t>
        </w:r>
        <w:r w:rsidRPr="00E5701A">
          <w:rPr>
            <w:rFonts w:ascii="inherit" w:eastAsia="Times New Roman" w:hAnsi="inherit" w:cs="Times New Roman"/>
            <w:color w:val="222222"/>
            <w:sz w:val="15"/>
            <w:szCs w:val="16"/>
            <w:u w:val="single"/>
            <w:bdr w:val="none" w:sz="0" w:space="0" w:color="auto" w:frame="1"/>
          </w:rPr>
          <w:noBreakHyphen/>
          <w:t>38.</w:t>
        </w:r>
      </w:hyperlink>
    </w:p>
    <w:p w14:paraId="5E813145"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29" w:tgtFrame="_blank" w:history="1">
        <w:r w:rsidRPr="00E5701A">
          <w:rPr>
            <w:rFonts w:ascii="inherit" w:eastAsia="Times New Roman" w:hAnsi="inherit" w:cs="Times New Roman"/>
            <w:color w:val="222222"/>
            <w:sz w:val="15"/>
            <w:szCs w:val="16"/>
            <w:u w:val="single"/>
            <w:bdr w:val="none" w:sz="0" w:space="0" w:color="auto" w:frame="1"/>
          </w:rPr>
          <w:t>Richa S, Yazbek JC. Ocular adverse effects of common psychotropic agents: a review. CNS Drugs 2010;24:501</w:t>
        </w:r>
        <w:r w:rsidRPr="00E5701A">
          <w:rPr>
            <w:rFonts w:ascii="inherit" w:eastAsia="Times New Roman" w:hAnsi="inherit" w:cs="Times New Roman"/>
            <w:color w:val="222222"/>
            <w:sz w:val="15"/>
            <w:szCs w:val="16"/>
            <w:u w:val="single"/>
            <w:bdr w:val="none" w:sz="0" w:space="0" w:color="auto" w:frame="1"/>
          </w:rPr>
          <w:noBreakHyphen/>
          <w:t>26.</w:t>
        </w:r>
      </w:hyperlink>
    </w:p>
    <w:p w14:paraId="1D4BFA29"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30" w:tgtFrame="_blank" w:history="1">
        <w:r w:rsidRPr="00E5701A">
          <w:rPr>
            <w:rFonts w:ascii="inherit" w:eastAsia="Times New Roman" w:hAnsi="inherit" w:cs="Times New Roman"/>
            <w:color w:val="222222"/>
            <w:sz w:val="15"/>
            <w:szCs w:val="16"/>
            <w:u w:val="single"/>
            <w:bdr w:val="none" w:sz="0" w:space="0" w:color="auto" w:frame="1"/>
          </w:rPr>
          <w:t>Moschos MM, Nitoda E. Pathophysiology of visual disorders induced by phosphodiesterase inhibitors in the treatment of erectile dysfunction. Drug Des Devel Ther 2016;10:3407</w:t>
        </w:r>
        <w:r w:rsidRPr="00E5701A">
          <w:rPr>
            <w:rFonts w:ascii="inherit" w:eastAsia="Times New Roman" w:hAnsi="inherit" w:cs="Times New Roman"/>
            <w:color w:val="222222"/>
            <w:sz w:val="15"/>
            <w:szCs w:val="16"/>
            <w:u w:val="single"/>
            <w:bdr w:val="none" w:sz="0" w:space="0" w:color="auto" w:frame="1"/>
          </w:rPr>
          <w:noBreakHyphen/>
          <w:t>13.</w:t>
        </w:r>
      </w:hyperlink>
    </w:p>
    <w:p w14:paraId="06C8C56C"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31" w:tgtFrame="_blank" w:history="1">
        <w:r w:rsidRPr="00E5701A">
          <w:rPr>
            <w:rFonts w:ascii="inherit" w:eastAsia="Times New Roman" w:hAnsi="inherit" w:cs="Times New Roman"/>
            <w:color w:val="222222"/>
            <w:sz w:val="15"/>
            <w:szCs w:val="16"/>
            <w:u w:val="single"/>
            <w:bdr w:val="none" w:sz="0" w:space="0" w:color="auto" w:frame="1"/>
          </w:rPr>
          <w:t>Hayreh SS. Erectile dysfunction drugs and non</w:t>
        </w:r>
        <w:r w:rsidRPr="00E5701A">
          <w:rPr>
            <w:rFonts w:ascii="inherit" w:eastAsia="Times New Roman" w:hAnsi="inherit" w:cs="Times New Roman"/>
            <w:color w:val="222222"/>
            <w:sz w:val="15"/>
            <w:szCs w:val="16"/>
            <w:u w:val="single"/>
            <w:bdr w:val="none" w:sz="0" w:space="0" w:color="auto" w:frame="1"/>
          </w:rPr>
          <w:noBreakHyphen/>
          <w:t>arteritic anterior ischemic optic neuropathy: is there a cause and effect relationship? J Neuroophthalmol 2005;25:295</w:t>
        </w:r>
        <w:r w:rsidRPr="00E5701A">
          <w:rPr>
            <w:rFonts w:ascii="inherit" w:eastAsia="Times New Roman" w:hAnsi="inherit" w:cs="Times New Roman"/>
            <w:color w:val="222222"/>
            <w:sz w:val="15"/>
            <w:szCs w:val="16"/>
            <w:u w:val="single"/>
            <w:bdr w:val="none" w:sz="0" w:space="0" w:color="auto" w:frame="1"/>
          </w:rPr>
          <w:noBreakHyphen/>
          <w:t>8.</w:t>
        </w:r>
      </w:hyperlink>
    </w:p>
    <w:p w14:paraId="5F4A817F"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32" w:tgtFrame="_blank" w:history="1">
        <w:r w:rsidRPr="00E5701A">
          <w:rPr>
            <w:rFonts w:ascii="inherit" w:eastAsia="Times New Roman" w:hAnsi="inherit" w:cs="Times New Roman"/>
            <w:color w:val="222222"/>
            <w:sz w:val="15"/>
            <w:szCs w:val="16"/>
            <w:u w:val="single"/>
            <w:bdr w:val="none" w:sz="0" w:space="0" w:color="auto" w:frame="1"/>
          </w:rPr>
          <w:t>Karaarslan C. Ocular side effects of sildenafil that persist beyond 24 h – a case series. Front Neurol 2020;11:67.</w:t>
        </w:r>
      </w:hyperlink>
    </w:p>
    <w:p w14:paraId="4856C6FE"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33" w:tgtFrame="_blank" w:history="1">
        <w:r w:rsidRPr="00E5701A">
          <w:rPr>
            <w:rFonts w:ascii="inherit" w:eastAsia="Times New Roman" w:hAnsi="inherit" w:cs="Times New Roman"/>
            <w:color w:val="222222"/>
            <w:sz w:val="15"/>
            <w:szCs w:val="16"/>
            <w:u w:val="single"/>
            <w:bdr w:val="none" w:sz="0" w:space="0" w:color="auto" w:frame="1"/>
          </w:rPr>
          <w:t>Alwitry A, Gardner I. Tamoxifen maculopathy. Arch Ophthalmol 2002;120:1402.</w:t>
        </w:r>
      </w:hyperlink>
    </w:p>
    <w:p w14:paraId="441CE0A8"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34" w:tgtFrame="_blank" w:history="1">
        <w:r w:rsidRPr="00E5701A">
          <w:rPr>
            <w:rFonts w:ascii="inherit" w:eastAsia="Times New Roman" w:hAnsi="inherit" w:cs="Times New Roman"/>
            <w:color w:val="222222"/>
            <w:sz w:val="15"/>
            <w:szCs w:val="16"/>
            <w:u w:val="single"/>
            <w:bdr w:val="none" w:sz="0" w:space="0" w:color="auto" w:frame="1"/>
          </w:rPr>
          <w:t>Nayfield SG, Gorin MB. Tamoxifen</w:t>
        </w:r>
        <w:r w:rsidRPr="00E5701A">
          <w:rPr>
            <w:rFonts w:ascii="inherit" w:eastAsia="Times New Roman" w:hAnsi="inherit" w:cs="Times New Roman"/>
            <w:color w:val="222222"/>
            <w:sz w:val="15"/>
            <w:szCs w:val="16"/>
            <w:u w:val="single"/>
            <w:bdr w:val="none" w:sz="0" w:space="0" w:color="auto" w:frame="1"/>
          </w:rPr>
          <w:noBreakHyphen/>
          <w:t>associated eye disease. A review. J Clin Oncol 1996;14:1018</w:t>
        </w:r>
        <w:r w:rsidRPr="00E5701A">
          <w:rPr>
            <w:rFonts w:ascii="inherit" w:eastAsia="Times New Roman" w:hAnsi="inherit" w:cs="Times New Roman"/>
            <w:color w:val="222222"/>
            <w:sz w:val="15"/>
            <w:szCs w:val="16"/>
            <w:u w:val="single"/>
            <w:bdr w:val="none" w:sz="0" w:space="0" w:color="auto" w:frame="1"/>
          </w:rPr>
          <w:noBreakHyphen/>
          <w:t>26.</w:t>
        </w:r>
      </w:hyperlink>
    </w:p>
    <w:p w14:paraId="22E35377"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35" w:tgtFrame="_blank" w:history="1">
        <w:r w:rsidRPr="00E5701A">
          <w:rPr>
            <w:rFonts w:ascii="inherit" w:eastAsia="Times New Roman" w:hAnsi="inherit" w:cs="Times New Roman"/>
            <w:color w:val="222222"/>
            <w:sz w:val="15"/>
            <w:szCs w:val="16"/>
            <w:u w:val="single"/>
            <w:bdr w:val="none" w:sz="0" w:space="0" w:color="auto" w:frame="1"/>
          </w:rPr>
          <w:t>Heier JS, Dragoo RA, Enzenauer RW, Waterhouse WJ. Screening for ocular toxicity in asymptomatic patients treated with tamoxifen. Am J Ophthalmol 1994;117:772</w:t>
        </w:r>
        <w:r w:rsidRPr="00E5701A">
          <w:rPr>
            <w:rFonts w:ascii="inherit" w:eastAsia="Times New Roman" w:hAnsi="inherit" w:cs="Times New Roman"/>
            <w:color w:val="222222"/>
            <w:sz w:val="15"/>
            <w:szCs w:val="16"/>
            <w:u w:val="single"/>
            <w:bdr w:val="none" w:sz="0" w:space="0" w:color="auto" w:frame="1"/>
          </w:rPr>
          <w:noBreakHyphen/>
          <w:t>5.</w:t>
        </w:r>
      </w:hyperlink>
    </w:p>
    <w:p w14:paraId="0605CC2F"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36" w:tgtFrame="_blank" w:history="1">
        <w:r w:rsidRPr="00E5701A">
          <w:rPr>
            <w:rFonts w:ascii="inherit" w:eastAsia="Times New Roman" w:hAnsi="inherit" w:cs="Times New Roman"/>
            <w:color w:val="222222"/>
            <w:sz w:val="15"/>
            <w:szCs w:val="16"/>
            <w:u w:val="single"/>
            <w:bdr w:val="none" w:sz="0" w:space="0" w:color="auto" w:frame="1"/>
          </w:rPr>
          <w:t>Therssen R, Jansen E, Leys A, Rutten J, Meyskens J. Screening for tamoxifen ocular toxicity: a prospective study. Eur J Ophthalmol 1995;5:230</w:t>
        </w:r>
        <w:r w:rsidRPr="00E5701A">
          <w:rPr>
            <w:rFonts w:ascii="inherit" w:eastAsia="Times New Roman" w:hAnsi="inherit" w:cs="Times New Roman"/>
            <w:color w:val="222222"/>
            <w:sz w:val="15"/>
            <w:szCs w:val="16"/>
            <w:u w:val="single"/>
            <w:bdr w:val="none" w:sz="0" w:space="0" w:color="auto" w:frame="1"/>
          </w:rPr>
          <w:noBreakHyphen/>
          <w:t>4.</w:t>
        </w:r>
      </w:hyperlink>
    </w:p>
    <w:p w14:paraId="2776D349"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37" w:tgtFrame="_blank" w:history="1">
        <w:r w:rsidRPr="00E5701A">
          <w:rPr>
            <w:rFonts w:ascii="inherit" w:eastAsia="Times New Roman" w:hAnsi="inherit" w:cs="Times New Roman"/>
            <w:color w:val="222222"/>
            <w:sz w:val="15"/>
            <w:szCs w:val="16"/>
            <w:u w:val="single"/>
            <w:bdr w:val="none" w:sz="0" w:space="0" w:color="auto" w:frame="1"/>
          </w:rPr>
          <w:t>Digre KB. Not so benign intracranial hypertension. BMJ 2003;326:613</w:t>
        </w:r>
        <w:r w:rsidRPr="00E5701A">
          <w:rPr>
            <w:rFonts w:ascii="inherit" w:eastAsia="Times New Roman" w:hAnsi="inherit" w:cs="Times New Roman"/>
            <w:color w:val="222222"/>
            <w:sz w:val="15"/>
            <w:szCs w:val="16"/>
            <w:u w:val="single"/>
            <w:bdr w:val="none" w:sz="0" w:space="0" w:color="auto" w:frame="1"/>
          </w:rPr>
          <w:noBreakHyphen/>
          <w:t>4.</w:t>
        </w:r>
      </w:hyperlink>
    </w:p>
    <w:p w14:paraId="14945171"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38" w:tgtFrame="_blank" w:history="1">
        <w:r w:rsidRPr="00E5701A">
          <w:rPr>
            <w:rFonts w:ascii="inherit" w:eastAsia="Times New Roman" w:hAnsi="inherit" w:cs="Times New Roman"/>
            <w:color w:val="D3093F"/>
            <w:sz w:val="15"/>
            <w:szCs w:val="16"/>
            <w:u w:val="single"/>
            <w:bdr w:val="none" w:sz="0" w:space="0" w:color="auto" w:frame="1"/>
          </w:rPr>
          <w:t>Idris I, Warren G, Donnelly R. Association between thiazolidinedione treatment and risk of macular edema among patients with type 2 diabetes. Arch Intern Med 2012;172:1005</w:t>
        </w:r>
        <w:r w:rsidRPr="00E5701A">
          <w:rPr>
            <w:rFonts w:ascii="inherit" w:eastAsia="Times New Roman" w:hAnsi="inherit" w:cs="Times New Roman"/>
            <w:color w:val="D3093F"/>
            <w:sz w:val="15"/>
            <w:szCs w:val="16"/>
            <w:u w:val="single"/>
            <w:bdr w:val="none" w:sz="0" w:space="0" w:color="auto" w:frame="1"/>
          </w:rPr>
          <w:noBreakHyphen/>
          <w:t>11.</w:t>
        </w:r>
      </w:hyperlink>
    </w:p>
    <w:p w14:paraId="19051F30"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39" w:tgtFrame="_blank" w:history="1">
        <w:r w:rsidRPr="00E5701A">
          <w:rPr>
            <w:rFonts w:ascii="inherit" w:eastAsia="Times New Roman" w:hAnsi="inherit" w:cs="Times New Roman"/>
            <w:color w:val="222222"/>
            <w:sz w:val="15"/>
            <w:szCs w:val="16"/>
            <w:u w:val="single"/>
            <w:bdr w:val="none" w:sz="0" w:space="0" w:color="auto" w:frame="1"/>
          </w:rPr>
          <w:t>Ryan EH Jr, Han DP, Ramsay RC, Cantrill HL, Bennett SR, Dev S, et al. Diabetic macular edema associated with glitazone use. Retina 2006;26:562</w:t>
        </w:r>
        <w:r w:rsidRPr="00E5701A">
          <w:rPr>
            <w:rFonts w:ascii="inherit" w:eastAsia="Times New Roman" w:hAnsi="inherit" w:cs="Times New Roman"/>
            <w:color w:val="222222"/>
            <w:sz w:val="15"/>
            <w:szCs w:val="16"/>
            <w:u w:val="single"/>
            <w:bdr w:val="none" w:sz="0" w:space="0" w:color="auto" w:frame="1"/>
          </w:rPr>
          <w:noBreakHyphen/>
          <w:t>70.</w:t>
        </w:r>
      </w:hyperlink>
    </w:p>
    <w:p w14:paraId="748A44AF"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40" w:tgtFrame="_blank" w:history="1">
        <w:r w:rsidRPr="00E5701A">
          <w:rPr>
            <w:rFonts w:ascii="inherit" w:eastAsia="Times New Roman" w:hAnsi="inherit" w:cs="Times New Roman"/>
            <w:color w:val="222222"/>
            <w:sz w:val="15"/>
            <w:szCs w:val="16"/>
            <w:u w:val="single"/>
            <w:bdr w:val="none" w:sz="0" w:space="0" w:color="auto" w:frame="1"/>
          </w:rPr>
          <w:t>Royal College of Ophthalmologists. Hydroxychloroquine and chloroquine retinopathy: recommendations on monitoring 2020. Updated 2020 Dec 16. [cited 2021 Jul 1]</w:t>
        </w:r>
      </w:hyperlink>
    </w:p>
    <w:p w14:paraId="7779DC04" w14:textId="77777777" w:rsidR="00E5701A" w:rsidRPr="00E5701A" w:rsidRDefault="00E5701A" w:rsidP="00E5701A">
      <w:pPr>
        <w:numPr>
          <w:ilvl w:val="0"/>
          <w:numId w:val="6"/>
        </w:numPr>
        <w:spacing w:beforeAutospacing="1" w:afterAutospacing="1"/>
        <w:ind w:left="0"/>
        <w:rPr>
          <w:rFonts w:ascii="inherit" w:eastAsia="Times New Roman" w:hAnsi="inherit" w:cs="Times New Roman"/>
          <w:color w:val="333333"/>
          <w:sz w:val="15"/>
          <w:szCs w:val="16"/>
        </w:rPr>
      </w:pPr>
      <w:hyperlink r:id="rId141" w:tgtFrame="_blank" w:history="1">
        <w:r w:rsidRPr="00E5701A">
          <w:rPr>
            <w:rFonts w:ascii="inherit" w:eastAsia="Times New Roman" w:hAnsi="inherit" w:cs="Times New Roman"/>
            <w:color w:val="222222"/>
            <w:sz w:val="15"/>
            <w:szCs w:val="16"/>
            <w:u w:val="single"/>
            <w:bdr w:val="none" w:sz="0" w:space="0" w:color="auto" w:frame="1"/>
          </w:rPr>
          <w:t>Royal Australian and New Zealand College of Ophthalmologists. Guidelines for screening for hydroxychloroquine retinopathy. Sydney: RANZCO; 2015. [cited 2021 Jul 1]</w:t>
        </w:r>
      </w:hyperlink>
    </w:p>
    <w:p w14:paraId="58C707C6" w14:textId="77777777" w:rsidR="00E5701A" w:rsidRPr="00E5701A" w:rsidRDefault="00E5701A" w:rsidP="00E5701A">
      <w:pPr>
        <w:rPr>
          <w:sz w:val="20"/>
          <w:szCs w:val="20"/>
        </w:rPr>
      </w:pPr>
    </w:p>
    <w:sectPr w:rsidR="00E5701A" w:rsidRPr="00E570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B06040202020202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B048C"/>
    <w:multiLevelType w:val="multilevel"/>
    <w:tmpl w:val="53A4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A7079"/>
    <w:multiLevelType w:val="multilevel"/>
    <w:tmpl w:val="410E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70333"/>
    <w:multiLevelType w:val="multilevel"/>
    <w:tmpl w:val="D822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E7406"/>
    <w:multiLevelType w:val="multilevel"/>
    <w:tmpl w:val="9B52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157540"/>
    <w:multiLevelType w:val="multilevel"/>
    <w:tmpl w:val="EF3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BA5025"/>
    <w:multiLevelType w:val="multilevel"/>
    <w:tmpl w:val="DE2A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4"/>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1A"/>
    <w:rsid w:val="00E5701A"/>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4C2C5"/>
  <w15:chartTrackingRefBased/>
  <w15:docId w15:val="{E84577F4-CBE3-5443-9E88-AAB72C837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5701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5701A"/>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01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5701A"/>
    <w:rPr>
      <w:rFonts w:ascii="Times New Roman" w:eastAsia="Times New Roman" w:hAnsi="Times New Roman" w:cs="Times New Roman"/>
      <w:b/>
      <w:bCs/>
      <w:sz w:val="36"/>
      <w:szCs w:val="36"/>
    </w:rPr>
  </w:style>
  <w:style w:type="paragraph" w:customStyle="1" w:styleId="msonormal0">
    <w:name w:val="msonormal"/>
    <w:basedOn w:val="Normal"/>
    <w:rsid w:val="00E5701A"/>
    <w:pPr>
      <w:spacing w:before="100" w:beforeAutospacing="1" w:after="100" w:afterAutospacing="1"/>
    </w:pPr>
    <w:rPr>
      <w:rFonts w:ascii="Times New Roman" w:eastAsia="Times New Roman" w:hAnsi="Times New Roman" w:cs="Times New Roman"/>
    </w:rPr>
  </w:style>
  <w:style w:type="paragraph" w:customStyle="1" w:styleId="color-dark-violet">
    <w:name w:val="color-dark-violet"/>
    <w:basedOn w:val="Normal"/>
    <w:rsid w:val="00E5701A"/>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E5701A"/>
    <w:rPr>
      <w:color w:val="0000FF"/>
      <w:u w:val="single"/>
    </w:rPr>
  </w:style>
  <w:style w:type="character" w:styleId="FollowedHyperlink">
    <w:name w:val="FollowedHyperlink"/>
    <w:basedOn w:val="DefaultParagraphFont"/>
    <w:uiPriority w:val="99"/>
    <w:semiHidden/>
    <w:unhideWhenUsed/>
    <w:rsid w:val="00E5701A"/>
    <w:rPr>
      <w:color w:val="800080"/>
      <w:u w:val="single"/>
    </w:rPr>
  </w:style>
  <w:style w:type="character" w:customStyle="1" w:styleId="txt">
    <w:name w:val="txt"/>
    <w:basedOn w:val="DefaultParagraphFont"/>
    <w:rsid w:val="00E5701A"/>
  </w:style>
  <w:style w:type="character" w:customStyle="1" w:styleId="icon-icn-share">
    <w:name w:val="icon-icn-share"/>
    <w:basedOn w:val="DefaultParagraphFont"/>
    <w:rsid w:val="00E5701A"/>
  </w:style>
  <w:style w:type="character" w:customStyle="1" w:styleId="icon-icn-download-new">
    <w:name w:val="icon-icn-download-new"/>
    <w:basedOn w:val="DefaultParagraphFont"/>
    <w:rsid w:val="00E5701A"/>
  </w:style>
  <w:style w:type="character" w:customStyle="1" w:styleId="flag-tabs">
    <w:name w:val="flag-tabs"/>
    <w:basedOn w:val="DefaultParagraphFont"/>
    <w:rsid w:val="00E5701A"/>
  </w:style>
  <w:style w:type="character" w:customStyle="1" w:styleId="openning">
    <w:name w:val="openning"/>
    <w:basedOn w:val="DefaultParagraphFont"/>
    <w:rsid w:val="00E5701A"/>
  </w:style>
  <w:style w:type="paragraph" w:styleId="NormalWeb">
    <w:name w:val="Normal (Web)"/>
    <w:basedOn w:val="Normal"/>
    <w:uiPriority w:val="99"/>
    <w:semiHidden/>
    <w:unhideWhenUsed/>
    <w:rsid w:val="00E5701A"/>
    <w:pPr>
      <w:spacing w:before="100" w:beforeAutospacing="1" w:after="100" w:afterAutospacing="1"/>
    </w:pPr>
    <w:rPr>
      <w:rFonts w:ascii="Times New Roman" w:eastAsia="Times New Roman" w:hAnsi="Times New Roman" w:cs="Times New Roman"/>
    </w:rPr>
  </w:style>
  <w:style w:type="character" w:customStyle="1" w:styleId="line">
    <w:name w:val="line"/>
    <w:basedOn w:val="DefaultParagraphFont"/>
    <w:rsid w:val="00E5701A"/>
  </w:style>
  <w:style w:type="character" w:styleId="Strong">
    <w:name w:val="Strong"/>
    <w:basedOn w:val="DefaultParagraphFont"/>
    <w:uiPriority w:val="22"/>
    <w:qFormat/>
    <w:rsid w:val="00E5701A"/>
    <w:rPr>
      <w:b/>
      <w:bCs/>
    </w:rPr>
  </w:style>
  <w:style w:type="character" w:styleId="Emphasis">
    <w:name w:val="Emphasis"/>
    <w:basedOn w:val="DefaultParagraphFont"/>
    <w:uiPriority w:val="20"/>
    <w:qFormat/>
    <w:rsid w:val="00E5701A"/>
    <w:rPr>
      <w:i/>
      <w:iCs/>
    </w:rPr>
  </w:style>
  <w:style w:type="character" w:customStyle="1" w:styleId="icon-icn-external-link">
    <w:name w:val="icon-icn-external-link"/>
    <w:basedOn w:val="DefaultParagraphFont"/>
    <w:rsid w:val="00E57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941493">
      <w:bodyDiv w:val="1"/>
      <w:marLeft w:val="0"/>
      <w:marRight w:val="0"/>
      <w:marTop w:val="0"/>
      <w:marBottom w:val="0"/>
      <w:divBdr>
        <w:top w:val="none" w:sz="0" w:space="0" w:color="auto"/>
        <w:left w:val="none" w:sz="0" w:space="0" w:color="auto"/>
        <w:bottom w:val="none" w:sz="0" w:space="0" w:color="auto"/>
        <w:right w:val="none" w:sz="0" w:space="0" w:color="auto"/>
      </w:divBdr>
      <w:divsChild>
        <w:div w:id="385614956">
          <w:marLeft w:val="0"/>
          <w:marRight w:val="0"/>
          <w:marTop w:val="0"/>
          <w:marBottom w:val="0"/>
          <w:divBdr>
            <w:top w:val="none" w:sz="0" w:space="0" w:color="auto"/>
            <w:left w:val="none" w:sz="0" w:space="0" w:color="auto"/>
            <w:bottom w:val="none" w:sz="0" w:space="0" w:color="auto"/>
            <w:right w:val="none" w:sz="0" w:space="0" w:color="auto"/>
          </w:divBdr>
          <w:divsChild>
            <w:div w:id="1662932101">
              <w:marLeft w:val="0"/>
              <w:marRight w:val="0"/>
              <w:marTop w:val="0"/>
              <w:marBottom w:val="0"/>
              <w:divBdr>
                <w:top w:val="none" w:sz="0" w:space="0" w:color="auto"/>
                <w:left w:val="none" w:sz="0" w:space="0" w:color="auto"/>
                <w:bottom w:val="none" w:sz="0" w:space="0" w:color="auto"/>
                <w:right w:val="none" w:sz="0" w:space="0" w:color="auto"/>
              </w:divBdr>
              <w:divsChild>
                <w:div w:id="259988928">
                  <w:marLeft w:val="0"/>
                  <w:marRight w:val="0"/>
                  <w:marTop w:val="0"/>
                  <w:marBottom w:val="0"/>
                  <w:divBdr>
                    <w:top w:val="none" w:sz="0" w:space="0" w:color="auto"/>
                    <w:left w:val="none" w:sz="0" w:space="0" w:color="auto"/>
                    <w:bottom w:val="none" w:sz="0" w:space="0" w:color="auto"/>
                    <w:right w:val="none" w:sz="0" w:space="0" w:color="auto"/>
                  </w:divBdr>
                  <w:divsChild>
                    <w:div w:id="1673533475">
                      <w:marLeft w:val="0"/>
                      <w:marRight w:val="0"/>
                      <w:marTop w:val="100"/>
                      <w:marBottom w:val="100"/>
                      <w:divBdr>
                        <w:top w:val="none" w:sz="0" w:space="0" w:color="auto"/>
                        <w:left w:val="none" w:sz="0" w:space="0" w:color="auto"/>
                        <w:bottom w:val="none" w:sz="0" w:space="0" w:color="auto"/>
                        <w:right w:val="none" w:sz="0" w:space="0" w:color="auto"/>
                      </w:divBdr>
                      <w:divsChild>
                        <w:div w:id="1741248477">
                          <w:marLeft w:val="0"/>
                          <w:marRight w:val="0"/>
                          <w:marTop w:val="0"/>
                          <w:marBottom w:val="0"/>
                          <w:divBdr>
                            <w:top w:val="single" w:sz="6" w:space="0" w:color="D6D6D6"/>
                            <w:left w:val="none" w:sz="0" w:space="0" w:color="auto"/>
                            <w:bottom w:val="none" w:sz="0" w:space="0" w:color="auto"/>
                            <w:right w:val="none" w:sz="0" w:space="0" w:color="auto"/>
                          </w:divBdr>
                          <w:divsChild>
                            <w:div w:id="1968077794">
                              <w:marLeft w:val="0"/>
                              <w:marRight w:val="0"/>
                              <w:marTop w:val="0"/>
                              <w:marBottom w:val="0"/>
                              <w:divBdr>
                                <w:top w:val="none" w:sz="0" w:space="0" w:color="auto"/>
                                <w:left w:val="none" w:sz="0" w:space="0" w:color="auto"/>
                                <w:bottom w:val="none" w:sz="0" w:space="0" w:color="auto"/>
                                <w:right w:val="none" w:sz="0" w:space="0" w:color="auto"/>
                              </w:divBdr>
                            </w:div>
                            <w:div w:id="2023704190">
                              <w:marLeft w:val="0"/>
                              <w:marRight w:val="0"/>
                              <w:marTop w:val="0"/>
                              <w:marBottom w:val="0"/>
                              <w:divBdr>
                                <w:top w:val="single" w:sz="6" w:space="0" w:color="D6D6D6"/>
                                <w:left w:val="none" w:sz="0" w:space="0" w:color="auto"/>
                                <w:bottom w:val="none" w:sz="0" w:space="0" w:color="auto"/>
                                <w:right w:val="none" w:sz="0" w:space="0" w:color="auto"/>
                              </w:divBdr>
                              <w:divsChild>
                                <w:div w:id="1662153949">
                                  <w:marLeft w:val="0"/>
                                  <w:marRight w:val="0"/>
                                  <w:marTop w:val="0"/>
                                  <w:marBottom w:val="0"/>
                                  <w:divBdr>
                                    <w:top w:val="none" w:sz="0" w:space="0" w:color="auto"/>
                                    <w:left w:val="none" w:sz="0" w:space="0" w:color="auto"/>
                                    <w:bottom w:val="none" w:sz="0" w:space="0" w:color="auto"/>
                                    <w:right w:val="none" w:sz="0" w:space="0" w:color="auto"/>
                                  </w:divBdr>
                                  <w:divsChild>
                                    <w:div w:id="2103913080">
                                      <w:marLeft w:val="0"/>
                                      <w:marRight w:val="0"/>
                                      <w:marTop w:val="0"/>
                                      <w:marBottom w:val="0"/>
                                      <w:divBdr>
                                        <w:top w:val="none" w:sz="0" w:space="0" w:color="auto"/>
                                        <w:left w:val="none" w:sz="0" w:space="0" w:color="auto"/>
                                        <w:bottom w:val="none" w:sz="0" w:space="0" w:color="auto"/>
                                        <w:right w:val="none" w:sz="0" w:space="0" w:color="auto"/>
                                      </w:divBdr>
                                    </w:div>
                                    <w:div w:id="128739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582211">
          <w:marLeft w:val="0"/>
          <w:marRight w:val="0"/>
          <w:marTop w:val="0"/>
          <w:marBottom w:val="0"/>
          <w:divBdr>
            <w:top w:val="none" w:sz="0" w:space="0" w:color="auto"/>
            <w:left w:val="none" w:sz="0" w:space="0" w:color="auto"/>
            <w:bottom w:val="none" w:sz="0" w:space="0" w:color="auto"/>
            <w:right w:val="none" w:sz="0" w:space="0" w:color="auto"/>
          </w:divBdr>
          <w:divsChild>
            <w:div w:id="1217010692">
              <w:marLeft w:val="0"/>
              <w:marRight w:val="0"/>
              <w:marTop w:val="0"/>
              <w:marBottom w:val="0"/>
              <w:divBdr>
                <w:top w:val="none" w:sz="0" w:space="0" w:color="auto"/>
                <w:left w:val="none" w:sz="0" w:space="0" w:color="auto"/>
                <w:bottom w:val="none" w:sz="0" w:space="0" w:color="auto"/>
                <w:right w:val="none" w:sz="0" w:space="0" w:color="auto"/>
              </w:divBdr>
              <w:divsChild>
                <w:div w:id="512306161">
                  <w:marLeft w:val="0"/>
                  <w:marRight w:val="0"/>
                  <w:marTop w:val="100"/>
                  <w:marBottom w:val="100"/>
                  <w:divBdr>
                    <w:top w:val="none" w:sz="0" w:space="0" w:color="auto"/>
                    <w:left w:val="none" w:sz="0" w:space="0" w:color="auto"/>
                    <w:bottom w:val="none" w:sz="0" w:space="0" w:color="auto"/>
                    <w:right w:val="none" w:sz="0" w:space="0" w:color="auto"/>
                  </w:divBdr>
                  <w:divsChild>
                    <w:div w:id="1003777086">
                      <w:marLeft w:val="0"/>
                      <w:marRight w:val="0"/>
                      <w:marTop w:val="0"/>
                      <w:marBottom w:val="0"/>
                      <w:divBdr>
                        <w:top w:val="none" w:sz="0" w:space="0" w:color="auto"/>
                        <w:left w:val="none" w:sz="0" w:space="0" w:color="auto"/>
                        <w:bottom w:val="none" w:sz="0" w:space="0" w:color="auto"/>
                        <w:right w:val="none" w:sz="0" w:space="0" w:color="auto"/>
                      </w:divBdr>
                      <w:divsChild>
                        <w:div w:id="2107115852">
                          <w:marLeft w:val="0"/>
                          <w:marRight w:val="0"/>
                          <w:marTop w:val="0"/>
                          <w:marBottom w:val="0"/>
                          <w:divBdr>
                            <w:top w:val="none" w:sz="0" w:space="0" w:color="auto"/>
                            <w:left w:val="none" w:sz="0" w:space="0" w:color="auto"/>
                            <w:bottom w:val="none" w:sz="0" w:space="0" w:color="auto"/>
                            <w:right w:val="none" w:sz="0" w:space="0" w:color="auto"/>
                          </w:divBdr>
                          <w:divsChild>
                            <w:div w:id="504511655">
                              <w:marLeft w:val="0"/>
                              <w:marRight w:val="0"/>
                              <w:marTop w:val="0"/>
                              <w:marBottom w:val="0"/>
                              <w:divBdr>
                                <w:top w:val="none" w:sz="0" w:space="0" w:color="auto"/>
                                <w:left w:val="none" w:sz="0" w:space="0" w:color="auto"/>
                                <w:bottom w:val="none" w:sz="0" w:space="0" w:color="auto"/>
                                <w:right w:val="none" w:sz="0" w:space="0" w:color="auto"/>
                              </w:divBdr>
                              <w:divsChild>
                                <w:div w:id="1066300281">
                                  <w:marLeft w:val="0"/>
                                  <w:marRight w:val="0"/>
                                  <w:marTop w:val="0"/>
                                  <w:marBottom w:val="0"/>
                                  <w:divBdr>
                                    <w:top w:val="none" w:sz="0" w:space="0" w:color="auto"/>
                                    <w:left w:val="none" w:sz="0" w:space="0" w:color="auto"/>
                                    <w:bottom w:val="none" w:sz="0" w:space="0" w:color="auto"/>
                                    <w:right w:val="none" w:sz="0" w:space="0" w:color="auto"/>
                                  </w:divBdr>
                                </w:div>
                              </w:divsChild>
                            </w:div>
                            <w:div w:id="1159155684">
                              <w:marLeft w:val="0"/>
                              <w:marRight w:val="0"/>
                              <w:marTop w:val="0"/>
                              <w:marBottom w:val="0"/>
                              <w:divBdr>
                                <w:top w:val="none" w:sz="0" w:space="0" w:color="auto"/>
                                <w:left w:val="none" w:sz="0" w:space="0" w:color="auto"/>
                                <w:bottom w:val="none" w:sz="0" w:space="0" w:color="auto"/>
                                <w:right w:val="none" w:sz="0" w:space="0" w:color="auto"/>
                              </w:divBdr>
                              <w:divsChild>
                                <w:div w:id="191450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131301">
              <w:marLeft w:val="0"/>
              <w:marRight w:val="0"/>
              <w:marTop w:val="0"/>
              <w:marBottom w:val="0"/>
              <w:divBdr>
                <w:top w:val="none" w:sz="0" w:space="0" w:color="auto"/>
                <w:left w:val="none" w:sz="0" w:space="0" w:color="auto"/>
                <w:bottom w:val="none" w:sz="0" w:space="0" w:color="auto"/>
                <w:right w:val="none" w:sz="0" w:space="0" w:color="auto"/>
              </w:divBdr>
              <w:divsChild>
                <w:div w:id="1284920304">
                  <w:marLeft w:val="0"/>
                  <w:marRight w:val="0"/>
                  <w:marTop w:val="0"/>
                  <w:marBottom w:val="0"/>
                  <w:divBdr>
                    <w:top w:val="none" w:sz="0" w:space="0" w:color="auto"/>
                    <w:left w:val="none" w:sz="0" w:space="0" w:color="auto"/>
                    <w:bottom w:val="none" w:sz="0" w:space="0" w:color="auto"/>
                    <w:right w:val="none" w:sz="0" w:space="0" w:color="auto"/>
                  </w:divBdr>
                  <w:divsChild>
                    <w:div w:id="347222395">
                      <w:marLeft w:val="0"/>
                      <w:marRight w:val="0"/>
                      <w:marTop w:val="0"/>
                      <w:marBottom w:val="0"/>
                      <w:divBdr>
                        <w:top w:val="none" w:sz="0" w:space="0" w:color="auto"/>
                        <w:left w:val="none" w:sz="0" w:space="0" w:color="auto"/>
                        <w:bottom w:val="none" w:sz="0" w:space="0" w:color="auto"/>
                        <w:right w:val="none" w:sz="0" w:space="0" w:color="auto"/>
                      </w:divBdr>
                      <w:divsChild>
                        <w:div w:id="601760881">
                          <w:marLeft w:val="0"/>
                          <w:marRight w:val="0"/>
                          <w:marTop w:val="0"/>
                          <w:marBottom w:val="0"/>
                          <w:divBdr>
                            <w:top w:val="none" w:sz="0" w:space="0" w:color="auto"/>
                            <w:left w:val="none" w:sz="0" w:space="0" w:color="auto"/>
                            <w:bottom w:val="none" w:sz="0" w:space="0" w:color="auto"/>
                            <w:right w:val="none" w:sz="0" w:space="0" w:color="auto"/>
                          </w:divBdr>
                          <w:divsChild>
                            <w:div w:id="2073918837">
                              <w:marLeft w:val="0"/>
                              <w:marRight w:val="0"/>
                              <w:marTop w:val="0"/>
                              <w:marBottom w:val="0"/>
                              <w:divBdr>
                                <w:top w:val="none" w:sz="0" w:space="0" w:color="auto"/>
                                <w:left w:val="none" w:sz="0" w:space="0" w:color="auto"/>
                                <w:bottom w:val="none" w:sz="0" w:space="0" w:color="auto"/>
                                <w:right w:val="none" w:sz="0" w:space="0" w:color="auto"/>
                              </w:divBdr>
                              <w:divsChild>
                                <w:div w:id="557009945">
                                  <w:marLeft w:val="0"/>
                                  <w:marRight w:val="0"/>
                                  <w:marTop w:val="0"/>
                                  <w:marBottom w:val="0"/>
                                  <w:divBdr>
                                    <w:top w:val="none" w:sz="0" w:space="0" w:color="auto"/>
                                    <w:left w:val="none" w:sz="0" w:space="0" w:color="auto"/>
                                    <w:bottom w:val="none" w:sz="0" w:space="0" w:color="auto"/>
                                    <w:right w:val="none" w:sz="0" w:space="0" w:color="auto"/>
                                  </w:divBdr>
                                  <w:divsChild>
                                    <w:div w:id="1261371566">
                                      <w:marLeft w:val="0"/>
                                      <w:marRight w:val="0"/>
                                      <w:marTop w:val="100"/>
                                      <w:marBottom w:val="100"/>
                                      <w:divBdr>
                                        <w:top w:val="none" w:sz="0" w:space="0" w:color="auto"/>
                                        <w:left w:val="none" w:sz="0" w:space="0" w:color="auto"/>
                                        <w:bottom w:val="none" w:sz="0" w:space="0" w:color="auto"/>
                                        <w:right w:val="none" w:sz="0" w:space="0" w:color="auto"/>
                                      </w:divBdr>
                                      <w:divsChild>
                                        <w:div w:id="528758179">
                                          <w:marLeft w:val="0"/>
                                          <w:marRight w:val="0"/>
                                          <w:marTop w:val="0"/>
                                          <w:marBottom w:val="0"/>
                                          <w:divBdr>
                                            <w:top w:val="none" w:sz="0" w:space="0" w:color="auto"/>
                                            <w:left w:val="none" w:sz="0" w:space="0" w:color="auto"/>
                                            <w:bottom w:val="none" w:sz="0" w:space="0" w:color="auto"/>
                                            <w:right w:val="none" w:sz="0" w:space="0" w:color="auto"/>
                                          </w:divBdr>
                                          <w:divsChild>
                                            <w:div w:id="1384868342">
                                              <w:marLeft w:val="0"/>
                                              <w:marRight w:val="0"/>
                                              <w:marTop w:val="0"/>
                                              <w:marBottom w:val="0"/>
                                              <w:divBdr>
                                                <w:top w:val="none" w:sz="0" w:space="0" w:color="auto"/>
                                                <w:left w:val="none" w:sz="0" w:space="0" w:color="auto"/>
                                                <w:bottom w:val="none" w:sz="0" w:space="0" w:color="auto"/>
                                                <w:right w:val="none" w:sz="0" w:space="0" w:color="auto"/>
                                              </w:divBdr>
                                              <w:divsChild>
                                                <w:div w:id="661281207">
                                                  <w:marLeft w:val="0"/>
                                                  <w:marRight w:val="0"/>
                                                  <w:marTop w:val="0"/>
                                                  <w:marBottom w:val="0"/>
                                                  <w:divBdr>
                                                    <w:top w:val="none" w:sz="0" w:space="0" w:color="auto"/>
                                                    <w:left w:val="none" w:sz="0" w:space="0" w:color="auto"/>
                                                    <w:bottom w:val="none" w:sz="0" w:space="0" w:color="auto"/>
                                                    <w:right w:val="none" w:sz="0" w:space="0" w:color="auto"/>
                                                  </w:divBdr>
                                                  <w:divsChild>
                                                    <w:div w:id="663584429">
                                                      <w:marLeft w:val="0"/>
                                                      <w:marRight w:val="0"/>
                                                      <w:marTop w:val="0"/>
                                                      <w:marBottom w:val="0"/>
                                                      <w:divBdr>
                                                        <w:top w:val="none" w:sz="0" w:space="0" w:color="auto"/>
                                                        <w:left w:val="none" w:sz="0" w:space="0" w:color="auto"/>
                                                        <w:bottom w:val="none" w:sz="0" w:space="0" w:color="auto"/>
                                                        <w:right w:val="none" w:sz="0" w:space="0" w:color="auto"/>
                                                      </w:divBdr>
                                                      <w:divsChild>
                                                        <w:div w:id="193688318">
                                                          <w:marLeft w:val="0"/>
                                                          <w:marRight w:val="0"/>
                                                          <w:marTop w:val="0"/>
                                                          <w:marBottom w:val="0"/>
                                                          <w:divBdr>
                                                            <w:top w:val="none" w:sz="0" w:space="0" w:color="auto"/>
                                                            <w:left w:val="none" w:sz="0" w:space="0" w:color="auto"/>
                                                            <w:bottom w:val="none" w:sz="0" w:space="0" w:color="auto"/>
                                                            <w:right w:val="none" w:sz="0" w:space="0" w:color="auto"/>
                                                          </w:divBdr>
                                                          <w:divsChild>
                                                            <w:div w:id="1178692589">
                                                              <w:marLeft w:val="0"/>
                                                              <w:marRight w:val="0"/>
                                                              <w:marTop w:val="100"/>
                                                              <w:marBottom w:val="100"/>
                                                              <w:divBdr>
                                                                <w:top w:val="none" w:sz="0" w:space="0" w:color="auto"/>
                                                                <w:left w:val="none" w:sz="0" w:space="0" w:color="auto"/>
                                                                <w:bottom w:val="none" w:sz="0" w:space="0" w:color="auto"/>
                                                                <w:right w:val="none" w:sz="0" w:space="0" w:color="auto"/>
                                                              </w:divBdr>
                                                              <w:divsChild>
                                                                <w:div w:id="1983270385">
                                                                  <w:marLeft w:val="0"/>
                                                                  <w:marRight w:val="0"/>
                                                                  <w:marTop w:val="0"/>
                                                                  <w:marBottom w:val="0"/>
                                                                  <w:divBdr>
                                                                    <w:top w:val="none" w:sz="0" w:space="0" w:color="auto"/>
                                                                    <w:left w:val="none" w:sz="0" w:space="0" w:color="auto"/>
                                                                    <w:bottom w:val="none" w:sz="0" w:space="0" w:color="auto"/>
                                                                    <w:right w:val="none" w:sz="0" w:space="0" w:color="auto"/>
                                                                  </w:divBdr>
                                                                  <w:divsChild>
                                                                    <w:div w:id="1461533663">
                                                                      <w:marLeft w:val="0"/>
                                                                      <w:marRight w:val="0"/>
                                                                      <w:marTop w:val="0"/>
                                                                      <w:marBottom w:val="0"/>
                                                                      <w:divBdr>
                                                                        <w:top w:val="none" w:sz="0" w:space="0" w:color="auto"/>
                                                                        <w:left w:val="none" w:sz="0" w:space="0" w:color="auto"/>
                                                                        <w:bottom w:val="none" w:sz="0" w:space="0" w:color="auto"/>
                                                                        <w:right w:val="none" w:sz="0" w:space="0" w:color="auto"/>
                                                                      </w:divBdr>
                                                                      <w:divsChild>
                                                                        <w:div w:id="161821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161403">
                                                      <w:marLeft w:val="0"/>
                                                      <w:marRight w:val="0"/>
                                                      <w:marTop w:val="0"/>
                                                      <w:marBottom w:val="0"/>
                                                      <w:divBdr>
                                                        <w:top w:val="none" w:sz="0" w:space="0" w:color="auto"/>
                                                        <w:left w:val="none" w:sz="0" w:space="0" w:color="auto"/>
                                                        <w:bottom w:val="none" w:sz="0" w:space="0" w:color="auto"/>
                                                        <w:right w:val="none" w:sz="0" w:space="0" w:color="auto"/>
                                                      </w:divBdr>
                                                      <w:divsChild>
                                                        <w:div w:id="886839169">
                                                          <w:marLeft w:val="0"/>
                                                          <w:marRight w:val="0"/>
                                                          <w:marTop w:val="0"/>
                                                          <w:marBottom w:val="0"/>
                                                          <w:divBdr>
                                                            <w:top w:val="none" w:sz="0" w:space="0" w:color="auto"/>
                                                            <w:left w:val="none" w:sz="0" w:space="0" w:color="auto"/>
                                                            <w:bottom w:val="none" w:sz="0" w:space="0" w:color="auto"/>
                                                            <w:right w:val="none" w:sz="0" w:space="0" w:color="auto"/>
                                                          </w:divBdr>
                                                          <w:divsChild>
                                                            <w:div w:id="1383989646">
                                                              <w:marLeft w:val="0"/>
                                                              <w:marRight w:val="0"/>
                                                              <w:marTop w:val="100"/>
                                                              <w:marBottom w:val="100"/>
                                                              <w:divBdr>
                                                                <w:top w:val="none" w:sz="0" w:space="0" w:color="auto"/>
                                                                <w:left w:val="none" w:sz="0" w:space="0" w:color="auto"/>
                                                                <w:bottom w:val="none" w:sz="0" w:space="0" w:color="auto"/>
                                                                <w:right w:val="none" w:sz="0" w:space="0" w:color="auto"/>
                                                              </w:divBdr>
                                                              <w:divsChild>
                                                                <w:div w:id="353960599">
                                                                  <w:marLeft w:val="0"/>
                                                                  <w:marRight w:val="0"/>
                                                                  <w:marTop w:val="0"/>
                                                                  <w:marBottom w:val="0"/>
                                                                  <w:divBdr>
                                                                    <w:top w:val="none" w:sz="0" w:space="0" w:color="auto"/>
                                                                    <w:left w:val="none" w:sz="0" w:space="0" w:color="auto"/>
                                                                    <w:bottom w:val="none" w:sz="0" w:space="0" w:color="auto"/>
                                                                    <w:right w:val="none" w:sz="0" w:space="0" w:color="auto"/>
                                                                  </w:divBdr>
                                                                  <w:divsChild>
                                                                    <w:div w:id="1430344970">
                                                                      <w:marLeft w:val="0"/>
                                                                      <w:marRight w:val="0"/>
                                                                      <w:marTop w:val="0"/>
                                                                      <w:marBottom w:val="0"/>
                                                                      <w:divBdr>
                                                                        <w:top w:val="none" w:sz="0" w:space="0" w:color="auto"/>
                                                                        <w:left w:val="none" w:sz="0" w:space="0" w:color="auto"/>
                                                                        <w:bottom w:val="none" w:sz="0" w:space="0" w:color="auto"/>
                                                                        <w:right w:val="none" w:sz="0" w:space="0" w:color="auto"/>
                                                                      </w:divBdr>
                                                                      <w:divsChild>
                                                                        <w:div w:id="175180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459957">
                                                          <w:marLeft w:val="0"/>
                                                          <w:marRight w:val="0"/>
                                                          <w:marTop w:val="0"/>
                                                          <w:marBottom w:val="0"/>
                                                          <w:divBdr>
                                                            <w:top w:val="none" w:sz="0" w:space="0" w:color="auto"/>
                                                            <w:left w:val="none" w:sz="0" w:space="0" w:color="auto"/>
                                                            <w:bottom w:val="none" w:sz="0" w:space="0" w:color="auto"/>
                                                            <w:right w:val="none" w:sz="0" w:space="0" w:color="auto"/>
                                                          </w:divBdr>
                                                          <w:divsChild>
                                                            <w:div w:id="153306974">
                                                              <w:marLeft w:val="0"/>
                                                              <w:marRight w:val="0"/>
                                                              <w:marTop w:val="100"/>
                                                              <w:marBottom w:val="100"/>
                                                              <w:divBdr>
                                                                <w:top w:val="none" w:sz="0" w:space="0" w:color="auto"/>
                                                                <w:left w:val="none" w:sz="0" w:space="0" w:color="auto"/>
                                                                <w:bottom w:val="none" w:sz="0" w:space="0" w:color="auto"/>
                                                                <w:right w:val="none" w:sz="0" w:space="0" w:color="auto"/>
                                                              </w:divBdr>
                                                              <w:divsChild>
                                                                <w:div w:id="284116677">
                                                                  <w:marLeft w:val="0"/>
                                                                  <w:marRight w:val="0"/>
                                                                  <w:marTop w:val="0"/>
                                                                  <w:marBottom w:val="0"/>
                                                                  <w:divBdr>
                                                                    <w:top w:val="none" w:sz="0" w:space="0" w:color="auto"/>
                                                                    <w:left w:val="none" w:sz="0" w:space="0" w:color="auto"/>
                                                                    <w:bottom w:val="none" w:sz="0" w:space="0" w:color="auto"/>
                                                                    <w:right w:val="none" w:sz="0" w:space="0" w:color="auto"/>
                                                                  </w:divBdr>
                                                                  <w:divsChild>
                                                                    <w:div w:id="196283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22877">
                                                      <w:marLeft w:val="0"/>
                                                      <w:marRight w:val="0"/>
                                                      <w:marTop w:val="0"/>
                                                      <w:marBottom w:val="0"/>
                                                      <w:divBdr>
                                                        <w:top w:val="none" w:sz="0" w:space="0" w:color="auto"/>
                                                        <w:left w:val="none" w:sz="0" w:space="0" w:color="auto"/>
                                                        <w:bottom w:val="none" w:sz="0" w:space="0" w:color="auto"/>
                                                        <w:right w:val="none" w:sz="0" w:space="0" w:color="auto"/>
                                                      </w:divBdr>
                                                      <w:divsChild>
                                                        <w:div w:id="376272894">
                                                          <w:marLeft w:val="0"/>
                                                          <w:marRight w:val="0"/>
                                                          <w:marTop w:val="0"/>
                                                          <w:marBottom w:val="0"/>
                                                          <w:divBdr>
                                                            <w:top w:val="none" w:sz="0" w:space="0" w:color="auto"/>
                                                            <w:left w:val="none" w:sz="0" w:space="0" w:color="auto"/>
                                                            <w:bottom w:val="none" w:sz="0" w:space="0" w:color="auto"/>
                                                            <w:right w:val="none" w:sz="0" w:space="0" w:color="auto"/>
                                                          </w:divBdr>
                                                          <w:divsChild>
                                                            <w:div w:id="1411535728">
                                                              <w:marLeft w:val="0"/>
                                                              <w:marRight w:val="0"/>
                                                              <w:marTop w:val="100"/>
                                                              <w:marBottom w:val="100"/>
                                                              <w:divBdr>
                                                                <w:top w:val="none" w:sz="0" w:space="0" w:color="auto"/>
                                                                <w:left w:val="none" w:sz="0" w:space="0" w:color="auto"/>
                                                                <w:bottom w:val="none" w:sz="0" w:space="0" w:color="auto"/>
                                                                <w:right w:val="none" w:sz="0" w:space="0" w:color="auto"/>
                                                              </w:divBdr>
                                                              <w:divsChild>
                                                                <w:div w:id="1711681952">
                                                                  <w:marLeft w:val="0"/>
                                                                  <w:marRight w:val="0"/>
                                                                  <w:marTop w:val="0"/>
                                                                  <w:marBottom w:val="0"/>
                                                                  <w:divBdr>
                                                                    <w:top w:val="none" w:sz="0" w:space="0" w:color="auto"/>
                                                                    <w:left w:val="none" w:sz="0" w:space="0" w:color="auto"/>
                                                                    <w:bottom w:val="none" w:sz="0" w:space="0" w:color="auto"/>
                                                                    <w:right w:val="none" w:sz="0" w:space="0" w:color="auto"/>
                                                                  </w:divBdr>
                                                                  <w:divsChild>
                                                                    <w:div w:id="785781067">
                                                                      <w:marLeft w:val="0"/>
                                                                      <w:marRight w:val="0"/>
                                                                      <w:marTop w:val="0"/>
                                                                      <w:marBottom w:val="0"/>
                                                                      <w:divBdr>
                                                                        <w:top w:val="none" w:sz="0" w:space="0" w:color="auto"/>
                                                                        <w:left w:val="none" w:sz="0" w:space="0" w:color="auto"/>
                                                                        <w:bottom w:val="none" w:sz="0" w:space="0" w:color="auto"/>
                                                                        <w:right w:val="none" w:sz="0" w:space="0" w:color="auto"/>
                                                                      </w:divBdr>
                                                                      <w:divsChild>
                                                                        <w:div w:id="51060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048145">
                                                          <w:marLeft w:val="0"/>
                                                          <w:marRight w:val="0"/>
                                                          <w:marTop w:val="0"/>
                                                          <w:marBottom w:val="0"/>
                                                          <w:divBdr>
                                                            <w:top w:val="none" w:sz="0" w:space="0" w:color="auto"/>
                                                            <w:left w:val="none" w:sz="0" w:space="0" w:color="auto"/>
                                                            <w:bottom w:val="none" w:sz="0" w:space="0" w:color="auto"/>
                                                            <w:right w:val="none" w:sz="0" w:space="0" w:color="auto"/>
                                                          </w:divBdr>
                                                          <w:divsChild>
                                                            <w:div w:id="901212551">
                                                              <w:marLeft w:val="0"/>
                                                              <w:marRight w:val="0"/>
                                                              <w:marTop w:val="100"/>
                                                              <w:marBottom w:val="100"/>
                                                              <w:divBdr>
                                                                <w:top w:val="none" w:sz="0" w:space="0" w:color="auto"/>
                                                                <w:left w:val="none" w:sz="0" w:space="0" w:color="auto"/>
                                                                <w:bottom w:val="none" w:sz="0" w:space="0" w:color="auto"/>
                                                                <w:right w:val="none" w:sz="0" w:space="0" w:color="auto"/>
                                                              </w:divBdr>
                                                              <w:divsChild>
                                                                <w:div w:id="855341249">
                                                                  <w:marLeft w:val="0"/>
                                                                  <w:marRight w:val="0"/>
                                                                  <w:marTop w:val="0"/>
                                                                  <w:marBottom w:val="0"/>
                                                                  <w:divBdr>
                                                                    <w:top w:val="none" w:sz="0" w:space="0" w:color="auto"/>
                                                                    <w:left w:val="none" w:sz="0" w:space="0" w:color="auto"/>
                                                                    <w:bottom w:val="none" w:sz="0" w:space="0" w:color="auto"/>
                                                                    <w:right w:val="none" w:sz="0" w:space="0" w:color="auto"/>
                                                                  </w:divBdr>
                                                                  <w:divsChild>
                                                                    <w:div w:id="186674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901798">
                                                          <w:marLeft w:val="0"/>
                                                          <w:marRight w:val="0"/>
                                                          <w:marTop w:val="0"/>
                                                          <w:marBottom w:val="0"/>
                                                          <w:divBdr>
                                                            <w:top w:val="none" w:sz="0" w:space="0" w:color="auto"/>
                                                            <w:left w:val="none" w:sz="0" w:space="0" w:color="auto"/>
                                                            <w:bottom w:val="none" w:sz="0" w:space="0" w:color="auto"/>
                                                            <w:right w:val="none" w:sz="0" w:space="0" w:color="auto"/>
                                                          </w:divBdr>
                                                          <w:divsChild>
                                                            <w:div w:id="768817071">
                                                              <w:marLeft w:val="0"/>
                                                              <w:marRight w:val="0"/>
                                                              <w:marTop w:val="100"/>
                                                              <w:marBottom w:val="100"/>
                                                              <w:divBdr>
                                                                <w:top w:val="none" w:sz="0" w:space="0" w:color="auto"/>
                                                                <w:left w:val="none" w:sz="0" w:space="0" w:color="auto"/>
                                                                <w:bottom w:val="none" w:sz="0" w:space="0" w:color="auto"/>
                                                                <w:right w:val="none" w:sz="0" w:space="0" w:color="auto"/>
                                                              </w:divBdr>
                                                              <w:divsChild>
                                                                <w:div w:id="670721226">
                                                                  <w:marLeft w:val="0"/>
                                                                  <w:marRight w:val="0"/>
                                                                  <w:marTop w:val="0"/>
                                                                  <w:marBottom w:val="0"/>
                                                                  <w:divBdr>
                                                                    <w:top w:val="none" w:sz="0" w:space="0" w:color="auto"/>
                                                                    <w:left w:val="none" w:sz="0" w:space="0" w:color="auto"/>
                                                                    <w:bottom w:val="none" w:sz="0" w:space="0" w:color="auto"/>
                                                                    <w:right w:val="none" w:sz="0" w:space="0" w:color="auto"/>
                                                                  </w:divBdr>
                                                                  <w:divsChild>
                                                                    <w:div w:id="1784839731">
                                                                      <w:marLeft w:val="0"/>
                                                                      <w:marRight w:val="0"/>
                                                                      <w:marTop w:val="0"/>
                                                                      <w:marBottom w:val="0"/>
                                                                      <w:divBdr>
                                                                        <w:top w:val="none" w:sz="0" w:space="0" w:color="auto"/>
                                                                        <w:left w:val="none" w:sz="0" w:space="0" w:color="auto"/>
                                                                        <w:bottom w:val="none" w:sz="0" w:space="0" w:color="auto"/>
                                                                        <w:right w:val="none" w:sz="0" w:space="0" w:color="auto"/>
                                                                      </w:divBdr>
                                                                      <w:divsChild>
                                                                        <w:div w:id="535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771858">
                                                          <w:marLeft w:val="0"/>
                                                          <w:marRight w:val="0"/>
                                                          <w:marTop w:val="0"/>
                                                          <w:marBottom w:val="0"/>
                                                          <w:divBdr>
                                                            <w:top w:val="none" w:sz="0" w:space="0" w:color="auto"/>
                                                            <w:left w:val="none" w:sz="0" w:space="0" w:color="auto"/>
                                                            <w:bottom w:val="none" w:sz="0" w:space="0" w:color="auto"/>
                                                            <w:right w:val="none" w:sz="0" w:space="0" w:color="auto"/>
                                                          </w:divBdr>
                                                          <w:divsChild>
                                                            <w:div w:id="1994332797">
                                                              <w:marLeft w:val="0"/>
                                                              <w:marRight w:val="0"/>
                                                              <w:marTop w:val="100"/>
                                                              <w:marBottom w:val="100"/>
                                                              <w:divBdr>
                                                                <w:top w:val="none" w:sz="0" w:space="0" w:color="auto"/>
                                                                <w:left w:val="none" w:sz="0" w:space="0" w:color="auto"/>
                                                                <w:bottom w:val="none" w:sz="0" w:space="0" w:color="auto"/>
                                                                <w:right w:val="none" w:sz="0" w:space="0" w:color="auto"/>
                                                              </w:divBdr>
                                                              <w:divsChild>
                                                                <w:div w:id="1868911261">
                                                                  <w:marLeft w:val="0"/>
                                                                  <w:marRight w:val="0"/>
                                                                  <w:marTop w:val="0"/>
                                                                  <w:marBottom w:val="0"/>
                                                                  <w:divBdr>
                                                                    <w:top w:val="none" w:sz="0" w:space="0" w:color="auto"/>
                                                                    <w:left w:val="none" w:sz="0" w:space="0" w:color="auto"/>
                                                                    <w:bottom w:val="none" w:sz="0" w:space="0" w:color="auto"/>
                                                                    <w:right w:val="none" w:sz="0" w:space="0" w:color="auto"/>
                                                                  </w:divBdr>
                                                                  <w:divsChild>
                                                                    <w:div w:id="1541867336">
                                                                      <w:marLeft w:val="0"/>
                                                                      <w:marRight w:val="0"/>
                                                                      <w:marTop w:val="0"/>
                                                                      <w:marBottom w:val="0"/>
                                                                      <w:divBdr>
                                                                        <w:top w:val="none" w:sz="0" w:space="0" w:color="auto"/>
                                                                        <w:left w:val="none" w:sz="0" w:space="0" w:color="auto"/>
                                                                        <w:bottom w:val="none" w:sz="0" w:space="0" w:color="auto"/>
                                                                        <w:right w:val="none" w:sz="0" w:space="0" w:color="auto"/>
                                                                      </w:divBdr>
                                                                      <w:divsChild>
                                                                        <w:div w:id="16209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509513">
                                                      <w:marLeft w:val="0"/>
                                                      <w:marRight w:val="0"/>
                                                      <w:marTop w:val="0"/>
                                                      <w:marBottom w:val="0"/>
                                                      <w:divBdr>
                                                        <w:top w:val="none" w:sz="0" w:space="0" w:color="auto"/>
                                                        <w:left w:val="none" w:sz="0" w:space="0" w:color="auto"/>
                                                        <w:bottom w:val="none" w:sz="0" w:space="0" w:color="auto"/>
                                                        <w:right w:val="none" w:sz="0" w:space="0" w:color="auto"/>
                                                      </w:divBdr>
                                                      <w:divsChild>
                                                        <w:div w:id="1045056232">
                                                          <w:marLeft w:val="0"/>
                                                          <w:marRight w:val="0"/>
                                                          <w:marTop w:val="0"/>
                                                          <w:marBottom w:val="0"/>
                                                          <w:divBdr>
                                                            <w:top w:val="none" w:sz="0" w:space="0" w:color="auto"/>
                                                            <w:left w:val="none" w:sz="0" w:space="0" w:color="auto"/>
                                                            <w:bottom w:val="none" w:sz="0" w:space="0" w:color="auto"/>
                                                            <w:right w:val="none" w:sz="0" w:space="0" w:color="auto"/>
                                                          </w:divBdr>
                                                          <w:divsChild>
                                                            <w:div w:id="1118569864">
                                                              <w:marLeft w:val="0"/>
                                                              <w:marRight w:val="0"/>
                                                              <w:marTop w:val="100"/>
                                                              <w:marBottom w:val="100"/>
                                                              <w:divBdr>
                                                                <w:top w:val="none" w:sz="0" w:space="0" w:color="auto"/>
                                                                <w:left w:val="none" w:sz="0" w:space="0" w:color="auto"/>
                                                                <w:bottom w:val="none" w:sz="0" w:space="0" w:color="auto"/>
                                                                <w:right w:val="none" w:sz="0" w:space="0" w:color="auto"/>
                                                              </w:divBdr>
                                                              <w:divsChild>
                                                                <w:div w:id="1424836675">
                                                                  <w:marLeft w:val="0"/>
                                                                  <w:marRight w:val="0"/>
                                                                  <w:marTop w:val="0"/>
                                                                  <w:marBottom w:val="0"/>
                                                                  <w:divBdr>
                                                                    <w:top w:val="none" w:sz="0" w:space="0" w:color="auto"/>
                                                                    <w:left w:val="none" w:sz="0" w:space="0" w:color="auto"/>
                                                                    <w:bottom w:val="none" w:sz="0" w:space="0" w:color="auto"/>
                                                                    <w:right w:val="none" w:sz="0" w:space="0" w:color="auto"/>
                                                                  </w:divBdr>
                                                                  <w:divsChild>
                                                                    <w:div w:id="762183745">
                                                                      <w:marLeft w:val="0"/>
                                                                      <w:marRight w:val="0"/>
                                                                      <w:marTop w:val="0"/>
                                                                      <w:marBottom w:val="0"/>
                                                                      <w:divBdr>
                                                                        <w:top w:val="none" w:sz="0" w:space="0" w:color="auto"/>
                                                                        <w:left w:val="none" w:sz="0" w:space="0" w:color="auto"/>
                                                                        <w:bottom w:val="none" w:sz="0" w:space="0" w:color="auto"/>
                                                                        <w:right w:val="none" w:sz="0" w:space="0" w:color="auto"/>
                                                                      </w:divBdr>
                                                                      <w:divsChild>
                                                                        <w:div w:id="23254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727981">
                                                      <w:marLeft w:val="0"/>
                                                      <w:marRight w:val="0"/>
                                                      <w:marTop w:val="0"/>
                                                      <w:marBottom w:val="0"/>
                                                      <w:divBdr>
                                                        <w:top w:val="none" w:sz="0" w:space="0" w:color="auto"/>
                                                        <w:left w:val="none" w:sz="0" w:space="0" w:color="auto"/>
                                                        <w:bottom w:val="none" w:sz="0" w:space="0" w:color="auto"/>
                                                        <w:right w:val="none" w:sz="0" w:space="0" w:color="auto"/>
                                                      </w:divBdr>
                                                      <w:divsChild>
                                                        <w:div w:id="788471474">
                                                          <w:marLeft w:val="0"/>
                                                          <w:marRight w:val="0"/>
                                                          <w:marTop w:val="0"/>
                                                          <w:marBottom w:val="0"/>
                                                          <w:divBdr>
                                                            <w:top w:val="none" w:sz="0" w:space="0" w:color="auto"/>
                                                            <w:left w:val="none" w:sz="0" w:space="0" w:color="auto"/>
                                                            <w:bottom w:val="none" w:sz="0" w:space="0" w:color="auto"/>
                                                            <w:right w:val="none" w:sz="0" w:space="0" w:color="auto"/>
                                                          </w:divBdr>
                                                          <w:divsChild>
                                                            <w:div w:id="690103877">
                                                              <w:marLeft w:val="0"/>
                                                              <w:marRight w:val="0"/>
                                                              <w:marTop w:val="100"/>
                                                              <w:marBottom w:val="100"/>
                                                              <w:divBdr>
                                                                <w:top w:val="none" w:sz="0" w:space="0" w:color="auto"/>
                                                                <w:left w:val="none" w:sz="0" w:space="0" w:color="auto"/>
                                                                <w:bottom w:val="none" w:sz="0" w:space="0" w:color="auto"/>
                                                                <w:right w:val="none" w:sz="0" w:space="0" w:color="auto"/>
                                                              </w:divBdr>
                                                              <w:divsChild>
                                                                <w:div w:id="1858498295">
                                                                  <w:marLeft w:val="0"/>
                                                                  <w:marRight w:val="0"/>
                                                                  <w:marTop w:val="0"/>
                                                                  <w:marBottom w:val="0"/>
                                                                  <w:divBdr>
                                                                    <w:top w:val="none" w:sz="0" w:space="0" w:color="auto"/>
                                                                    <w:left w:val="none" w:sz="0" w:space="0" w:color="auto"/>
                                                                    <w:bottom w:val="none" w:sz="0" w:space="0" w:color="auto"/>
                                                                    <w:right w:val="none" w:sz="0" w:space="0" w:color="auto"/>
                                                                  </w:divBdr>
                                                                  <w:divsChild>
                                                                    <w:div w:id="1073816635">
                                                                      <w:marLeft w:val="0"/>
                                                                      <w:marRight w:val="0"/>
                                                                      <w:marTop w:val="0"/>
                                                                      <w:marBottom w:val="0"/>
                                                                      <w:divBdr>
                                                                        <w:top w:val="none" w:sz="0" w:space="0" w:color="auto"/>
                                                                        <w:left w:val="none" w:sz="0" w:space="0" w:color="auto"/>
                                                                        <w:bottom w:val="none" w:sz="0" w:space="0" w:color="auto"/>
                                                                        <w:right w:val="none" w:sz="0" w:space="0" w:color="auto"/>
                                                                      </w:divBdr>
                                                                      <w:divsChild>
                                                                        <w:div w:id="81618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136391">
                                                      <w:marLeft w:val="0"/>
                                                      <w:marRight w:val="0"/>
                                                      <w:marTop w:val="0"/>
                                                      <w:marBottom w:val="0"/>
                                                      <w:divBdr>
                                                        <w:top w:val="none" w:sz="0" w:space="0" w:color="auto"/>
                                                        <w:left w:val="none" w:sz="0" w:space="0" w:color="auto"/>
                                                        <w:bottom w:val="none" w:sz="0" w:space="0" w:color="auto"/>
                                                        <w:right w:val="none" w:sz="0" w:space="0" w:color="auto"/>
                                                      </w:divBdr>
                                                      <w:divsChild>
                                                        <w:div w:id="973870644">
                                                          <w:marLeft w:val="0"/>
                                                          <w:marRight w:val="0"/>
                                                          <w:marTop w:val="0"/>
                                                          <w:marBottom w:val="0"/>
                                                          <w:divBdr>
                                                            <w:top w:val="none" w:sz="0" w:space="0" w:color="auto"/>
                                                            <w:left w:val="none" w:sz="0" w:space="0" w:color="auto"/>
                                                            <w:bottom w:val="none" w:sz="0" w:space="0" w:color="auto"/>
                                                            <w:right w:val="none" w:sz="0" w:space="0" w:color="auto"/>
                                                          </w:divBdr>
                                                          <w:divsChild>
                                                            <w:div w:id="1659118209">
                                                              <w:marLeft w:val="0"/>
                                                              <w:marRight w:val="0"/>
                                                              <w:marTop w:val="100"/>
                                                              <w:marBottom w:val="100"/>
                                                              <w:divBdr>
                                                                <w:top w:val="none" w:sz="0" w:space="0" w:color="auto"/>
                                                                <w:left w:val="none" w:sz="0" w:space="0" w:color="auto"/>
                                                                <w:bottom w:val="none" w:sz="0" w:space="0" w:color="auto"/>
                                                                <w:right w:val="none" w:sz="0" w:space="0" w:color="auto"/>
                                                              </w:divBdr>
                                                              <w:divsChild>
                                                                <w:div w:id="653950914">
                                                                  <w:marLeft w:val="0"/>
                                                                  <w:marRight w:val="0"/>
                                                                  <w:marTop w:val="0"/>
                                                                  <w:marBottom w:val="0"/>
                                                                  <w:divBdr>
                                                                    <w:top w:val="none" w:sz="0" w:space="0" w:color="auto"/>
                                                                    <w:left w:val="none" w:sz="0" w:space="0" w:color="auto"/>
                                                                    <w:bottom w:val="none" w:sz="0" w:space="0" w:color="auto"/>
                                                                    <w:right w:val="none" w:sz="0" w:space="0" w:color="auto"/>
                                                                  </w:divBdr>
                                                                  <w:divsChild>
                                                                    <w:div w:id="853300955">
                                                                      <w:marLeft w:val="0"/>
                                                                      <w:marRight w:val="0"/>
                                                                      <w:marTop w:val="0"/>
                                                                      <w:marBottom w:val="0"/>
                                                                      <w:divBdr>
                                                                        <w:top w:val="none" w:sz="0" w:space="0" w:color="auto"/>
                                                                        <w:left w:val="none" w:sz="0" w:space="0" w:color="auto"/>
                                                                        <w:bottom w:val="none" w:sz="0" w:space="0" w:color="auto"/>
                                                                        <w:right w:val="none" w:sz="0" w:space="0" w:color="auto"/>
                                                                      </w:divBdr>
                                                                      <w:divsChild>
                                                                        <w:div w:id="9687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574364">
                                                      <w:marLeft w:val="0"/>
                                                      <w:marRight w:val="0"/>
                                                      <w:marTop w:val="0"/>
                                                      <w:marBottom w:val="0"/>
                                                      <w:divBdr>
                                                        <w:top w:val="none" w:sz="0" w:space="0" w:color="auto"/>
                                                        <w:left w:val="none" w:sz="0" w:space="0" w:color="auto"/>
                                                        <w:bottom w:val="none" w:sz="0" w:space="0" w:color="auto"/>
                                                        <w:right w:val="none" w:sz="0" w:space="0" w:color="auto"/>
                                                      </w:divBdr>
                                                      <w:divsChild>
                                                        <w:div w:id="1111514329">
                                                          <w:marLeft w:val="0"/>
                                                          <w:marRight w:val="0"/>
                                                          <w:marTop w:val="0"/>
                                                          <w:marBottom w:val="0"/>
                                                          <w:divBdr>
                                                            <w:top w:val="none" w:sz="0" w:space="0" w:color="auto"/>
                                                            <w:left w:val="none" w:sz="0" w:space="0" w:color="auto"/>
                                                            <w:bottom w:val="none" w:sz="0" w:space="0" w:color="auto"/>
                                                            <w:right w:val="none" w:sz="0" w:space="0" w:color="auto"/>
                                                          </w:divBdr>
                                                          <w:divsChild>
                                                            <w:div w:id="2014646725">
                                                              <w:marLeft w:val="0"/>
                                                              <w:marRight w:val="0"/>
                                                              <w:marTop w:val="0"/>
                                                              <w:marBottom w:val="0"/>
                                                              <w:divBdr>
                                                                <w:top w:val="none" w:sz="0" w:space="0" w:color="auto"/>
                                                                <w:left w:val="none" w:sz="0" w:space="0" w:color="auto"/>
                                                                <w:bottom w:val="none" w:sz="0" w:space="0" w:color="auto"/>
                                                                <w:right w:val="none" w:sz="0" w:space="0" w:color="auto"/>
                                                              </w:divBdr>
                                                              <w:divsChild>
                                                                <w:div w:id="22487079">
                                                                  <w:marLeft w:val="0"/>
                                                                  <w:marRight w:val="0"/>
                                                                  <w:marTop w:val="100"/>
                                                                  <w:marBottom w:val="100"/>
                                                                  <w:divBdr>
                                                                    <w:top w:val="none" w:sz="0" w:space="0" w:color="auto"/>
                                                                    <w:left w:val="none" w:sz="0" w:space="0" w:color="auto"/>
                                                                    <w:bottom w:val="none" w:sz="0" w:space="0" w:color="auto"/>
                                                                    <w:right w:val="none" w:sz="0" w:space="0" w:color="auto"/>
                                                                  </w:divBdr>
                                                                  <w:divsChild>
                                                                    <w:div w:id="1774206406">
                                                                      <w:marLeft w:val="0"/>
                                                                      <w:marRight w:val="0"/>
                                                                      <w:marTop w:val="0"/>
                                                                      <w:marBottom w:val="0"/>
                                                                      <w:divBdr>
                                                                        <w:top w:val="none" w:sz="0" w:space="0" w:color="auto"/>
                                                                        <w:left w:val="none" w:sz="0" w:space="0" w:color="auto"/>
                                                                        <w:bottom w:val="none" w:sz="0" w:space="0" w:color="auto"/>
                                                                        <w:right w:val="none" w:sz="0" w:space="0" w:color="auto"/>
                                                                      </w:divBdr>
                                                                      <w:divsChild>
                                                                        <w:div w:id="1193492330">
                                                                          <w:marLeft w:val="0"/>
                                                                          <w:marRight w:val="0"/>
                                                                          <w:marTop w:val="0"/>
                                                                          <w:marBottom w:val="0"/>
                                                                          <w:divBdr>
                                                                            <w:top w:val="none" w:sz="0" w:space="0" w:color="auto"/>
                                                                            <w:left w:val="none" w:sz="0" w:space="0" w:color="auto"/>
                                                                            <w:bottom w:val="none" w:sz="0" w:space="0" w:color="auto"/>
                                                                            <w:right w:val="none" w:sz="0" w:space="0" w:color="auto"/>
                                                                          </w:divBdr>
                                                                          <w:divsChild>
                                                                            <w:div w:id="155400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727024">
                                                      <w:marLeft w:val="0"/>
                                                      <w:marRight w:val="0"/>
                                                      <w:marTop w:val="0"/>
                                                      <w:marBottom w:val="0"/>
                                                      <w:divBdr>
                                                        <w:top w:val="none" w:sz="0" w:space="0" w:color="auto"/>
                                                        <w:left w:val="none" w:sz="0" w:space="0" w:color="auto"/>
                                                        <w:bottom w:val="none" w:sz="0" w:space="0" w:color="auto"/>
                                                        <w:right w:val="none" w:sz="0" w:space="0" w:color="auto"/>
                                                      </w:divBdr>
                                                      <w:divsChild>
                                                        <w:div w:id="2069109816">
                                                          <w:marLeft w:val="0"/>
                                                          <w:marRight w:val="0"/>
                                                          <w:marTop w:val="0"/>
                                                          <w:marBottom w:val="0"/>
                                                          <w:divBdr>
                                                            <w:top w:val="none" w:sz="0" w:space="0" w:color="auto"/>
                                                            <w:left w:val="none" w:sz="0" w:space="0" w:color="auto"/>
                                                            <w:bottom w:val="none" w:sz="0" w:space="0" w:color="auto"/>
                                                            <w:right w:val="none" w:sz="0" w:space="0" w:color="auto"/>
                                                          </w:divBdr>
                                                          <w:divsChild>
                                                            <w:div w:id="1449356028">
                                                              <w:marLeft w:val="0"/>
                                                              <w:marRight w:val="0"/>
                                                              <w:marTop w:val="100"/>
                                                              <w:marBottom w:val="100"/>
                                                              <w:divBdr>
                                                                <w:top w:val="none" w:sz="0" w:space="0" w:color="auto"/>
                                                                <w:left w:val="none" w:sz="0" w:space="0" w:color="auto"/>
                                                                <w:bottom w:val="none" w:sz="0" w:space="0" w:color="auto"/>
                                                                <w:right w:val="none" w:sz="0" w:space="0" w:color="auto"/>
                                                              </w:divBdr>
                                                              <w:divsChild>
                                                                <w:div w:id="2057198330">
                                                                  <w:marLeft w:val="0"/>
                                                                  <w:marRight w:val="0"/>
                                                                  <w:marTop w:val="0"/>
                                                                  <w:marBottom w:val="0"/>
                                                                  <w:divBdr>
                                                                    <w:top w:val="none" w:sz="0" w:space="0" w:color="auto"/>
                                                                    <w:left w:val="none" w:sz="0" w:space="0" w:color="auto"/>
                                                                    <w:bottom w:val="none" w:sz="0" w:space="0" w:color="auto"/>
                                                                    <w:right w:val="none" w:sz="0" w:space="0" w:color="auto"/>
                                                                  </w:divBdr>
                                                                  <w:divsChild>
                                                                    <w:div w:id="36964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8/eye.2008.139" TargetMode="External"/><Relationship Id="rId21" Type="http://schemas.openxmlformats.org/officeDocument/2006/relationships/hyperlink" Target="https://www.nps.org.au/australian-prescriber/articles/the-ocular-adverse-effects-of-oral-drugs" TargetMode="External"/><Relationship Id="rId42" Type="http://schemas.openxmlformats.org/officeDocument/2006/relationships/hyperlink" Target="https://www.nps.org.au/australian-prescriber/articles/the-ocular-adverse-effects-of-oral-drugs" TargetMode="External"/><Relationship Id="rId63" Type="http://schemas.openxmlformats.org/officeDocument/2006/relationships/hyperlink" Target="https://www.nps.org.au/australian-prescriber/articles/the-ocular-adverse-effects-of-oral-drugs" TargetMode="External"/><Relationship Id="rId84" Type="http://schemas.openxmlformats.org/officeDocument/2006/relationships/hyperlink" Target="https://www.nps.org.au/australian-prescriber/articles/the-ocular-adverse-effects-of-oral-drugs" TargetMode="External"/><Relationship Id="rId138" Type="http://schemas.openxmlformats.org/officeDocument/2006/relationships/hyperlink" Target="https://doi.org/10.1001/archinternmed.2012.1938" TargetMode="External"/><Relationship Id="rId107" Type="http://schemas.openxmlformats.org/officeDocument/2006/relationships/hyperlink" Target="https://doi.org/10.1136/bjo.87.4.420" TargetMode="External"/><Relationship Id="rId11" Type="http://schemas.openxmlformats.org/officeDocument/2006/relationships/hyperlink" Target="https://www.nps.org.au/australian-prescriber/articles/the-ocular-adverse-effects-of-oral-drugs" TargetMode="External"/><Relationship Id="rId32" Type="http://schemas.openxmlformats.org/officeDocument/2006/relationships/hyperlink" Target="https://www.nps.org.au/admin/entries/apArticle/530633-the-ocular-adverse-effects-of-oral-drugs" TargetMode="External"/><Relationship Id="rId37" Type="http://schemas.openxmlformats.org/officeDocument/2006/relationships/hyperlink" Target="https://www.nps.org.au/australian-prescriber/articles/the-ocular-adverse-effects-of-oral-drugs" TargetMode="External"/><Relationship Id="rId53" Type="http://schemas.openxmlformats.org/officeDocument/2006/relationships/hyperlink" Target="https://www.nps.org.au/australian-prescriber/articles/the-ocular-adverse-effects-of-oral-drugs" TargetMode="External"/><Relationship Id="rId58" Type="http://schemas.openxmlformats.org/officeDocument/2006/relationships/hyperlink" Target="https://www.nps.org.au/australian-prescriber/articles/the-ocular-adverse-effects-of-oral-drugs" TargetMode="External"/><Relationship Id="rId74" Type="http://schemas.openxmlformats.org/officeDocument/2006/relationships/hyperlink" Target="https://www.nps.org.au/australian-prescriber/articles/the-ocular-adverse-effects-of-oral-drugs" TargetMode="External"/><Relationship Id="rId79" Type="http://schemas.openxmlformats.org/officeDocument/2006/relationships/hyperlink" Target="https://www.nps.org.au/australian-prescriber/articles/the-ocular-adverse-effects-of-oral-drugs" TargetMode="External"/><Relationship Id="rId102" Type="http://schemas.openxmlformats.org/officeDocument/2006/relationships/hyperlink" Target="https://aems.tga.gov.au/" TargetMode="External"/><Relationship Id="rId123" Type="http://schemas.openxmlformats.org/officeDocument/2006/relationships/hyperlink" Target="https://doi.org/10.1097/01.icu.0000193079.55240.18" TargetMode="External"/><Relationship Id="rId128" Type="http://schemas.openxmlformats.org/officeDocument/2006/relationships/hyperlink" Target="https://doi.org/10.1016/j.ajo.2021.02.025" TargetMode="External"/><Relationship Id="rId5" Type="http://schemas.openxmlformats.org/officeDocument/2006/relationships/hyperlink" Target="https://doi.org/10.18773/austprescr.2021.028" TargetMode="External"/><Relationship Id="rId90" Type="http://schemas.openxmlformats.org/officeDocument/2006/relationships/hyperlink" Target="https://www.nps.org.au/australian-prescriber/articles/the-ocular-adverse-effects-of-oral-drugs" TargetMode="External"/><Relationship Id="rId95" Type="http://schemas.openxmlformats.org/officeDocument/2006/relationships/hyperlink" Target="https://www.nps.org.au/australian-prescriber/articles/the-ocular-adverse-effects-of-oral-drugs" TargetMode="External"/><Relationship Id="rId22" Type="http://schemas.openxmlformats.org/officeDocument/2006/relationships/hyperlink" Target="https://www.nps.org.au/australian-prescriber/articles/the-ocular-adverse-effects-of-oral-drugs" TargetMode="External"/><Relationship Id="rId27" Type="http://schemas.openxmlformats.org/officeDocument/2006/relationships/hyperlink" Target="https://www.nps.org.au/australian-prescriber/articles/the-ocular-adverse-effects-of-oral-drugs" TargetMode="External"/><Relationship Id="rId43" Type="http://schemas.openxmlformats.org/officeDocument/2006/relationships/hyperlink" Target="https://www.nps.org.au/australian-prescriber/articles/the-ocular-adverse-effects-of-oral-drugs" TargetMode="External"/><Relationship Id="rId48" Type="http://schemas.openxmlformats.org/officeDocument/2006/relationships/hyperlink" Target="https://www.nps.org.au/australian-prescriber/articles/the-ocular-adverse-effects-of-oral-drugs" TargetMode="External"/><Relationship Id="rId64" Type="http://schemas.openxmlformats.org/officeDocument/2006/relationships/hyperlink" Target="https://www.nps.org.au/admin/entries/apArticle/530633-the-ocular-adverse-effects-of-oral-drugs" TargetMode="External"/><Relationship Id="rId69" Type="http://schemas.openxmlformats.org/officeDocument/2006/relationships/hyperlink" Target="https://www.nps.org.au/australian-prescriber/articles/the-ocular-adverse-effects-of-oral-drugs" TargetMode="External"/><Relationship Id="rId113" Type="http://schemas.openxmlformats.org/officeDocument/2006/relationships/hyperlink" Target="https://doi.org/10.7860/JCDR/2016/16263.7339" TargetMode="External"/><Relationship Id="rId118" Type="http://schemas.openxmlformats.org/officeDocument/2006/relationships/hyperlink" Target="https://pubmed.ncbi.nlm.nih.gov/20944044" TargetMode="External"/><Relationship Id="rId134" Type="http://schemas.openxmlformats.org/officeDocument/2006/relationships/hyperlink" Target="https://doi.org/10.1200/JCO.1996.14.3.1018" TargetMode="External"/><Relationship Id="rId139" Type="http://schemas.openxmlformats.org/officeDocument/2006/relationships/hyperlink" Target="https://doi.org/10.1097/00006982-200605000-00011" TargetMode="External"/><Relationship Id="rId80" Type="http://schemas.openxmlformats.org/officeDocument/2006/relationships/hyperlink" Target="https://www.nps.org.au/australian-prescriber/articles/the-ocular-adverse-effects-of-oral-drugs" TargetMode="External"/><Relationship Id="rId85" Type="http://schemas.openxmlformats.org/officeDocument/2006/relationships/hyperlink" Target="https://www.nps.org.au/australian-prescriber/articles/the-ocular-adverse-effects-of-oral-drugs" TargetMode="External"/><Relationship Id="rId12" Type="http://schemas.openxmlformats.org/officeDocument/2006/relationships/hyperlink" Target="https://www.nps.org.au/australian-prescriber/articles/the-ocular-adverse-effects-of-oral-drugs" TargetMode="External"/><Relationship Id="rId17" Type="http://schemas.openxmlformats.org/officeDocument/2006/relationships/hyperlink" Target="https://www.nps.org.au/australian-prescriber/articles/the-ocular-adverse-effects-of-oral-drugs" TargetMode="External"/><Relationship Id="rId33" Type="http://schemas.openxmlformats.org/officeDocument/2006/relationships/hyperlink" Target="https://www.nps.org.au/admin/entries/apArticle/530633-the-ocular-adverse-effects-of-oral-drugs" TargetMode="External"/><Relationship Id="rId38" Type="http://schemas.openxmlformats.org/officeDocument/2006/relationships/hyperlink" Target="https://www.nps.org.au/australian-prescriber/articles/the-ocular-adverse-effects-of-oral-drugs" TargetMode="External"/><Relationship Id="rId59" Type="http://schemas.openxmlformats.org/officeDocument/2006/relationships/hyperlink" Target="https://www.nps.org.au/australian-prescriber/articles/the-ocular-adverse-effects-of-oral-drugs" TargetMode="External"/><Relationship Id="rId103" Type="http://schemas.openxmlformats.org/officeDocument/2006/relationships/hyperlink" Target="https://aems.tga.gov.au/" TargetMode="External"/><Relationship Id="rId108" Type="http://schemas.openxmlformats.org/officeDocument/2006/relationships/hyperlink" Target="https://doi.org/10.1186/s13104-015-1367-6" TargetMode="External"/><Relationship Id="rId124" Type="http://schemas.openxmlformats.org/officeDocument/2006/relationships/hyperlink" Target="https://doi.org/10.1097/ICU.0000000000000416" TargetMode="External"/><Relationship Id="rId129" Type="http://schemas.openxmlformats.org/officeDocument/2006/relationships/hyperlink" Target="https://doi.org/10.2165/11533180-000000000-00000" TargetMode="External"/><Relationship Id="rId54" Type="http://schemas.openxmlformats.org/officeDocument/2006/relationships/hyperlink" Target="https://www.nps.org.au/australian-prescriber/articles/the-ocular-adverse-effects-of-oral-drugs" TargetMode="External"/><Relationship Id="rId70" Type="http://schemas.openxmlformats.org/officeDocument/2006/relationships/hyperlink" Target="https://www.nps.org.au/australian-prescriber/articles/the-ocular-adverse-effects-of-oral-drugs" TargetMode="External"/><Relationship Id="rId75" Type="http://schemas.openxmlformats.org/officeDocument/2006/relationships/hyperlink" Target="https://www.nps.org.au/australian-prescriber/articles/the-ocular-adverse-effects-of-oral-drugs" TargetMode="External"/><Relationship Id="rId91" Type="http://schemas.openxmlformats.org/officeDocument/2006/relationships/hyperlink" Target="https://www.nps.org.au/australian-prescriber/articles/the-ocular-adverse-effects-of-oral-drugs" TargetMode="External"/><Relationship Id="rId96" Type="http://schemas.openxmlformats.org/officeDocument/2006/relationships/hyperlink" Target="https://www.nps.org.au/australian-prescriber/articles/the-ocular-adverse-effects-of-oral-drugs" TargetMode="External"/><Relationship Id="rId140" Type="http://schemas.openxmlformats.org/officeDocument/2006/relationships/hyperlink" Target="http://www.rcophth.ac.uk/2020/12/hydroxychloroquine-and-chloroquine-retinopathy-recommendations-on-monitoring" TargetMode="External"/><Relationship Id="rId1" Type="http://schemas.openxmlformats.org/officeDocument/2006/relationships/numbering" Target="numbering.xml"/><Relationship Id="rId6" Type="http://schemas.openxmlformats.org/officeDocument/2006/relationships/hyperlink" Target="https://www.nps.org.au/australian-prescriber/articles/the-ocular-adverse-effects-of-oral-drugs" TargetMode="External"/><Relationship Id="rId23" Type="http://schemas.openxmlformats.org/officeDocument/2006/relationships/hyperlink" Target="https://www.nps.org.au/australian-prescriber/articles/the-ocular-adverse-effects-of-oral-drugs" TargetMode="External"/><Relationship Id="rId28" Type="http://schemas.openxmlformats.org/officeDocument/2006/relationships/hyperlink" Target="https://www.nps.org.au/australian-prescriber/articles/the-ocular-adverse-effects-of-oral-drugs" TargetMode="External"/><Relationship Id="rId49" Type="http://schemas.openxmlformats.org/officeDocument/2006/relationships/hyperlink" Target="https://www.nps.org.au/australian-prescriber/articles/the-ocular-adverse-effects-of-oral-drugs" TargetMode="External"/><Relationship Id="rId114" Type="http://schemas.openxmlformats.org/officeDocument/2006/relationships/hyperlink" Target="https://doi.org/10.2147/OPTH.S27695" TargetMode="External"/><Relationship Id="rId119" Type="http://schemas.openxmlformats.org/officeDocument/2006/relationships/hyperlink" Target="https://doi.org/10.1136/ard.56.3.188" TargetMode="External"/><Relationship Id="rId44" Type="http://schemas.openxmlformats.org/officeDocument/2006/relationships/hyperlink" Target="https://www.nps.org.au/australian-prescriber/articles/the-ocular-adverse-effects-of-oral-drugs" TargetMode="External"/><Relationship Id="rId60" Type="http://schemas.openxmlformats.org/officeDocument/2006/relationships/hyperlink" Target="https://www.nps.org.au/australian-prescriber/articles/the-ocular-adverse-effects-of-oral-drugs" TargetMode="External"/><Relationship Id="rId65" Type="http://schemas.openxmlformats.org/officeDocument/2006/relationships/hyperlink" Target="https://www.nps.org.au/admin/entries/apArticle/530633-the-ocular-adverse-effects-of-oral-drugs" TargetMode="External"/><Relationship Id="rId81" Type="http://schemas.openxmlformats.org/officeDocument/2006/relationships/hyperlink" Target="https://www.nps.org.au/australian-prescriber/articles/the-ocular-adverse-effects-of-oral-drugs" TargetMode="External"/><Relationship Id="rId86" Type="http://schemas.openxmlformats.org/officeDocument/2006/relationships/hyperlink" Target="https://www.nps.org.au/australian-prescriber/articles/the-ocular-adverse-effects-of-oral-drugs" TargetMode="External"/><Relationship Id="rId130" Type="http://schemas.openxmlformats.org/officeDocument/2006/relationships/hyperlink" Target="https://doi.org/10.2147/DDDT.S118015" TargetMode="External"/><Relationship Id="rId135" Type="http://schemas.openxmlformats.org/officeDocument/2006/relationships/hyperlink" Target="https://doi.org/10.1016/S0002-9394(14)70321-6" TargetMode="External"/><Relationship Id="rId13" Type="http://schemas.openxmlformats.org/officeDocument/2006/relationships/hyperlink" Target="https://www.nps.org.au/australian-prescriber/articles/the-ocular-adverse-effects-of-oral-drugs" TargetMode="External"/><Relationship Id="rId18" Type="http://schemas.openxmlformats.org/officeDocument/2006/relationships/hyperlink" Target="https://www.nps.org.au/australian-prescriber/articles/the-ocular-adverse-effects-of-oral-drugs" TargetMode="External"/><Relationship Id="rId39" Type="http://schemas.openxmlformats.org/officeDocument/2006/relationships/hyperlink" Target="https://www.nps.org.au/australian-prescriber/articles/the-ocular-adverse-effects-of-oral-drugs" TargetMode="External"/><Relationship Id="rId109" Type="http://schemas.openxmlformats.org/officeDocument/2006/relationships/hyperlink" Target="https://doi.org/10.1371/journal.pone.0180188" TargetMode="External"/><Relationship Id="rId34" Type="http://schemas.openxmlformats.org/officeDocument/2006/relationships/hyperlink" Target="https://www.nps.org.au/australian-prescriber/articles/the-ocular-adverse-effects-of-oral-drugs" TargetMode="External"/><Relationship Id="rId50" Type="http://schemas.openxmlformats.org/officeDocument/2006/relationships/hyperlink" Target="https://www.nps.org.au/australian-prescriber/articles/the-ocular-adverse-effects-of-oral-drugs" TargetMode="External"/><Relationship Id="rId55" Type="http://schemas.openxmlformats.org/officeDocument/2006/relationships/hyperlink" Target="https://www.nps.org.au/australian-prescriber/articles/the-ocular-adverse-effects-of-oral-drugs" TargetMode="External"/><Relationship Id="rId76" Type="http://schemas.openxmlformats.org/officeDocument/2006/relationships/hyperlink" Target="https://www.nps.org.au/australian-prescriber/articles/the-ocular-adverse-effects-of-oral-drugs" TargetMode="External"/><Relationship Id="rId97" Type="http://schemas.openxmlformats.org/officeDocument/2006/relationships/hyperlink" Target="https://www.nps.org.au/australian-prescriber/articles/the-ocular-adverse-effects-of-oral-drugs" TargetMode="External"/><Relationship Id="rId104" Type="http://schemas.openxmlformats.org/officeDocument/2006/relationships/hyperlink" Target="https://www.nps.org.au/australian-prescriber/contact-us" TargetMode="External"/><Relationship Id="rId120" Type="http://schemas.openxmlformats.org/officeDocument/2006/relationships/hyperlink" Target="https://doi.org/10.1016/S0002-9394(02)01392-2" TargetMode="External"/><Relationship Id="rId125" Type="http://schemas.openxmlformats.org/officeDocument/2006/relationships/hyperlink" Target="http://www.aao.org/eyenet/article/macular-edema-associated-with-fingolimod" TargetMode="External"/><Relationship Id="rId141" Type="http://schemas.openxmlformats.org/officeDocument/2006/relationships/hyperlink" Target="https://ranzco.edu/wp%E2%80%91content/uploads/2021/04/RANZCO%E2%80%91Guidelines%E2%80%91for%E2%80%91screening%E2%80%91for%E2%80%91HCQ%E2%80%91Retinopathy%E2%80%911.pdf" TargetMode="External"/><Relationship Id="rId7" Type="http://schemas.openxmlformats.org/officeDocument/2006/relationships/hyperlink" Target="https://www.nps.org.au/australian-prescriber/articles/the-ocular-adverse-effects-of-oral-drugs" TargetMode="External"/><Relationship Id="rId71" Type="http://schemas.openxmlformats.org/officeDocument/2006/relationships/hyperlink" Target="https://www.nps.org.au/australian-prescriber/articles/the-ocular-adverse-effects-of-oral-drugs" TargetMode="External"/><Relationship Id="rId92" Type="http://schemas.openxmlformats.org/officeDocument/2006/relationships/hyperlink" Target="https://www.nps.org.au/australian-prescriber/articles/the-ocular-adverse-effects-of-oral-drugs" TargetMode="External"/><Relationship Id="rId2" Type="http://schemas.openxmlformats.org/officeDocument/2006/relationships/styles" Target="styles.xml"/><Relationship Id="rId29" Type="http://schemas.openxmlformats.org/officeDocument/2006/relationships/hyperlink" Target="https://www.nps.org.au/australian-prescriber/articles/the-ocular-adverse-effects-of-oral-drugs" TargetMode="External"/><Relationship Id="rId24" Type="http://schemas.openxmlformats.org/officeDocument/2006/relationships/hyperlink" Target="https://www.nps.org.au/australian-prescriber/articles/the-ocular-adverse-effects-of-oral-drugs" TargetMode="External"/><Relationship Id="rId40" Type="http://schemas.openxmlformats.org/officeDocument/2006/relationships/hyperlink" Target="https://www.nps.org.au/australian-prescriber/articles/the-ocular-adverse-effects-of-oral-drugs" TargetMode="External"/><Relationship Id="rId45" Type="http://schemas.openxmlformats.org/officeDocument/2006/relationships/hyperlink" Target="https://www.nps.org.au/australian-prescriber/articles/the-ocular-adverse-effects-of-oral-drugs" TargetMode="External"/><Relationship Id="rId66" Type="http://schemas.openxmlformats.org/officeDocument/2006/relationships/hyperlink" Target="https://www.nps.org.au/australian-prescriber/articles/the-ocular-adverse-effects-of-oral-drugs" TargetMode="External"/><Relationship Id="rId87" Type="http://schemas.openxmlformats.org/officeDocument/2006/relationships/hyperlink" Target="https://www.nps.org.au/australian-prescriber/articles/the-ocular-adverse-effects-of-oral-drugs" TargetMode="External"/><Relationship Id="rId110" Type="http://schemas.openxmlformats.org/officeDocument/2006/relationships/hyperlink" Target="https://doi.org/10.5005/jp-journals-10078-1261" TargetMode="External"/><Relationship Id="rId115" Type="http://schemas.openxmlformats.org/officeDocument/2006/relationships/hyperlink" Target="https://doi.org/10.1016/S0002-9394(03)00774-8" TargetMode="External"/><Relationship Id="rId131" Type="http://schemas.openxmlformats.org/officeDocument/2006/relationships/hyperlink" Target="https://doi.org/10.1097/01.wno.0000189059.90057.98" TargetMode="External"/><Relationship Id="rId136" Type="http://schemas.openxmlformats.org/officeDocument/2006/relationships/hyperlink" Target="https://doi.org/10.1177/112067219500500406" TargetMode="External"/><Relationship Id="rId61" Type="http://schemas.openxmlformats.org/officeDocument/2006/relationships/hyperlink" Target="https://www.nps.org.au/australian-prescriber/articles/the-ocular-adverse-effects-of-oral-drugs" TargetMode="External"/><Relationship Id="rId82" Type="http://schemas.openxmlformats.org/officeDocument/2006/relationships/hyperlink" Target="https://www.nps.org.au/australian-prescriber/articles/the-ocular-adverse-effects-of-oral-drugs" TargetMode="External"/><Relationship Id="rId19" Type="http://schemas.openxmlformats.org/officeDocument/2006/relationships/hyperlink" Target="https://www.nps.org.au/australian-prescriber/articles/the-ocular-adverse-effects-of-oral-drugs" TargetMode="External"/><Relationship Id="rId14" Type="http://schemas.openxmlformats.org/officeDocument/2006/relationships/hyperlink" Target="https://www.nps.org.au/australian-prescriber/articles/the-ocular-adverse-effects-of-oral-drugs" TargetMode="External"/><Relationship Id="rId30" Type="http://schemas.openxmlformats.org/officeDocument/2006/relationships/hyperlink" Target="https://www.nps.org.au/australian-prescriber/articles/the-ocular-adverse-effects-of-oral-drugs" TargetMode="External"/><Relationship Id="rId35" Type="http://schemas.openxmlformats.org/officeDocument/2006/relationships/hyperlink" Target="https://www.nps.org.au/australian-prescriber/articles/the-ocular-adverse-effects-of-oral-drugs" TargetMode="External"/><Relationship Id="rId56" Type="http://schemas.openxmlformats.org/officeDocument/2006/relationships/hyperlink" Target="https://www.nps.org.au/australian-prescriber/articles/the-ocular-adverse-effects-of-oral-drugs" TargetMode="External"/><Relationship Id="rId77" Type="http://schemas.openxmlformats.org/officeDocument/2006/relationships/hyperlink" Target="https://www.nps.org.au/australian-prescriber/articles/the-ocular-adverse-effects-of-oral-drugs" TargetMode="External"/><Relationship Id="rId100" Type="http://schemas.openxmlformats.org/officeDocument/2006/relationships/hyperlink" Target="https://www.nps.org.au/australian-prescriber/articles/the-ocular-adverse-effects-of-oral-drugs" TargetMode="External"/><Relationship Id="rId105" Type="http://schemas.openxmlformats.org/officeDocument/2006/relationships/hyperlink" Target="https://doi.org/10.2165/00003495-200767010-00006" TargetMode="External"/><Relationship Id="rId126" Type="http://schemas.openxmlformats.org/officeDocument/2006/relationships/hyperlink" Target="https://doi.org/10.1016/S0002-9394(01)01024-8" TargetMode="External"/><Relationship Id="rId8" Type="http://schemas.openxmlformats.org/officeDocument/2006/relationships/hyperlink" Target="https://www.nps.org.au/australian-prescriber/articles/the-ocular-adverse-effects-of-oral-drugs" TargetMode="External"/><Relationship Id="rId51" Type="http://schemas.openxmlformats.org/officeDocument/2006/relationships/hyperlink" Target="https://www.nps.org.au/australian-prescriber/articles/the-ocular-adverse-effects-of-oral-drugs" TargetMode="External"/><Relationship Id="rId72" Type="http://schemas.openxmlformats.org/officeDocument/2006/relationships/hyperlink" Target="https://www.nps.org.au/australian-prescriber/articles/the-ocular-adverse-effects-of-oral-drugs" TargetMode="External"/><Relationship Id="rId93" Type="http://schemas.openxmlformats.org/officeDocument/2006/relationships/hyperlink" Target="https://www.nps.org.au/australian-prescriber/articles/the-ocular-adverse-effects-of-oral-drugs" TargetMode="External"/><Relationship Id="rId98" Type="http://schemas.openxmlformats.org/officeDocument/2006/relationships/hyperlink" Target="https://www.nps.org.au/australian-prescriber/articles/the-ocular-adverse-effects-of-oral-drugs" TargetMode="External"/><Relationship Id="rId121" Type="http://schemas.openxmlformats.org/officeDocument/2006/relationships/hyperlink" Target="https://doi.org/10.1001/archophthalmol.2010.321"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nps.org.au/australian-prescriber/articles/the-ocular-adverse-effects-of-oral-drugs" TargetMode="External"/><Relationship Id="rId46" Type="http://schemas.openxmlformats.org/officeDocument/2006/relationships/hyperlink" Target="https://www.nps.org.au/australian-prescriber/articles/the-ocular-adverse-effects-of-oral-drugs" TargetMode="External"/><Relationship Id="rId67" Type="http://schemas.openxmlformats.org/officeDocument/2006/relationships/hyperlink" Target="https://www.nps.org.au/australian-prescriber/articles/the-ocular-adverse-effects-of-oral-drugs" TargetMode="External"/><Relationship Id="rId116" Type="http://schemas.openxmlformats.org/officeDocument/2006/relationships/hyperlink" Target="https://doi.org/10.2147/JEP.S124391" TargetMode="External"/><Relationship Id="rId137" Type="http://schemas.openxmlformats.org/officeDocument/2006/relationships/hyperlink" Target="https://doi.org/10.1136/bmj.326.7390.613" TargetMode="External"/><Relationship Id="rId20" Type="http://schemas.openxmlformats.org/officeDocument/2006/relationships/hyperlink" Target="https://www.nps.org.au/australian-prescriber/articles/the-ocular-adverse-effects-of-oral-drugs" TargetMode="External"/><Relationship Id="rId41" Type="http://schemas.openxmlformats.org/officeDocument/2006/relationships/hyperlink" Target="https://www.nps.org.au/australian-prescriber/articles/the-ocular-adverse-effects-of-oral-drugs" TargetMode="External"/><Relationship Id="rId62" Type="http://schemas.openxmlformats.org/officeDocument/2006/relationships/hyperlink" Target="https://www.nps.org.au/australian-prescriber/articles/the-ocular-adverse-effects-of-oral-drugs" TargetMode="External"/><Relationship Id="rId83" Type="http://schemas.openxmlformats.org/officeDocument/2006/relationships/hyperlink" Target="https://www.nps.org.au/australian-prescriber/articles/the-ocular-adverse-effects-of-oral-drugs" TargetMode="External"/><Relationship Id="rId88" Type="http://schemas.openxmlformats.org/officeDocument/2006/relationships/hyperlink" Target="https://www.nps.org.au/australian-prescriber/articles/the-ocular-adverse-effects-of-oral-drugs" TargetMode="External"/><Relationship Id="rId111" Type="http://schemas.openxmlformats.org/officeDocument/2006/relationships/hyperlink" Target="https://doi.org/10.18240/ijo.2016.05.19" TargetMode="External"/><Relationship Id="rId132" Type="http://schemas.openxmlformats.org/officeDocument/2006/relationships/hyperlink" Target="https://doi.org/10.3389/fneur.2020.00067" TargetMode="External"/><Relationship Id="rId15" Type="http://schemas.openxmlformats.org/officeDocument/2006/relationships/hyperlink" Target="https://www.nps.org.au/australian-prescriber/articles/the-ocular-adverse-effects-of-oral-drugs" TargetMode="External"/><Relationship Id="rId36" Type="http://schemas.openxmlformats.org/officeDocument/2006/relationships/hyperlink" Target="https://www.nps.org.au/admin/entries/apArticle/530633-the-ocular-adverse-effects-of-oral-drugs" TargetMode="External"/><Relationship Id="rId57" Type="http://schemas.openxmlformats.org/officeDocument/2006/relationships/hyperlink" Target="https://www.nps.org.au/australian-prescriber/articles/the-ocular-adverse-effects-of-oral-drugs" TargetMode="External"/><Relationship Id="rId106" Type="http://schemas.openxmlformats.org/officeDocument/2006/relationships/hyperlink" Target="https://doi.org/10.18773/austprescr.2010.042" TargetMode="External"/><Relationship Id="rId127" Type="http://schemas.openxmlformats.org/officeDocument/2006/relationships/hyperlink" Target="https://doi.org/10.1097/IAE.0000000000002451" TargetMode="External"/><Relationship Id="rId10" Type="http://schemas.openxmlformats.org/officeDocument/2006/relationships/hyperlink" Target="https://www.nps.org.au/australian-prescriber/articles/the-ocular-adverse-effects-of-oral-drugs" TargetMode="External"/><Relationship Id="rId31" Type="http://schemas.openxmlformats.org/officeDocument/2006/relationships/hyperlink" Target="https://www.nps.org.au/australian-prescriber/articles/the-ocular-adverse-effects-of-oral-drugs" TargetMode="External"/><Relationship Id="rId52" Type="http://schemas.openxmlformats.org/officeDocument/2006/relationships/hyperlink" Target="https://www.nps.org.au/australian-prescriber/articles/the-ocular-adverse-effects-of-oral-drugs" TargetMode="External"/><Relationship Id="rId73" Type="http://schemas.openxmlformats.org/officeDocument/2006/relationships/hyperlink" Target="https://www.nps.org.au/australian-prescriber/articles/the-ocular-adverse-effects-of-oral-drugs" TargetMode="External"/><Relationship Id="rId78" Type="http://schemas.openxmlformats.org/officeDocument/2006/relationships/hyperlink" Target="https://www.nps.org.au/australian-prescriber/articles/the-ocular-adverse-effects-of-oral-drugs" TargetMode="External"/><Relationship Id="rId94" Type="http://schemas.openxmlformats.org/officeDocument/2006/relationships/hyperlink" Target="https://www.nps.org.au/australian-prescriber/articles/the-ocular-adverse-effects-of-oral-drugs" TargetMode="External"/><Relationship Id="rId99" Type="http://schemas.openxmlformats.org/officeDocument/2006/relationships/hyperlink" Target="https://www.nps.org.au/australian-prescriber/articles/the-ocular-adverse-effects-of-oral-drugs" TargetMode="External"/><Relationship Id="rId101" Type="http://schemas.openxmlformats.org/officeDocument/2006/relationships/hyperlink" Target="https://www.tga.gov.au/black-triangle-scheme" TargetMode="External"/><Relationship Id="rId122" Type="http://schemas.openxmlformats.org/officeDocument/2006/relationships/hyperlink" Target="https://doi.org/10.1016/S0161-6420(03)00409-3"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ps.org.au/australian-prescriber/articles/the-ocular-adverse-effects-of-oral-drugs" TargetMode="External"/><Relationship Id="rId26" Type="http://schemas.openxmlformats.org/officeDocument/2006/relationships/hyperlink" Target="https://www.nps.org.au/australian-prescriber/articles/the-ocular-adverse-effects-of-oral-drugs" TargetMode="External"/><Relationship Id="rId47" Type="http://schemas.openxmlformats.org/officeDocument/2006/relationships/hyperlink" Target="https://www.nps.org.au/australian-prescriber/articles/the-ocular-adverse-effects-of-oral-drugs" TargetMode="External"/><Relationship Id="rId68" Type="http://schemas.openxmlformats.org/officeDocument/2006/relationships/image" Target="media/image1.png"/><Relationship Id="rId89" Type="http://schemas.openxmlformats.org/officeDocument/2006/relationships/hyperlink" Target="https://www.nps.org.au/australian-prescriber/articles/the-ocular-adverse-effects-of-oral-drugs" TargetMode="External"/><Relationship Id="rId112" Type="http://schemas.openxmlformats.org/officeDocument/2006/relationships/hyperlink" Target="https://doi.org/10.3109/08820538.2016.1139738" TargetMode="External"/><Relationship Id="rId133" Type="http://schemas.openxmlformats.org/officeDocument/2006/relationships/hyperlink" Target="https://doi.org/10.1001/archopht.120.10.1402" TargetMode="External"/><Relationship Id="rId16" Type="http://schemas.openxmlformats.org/officeDocument/2006/relationships/hyperlink" Target="https://www.nps.org.au/australian-prescriber/articles/the-ocular-adverse-effects-of-oral-dru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6688</Words>
  <Characters>38125</Characters>
  <Application>Microsoft Office Word</Application>
  <DocSecurity>0</DocSecurity>
  <Lines>317</Lines>
  <Paragraphs>89</Paragraphs>
  <ScaleCrop>false</ScaleCrop>
  <Company/>
  <LinksUpToDate>false</LinksUpToDate>
  <CharactersWithSpaces>44724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Faik Cankat Tulunay</dc:creator>
  <cp:keywords/>
  <dc:description/>
  <cp:lastModifiedBy>Faik Cankat Tulunay</cp:lastModifiedBy>
  <cp:revision>1</cp:revision>
  <dcterms:created xsi:type="dcterms:W3CDTF">2021-08-21T08:28:00Z</dcterms:created>
  <dcterms:modified xsi:type="dcterms:W3CDTF">2021-08-21T08:37:00Z</dcterms:modified>
</cp:coreProperties>
</file>