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80" w:lineRule="auto"/>
        <w:jc w:val="both"/>
        <w:rPr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Para el desarrollo del proyecto, se han elegido cuidadosamente una serie de herramientas tecnológicas que permitirán un procesamiento eficiente y escalable de los datos. A continuación, se presentan las herramientas seleccionadas del Stack Tecnológico: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Python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Utilizado para el procesamiento y análisis de datos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Pandas y Numpy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Librerías para el manejo tabular de datos.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Matplotlib y Seaborn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Herramientas para visualización y análisis exploratorio de datos.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NLTK (Natural Language Toolkit)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Librería para procesamiento de lenguaje natural, incluyendo análisis de sentimiento a las reseñas hechas por los usuarios de ambas plataformas.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boto3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Librería para interactuar con servicios de AWS como Amazon S3.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Docker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Sistema para gestionar contenedores, simplificando la manipulación de datos.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Amazon S3 AWS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Almacenamiento escalable y duradero para datos a través de internet.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GitHub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Plataforma de control de versiones para colaboración en equipo.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Google Cloud Storage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Ideal para datasets escalables y optimizados en la nube.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Google Drive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Utilizado para sincronización y acceso a archivos desde cualquier lugar.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Arial" w:cs="Arial" w:eastAsia="Arial" w:hAnsi="Arial"/>
          <w:color w:val="11111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Looker Studio:</w:t>
      </w:r>
      <w:r w:rsidDel="00000000" w:rsidR="00000000" w:rsidRPr="00000000">
        <w:rPr>
          <w:sz w:val="24"/>
          <w:szCs w:val="24"/>
          <w:rtl w:val="0"/>
        </w:rPr>
        <w:t xml:space="preserve"> Es una herramienta utilizada para la visualización de datos a través de paneles o informes.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