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82DA3B" w14:textId="61BF02B7" w:rsidR="009B6DE4" w:rsidRPr="007615FA" w:rsidRDefault="009B6DE4" w:rsidP="007615FA">
      <w:pPr>
        <w:ind w:left="720" w:hanging="360"/>
        <w:jc w:val="center"/>
        <w:rPr>
          <w:rFonts w:ascii="Arial" w:hAnsi="Arial" w:cs="Arial"/>
          <w:b/>
          <w:bCs/>
          <w:sz w:val="40"/>
          <w:szCs w:val="40"/>
        </w:rPr>
      </w:pPr>
      <w:r w:rsidRPr="007615FA">
        <w:rPr>
          <w:rFonts w:ascii="Arial" w:hAnsi="Arial" w:cs="Arial"/>
          <w:b/>
          <w:bCs/>
          <w:sz w:val="40"/>
          <w:szCs w:val="40"/>
        </w:rPr>
        <w:t>Chapter 3</w:t>
      </w:r>
    </w:p>
    <w:p w14:paraId="4E1F266F" w14:textId="77777777" w:rsidR="009B6DE4" w:rsidRPr="007615FA" w:rsidRDefault="009B6DE4" w:rsidP="007615FA">
      <w:pPr>
        <w:jc w:val="both"/>
        <w:rPr>
          <w:rFonts w:ascii="Arial" w:hAnsi="Arial" w:cs="Arial"/>
          <w:b/>
          <w:bCs/>
          <w:lang w:val="pt-BR"/>
        </w:rPr>
      </w:pPr>
    </w:p>
    <w:p w14:paraId="19BFC16E" w14:textId="41FAD08A" w:rsidR="0089077D" w:rsidRPr="007615FA" w:rsidRDefault="00F5584F" w:rsidP="007615FA">
      <w:pPr>
        <w:pStyle w:val="ListParagraph"/>
        <w:numPr>
          <w:ilvl w:val="0"/>
          <w:numId w:val="6"/>
        </w:numPr>
        <w:jc w:val="both"/>
        <w:rPr>
          <w:rFonts w:ascii="Arial" w:hAnsi="Arial" w:cs="Arial"/>
          <w:b/>
          <w:bCs/>
          <w:lang w:val="pt-BR"/>
        </w:rPr>
      </w:pPr>
      <w:proofErr w:type="spellStart"/>
      <w:r w:rsidRPr="007615FA">
        <w:rPr>
          <w:rFonts w:ascii="Arial" w:hAnsi="Arial" w:cs="Arial"/>
          <w:b/>
          <w:bCs/>
          <w:lang w:val="pt-BR"/>
        </w:rPr>
        <w:t>Introduction</w:t>
      </w:r>
      <w:proofErr w:type="spellEnd"/>
    </w:p>
    <w:p w14:paraId="7A460B41" w14:textId="3D194101" w:rsidR="0015599E" w:rsidRPr="007615FA" w:rsidRDefault="005B132F" w:rsidP="007615FA">
      <w:pPr>
        <w:ind w:firstLine="720"/>
        <w:jc w:val="both"/>
        <w:rPr>
          <w:rFonts w:ascii="Arial" w:hAnsi="Arial" w:cs="Arial"/>
          <w:lang w:val="en-US"/>
        </w:rPr>
      </w:pPr>
      <w:r w:rsidRPr="007615FA">
        <w:rPr>
          <w:rFonts w:ascii="Arial" w:hAnsi="Arial" w:cs="Arial"/>
          <w:lang w:val="en-US"/>
        </w:rPr>
        <w:t>State efforts to curb Amazon deforestation during the 2000s coincided with two other major developments: the commodity boom and the expansion of social inclusion through cash transfers and sustained increases in the real minimum wage.</w:t>
      </w:r>
      <w:r w:rsidR="0015599E" w:rsidRPr="007615FA">
        <w:rPr>
          <w:rFonts w:ascii="Arial" w:hAnsi="Arial" w:cs="Arial"/>
          <w:lang w:val="en-US"/>
        </w:rPr>
        <w:t xml:space="preserve"> </w:t>
      </w:r>
      <w:r w:rsidRPr="007615FA">
        <w:rPr>
          <w:rFonts w:ascii="Arial" w:hAnsi="Arial" w:cs="Arial"/>
          <w:lang w:val="en-US"/>
        </w:rPr>
        <w:t xml:space="preserve">These three processes were interconnected, but not in the same way. </w:t>
      </w:r>
    </w:p>
    <w:p w14:paraId="4DEA1BFE" w14:textId="77777777" w:rsidR="00096121" w:rsidRPr="007615FA" w:rsidRDefault="005B132F" w:rsidP="007615FA">
      <w:pPr>
        <w:ind w:firstLine="720"/>
        <w:jc w:val="both"/>
        <w:rPr>
          <w:rFonts w:ascii="Arial" w:hAnsi="Arial" w:cs="Arial"/>
          <w:lang w:val="en-US"/>
        </w:rPr>
      </w:pPr>
      <w:r w:rsidRPr="007615FA">
        <w:rPr>
          <w:rFonts w:ascii="Arial" w:hAnsi="Arial" w:cs="Arial"/>
          <w:lang w:val="en-US"/>
        </w:rPr>
        <w:t>Economic growth created favorable conditions for social inclusion b</w:t>
      </w:r>
      <w:r w:rsidRPr="007615FA">
        <w:rPr>
          <w:rFonts w:ascii="Arial" w:hAnsi="Arial" w:cs="Arial"/>
          <w:lang w:val="en-US"/>
        </w:rPr>
        <w:t>y</w:t>
      </w:r>
      <w:r w:rsidRPr="007615FA">
        <w:rPr>
          <w:rFonts w:ascii="Arial" w:hAnsi="Arial" w:cs="Arial"/>
          <w:lang w:val="en-US"/>
        </w:rPr>
        <w:t xml:space="preserve"> support</w:t>
      </w:r>
      <w:r w:rsidRPr="007615FA">
        <w:rPr>
          <w:rFonts w:ascii="Arial" w:hAnsi="Arial" w:cs="Arial"/>
          <w:lang w:val="en-US"/>
        </w:rPr>
        <w:t>ing</w:t>
      </w:r>
      <w:r w:rsidRPr="007615FA">
        <w:rPr>
          <w:rFonts w:ascii="Arial" w:hAnsi="Arial" w:cs="Arial"/>
          <w:lang w:val="en-US"/>
        </w:rPr>
        <w:t xml:space="preserve"> labor-market formalization and income gains among lower-income groups, and minimum-wage increases </w:t>
      </w:r>
      <w:r w:rsidRPr="007615FA">
        <w:rPr>
          <w:rFonts w:ascii="Arial" w:hAnsi="Arial" w:cs="Arial"/>
          <w:lang w:val="en-US"/>
        </w:rPr>
        <w:t xml:space="preserve">further </w:t>
      </w:r>
      <w:r w:rsidRPr="007615FA">
        <w:rPr>
          <w:rFonts w:ascii="Arial" w:hAnsi="Arial" w:cs="Arial"/>
          <w:lang w:val="en-US"/>
        </w:rPr>
        <w:t>strengthened earnings at the bottom of the distribution.</w:t>
      </w:r>
      <w:r w:rsidR="0015599E" w:rsidRPr="007615FA">
        <w:rPr>
          <w:rFonts w:ascii="Arial" w:hAnsi="Arial" w:cs="Arial"/>
          <w:lang w:val="en-US"/>
        </w:rPr>
        <w:t xml:space="preserve"> Economic growth also allowed an increase in social spending, leading to the creation of generous social policies such as cash transfers. Between 2003 and 2013, Brazil’s GDP grew 64%, while minimum wage grew 75%, besides millions of new job opportunities creat</w:t>
      </w:r>
      <w:r w:rsidR="00096121" w:rsidRPr="007615FA">
        <w:rPr>
          <w:rFonts w:ascii="Arial" w:hAnsi="Arial" w:cs="Arial"/>
          <w:lang w:val="en-US"/>
        </w:rPr>
        <w:t xml:space="preserve">ed </w:t>
      </w:r>
      <w:r w:rsidR="00096121" w:rsidRPr="007615FA">
        <w:rPr>
          <w:rFonts w:ascii="Arial" w:hAnsi="Arial" w:cs="Arial"/>
          <w:lang w:val="en-US"/>
        </w:rPr>
        <w:fldChar w:fldCharType="begin"/>
      </w:r>
      <w:r w:rsidR="00096121" w:rsidRPr="007615FA">
        <w:rPr>
          <w:rFonts w:ascii="Arial" w:hAnsi="Arial" w:cs="Arial"/>
          <w:lang w:val="en-US"/>
        </w:rPr>
        <w:instrText xml:space="preserve"> ADDIN ZOTERO_ITEM CSL_CITATION {"citationID":"lqmD4xRl","properties":{"formattedCitation":"(Costa 2024; Saboia and Hallak Neto 2018; Souza and Bruce 2022)","plainCitation":"(Costa 2024; Saboia and Hallak Neto 2018; Souza and Bruce 2022)","noteIndex":0},"citationItems":[{"id":6127,"uris":["http://zotero.org/users/6338991/items/VHVS6QXU"],"itemData":{"id":6127,"type":"book","citation-key":"costaDesiguaisDivididosUma2024a","ISBN":"978-65-5692-776-3","language":"pt-BR","number-of-pages":"224","publisher":"Todavia","publisher-place":"São Paulo, SP","source":"Câmara Brasileira do Livro ISBN","title":"Desiguais e divididos: Uma interpretação do Brasil polarizado","title-short":"Desiguais e divididos","author":[{"family":"Costa","given":"Sérgio"}],"issued":{"date-parts":[["2024",11,22]]}}},{"id":6124,"uris":["http://zotero.org/users/6338991/items/VJALQESB"],"itemData":{"id":6124,"type":"article-journal","abstract":"Resumo Há vários anos o salário mínimo (SM) vem passando por um intenso processo de crescimento no Brasil. Diversos autores têm argumentado que importante parcela da melhoria da distribuição de renda no passado recente pode ser atribuída ao aumento do SM. A partir do cálculo das elasticidades dos rendimentos em relação ao SM, este artigo procura estimar os efeitos da atual política de reajuste do SM sobre a melhoria da distribuição de renda. O resultado das simulações realizadas mostra que o SM contribuiu bastante nos últimos anos, tanto pelo mercado de trabalho quanto através das pensões, aposentadorias e outras transferências oficiais.\n          , \n            Abstract In recent years the Brazilian minimum wage (MW) has gone through an intense process of growth. Different authors have argued that an important part of the improvement in income distribution can be attributed to the increase in the MW in the recent past. Using income elasticities with respect to MW, this paper seeks to estimate the effects of current MW adjustment policy on improving income distribution. The results of simulations show that MW contributed greatly in recent years through the labor market as well as through pensions and other official transfers.","citation-key":"saboiaSalarioMinimoDistribuicao2018","container-title":"Economia e Sociedade","DOI":"10.1590/1982-3533.2017v27n1art9","ISSN":"1982-3533, 0104-0618","issue":"1","journalAbbreviation":"Econ. soc.","page":"265-285","source":"DOI.org (Crossref)","title":"Salário mínimo e distribuição de renda no Brasil a partir dos anos 2000*","volume":"27","author":[{"family":"Saboia","given":"João"},{"family":"Hallak Neto","given":"João"}],"issued":{"date-parts":[["2018",4]]}}},{"id":5260,"uris":["http://zotero.org/users/6338991/items/GI7IL7T3"],"itemData":{"id":5260,"type":"article-journal","abstract":"Este trabalho se propõe a entender quão boa foi a focalização do Programa Bolsa Família (PBF) e quão eficaz ele foi no combate à pobreza no Brasil entre 2004 e 2019. Por meio de dados da Pesquisa Nacional por Amostra de Domicílios (PNAD) de 2004 a 2015, da PNAD Contínua a partir de 2012 a 2019 e do Atlas of Social Protection Indicators of Resilience and Equity (Aspire), calculamos diferentes indicadores para medidas de focalização e pobreza para obter um panorama de como o programa funcionou ao longo do período analisado. Além disso, comparamos a focalização com a de programas semelhantes de outros países para apresentar o PBF em perspectiva internacional. Nossos resultados indicam que o PBF obteve boa focalização, com níveis baixos de erros de inclusão (isto é, pessoas que não deveriam receber o benefício, porém o recebem) e níveis moderados para os erros de exclusão (ou seja, pessoas que deveriam receber o benefício, porém não o recebem). Em perspectiva internacional, o PBF é bem focalizado, ficando entre os melhores programas de nossa amostra, independentemente da linha de pobreza ou métrica de focalização utilizada. No que diz respeito ao efeito sobre a redução de pobreza, os resultados sugerem um papel importante do PBF, especialmente quando são utilizadas linhas de pobreza mais baixas. No entanto, para essas linhas, o efeito do PBF sobre a pobreza diminuiu ao longo do tempo. Em especial, não houve um aumento do papel do PBF sobre a redução de pobreza entre 2012 e 2019. Concluímos então que a prioridade para os próximos anos é reduzir os erros de exclusão e manter ou elevar o valor real dos benefícios.","citation-key":"souza2022","container-title":"Texto para Discussão","DOI":"10.38116/td2813","journalAbbreviation":"TD","page":"1-83","source":"DOI.org (Crossref)","title":"TD 2813 - Uma avaliação final da focalização e da efetividade contra a pobreza do Programa Bolsa Família, em perspectiva comparada","author":[{"family":"Souza","given":"Pedro H. G. Ferreira De"},{"family":"Bruce","given":"Raphael"}],"issued":{"date-parts":[["2022",11,18]]}}}],"schema":"https://github.com/citation-style-language/schema/raw/master/csl-citation.json"} </w:instrText>
      </w:r>
      <w:r w:rsidR="00096121" w:rsidRPr="007615FA">
        <w:rPr>
          <w:rFonts w:ascii="Arial" w:hAnsi="Arial" w:cs="Arial"/>
          <w:lang w:val="en-US"/>
        </w:rPr>
        <w:fldChar w:fldCharType="separate"/>
      </w:r>
      <w:r w:rsidR="00096121" w:rsidRPr="007615FA">
        <w:rPr>
          <w:rFonts w:ascii="Arial" w:hAnsi="Arial" w:cs="Arial"/>
          <w:noProof/>
          <w:lang w:val="en-US"/>
        </w:rPr>
        <w:t>(Costa 2024; Saboia and Hallak Neto 2018; Souza and Bruce 2022)</w:t>
      </w:r>
      <w:r w:rsidR="00096121" w:rsidRPr="007615FA">
        <w:rPr>
          <w:rFonts w:ascii="Arial" w:hAnsi="Arial" w:cs="Arial"/>
          <w:lang w:val="en-US"/>
        </w:rPr>
        <w:fldChar w:fldCharType="end"/>
      </w:r>
      <w:r w:rsidR="00096121" w:rsidRPr="007615FA">
        <w:rPr>
          <w:rFonts w:ascii="Arial" w:hAnsi="Arial" w:cs="Arial"/>
          <w:lang w:val="en-US"/>
        </w:rPr>
        <w:t xml:space="preserve">. </w:t>
      </w:r>
      <w:r w:rsidRPr="007615FA">
        <w:rPr>
          <w:rFonts w:ascii="Arial" w:hAnsi="Arial" w:cs="Arial"/>
          <w:lang w:val="en-US"/>
        </w:rPr>
        <w:t xml:space="preserve">Growth and inclusion were mutually reinforcing. </w:t>
      </w:r>
    </w:p>
    <w:p w14:paraId="3CFA85EB" w14:textId="3874E14A" w:rsidR="00096121" w:rsidRPr="007615FA" w:rsidRDefault="005B132F" w:rsidP="007615FA">
      <w:pPr>
        <w:ind w:firstLine="720"/>
        <w:jc w:val="both"/>
        <w:rPr>
          <w:rFonts w:ascii="Arial" w:hAnsi="Arial" w:cs="Arial"/>
          <w:lang w:val="en-US"/>
        </w:rPr>
      </w:pPr>
      <w:r w:rsidRPr="007615FA">
        <w:rPr>
          <w:rFonts w:ascii="Arial" w:hAnsi="Arial" w:cs="Arial"/>
          <w:lang w:val="en-US"/>
        </w:rPr>
        <w:t>Conversely, t</w:t>
      </w:r>
      <w:r w:rsidRPr="007615FA">
        <w:rPr>
          <w:rFonts w:ascii="Arial" w:hAnsi="Arial" w:cs="Arial"/>
          <w:lang w:val="en-US"/>
        </w:rPr>
        <w:t>he relationship between growth and deforestation control was potentially antagonistic. Land conversion for agriculture and cattle ranching has historically generated substantial returns in the Amazon, so rising commodity prices increased the opportunity cost of conservation and strengthened the incentive to clear.</w:t>
      </w:r>
      <w:r w:rsidR="00096121" w:rsidRPr="007615FA">
        <w:rPr>
          <w:rFonts w:ascii="Arial" w:hAnsi="Arial" w:cs="Arial"/>
          <w:lang w:val="en-US"/>
        </w:rPr>
        <w:t xml:space="preserve"> </w:t>
      </w:r>
      <w:r w:rsidR="00096121" w:rsidRPr="007615FA">
        <w:rPr>
          <w:rFonts w:ascii="Arial" w:hAnsi="Arial" w:cs="Arial"/>
          <w:lang w:val="en-US"/>
        </w:rPr>
        <w:fldChar w:fldCharType="begin"/>
      </w:r>
      <w:r w:rsidR="00096121" w:rsidRPr="007615FA">
        <w:rPr>
          <w:rFonts w:ascii="Arial" w:hAnsi="Arial" w:cs="Arial"/>
          <w:lang w:val="en-US"/>
        </w:rPr>
        <w:instrText xml:space="preserve"> ADDIN ZOTERO_ITEM CSL_CITATION {"citationID":"PZe35uvJ","properties":{"formattedCitation":"(Schneider 1995; Mahar 1988; Binswanger 1991)","plainCitation":"(Schneider 1995; Mahar 1988; Binswanger 1991)","noteIndex":0},"citationItems":[{"id":54,"uris":["http://zotero.org/users/6338991/items/P3VZ265M"],"itemData":{"id":54,"type":"book","citation-key":"schneiderGovernmentEconomyAmazon1995","DOI":"10.1596/0-8213-3353-4","ISBN":"978-0-8213-3353-2","language":"en","publisher":"The World Bank","source":"DOI.org (Crossref)","title":"Government and the Economy on the Amazon Frontier","URL":"http://elibrary.worldbank.org/doi/book/10.1596/0-8213-3353-4","author":[{"family":"Schneider","given":"Robert R."}],"accessed":{"date-parts":[["2023",9,5]]},"issued":{"date-parts":[["1995",9]]}}},{"id":56,"uris":["http://zotero.org/users/6338991/items/KIJHE7H6"],"itemData":{"id":56,"type":"report","citation-key":"maharGovernmentPoliciesDeforestation1988","genre":"Environment Department Working Paper","language":"English","number":"7","page":"37","publisher":"The World Bank","title":"Government Policies and Deforestation in Brazil's Amazon Region","URL":"https://documents1.worldbank.org/curated/en/865991493311211082/pdf/Government-policies-and-deforestation-in-Brazils-Amazon-region.pdf","author":[{"family":"Mahar","given":"Dennis"}],"accessed":{"date-parts":[["2023",9,5]]},"issued":{"date-parts":[["1988",6]]}}},{"id":55,"uris":["http://zotero.org/users/6338991/items/PI9DGB2S"],"itemData":{"id":55,"type":"article-journal","abstract":"This paper shows that general tax policies, special tax incentives, the rules of land allocation, and the agricultural credit system all accelerate deforestation in the Amazon. These policies increase the size of land holdings and reduce the chances of the poor to become farmers. The key provisions include: the virtual exemption of agricultural income from income taxation; rules of public land allocation that provide incentives for deforestation because the security of a claim is determined by land clearing; a progressive land tax that contains provisions that encourage the conversion of forest to crop land or pasture; a tax credit scheme aimed toward corporate livestock ranches that subsidizes inefficient ranches established on cleared forest land; and subsidized credit available for SUDAM-approved ranches. These distorting provisions must be removed before afforestation projects and programs can succeed. Afforestation and settlement projects should take into account the effect of these distortions, and the projects should thus have modest expectations. While reducing perverse economic incentives for deforestation will slow down the destruction of the Amazon forest, incentive policies alone are not enough. A coherent system of land use planning that sets aside more marginal lands in forest reserves and establishes biological reserves is also required. Even under the best incentive regimes, these reserves, as well as Indian reservations, will have to be protected by the power of the law and its enforcement agents. As part of this strategy, forest guards must be given greater incentives to enforce forest preservation laws currently in place.","citation-key":"binswangerBrazilianPoliciesThat1991","container-title":"World Development","issue":"7","language":"English","page":"821-829","title":"Brazilian Policies that Encourage Deforestation in the Amazon","volume":"19","author":[{"family":"Binswanger","given":"Hans P."}],"issued":{"date-parts":[["1991"]]}}}],"schema":"https://github.com/citation-style-language/schema/raw/master/csl-citation.json"} </w:instrText>
      </w:r>
      <w:r w:rsidR="00096121" w:rsidRPr="007615FA">
        <w:rPr>
          <w:rFonts w:ascii="Arial" w:hAnsi="Arial" w:cs="Arial"/>
          <w:lang w:val="en-US"/>
        </w:rPr>
        <w:fldChar w:fldCharType="separate"/>
      </w:r>
      <w:r w:rsidR="00096121" w:rsidRPr="007615FA">
        <w:rPr>
          <w:rFonts w:ascii="Arial" w:hAnsi="Arial" w:cs="Arial"/>
          <w:noProof/>
          <w:lang w:val="en-US"/>
        </w:rPr>
        <w:t>(Schneider 1995; Mahar 1988; Binswanger 1991)</w:t>
      </w:r>
      <w:r w:rsidR="00096121" w:rsidRPr="007615FA">
        <w:rPr>
          <w:rFonts w:ascii="Arial" w:hAnsi="Arial" w:cs="Arial"/>
          <w:lang w:val="en-US"/>
        </w:rPr>
        <w:fldChar w:fldCharType="end"/>
      </w:r>
      <w:r w:rsidR="00096121" w:rsidRPr="007615FA">
        <w:rPr>
          <w:rFonts w:ascii="Arial" w:hAnsi="Arial" w:cs="Arial"/>
          <w:lang w:val="en-US"/>
        </w:rPr>
        <w:t xml:space="preserve">. </w:t>
      </w:r>
      <w:r w:rsidRPr="007615FA">
        <w:rPr>
          <w:rFonts w:ascii="Arial" w:hAnsi="Arial" w:cs="Arial"/>
          <w:lang w:val="en-US"/>
        </w:rPr>
        <w:t>A central task of the literature on Amazon deforestation has therefore been to separate the effects of commodity prices and other market forces from the effects of environmental policy and enforcement. This distinction is necessary to assess how much of the historic decline in deforestation came from public policy rather than from economic conditions.</w:t>
      </w:r>
    </w:p>
    <w:p w14:paraId="7013BCC5" w14:textId="77777777" w:rsidR="00096121" w:rsidRPr="007615FA" w:rsidRDefault="005B132F" w:rsidP="007615FA">
      <w:pPr>
        <w:ind w:firstLine="720"/>
        <w:jc w:val="both"/>
        <w:rPr>
          <w:rFonts w:ascii="Arial" w:hAnsi="Arial" w:cs="Arial"/>
          <w:lang w:val="en-US"/>
        </w:rPr>
      </w:pPr>
      <w:r w:rsidRPr="007615FA">
        <w:rPr>
          <w:rFonts w:ascii="Arial" w:hAnsi="Arial" w:cs="Arial"/>
          <w:lang w:val="en-US"/>
        </w:rPr>
        <w:t xml:space="preserve">Econometric studies that estimate the effects of command-and-control conservation policy while accounting for economic drivers, in particular agricultural commodity prices, consistently find that policy contributed substantially to the decline </w:t>
      </w:r>
      <w:r w:rsidR="00096121" w:rsidRPr="007615FA">
        <w:rPr>
          <w:rFonts w:ascii="Arial" w:hAnsi="Arial" w:cs="Arial"/>
          <w:lang w:val="en-US"/>
        </w:rPr>
        <w:fldChar w:fldCharType="begin"/>
      </w:r>
      <w:r w:rsidR="00096121" w:rsidRPr="007615FA">
        <w:rPr>
          <w:rFonts w:ascii="Arial" w:hAnsi="Arial" w:cs="Arial"/>
          <w:lang w:val="en-US"/>
        </w:rPr>
        <w:instrText xml:space="preserve"> ADDIN ZOTERO_ITEM CSL_CITATION {"citationID":"IGwWXaJP","properties":{"formattedCitation":"(Harding et al. 2021; Assun\\uc0\\u231{}\\uc0\\u227{}o et al. 2015; Hargrave and Kis-Katos 2013; Gandour 2018b; Assun\\uc0\\u231{}\\uc0\\u227{}o and Rocha 2019; Burgess et al. 2012; Barber et al. 2014)","plainCitation":"(Harding et al. 2021; Assunção et al. 2015; Hargrave and Kis-Katos 2013; Gandour 2018b; Assunção and Rocha 2019; Burgess et al. 2012; Barber et al. 2014)","noteIndex":0},"citationItems":[{"id":4863,"uris":["http://zotero.org/users/6338991/items/DV9PVBBF"],"itemData":{"id":4863,"type":"article-journal","abstract":"Increasing international agricultural commodity prices create pressure on tropical forests. We study the effectiveness of three regulatory policies implemented by Brazil in reducing this pressure: blacklisting of municipalities, the Soy Moratorium, and conservation zones. We use a triple difference approach that combines international agricultural commodity prices with the policies across three million km2 in the Brazilian Amazon. We ﬁnd that the blacklisting program is effective, as it reduces deforestation related to the prices by 40%. The Soy Moratorium made deforestation in exposed municipalities more sensitive to non-soy prices, in line with crop substitution. Conservation zones amplify the effect of prices on deforestation on the remaining unprotected land, consistent with reduced land supply. Our results highlight that the effect of environmental regulation depends on the economic pressure to use natural resources.","citation-key":"harding2021","container-title":"Journal of Environmental Economics and Management","DOI":"10.1016/j.jeem.2021.102452","ISSN":"00950696","journalAbbreviation":"Journal of Environmental Economics and Management","language":"en","page":"102452","source":"DOI.org (Crossref)","title":"Commodity prices and robust environmental regulation: Evidence from deforestation in Brazil","title-short":"Commodity prices and robust environmental regulation","volume":"108","author":[{"family":"Harding","given":"Torfinn"},{"family":"Herzberg","given":"Julika"},{"family":"Kuralbayeva","given":"Karlygash"}],"issued":{"date-parts":[["2021",7]]}}},{"id":222,"uris":["http://zotero.org/users/6338991/items/FIKKND4J"],"itemData":{"id":222,"type":"article-journal","abstract":"This paper investigates the contribution of agricultural output prices and policies to the reduction in Amazon deforestation in the 2000s. Based on a panel of Amazon municipalities from 2002 through 2009, we ﬁrst show that deforestation responded to agricultural output prices. After controlling for price effects, we ﬁnd that conservation policies implemented beginning in 2004 and 2008 signiﬁcantly contributed to the curbing of deforestation. Counterfactual simulations suggest that conservation policies avoided approximately 73,000 km2 of deforestation, or 56 per cent of total forest clearings that would have occurred from 2005 through 2009 had the policies adopted beginning in 2004 and 2008 not been introduced. This is equivalent to an avoided loss of 2.7 billion tonnes of stored carbon dioxide.","citation-key":"assuncao2015","container-title":"Environment and Development Economics","DOI":"10.1017/S1355770X15000078","ISSN":"1355-770X, 1469-4395","issue":"6","journalAbbreviation":"Envir. Dev. Econ.","language":"en","page":"697-722","source":"DOI.org (Crossref)","title":"Deforestation slowdown in the Brazilian Amazon: prices or policies?","title-short":"Deforestation slowdown in the Brazilian Amazon","volume":"20","author":[{"family":"Assunção","given":"Juliano"},{"family":"Gandour","given":"Clarissa"},{"family":"Rocha","given":"Rudi"}],"issued":{"date-parts":[["2015",12]]}}},{"id":221,"uris":["http://zotero.org/users/6338991/items/5234GBG5"],"itemData":{"id":221,"type":"article-journal","citation-key":"hargrave2013","container-title":"Environmental and Resource Economics","DOI":"10.1007/s10640-012-9610-2","ISSN":"0924-6460, 1573-1502","issue":"4","journalAbbreviation":"Environ Resource Econ","language":"en","page":"471-494","source":"DOI.org (Crossref)","title":"Economic Causes of Deforestation in the Brazilian Amazon: A Panel Data Analysis for the 2000s","title-short":"Economic Causes of Deforestation in the Brazilian Amazon","volume":"54","author":[{"family":"Hargrave","given":"Jorge"},{"family":"Kis-Katos","given":"Krisztina"}],"issued":{"date-parts":[["2013",4]]}}},{"id":220,"uris":["http://zotero.org/users/6338991/items/HQIUV5TX"],"itemData":{"id":220,"type":"thesis","citation-key":"gandour2018","DOI":"10.17771/PUCRio.acad.36194","genre":"Doutor em Economia","language":"en","publisher":"Pontifícia Universidade Católica do Rio de Janeiro","publisher-place":"Rio de Janeiro, Brazil","source":"DOI.org (Crossref)","title":"Forest Wars: a trilogy on combating deforestation in the brazillian Amazon","title-short":"FOREST WARS","URL":"http://www.maxwell.vrac.puc-rio.br/Busca_etds.php?strSecao=resultado&amp;nrSeq=36194@2","author":[{"family":"Gandour","given":"Clarissa Costalonga","dropping-particle":"e"}],"accessed":{"date-parts":[["2023",9,8]]},"issued":{"date-parts":[["2018",9,3]]}}},{"id":219,"uris":["http://zotero.org/users/6338991/items/HHRP8UXE"],"itemData":{"id":219,"type":"article-journal","abstract":"In 2008, the Brazilian government blacklisted municipalities in the Amazon to better target efforts to repress deforestation. Not only were law enforcement and monitoring activities intensified, but also economic sanctions and political pressures were imposed on those municipalities. We use a differences-in differences approach to compare deforestation reduction in blacklisted municipalities and non-blacklisted municipalities. We find that: (i) the blacklisting has significantly reduced deforestation; and (ii) this effect was primarily driven by the monitoring and law enforcement channel – there is no effect on agricultural production or credit concessions.","citation-key":"assuncao2019a","container-title":"Environment and Development Economics","DOI":"10.1017/S1355770X18000499","ISSN":"1355-770X, 1469-4395","issue":"2","journalAbbreviation":"Envir. Dev. Econ.","language":"en","page":"115-137","source":"DOI.org (Crossref)","title":"Getting greener by going black: the effect of blacklisting municipalities on Amazon deforestation","title-short":"Getting greener by going black","volume":"24","author":[{"family":"Assunção","given":"Juliano"},{"family":"Rocha","given":"Romero"}],"issued":{"date-parts":[["2019",4]]}}},{"id":28,"uris":["http://zotero.org/users/6338991/items/LSI2GIYK"],"itemData":{"id":28,"type":"article-journal","abstract":"Abstract\n            Tropical deforestation accounts for almost one-fifth of greenhouse gas emissions and threatens the world’s most diverse ecosystems. Much of this deforestation is driven by illegal logging. We use novel satellite data that tracks annual deforestation across eight years of Indonesian institutional change to examine how local officials’ incentives affect deforestation. Increases in the number of political jurisdictions lead to increased deforestation and lower timber prices, consistent with Cournot competition between jurisdictions. Illegal logging and local oil and gas rents are short-run substitutes, but this effect disappears over time with political turnover. The results illustrate how local officials’ incentives affect deforestation and show how standard economic theories can explain illegal behavior.","citation-key":"burgessPoliticalEconomyDeforestation2012","container-title":"The Quarterly Journal of Economics","DOI":"10.1093/qje/qjs034","ISSN":"0033-5533, 1531-4650","issue":"4","language":"en","page":"1707-1754","source":"DOI.org (Crossref)","title":"The Political Economy of Deforestation in the Tropics*","volume":"127","author":[{"family":"Burgess","given":"Robin"},{"family":"Hansen","given":"Matthew"},{"family":"Olken","given":"Benjamin A."},{"family":"Potapov","given":"Peter"},{"family":"Sieber","given":"Stefanie"}],"issued":{"date-parts":[["2012",11,1]]}}},{"id":217,"uris":["http://zotero.org/users/6338991/items/KUS3GSDI"],"itemData":{"id":217,"type":"article-journal","abstract":"Roads have a major impact on Amazon deforestation. However, the effects of the rapidly growing network of illegal or unofﬁcial roads in the Amazon are usually not considered. We assessed relationships between past deforestation and existing networks of highways, navigable rivers, and all other roads, including more than 190,000 km of unofﬁcial roads. We found that deforestation was much higher near roads and rivers than elsewhere in the Amazon; nearly 95% of all deforestation occurred within 5.5 km of roads or 1 km of rivers. Protected areas near roads and rivers had much lower deforestation (10.9%) than did unprotected areas near roads and rivers (43.6%). If one assumes that existing protected areas halt deforestation, then we estimate that 39,462 km2 of expected forest clearing would have been avoided. However, if one assumes that protected areas merely displace deforestation to other locations, then we estimate that 34,501 km2 of expected clearing would have been displaced elsewhere. We conclude that proximity to transportation networks, particularly the rapidly growing unofﬁcial road network, is a major proximate driver of deforestation in Amazonia and that protected areas are having a strong mitigating effect on that risk.","citation-key":"barber2014","container-title":"Biological Conservation","DOI":"10.1016/j.biocon.2014.07.004","ISSN":"00063207","journalAbbreviation":"Biological Conservation","language":"en","page":"203-209","source":"DOI.org (Crossref)","title":"Roads, deforestation, and the mitigating effect of protected areas in the Amazon","volume":"177","author":[{"family":"Barber","given":"Christopher P."},{"family":"Cochrane","given":"Mark A."},{"family":"Souza","given":"Carlos M."},{"family":"Laurance","given":"William F."}],"issued":{"date-parts":[["2014",9]]}}}],"schema":"https://github.com/citation-style-language/schema/raw/master/csl-citation.json"} </w:instrText>
      </w:r>
      <w:r w:rsidR="00096121" w:rsidRPr="007615FA">
        <w:rPr>
          <w:rFonts w:ascii="Arial" w:hAnsi="Arial" w:cs="Arial"/>
          <w:lang w:val="en-US"/>
        </w:rPr>
        <w:fldChar w:fldCharType="separate"/>
      </w:r>
      <w:r w:rsidR="00096121" w:rsidRPr="007615FA">
        <w:rPr>
          <w:rFonts w:ascii="Arial" w:hAnsi="Arial" w:cs="Arial"/>
          <w:kern w:val="0"/>
          <w:lang w:val="en-US"/>
        </w:rPr>
        <w:t>(Harding et al. 2021; Assunção et al. 2015; Hargrave and Kis-Katos 2013; Gandour 2018b; Assunção and Rocha 2019; Burgess et al. 2012; Barber et al. 2014)</w:t>
      </w:r>
      <w:r w:rsidR="00096121" w:rsidRPr="007615FA">
        <w:rPr>
          <w:rFonts w:ascii="Arial" w:hAnsi="Arial" w:cs="Arial"/>
          <w:lang w:val="en-US"/>
        </w:rPr>
        <w:fldChar w:fldCharType="end"/>
      </w:r>
      <w:r w:rsidR="00096121" w:rsidRPr="007615FA">
        <w:rPr>
          <w:rFonts w:ascii="Arial" w:hAnsi="Arial" w:cs="Arial"/>
          <w:lang w:val="en-US"/>
        </w:rPr>
        <w:t xml:space="preserve">. </w:t>
      </w:r>
      <w:r w:rsidRPr="007615FA">
        <w:rPr>
          <w:rFonts w:ascii="Arial" w:hAnsi="Arial" w:cs="Arial"/>
          <w:lang w:val="en-US"/>
        </w:rPr>
        <w:t>Assunção, Gandour, and Rocha (2015), for example, estimate that the conservation policies introduced from 2004 onward avoided approximately 73,000 km² of clearing between 2005 and 2009, equivalent to 56</w:t>
      </w:r>
      <w:r w:rsidR="00096121" w:rsidRPr="007615FA">
        <w:rPr>
          <w:rFonts w:ascii="Arial" w:hAnsi="Arial" w:cs="Arial"/>
          <w:lang w:val="en-US"/>
        </w:rPr>
        <w:t>%</w:t>
      </w:r>
      <w:r w:rsidRPr="007615FA">
        <w:rPr>
          <w:rFonts w:ascii="Arial" w:hAnsi="Arial" w:cs="Arial"/>
          <w:lang w:val="en-US"/>
        </w:rPr>
        <w:t xml:space="preserve"> of the deforestation that would have occurred without them.</w:t>
      </w:r>
    </w:p>
    <w:p w14:paraId="6E7EE5EB" w14:textId="77777777" w:rsidR="00AE2D88" w:rsidRPr="007615FA" w:rsidRDefault="005B132F" w:rsidP="007615FA">
      <w:pPr>
        <w:ind w:firstLine="720"/>
        <w:jc w:val="both"/>
        <w:rPr>
          <w:rFonts w:ascii="Arial" w:hAnsi="Arial" w:cs="Arial"/>
          <w:lang w:val="en-US"/>
        </w:rPr>
      </w:pPr>
      <w:r w:rsidRPr="007615FA">
        <w:rPr>
          <w:rFonts w:ascii="Arial" w:hAnsi="Arial" w:cs="Arial"/>
          <w:lang w:val="en-US"/>
        </w:rPr>
        <w:t>The principal institutional milestone of this period was the launch, in 2004, of the Action Plan for the Prevention and Control of Deforestation in the Legal Amazon (</w:t>
      </w:r>
      <w:proofErr w:type="spellStart"/>
      <w:r w:rsidRPr="007615FA">
        <w:rPr>
          <w:rFonts w:ascii="Arial" w:hAnsi="Arial" w:cs="Arial"/>
          <w:lang w:val="en-US"/>
        </w:rPr>
        <w:t>PPCDAm</w:t>
      </w:r>
      <w:proofErr w:type="spellEnd"/>
      <w:r w:rsidRPr="007615FA">
        <w:rPr>
          <w:rFonts w:ascii="Arial" w:hAnsi="Arial" w:cs="Arial"/>
          <w:lang w:val="en-US"/>
        </w:rPr>
        <w:t xml:space="preserve">). The </w:t>
      </w:r>
      <w:proofErr w:type="spellStart"/>
      <w:r w:rsidRPr="007615FA">
        <w:rPr>
          <w:rFonts w:ascii="Arial" w:hAnsi="Arial" w:cs="Arial"/>
          <w:lang w:val="en-US"/>
        </w:rPr>
        <w:t>PPCDAm</w:t>
      </w:r>
      <w:proofErr w:type="spellEnd"/>
      <w:r w:rsidRPr="007615FA">
        <w:rPr>
          <w:rFonts w:ascii="Arial" w:hAnsi="Arial" w:cs="Arial"/>
          <w:lang w:val="en-US"/>
        </w:rPr>
        <w:t xml:space="preserve"> was an interministerial policy framework that combined near-</w:t>
      </w:r>
      <w:r w:rsidRPr="007615FA">
        <w:rPr>
          <w:rFonts w:ascii="Arial" w:hAnsi="Arial" w:cs="Arial"/>
          <w:lang w:val="en-US"/>
        </w:rPr>
        <w:lastRenderedPageBreak/>
        <w:t xml:space="preserve">real-time satellite monitoring through the DETER system with coordinated command-and-control operations by federal environmental and law-enforcement agencies. The federal architecture also introduced territorially targeted instruments. Municipalities with critical deforestation levels were designated priority areas for monitoring and enforcement, and access to rural credit was restricted for landholders unable to demonstrate environmental compliance </w:t>
      </w:r>
      <w:r w:rsidR="00AE2D88" w:rsidRPr="007615FA">
        <w:rPr>
          <w:rFonts w:ascii="Arial" w:hAnsi="Arial" w:cs="Arial"/>
          <w:lang w:val="en-US"/>
        </w:rPr>
        <w:fldChar w:fldCharType="begin"/>
      </w:r>
      <w:r w:rsidR="00AE2D88" w:rsidRPr="007615FA">
        <w:rPr>
          <w:rFonts w:ascii="Arial" w:hAnsi="Arial" w:cs="Arial"/>
          <w:lang w:val="en-US"/>
        </w:rPr>
        <w:instrText xml:space="preserve"> ADDIN ZOTERO_ITEM CSL_CITATION {"citationID":"CizDYmYI","properties":{"formattedCitation":"(Assun\\uc0\\u231{}\\uc0\\u227{}o et al. 2015; Assun\\uc0\\u231{}\\uc0\\u227{}o and Rocha 2019)","plainCitation":"(Assunção et al. 2015; Assunção and Rocha 2019)","noteIndex":0},"citationItems":[{"id":222,"uris":["http://zotero.org/users/6338991/items/FIKKND4J"],"itemData":{"id":222,"type":"article-journal","abstract":"This paper investigates the contribution of agricultural output prices and policies to the reduction in Amazon deforestation in the 2000s. Based on a panel of Amazon municipalities from 2002 through 2009, we ﬁrst show that deforestation responded to agricultural output prices. After controlling for price effects, we ﬁnd that conservation policies implemented beginning in 2004 and 2008 signiﬁcantly contributed to the curbing of deforestation. Counterfactual simulations suggest that conservation policies avoided approximately 73,000 km2 of deforestation, or 56 per cent of total forest clearings that would have occurred from 2005 through 2009 had the policies adopted beginning in 2004 and 2008 not been introduced. This is equivalent to an avoided loss of 2.7 billion tonnes of stored carbon dioxide.","citation-key":"assuncao2015","container-title":"Environment and Development Economics","DOI":"10.1017/S1355770X15000078","ISSN":"1355-770X, 1469-4395","issue":"6","journalAbbreviation":"Envir. Dev. Econ.","language":"en","page":"697-722","source":"DOI.org (Crossref)","title":"Deforestation slowdown in the Brazilian Amazon: prices or policies?","title-short":"Deforestation slowdown in the Brazilian Amazon","volume":"20","author":[{"family":"Assunção","given":"Juliano"},{"family":"Gandour","given":"Clarissa"},{"family":"Rocha","given":"Rudi"}],"issued":{"date-parts":[["2015",12]]}}},{"id":219,"uris":["http://zotero.org/users/6338991/items/HHRP8UXE"],"itemData":{"id":219,"type":"article-journal","abstract":"In 2008, the Brazilian government blacklisted municipalities in the Amazon to better target efforts to repress deforestation. Not only were law enforcement and monitoring activities intensified, but also economic sanctions and political pressures were imposed on those municipalities. We use a differences-in differences approach to compare deforestation reduction in blacklisted municipalities and non-blacklisted municipalities. We find that: (i) the blacklisting has significantly reduced deforestation; and (ii) this effect was primarily driven by the monitoring and law enforcement channel – there is no effect on agricultural production or credit concessions.","citation-key":"assuncao2019a","container-title":"Environment and Development Economics","DOI":"10.1017/S1355770X18000499","ISSN":"1355-770X, 1469-4395","issue":"2","journalAbbreviation":"Envir. Dev. Econ.","language":"en","page":"115-137","source":"DOI.org (Crossref)","title":"Getting greener by going black: the effect of blacklisting municipalities on Amazon deforestation","title-short":"Getting greener by going black","volume":"24","author":[{"family":"Assunção","given":"Juliano"},{"family":"Rocha","given":"Romero"}],"issued":{"date-parts":[["2019",4]]}}}],"schema":"https://github.com/citation-style-language/schema/raw/master/csl-citation.json"} </w:instrText>
      </w:r>
      <w:r w:rsidR="00AE2D88" w:rsidRPr="007615FA">
        <w:rPr>
          <w:rFonts w:ascii="Arial" w:hAnsi="Arial" w:cs="Arial"/>
          <w:lang w:val="en-US"/>
        </w:rPr>
        <w:fldChar w:fldCharType="separate"/>
      </w:r>
      <w:r w:rsidR="00AE2D88" w:rsidRPr="007615FA">
        <w:rPr>
          <w:rFonts w:ascii="Arial" w:hAnsi="Arial" w:cs="Arial"/>
          <w:kern w:val="0"/>
          <w:lang w:val="en-US"/>
        </w:rPr>
        <w:t>(Assunção et al. 2015; Assunção and Rocha 2019)</w:t>
      </w:r>
      <w:r w:rsidR="00AE2D88" w:rsidRPr="007615FA">
        <w:rPr>
          <w:rFonts w:ascii="Arial" w:hAnsi="Arial" w:cs="Arial"/>
          <w:lang w:val="en-US"/>
        </w:rPr>
        <w:fldChar w:fldCharType="end"/>
      </w:r>
      <w:r w:rsidR="00AE2D88" w:rsidRPr="007615FA">
        <w:rPr>
          <w:rFonts w:ascii="Arial" w:hAnsi="Arial" w:cs="Arial"/>
          <w:lang w:val="en-US"/>
        </w:rPr>
        <w:t>.</w:t>
      </w:r>
    </w:p>
    <w:p w14:paraId="79AFE4D2" w14:textId="77777777" w:rsidR="00AE2D88" w:rsidRPr="007615FA" w:rsidRDefault="005B132F" w:rsidP="007615FA">
      <w:pPr>
        <w:ind w:firstLine="720"/>
        <w:jc w:val="both"/>
        <w:rPr>
          <w:rFonts w:ascii="Arial" w:hAnsi="Arial" w:cs="Arial"/>
          <w:lang w:val="en-US"/>
        </w:rPr>
      </w:pPr>
      <w:r w:rsidRPr="007615FA">
        <w:rPr>
          <w:rFonts w:ascii="Arial" w:hAnsi="Arial" w:cs="Arial"/>
          <w:lang w:val="en-US"/>
        </w:rPr>
        <w:t>A substantial strand of this literature uses the municipality-year as its unit of analysis, because the municipal scale captures variation in exposure to both economic pressure and policy pressure. Municipalities differ in the land devoted to agriculture and ranching, in the composition of local production, and in the relative weight of different commodities</w:t>
      </w:r>
      <w:r w:rsidR="00AE2D88" w:rsidRPr="007615FA">
        <w:rPr>
          <w:rFonts w:ascii="Arial" w:hAnsi="Arial" w:cs="Arial"/>
          <w:lang w:val="en-US"/>
        </w:rPr>
        <w:t xml:space="preserve"> </w:t>
      </w:r>
      <w:r w:rsidR="00AE2D88" w:rsidRPr="007615FA">
        <w:rPr>
          <w:rFonts w:ascii="Arial" w:hAnsi="Arial" w:cs="Arial"/>
          <w:lang w:val="en-US"/>
        </w:rPr>
        <w:fldChar w:fldCharType="begin"/>
      </w:r>
      <w:r w:rsidR="00AE2D88" w:rsidRPr="007615FA">
        <w:rPr>
          <w:rFonts w:ascii="Arial" w:hAnsi="Arial" w:cs="Arial"/>
          <w:lang w:val="en-US"/>
        </w:rPr>
        <w:instrText xml:space="preserve"> ADDIN ZOTERO_ITEM CSL_CITATION {"citationID":"pAerK7vK","properties":{"formattedCitation":"(Harding et al. 2021; Assun\\uc0\\u231{}\\uc0\\u227{}o et al. 2015)","plainCitation":"(Harding et al. 2021; Assunção et al. 2015)","noteIndex":0},"citationItems":[{"id":4863,"uris":["http://zotero.org/users/6338991/items/DV9PVBBF"],"itemData":{"id":4863,"type":"article-journal","abstract":"Increasing international agricultural commodity prices create pressure on tropical forests. We study the effectiveness of three regulatory policies implemented by Brazil in reducing this pressure: blacklisting of municipalities, the Soy Moratorium, and conservation zones. We use a triple difference approach that combines international agricultural commodity prices with the policies across three million km2 in the Brazilian Amazon. We ﬁnd that the blacklisting program is effective, as it reduces deforestation related to the prices by 40%. The Soy Moratorium made deforestation in exposed municipalities more sensitive to non-soy prices, in line with crop substitution. Conservation zones amplify the effect of prices on deforestation on the remaining unprotected land, consistent with reduced land supply. Our results highlight that the effect of environmental regulation depends on the economic pressure to use natural resources.","citation-key":"harding2021","container-title":"Journal of Environmental Economics and Management","DOI":"10.1016/j.jeem.2021.102452","ISSN":"00950696","journalAbbreviation":"Journal of Environmental Economics and Management","language":"en","page":"102452","source":"DOI.org (Crossref)","title":"Commodity prices and robust environmental regulation: Evidence from deforestation in Brazil","title-short":"Commodity prices and robust environmental regulation","volume":"108","author":[{"family":"Harding","given":"Torfinn"},{"family":"Herzberg","given":"Julika"},{"family":"Kuralbayeva","given":"Karlygash"}],"issued":{"date-parts":[["2021",7]]}}},{"id":222,"uris":["http://zotero.org/users/6338991/items/FIKKND4J"],"itemData":{"id":222,"type":"article-journal","abstract":"This paper investigates the contribution of agricultural output prices and policies to the reduction in Amazon deforestation in the 2000s. Based on a panel of Amazon municipalities from 2002 through 2009, we ﬁrst show that deforestation responded to agricultural output prices. After controlling for price effects, we ﬁnd that conservation policies implemented beginning in 2004 and 2008 signiﬁcantly contributed to the curbing of deforestation. Counterfactual simulations suggest that conservation policies avoided approximately 73,000 km2 of deforestation, or 56 per cent of total forest clearings that would have occurred from 2005 through 2009 had the policies adopted beginning in 2004 and 2008 not been introduced. This is equivalent to an avoided loss of 2.7 billion tonnes of stored carbon dioxide.","citation-key":"assuncao2015","container-title":"Environment and Development Economics","DOI":"10.1017/S1355770X15000078","ISSN":"1355-770X, 1469-4395","issue":"6","journalAbbreviation":"Envir. Dev. Econ.","language":"en","page":"697-722","source":"DOI.org (Crossref)","title":"Deforestation slowdown in the Brazilian Amazon: prices or policies?","title-short":"Deforestation slowdown in the Brazilian Amazon","volume":"20","author":[{"family":"Assunção","given":"Juliano"},{"family":"Gandour","given":"Clarissa"},{"family":"Rocha","given":"Rudi"}],"issued":{"date-parts":[["2015",12]]}}}],"schema":"https://github.com/citation-style-language/schema/raw/master/csl-citation.json"} </w:instrText>
      </w:r>
      <w:r w:rsidR="00AE2D88" w:rsidRPr="007615FA">
        <w:rPr>
          <w:rFonts w:ascii="Arial" w:hAnsi="Arial" w:cs="Arial"/>
          <w:lang w:val="en-US"/>
        </w:rPr>
        <w:fldChar w:fldCharType="separate"/>
      </w:r>
      <w:r w:rsidR="00AE2D88" w:rsidRPr="007615FA">
        <w:rPr>
          <w:rFonts w:ascii="Arial" w:hAnsi="Arial" w:cs="Arial"/>
          <w:kern w:val="0"/>
          <w:lang w:val="en-US"/>
        </w:rPr>
        <w:t>(Harding et al. 2021; Assunção et al. 2015)</w:t>
      </w:r>
      <w:r w:rsidR="00AE2D88" w:rsidRPr="007615FA">
        <w:rPr>
          <w:rFonts w:ascii="Arial" w:hAnsi="Arial" w:cs="Arial"/>
          <w:lang w:val="en-US"/>
        </w:rPr>
        <w:fldChar w:fldCharType="end"/>
      </w:r>
      <w:r w:rsidRPr="007615FA">
        <w:rPr>
          <w:rFonts w:ascii="Arial" w:hAnsi="Arial" w:cs="Arial"/>
          <w:lang w:val="en-US"/>
        </w:rPr>
        <w:t>. These productive structures are shaped by historically determined and potentially endogenous local processes, so studies do not treat them as exogenous. Instead</w:t>
      </w:r>
      <w:r w:rsidR="00AE2D88" w:rsidRPr="007615FA">
        <w:rPr>
          <w:rFonts w:ascii="Arial" w:hAnsi="Arial" w:cs="Arial"/>
          <w:lang w:val="en-US"/>
        </w:rPr>
        <w:t>,</w:t>
      </w:r>
      <w:r w:rsidRPr="007615FA">
        <w:rPr>
          <w:rFonts w:ascii="Arial" w:hAnsi="Arial" w:cs="Arial"/>
          <w:lang w:val="en-US"/>
        </w:rPr>
        <w:t xml:space="preserve"> they interact changes in external commodity prices with predetermined measures of local specialization to build municipality-specific exposure to price shocks</w:t>
      </w:r>
      <w:r w:rsidR="00AE2D88" w:rsidRPr="007615FA">
        <w:rPr>
          <w:rFonts w:ascii="Arial" w:hAnsi="Arial" w:cs="Arial"/>
          <w:lang w:val="en-US"/>
        </w:rPr>
        <w:t xml:space="preserve"> (</w:t>
      </w:r>
      <w:r w:rsidR="00AE2D88" w:rsidRPr="007615FA">
        <w:rPr>
          <w:rFonts w:ascii="Arial" w:hAnsi="Arial" w:cs="Arial"/>
          <w:i/>
          <w:iCs/>
          <w:lang w:val="en-US"/>
        </w:rPr>
        <w:t>idem</w:t>
      </w:r>
      <w:r w:rsidR="00AE2D88" w:rsidRPr="007615FA">
        <w:rPr>
          <w:rFonts w:ascii="Arial" w:hAnsi="Arial" w:cs="Arial"/>
          <w:lang w:val="en-US"/>
        </w:rPr>
        <w:t>)</w:t>
      </w:r>
      <w:r w:rsidRPr="007615FA">
        <w:rPr>
          <w:rFonts w:ascii="Arial" w:hAnsi="Arial" w:cs="Arial"/>
          <w:lang w:val="en-US"/>
        </w:rPr>
        <w:t xml:space="preserve">. </w:t>
      </w:r>
    </w:p>
    <w:p w14:paraId="2DA47BB1" w14:textId="77777777" w:rsidR="00AE2D88" w:rsidRPr="007615FA" w:rsidRDefault="005B132F" w:rsidP="007615FA">
      <w:pPr>
        <w:ind w:firstLine="720"/>
        <w:jc w:val="both"/>
        <w:rPr>
          <w:rFonts w:ascii="Arial" w:hAnsi="Arial" w:cs="Arial"/>
          <w:lang w:val="en-US"/>
        </w:rPr>
      </w:pPr>
      <w:r w:rsidRPr="007615FA">
        <w:rPr>
          <w:rFonts w:ascii="Arial" w:hAnsi="Arial" w:cs="Arial"/>
          <w:lang w:val="en-US"/>
        </w:rPr>
        <w:t xml:space="preserve">Exposure to </w:t>
      </w:r>
      <w:r w:rsidR="00AE2D88" w:rsidRPr="007615FA">
        <w:rPr>
          <w:rFonts w:ascii="Arial" w:hAnsi="Arial" w:cs="Arial"/>
          <w:lang w:val="en-US"/>
        </w:rPr>
        <w:t xml:space="preserve">environmental </w:t>
      </w:r>
      <w:r w:rsidRPr="007615FA">
        <w:rPr>
          <w:rFonts w:ascii="Arial" w:hAnsi="Arial" w:cs="Arial"/>
          <w:lang w:val="en-US"/>
        </w:rPr>
        <w:t>conservation policy also varies across municipalities, but for a different reason. Monitoring, inspections, fines, and embargoes remained largely federal responsibilities. Federal policy was spatially targeted, and this targeting imposed different regulatory pressure in different places. The clearest example is the Priority Municipalities List, which subjected municipalities with critical deforestation dynamics to intensified federal monitoring and enforcement, stricter land-registration requirements, and additional political and economic pressure. Municipal governments could respond by coordinating local agreements, supporting environmental registration, and adopting measures to reduce deforestation, particularly when seeking removal from the list.</w:t>
      </w:r>
    </w:p>
    <w:p w14:paraId="2CE33619" w14:textId="77777777" w:rsidR="007D43C9" w:rsidRPr="007615FA" w:rsidRDefault="005B132F" w:rsidP="007615FA">
      <w:pPr>
        <w:ind w:firstLine="720"/>
        <w:jc w:val="both"/>
        <w:rPr>
          <w:rFonts w:ascii="Arial" w:hAnsi="Arial" w:cs="Arial"/>
          <w:lang w:val="en-US"/>
        </w:rPr>
      </w:pPr>
      <w:r w:rsidRPr="007615FA">
        <w:rPr>
          <w:rFonts w:ascii="Arial" w:hAnsi="Arial" w:cs="Arial"/>
          <w:lang w:val="en-US"/>
        </w:rPr>
        <w:t>Two studies illustrate how this heterogeneity supports identification. Harding et al. (2021) combine changes in international agricultural prices, differences in municipal productive exposure to those commodities, and variation in coverage by environmental regulation, and ask whether the Priority Municipalities List, the Soy Moratorium, and protected areas altered the sensitivity of deforestation to price pressure. Assunção and Rocha (2019) focus on the Priority Municipalities List itself. They compare changes in deforestation between listed and non-listed municipalities and find that listing reduced deforestation mainly by intensifying law enforcement, rather than through credit restrictions or changes in local production.</w:t>
      </w:r>
      <w:r w:rsidR="007D43C9" w:rsidRPr="007615FA">
        <w:rPr>
          <w:rFonts w:ascii="Arial" w:hAnsi="Arial" w:cs="Arial"/>
          <w:lang w:val="en-US"/>
        </w:rPr>
        <w:t xml:space="preserve"> </w:t>
      </w:r>
      <w:r w:rsidRPr="007615FA">
        <w:rPr>
          <w:rFonts w:ascii="Arial" w:hAnsi="Arial" w:cs="Arial"/>
          <w:lang w:val="en-US"/>
        </w:rPr>
        <w:t>Other historically important drivers</w:t>
      </w:r>
      <w:r w:rsidR="007D43C9" w:rsidRPr="007615FA">
        <w:rPr>
          <w:rFonts w:ascii="Arial" w:hAnsi="Arial" w:cs="Arial"/>
          <w:lang w:val="en-US"/>
        </w:rPr>
        <w:t xml:space="preserve"> of deforestation</w:t>
      </w:r>
      <w:r w:rsidRPr="007615FA">
        <w:rPr>
          <w:rFonts w:ascii="Arial" w:hAnsi="Arial" w:cs="Arial"/>
          <w:lang w:val="en-US"/>
        </w:rPr>
        <w:t xml:space="preserve">, such as transport infrastructure and market access, are stable municipal characteristics and are absorbed by municipality fixed effects </w:t>
      </w:r>
      <w:r w:rsidR="007D43C9" w:rsidRPr="007615FA">
        <w:rPr>
          <w:rFonts w:ascii="Arial" w:hAnsi="Arial" w:cs="Arial"/>
          <w:lang w:val="en-US"/>
        </w:rPr>
        <w:t xml:space="preserve">models </w:t>
      </w:r>
      <w:r w:rsidRPr="007615FA">
        <w:rPr>
          <w:rFonts w:ascii="Arial" w:hAnsi="Arial" w:cs="Arial"/>
          <w:lang w:val="en-US"/>
        </w:rPr>
        <w:t>rather than entering as time-varying covariates.</w:t>
      </w:r>
    </w:p>
    <w:p w14:paraId="7CE158D5" w14:textId="77777777" w:rsidR="007D43C9" w:rsidRPr="007615FA" w:rsidRDefault="005B132F" w:rsidP="007615FA">
      <w:pPr>
        <w:ind w:firstLine="720"/>
        <w:jc w:val="both"/>
        <w:rPr>
          <w:rFonts w:ascii="Arial" w:hAnsi="Arial" w:cs="Arial"/>
          <w:lang w:val="en-US"/>
        </w:rPr>
      </w:pPr>
      <w:r w:rsidRPr="007615FA">
        <w:rPr>
          <w:rFonts w:ascii="Arial" w:hAnsi="Arial" w:cs="Arial"/>
          <w:lang w:val="en-US"/>
        </w:rPr>
        <w:t xml:space="preserve">From a broader historical perspective, however, prices and environmental policy were not the only processes intertwined </w:t>
      </w:r>
      <w:r w:rsidR="007D43C9" w:rsidRPr="007615FA">
        <w:rPr>
          <w:rFonts w:ascii="Arial" w:hAnsi="Arial" w:cs="Arial"/>
          <w:lang w:val="en-US"/>
        </w:rPr>
        <w:t xml:space="preserve">that varied </w:t>
      </w:r>
      <w:r w:rsidRPr="007615FA">
        <w:rPr>
          <w:rFonts w:ascii="Arial" w:hAnsi="Arial" w:cs="Arial"/>
          <w:lang w:val="en-US"/>
        </w:rPr>
        <w:t xml:space="preserve">in this period. A third development </w:t>
      </w:r>
      <w:r w:rsidRPr="007615FA">
        <w:rPr>
          <w:rFonts w:ascii="Arial" w:hAnsi="Arial" w:cs="Arial"/>
          <w:lang w:val="en-US"/>
        </w:rPr>
        <w:lastRenderedPageBreak/>
        <w:t>was the expansion of social inclusion, particularly between the mid-2000s and the mid-2010s. From approximately 2004 to 2014, the growth of income-transfer programs, the rising real minimum wage, employment formalization, and income gains among lower-income groups overlapped substantially with both the commodity boom and the sharp decline in deforestation.</w:t>
      </w:r>
    </w:p>
    <w:p w14:paraId="3C92E851" w14:textId="43E52192" w:rsidR="005B132F" w:rsidRPr="007615FA" w:rsidRDefault="005B132F" w:rsidP="007615FA">
      <w:pPr>
        <w:ind w:firstLine="720"/>
        <w:jc w:val="both"/>
        <w:rPr>
          <w:rFonts w:ascii="Arial" w:hAnsi="Arial" w:cs="Arial"/>
          <w:lang w:val="en-US"/>
        </w:rPr>
      </w:pPr>
      <w:r w:rsidRPr="007615FA">
        <w:rPr>
          <w:rFonts w:ascii="Arial" w:hAnsi="Arial" w:cs="Arial"/>
          <w:lang w:val="en-US"/>
        </w:rPr>
        <w:t xml:space="preserve">This temporal coincidence raises an empirical and theoretical question. The decline in deforestation occurred during a period of strengthened environmental governance, and at the same time during a broad transformation in the socioeconomic conditions of the Brazilian population. Temporal overlap alone does not show that social policy contributed to </w:t>
      </w:r>
      <w:r w:rsidR="007D43C9" w:rsidRPr="007615FA">
        <w:rPr>
          <w:rFonts w:ascii="Arial" w:hAnsi="Arial" w:cs="Arial"/>
          <w:lang w:val="en-US"/>
        </w:rPr>
        <w:t xml:space="preserve">environmental </w:t>
      </w:r>
      <w:r w:rsidRPr="007615FA">
        <w:rPr>
          <w:rFonts w:ascii="Arial" w:hAnsi="Arial" w:cs="Arial"/>
          <w:lang w:val="en-US"/>
        </w:rPr>
        <w:t>conservation. It does suggest that analyses centered exclusively on prices and enforcement may miss a relevant dimension of the institutional and distributive context in which deforestation control took place. Figure 1 presents the main policy, economic, social, and environmental milestones of the period</w:t>
      </w:r>
      <w:r w:rsidR="007D43C9" w:rsidRPr="007615FA">
        <w:rPr>
          <w:rFonts w:ascii="Arial" w:hAnsi="Arial" w:cs="Arial"/>
          <w:lang w:val="en-US"/>
        </w:rPr>
        <w:t xml:space="preserve"> of Amazon deforestation decrease</w:t>
      </w:r>
      <w:r w:rsidRPr="007615FA">
        <w:rPr>
          <w:rFonts w:ascii="Arial" w:hAnsi="Arial" w:cs="Arial"/>
          <w:lang w:val="en-US"/>
        </w:rPr>
        <w:t>.</w:t>
      </w:r>
    </w:p>
    <w:p w14:paraId="1E5C814B" w14:textId="77777777" w:rsidR="009B6DE4" w:rsidRPr="007615FA" w:rsidRDefault="009B6DE4" w:rsidP="007615FA">
      <w:pPr>
        <w:ind w:firstLine="720"/>
        <w:jc w:val="both"/>
        <w:rPr>
          <w:rFonts w:ascii="Arial" w:hAnsi="Arial" w:cs="Arial"/>
          <w:lang w:val="en-US"/>
        </w:rPr>
      </w:pPr>
    </w:p>
    <w:p w14:paraId="55F02A3C" w14:textId="1450A58E" w:rsidR="005B132F" w:rsidRPr="007615FA" w:rsidRDefault="007D43C9" w:rsidP="007615FA">
      <w:pPr>
        <w:jc w:val="center"/>
        <w:rPr>
          <w:rFonts w:ascii="Arial" w:hAnsi="Arial" w:cs="Arial"/>
          <w:b/>
          <w:bCs/>
          <w:lang w:val="en-US"/>
        </w:rPr>
      </w:pPr>
      <w:r w:rsidRPr="007615FA">
        <w:rPr>
          <w:rFonts w:ascii="Arial" w:hAnsi="Arial" w:cs="Arial"/>
          <w:b/>
          <w:bCs/>
          <w:lang w:val="en-US"/>
        </w:rPr>
        <w:t>Figure 1</w:t>
      </w:r>
    </w:p>
    <w:p w14:paraId="734A639A" w14:textId="1EBE8CE6" w:rsidR="007D43C9" w:rsidRDefault="007D43C9" w:rsidP="007615FA">
      <w:pPr>
        <w:jc w:val="both"/>
        <w:rPr>
          <w:rFonts w:ascii="Arial" w:hAnsi="Arial" w:cs="Arial"/>
          <w:lang w:val="en-US"/>
        </w:rPr>
      </w:pPr>
      <w:r w:rsidRPr="007615FA">
        <w:rPr>
          <w:rFonts w:ascii="Arial" w:hAnsi="Arial" w:cs="Arial"/>
          <w:noProof/>
          <w:lang w:val="en-US"/>
        </w:rPr>
        <w:drawing>
          <wp:inline distT="0" distB="0" distL="0" distR="0" wp14:anchorId="0F302455" wp14:editId="7FFC3353">
            <wp:extent cx="5674223" cy="3404534"/>
            <wp:effectExtent l="0" t="0" r="3175" b="0"/>
            <wp:docPr id="81806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6270" name="Picture 8180662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1435" cy="3414861"/>
                    </a:xfrm>
                    <a:prstGeom prst="rect">
                      <a:avLst/>
                    </a:prstGeom>
                  </pic:spPr>
                </pic:pic>
              </a:graphicData>
            </a:graphic>
          </wp:inline>
        </w:drawing>
      </w:r>
    </w:p>
    <w:p w14:paraId="7489AC79" w14:textId="77777777" w:rsidR="007615FA" w:rsidRPr="007615FA" w:rsidRDefault="007615FA" w:rsidP="007615FA">
      <w:pPr>
        <w:jc w:val="both"/>
        <w:rPr>
          <w:rFonts w:ascii="Arial" w:hAnsi="Arial" w:cs="Arial"/>
          <w:lang w:val="en-US"/>
        </w:rPr>
      </w:pPr>
    </w:p>
    <w:p w14:paraId="38C424C0" w14:textId="77777777" w:rsidR="00F5584F" w:rsidRPr="007615FA" w:rsidRDefault="005B132F" w:rsidP="007615FA">
      <w:pPr>
        <w:ind w:firstLine="720"/>
        <w:jc w:val="both"/>
        <w:rPr>
          <w:rFonts w:ascii="Arial" w:hAnsi="Arial" w:cs="Arial"/>
          <w:lang w:val="en-US"/>
        </w:rPr>
      </w:pPr>
      <w:r w:rsidRPr="007615FA">
        <w:rPr>
          <w:rFonts w:ascii="Arial" w:hAnsi="Arial" w:cs="Arial"/>
          <w:lang w:val="en-US"/>
        </w:rPr>
        <w:t xml:space="preserve">Taking this social dimension seriously is the starting point of the eco-welfare state literature, which argues that environmental governance is embedded in systems of social protection, labor-market regulation, and distributive conflict. From this perspective, the </w:t>
      </w:r>
      <w:r w:rsidRPr="007615FA">
        <w:rPr>
          <w:rFonts w:ascii="Arial" w:hAnsi="Arial" w:cs="Arial"/>
          <w:lang w:val="en-US"/>
        </w:rPr>
        <w:lastRenderedPageBreak/>
        <w:t xml:space="preserve">effectiveness and the social consequences of environmental policy may depend on the socioeconomic conditions under which it is implemented. Chapter 1 </w:t>
      </w:r>
      <w:r w:rsidR="00F5584F" w:rsidRPr="007615FA">
        <w:rPr>
          <w:rFonts w:ascii="Arial" w:hAnsi="Arial" w:cs="Arial"/>
          <w:lang w:val="en-US"/>
        </w:rPr>
        <w:t xml:space="preserve">of this dissertation </w:t>
      </w:r>
      <w:r w:rsidRPr="007615FA">
        <w:rPr>
          <w:rFonts w:ascii="Arial" w:hAnsi="Arial" w:cs="Arial"/>
          <w:lang w:val="en-US"/>
        </w:rPr>
        <w:t xml:space="preserve">develops this framework and derives the dimensions along which eco-social interdependence can be observed. Chapter 2 shows historically that Brazil built its social and environmental policy tracks simultaneously but in separate arenas with opposite territorial logics: social policy distributes benefits and reached the Amazon frontier, while environmental enforcement distributes concentrated local costs and never embedded there. Where the two meet, Chapter 2 identifies two mechanisms with opposite signs. Social protection can absorb the </w:t>
      </w:r>
      <w:r w:rsidR="00F5584F" w:rsidRPr="007615FA">
        <w:rPr>
          <w:rFonts w:ascii="Arial" w:hAnsi="Arial" w:cs="Arial"/>
          <w:lang w:val="en-US"/>
        </w:rPr>
        <w:t xml:space="preserve">local </w:t>
      </w:r>
      <w:r w:rsidRPr="007615FA">
        <w:rPr>
          <w:rFonts w:ascii="Arial" w:hAnsi="Arial" w:cs="Arial"/>
          <w:lang w:val="en-US"/>
        </w:rPr>
        <w:t xml:space="preserve">costs enforcement imposes and make it politically sustainable (cushioning as compensation), or social vulnerability can become the justification for </w:t>
      </w:r>
      <w:r w:rsidR="00F5584F" w:rsidRPr="007615FA">
        <w:rPr>
          <w:rFonts w:ascii="Arial" w:hAnsi="Arial" w:cs="Arial"/>
          <w:lang w:val="en-US"/>
        </w:rPr>
        <w:t xml:space="preserve">local governments </w:t>
      </w:r>
      <w:r w:rsidRPr="007615FA">
        <w:rPr>
          <w:rFonts w:ascii="Arial" w:hAnsi="Arial" w:cs="Arial"/>
          <w:lang w:val="en-US"/>
        </w:rPr>
        <w:t xml:space="preserve">not enforcing at all (cushioning as forbearance). Chapter 3 tests empirically what Chapter 2 established historically. Its central hypothesis, that enforcement is more effective where social protection is stronger, is the empirical </w:t>
      </w:r>
      <w:r w:rsidR="00F5584F" w:rsidRPr="007615FA">
        <w:rPr>
          <w:rFonts w:ascii="Arial" w:hAnsi="Arial" w:cs="Arial"/>
          <w:lang w:val="en-US"/>
        </w:rPr>
        <w:t>test</w:t>
      </w:r>
      <w:r w:rsidRPr="007615FA">
        <w:rPr>
          <w:rFonts w:ascii="Arial" w:hAnsi="Arial" w:cs="Arial"/>
          <w:lang w:val="en-US"/>
        </w:rPr>
        <w:t xml:space="preserve"> of the compensation mechanism</w:t>
      </w:r>
      <w:r w:rsidR="00F5584F" w:rsidRPr="007615FA">
        <w:rPr>
          <w:rFonts w:ascii="Arial" w:hAnsi="Arial" w:cs="Arial"/>
          <w:lang w:val="en-US"/>
        </w:rPr>
        <w:t>.</w:t>
      </w:r>
    </w:p>
    <w:p w14:paraId="539A22F9" w14:textId="52D1AC9A" w:rsidR="0014059F" w:rsidRPr="007615FA" w:rsidRDefault="005B132F" w:rsidP="007615FA">
      <w:pPr>
        <w:ind w:firstLine="720"/>
        <w:jc w:val="both"/>
        <w:rPr>
          <w:rFonts w:ascii="Arial" w:hAnsi="Arial" w:cs="Arial"/>
          <w:lang w:val="en-US"/>
        </w:rPr>
      </w:pPr>
      <w:r w:rsidRPr="007615FA">
        <w:rPr>
          <w:rFonts w:ascii="Arial" w:hAnsi="Arial" w:cs="Arial"/>
          <w:lang w:val="en-US"/>
        </w:rPr>
        <w:t xml:space="preserve">The chapter examines how social conditions and social policy provision interact with economic incentives and environmental governance in shaping deforestation outcomes in the Brazilian Amazon. </w:t>
      </w:r>
      <w:r w:rsidR="00F5584F" w:rsidRPr="007615FA">
        <w:rPr>
          <w:rFonts w:ascii="Arial" w:hAnsi="Arial" w:cs="Arial"/>
          <w:lang w:val="en-US"/>
        </w:rPr>
        <w:t>It is</w:t>
      </w:r>
      <w:r w:rsidRPr="007615FA">
        <w:rPr>
          <w:rFonts w:ascii="Arial" w:hAnsi="Arial" w:cs="Arial"/>
          <w:lang w:val="en-US"/>
        </w:rPr>
        <w:t xml:space="preserve"> present</w:t>
      </w:r>
      <w:r w:rsidR="00F5584F" w:rsidRPr="007615FA">
        <w:rPr>
          <w:rFonts w:ascii="Arial" w:hAnsi="Arial" w:cs="Arial"/>
          <w:lang w:val="en-US"/>
        </w:rPr>
        <w:t>ed</w:t>
      </w:r>
      <w:r w:rsidRPr="007615FA">
        <w:rPr>
          <w:rFonts w:ascii="Arial" w:hAnsi="Arial" w:cs="Arial"/>
          <w:lang w:val="en-US"/>
        </w:rPr>
        <w:t xml:space="preserve"> in five stages. First, the theoretical argument, causal mechanisms, and working hypotheses. Second, the data, the panel, and the sample definitions. Third, the exploratory analysis that documents temporal trends and cross-municipal variation in the main environmental, socioeconomic, and policy indicators, and that motivated several design decisions. Fourth, the identification strategy and the reasoning behind it. Fifth, the preliminary results, what they do and do not support, and the problems that remain open.</w:t>
      </w:r>
    </w:p>
    <w:p w14:paraId="75C4C71C" w14:textId="77777777" w:rsidR="00F5584F" w:rsidRPr="007615FA" w:rsidRDefault="00F5584F" w:rsidP="007615FA">
      <w:pPr>
        <w:ind w:firstLine="720"/>
        <w:jc w:val="both"/>
        <w:rPr>
          <w:rFonts w:ascii="Arial" w:hAnsi="Arial" w:cs="Arial"/>
          <w:lang w:val="en-US"/>
        </w:rPr>
      </w:pPr>
    </w:p>
    <w:p w14:paraId="348AE520" w14:textId="49EC8A30" w:rsidR="00F5584F" w:rsidRPr="007615FA" w:rsidRDefault="00F5584F" w:rsidP="007615FA">
      <w:pPr>
        <w:pStyle w:val="ListParagraph"/>
        <w:numPr>
          <w:ilvl w:val="0"/>
          <w:numId w:val="6"/>
        </w:numPr>
        <w:jc w:val="both"/>
        <w:rPr>
          <w:rFonts w:ascii="Arial" w:hAnsi="Arial" w:cs="Arial"/>
          <w:b/>
          <w:bCs/>
          <w:lang w:val="en-US"/>
        </w:rPr>
      </w:pPr>
      <w:r w:rsidRPr="007615FA">
        <w:rPr>
          <w:rFonts w:ascii="Arial" w:hAnsi="Arial" w:cs="Arial"/>
          <w:b/>
          <w:bCs/>
          <w:lang w:val="en-US"/>
        </w:rPr>
        <w:t>Mechanisms and hypothesis</w:t>
      </w:r>
    </w:p>
    <w:p w14:paraId="7892BAD3" w14:textId="77777777" w:rsidR="00F5584F" w:rsidRPr="007615FA" w:rsidRDefault="00F5584F" w:rsidP="007615FA">
      <w:pPr>
        <w:jc w:val="both"/>
        <w:rPr>
          <w:rFonts w:ascii="Arial" w:hAnsi="Arial" w:cs="Arial"/>
          <w:b/>
          <w:bCs/>
          <w:lang w:val="en-US"/>
        </w:rPr>
      </w:pPr>
    </w:p>
    <w:p w14:paraId="4F7E9DC9" w14:textId="77777777" w:rsidR="002E0AAF" w:rsidRPr="007615FA" w:rsidRDefault="00747680" w:rsidP="007615FA">
      <w:pPr>
        <w:ind w:left="142" w:firstLine="567"/>
        <w:jc w:val="both"/>
        <w:rPr>
          <w:rFonts w:ascii="Arial" w:hAnsi="Arial" w:cs="Arial"/>
        </w:rPr>
      </w:pPr>
      <w:r w:rsidRPr="007615FA">
        <w:rPr>
          <w:rFonts w:ascii="Arial" w:hAnsi="Arial" w:cs="Arial"/>
        </w:rPr>
        <w:t>Building on Chapters 1 and 2, this chapter starts from the assumption that environmental enforcement does not operate in a vacuum. Its effectiveness depends on social vulnerability, labor-market conditions, distributive conflict, and uneven state presence across municipalities. Social policies enter this picture through more channels than redistribution alone. By altering the incentives, vulnerabilities, and behavioral constraints of households and local actors, welfare provision may reduce dependence on environmentally harmful livelihoods, lower resistance to regulation, and increase the local feasibility of compliance. The effects of environmental policy are therefore expected to be heterogeneous, conditioned by welfare provision and local social conditions.</w:t>
      </w:r>
    </w:p>
    <w:p w14:paraId="23C5D4FD" w14:textId="77777777" w:rsidR="002E0AAF" w:rsidRPr="007615FA" w:rsidRDefault="00747680" w:rsidP="007615FA">
      <w:pPr>
        <w:tabs>
          <w:tab w:val="left" w:pos="709"/>
        </w:tabs>
        <w:ind w:left="142" w:firstLine="567"/>
        <w:jc w:val="both"/>
        <w:rPr>
          <w:rFonts w:ascii="Arial" w:hAnsi="Arial" w:cs="Arial"/>
        </w:rPr>
      </w:pPr>
      <w:r w:rsidRPr="007615FA">
        <w:rPr>
          <w:rFonts w:ascii="Arial" w:hAnsi="Arial" w:cs="Arial"/>
        </w:rPr>
        <w:lastRenderedPageBreak/>
        <w:t>Local labor-market conditions matter for the same reason. They shape how much households and communities depend on deforestation-linked livelihoods. Where formal employment is scarce and environmentally harmful activities are central to income generation, enforcement is likely to face stronger resistance. Where more stable and protected income alternatives exist, compliance is easier politically and socially.</w:t>
      </w:r>
    </w:p>
    <w:p w14:paraId="2B823D85" w14:textId="77777777" w:rsidR="002E0AAF" w:rsidRPr="007615FA" w:rsidRDefault="00747680" w:rsidP="007615FA">
      <w:pPr>
        <w:tabs>
          <w:tab w:val="left" w:pos="709"/>
        </w:tabs>
        <w:ind w:left="142" w:firstLine="567"/>
        <w:jc w:val="both"/>
        <w:rPr>
          <w:rFonts w:ascii="Arial" w:hAnsi="Arial" w:cs="Arial"/>
        </w:rPr>
      </w:pPr>
      <w:r w:rsidRPr="007615FA">
        <w:rPr>
          <w:rFonts w:ascii="Arial" w:hAnsi="Arial" w:cs="Arial"/>
        </w:rPr>
        <w:t>The chapter also assumes that this interdependence between social and environmental policy is detectable in data, through variation in policy exposure, local social conditions, and environmental outcomes over time. This assumption justifies the move from a conceptual framework to an identification strategy. The Brazilian Amazon is treated as a critical case for that move because it concentrates the conditions under which the relationship becomes most visible: historically high social vulnerability, persistent inequality, environmental degradation, recent welfare expansion, and uneven enforcement. Brazilian federalism adds the multilevel structure that cross-municipality comparison requires, since policy outcomes are shaped by uneven subnational enforcement and by variation in local institutional environments.</w:t>
      </w:r>
      <w:r w:rsidR="00825D60" w:rsidRPr="007615FA">
        <w:rPr>
          <w:rFonts w:ascii="Arial" w:hAnsi="Arial" w:cs="Arial"/>
        </w:rPr>
        <w:t xml:space="preserve"> </w:t>
      </w:r>
    </w:p>
    <w:p w14:paraId="4ECCDE32" w14:textId="77777777" w:rsidR="002E0AAF" w:rsidRPr="007615FA" w:rsidRDefault="00747680" w:rsidP="007615FA">
      <w:pPr>
        <w:tabs>
          <w:tab w:val="left" w:pos="709"/>
        </w:tabs>
        <w:ind w:left="142" w:firstLine="567"/>
        <w:jc w:val="both"/>
        <w:rPr>
          <w:rFonts w:ascii="Arial" w:hAnsi="Arial" w:cs="Arial"/>
        </w:rPr>
      </w:pPr>
      <w:r w:rsidRPr="007615FA">
        <w:rPr>
          <w:rFonts w:ascii="Arial" w:hAnsi="Arial" w:cs="Arial"/>
        </w:rPr>
        <w:t>Four causal mechanisms follow from this framework.</w:t>
      </w:r>
    </w:p>
    <w:p w14:paraId="160F6039" w14:textId="77777777" w:rsidR="002E0AAF" w:rsidRPr="007615FA" w:rsidRDefault="00747680" w:rsidP="007615FA">
      <w:pPr>
        <w:tabs>
          <w:tab w:val="left" w:pos="709"/>
        </w:tabs>
        <w:ind w:left="142" w:firstLine="567"/>
        <w:jc w:val="both"/>
        <w:rPr>
          <w:rFonts w:ascii="Arial" w:hAnsi="Arial" w:cs="Arial"/>
        </w:rPr>
      </w:pPr>
      <w:r w:rsidRPr="007615FA">
        <w:rPr>
          <w:rFonts w:ascii="Arial" w:hAnsi="Arial" w:cs="Arial"/>
          <w:b/>
          <w:bCs/>
        </w:rPr>
        <w:t xml:space="preserve">Mechanism 1 </w:t>
      </w:r>
      <w:r w:rsidR="00825D60" w:rsidRPr="007615FA">
        <w:rPr>
          <w:rFonts w:ascii="Arial" w:hAnsi="Arial" w:cs="Arial"/>
          <w:b/>
          <w:bCs/>
        </w:rPr>
        <w:t>-</w:t>
      </w:r>
      <w:r w:rsidR="00825D60" w:rsidRPr="007615FA">
        <w:rPr>
          <w:rFonts w:ascii="Arial" w:hAnsi="Arial" w:cs="Arial"/>
        </w:rPr>
        <w:t xml:space="preserve"> </w:t>
      </w:r>
      <w:r w:rsidRPr="007615FA">
        <w:rPr>
          <w:rFonts w:ascii="Arial" w:hAnsi="Arial" w:cs="Arial"/>
        </w:rPr>
        <w:t>Social vulnerability conditions the effect of environmental policy. In highly vulnerable territories, environmental restrictions may impose heavy welfare costs even when they are legally justified. This makes environmental policy less effective unless it is accompanied by social protection or alternative livelihoods. The expected implication is that the effect of environmental policy is heterogeneous and weaker in municipalities with higher vulnerability, unless offset by social policy or better labor conditions.</w:t>
      </w:r>
    </w:p>
    <w:p w14:paraId="0F7AE38F" w14:textId="77777777" w:rsidR="002E0AAF" w:rsidRPr="007615FA" w:rsidRDefault="00747680" w:rsidP="007615FA">
      <w:pPr>
        <w:tabs>
          <w:tab w:val="left" w:pos="709"/>
        </w:tabs>
        <w:ind w:left="142" w:firstLine="567"/>
        <w:jc w:val="both"/>
        <w:rPr>
          <w:rFonts w:ascii="Arial" w:hAnsi="Arial" w:cs="Arial"/>
        </w:rPr>
      </w:pPr>
      <w:r w:rsidRPr="007615FA">
        <w:rPr>
          <w:rFonts w:ascii="Arial" w:hAnsi="Arial" w:cs="Arial"/>
          <w:b/>
          <w:bCs/>
        </w:rPr>
        <w:t>Mechanism 2</w:t>
      </w:r>
      <w:r w:rsidRPr="007615FA">
        <w:rPr>
          <w:rFonts w:ascii="Arial" w:hAnsi="Arial" w:cs="Arial"/>
        </w:rPr>
        <w:t xml:space="preserve"> </w:t>
      </w:r>
      <w:r w:rsidR="00825D60" w:rsidRPr="007615FA">
        <w:rPr>
          <w:rFonts w:ascii="Arial" w:hAnsi="Arial" w:cs="Arial"/>
        </w:rPr>
        <w:t>-</w:t>
      </w:r>
      <w:r w:rsidRPr="007615FA">
        <w:rPr>
          <w:rFonts w:ascii="Arial" w:hAnsi="Arial" w:cs="Arial"/>
        </w:rPr>
        <w:t xml:space="preserve"> Social protection reduces dependence on deforestation-linked livelihoods. Households facing high income insecurity may rely more heavily on environmentally harmful activities, directly or indirectly. Social policy can relax this constraint by providing minimum income security, which reduces the short-term necessity of engaging in or politically supporting deforestation-linked activities. The expected implication is that greater welfare provision should be associated with lower deforestation pressure, especially where environmental restrictions impose short-run costs.</w:t>
      </w:r>
    </w:p>
    <w:p w14:paraId="60BBF23E" w14:textId="77777777" w:rsidR="002E0AAF" w:rsidRPr="007615FA" w:rsidRDefault="00747680" w:rsidP="007615FA">
      <w:pPr>
        <w:tabs>
          <w:tab w:val="left" w:pos="709"/>
        </w:tabs>
        <w:ind w:left="142" w:firstLine="567"/>
        <w:jc w:val="both"/>
        <w:rPr>
          <w:rFonts w:ascii="Arial" w:hAnsi="Arial" w:cs="Arial"/>
        </w:rPr>
      </w:pPr>
      <w:r w:rsidRPr="007615FA">
        <w:rPr>
          <w:rFonts w:ascii="Arial" w:hAnsi="Arial" w:cs="Arial"/>
          <w:b/>
          <w:bCs/>
        </w:rPr>
        <w:t>Mechanism 3</w:t>
      </w:r>
      <w:r w:rsidRPr="007615FA">
        <w:rPr>
          <w:rFonts w:ascii="Arial" w:hAnsi="Arial" w:cs="Arial"/>
        </w:rPr>
        <w:t xml:space="preserve"> </w:t>
      </w:r>
      <w:r w:rsidR="00825D60" w:rsidRPr="007615FA">
        <w:rPr>
          <w:rFonts w:ascii="Arial" w:hAnsi="Arial" w:cs="Arial"/>
        </w:rPr>
        <w:t xml:space="preserve">- </w:t>
      </w:r>
      <w:r w:rsidRPr="007615FA">
        <w:rPr>
          <w:rFonts w:ascii="Arial" w:hAnsi="Arial" w:cs="Arial"/>
        </w:rPr>
        <w:t>Social policy lowers resistance to local environmental enforcement. Environmental regulation generates distributive losses for households, workers, and local economic actors linked to irregular or environmentally harmful activities. Local politicians then face a trade-off between enforcing environmental rules and preserving electoral support, since strict enforcement may trigger local backlash and blame for economic losses. Adapting Milmanda and Garay's notion of conflict avoidance</w:t>
      </w:r>
      <w:r w:rsidR="00825D60" w:rsidRPr="007615FA">
        <w:rPr>
          <w:rFonts w:ascii="Arial" w:hAnsi="Arial" w:cs="Arial"/>
        </w:rPr>
        <w:t xml:space="preserve"> </w:t>
      </w:r>
      <w:r w:rsidR="00825D60" w:rsidRPr="007615FA">
        <w:rPr>
          <w:rFonts w:ascii="Arial" w:hAnsi="Arial" w:cs="Arial"/>
        </w:rPr>
        <w:fldChar w:fldCharType="begin"/>
      </w:r>
      <w:r w:rsidR="00825D60" w:rsidRPr="007615FA">
        <w:rPr>
          <w:rFonts w:ascii="Arial" w:hAnsi="Arial" w:cs="Arial"/>
        </w:rPr>
        <w:instrText xml:space="preserve"> ADDIN ZOTERO_ITEM CSL_CITATION {"citationID":"MsEMT87d","properties":{"formattedCitation":"(Milmanda and Garay 2020, 2019)","plainCitation":"(Milmanda and Garay 2020, 2019)","noteIndex":0},"citationItems":[{"id":4,"uris":["http://zotero.org/users/6338991/items/AEQIQ3GN"],"itemData":{"id":4,"type":"article-journal","abstract":"Environmental protection presents a challenge for commodity-producing democracies. To account for the enforcement of environmental laws in decentralized systems, this article proposes a multilevel approach that highlights the importance of national laws and subnational implementation rules to the politics of enforcement. This approach contrasts with prominent scholarship that focuses on sanctions and the electoral incentives and bureaucratic resources of enforcers. The advantages of the multilevel approach are demonstrated by the enforcement of the native forest protection regime (NFPR) in the Argentine Chaco Forest, which is shaped not only by whether sanctions on illegal deforestation are applied by subnational authorities but also by the design of both the national law and subnational regulations. The article employs quantitative data and case studies based on extensive fieldwork to show how affected subnational organized interests influenced the design of the NFPR and the provincial regulations that weaken or strengthen enforcement.","citation-key":"milmandaMultilevelPoliticsEnforcement2020","container-title":"Politics &amp; Society","DOI":"10.1177/0032329219894074","ISSN":"0032-3292, 1552-7514","issue":"1","journalAbbreviation":"Politics &amp; Society","language":"en","page":"3-26","source":"DOI.org (Crossref)","title":"The Multilevel Politics of Enforcement: Environmental Institutions in Argentina","title-short":"The Multilevel Politics of Enforcement","volume":"48","author":[{"family":"Milmanda","given":"Belén Fernández"},{"family":"Garay","given":"Candelaria"}],"issued":{"date-parts":[["2020",3]]}}},{"id":15,"uris":["http://zotero.org/users/6338991/items/K9C7I97C"],"itemData":{"id":15,"type":"article-journal","abstract":"In a context of booming commodity prices, what factors drive subnational authorities to implement forest protection regulations in active agricultural frontiers?. Focusing on one of the world’s deforestation hotspots, the Argentine Chaco Forest, we argue that subnational variation in the implementation of forest protection legislation is driven by governors’ attempts to avoid conﬂict produced by agricultural expansion. Through process tracing, we show how governors’ implementation decisions—regarding both the design and enforcement of provincial regulations—sought to mitigate pressures from large producers opposed to clearing restrictions and from various groups contesting agricultural expansion. As the power of these actors varies across provinces, governors’ conﬂict avoidance strategies resulted in markedly different subnational regulations as well as contrasting levels of enforcement and deforestation. We substantiate our argument through an empirical strategy that combines department-level geocoded data on deforestation and levels of forest protection in the Argentine Chaco with extensive ﬁeldwork and interviews in the core provinces in which the forest is located. Our ﬁndings aim to contribute to academic debates in political science and environmental science on the determinants of subnational policy and deforestation, respectively, and have the potential to inform both donors and policymakers about the factors shaping the uneven impact of decentralized arrangements to combat climate change.","citation-key":"milmandaSubnationalVariationForest2019","container-title":"World Development","DOI":"10.1016/j.worlddev.2019.02.002","ISSN":"0305750X","journalAbbreviation":"World Development","language":"en","page":"79-90","source":"DOI.org (Crossref)","title":"Subnational variation in forest protection in the Argentine Chaco","volume":"118","author":[{"family":"Milmanda","given":"Belén Fernández"},{"family":"Garay","given":"Candelaria"}],"issued":{"date-parts":[["2019",6]]}}}],"schema":"https://github.com/citation-style-language/schema/raw/master/csl-citation.json"} </w:instrText>
      </w:r>
      <w:r w:rsidR="00825D60" w:rsidRPr="007615FA">
        <w:rPr>
          <w:rFonts w:ascii="Arial" w:hAnsi="Arial" w:cs="Arial"/>
        </w:rPr>
        <w:fldChar w:fldCharType="separate"/>
      </w:r>
      <w:r w:rsidR="00825D60" w:rsidRPr="007615FA">
        <w:rPr>
          <w:rFonts w:ascii="Arial" w:hAnsi="Arial" w:cs="Arial"/>
          <w:noProof/>
        </w:rPr>
        <w:t>(Milmanda and Garay 2020, 2019)</w:t>
      </w:r>
      <w:r w:rsidR="00825D60" w:rsidRPr="007615FA">
        <w:rPr>
          <w:rFonts w:ascii="Arial" w:hAnsi="Arial" w:cs="Arial"/>
        </w:rPr>
        <w:fldChar w:fldCharType="end"/>
      </w:r>
      <w:r w:rsidRPr="007615FA">
        <w:rPr>
          <w:rFonts w:ascii="Arial" w:hAnsi="Arial" w:cs="Arial"/>
        </w:rPr>
        <w:t xml:space="preserve">, the mechanism proposed here is that </w:t>
      </w:r>
      <w:r w:rsidRPr="007615FA">
        <w:rPr>
          <w:rFonts w:ascii="Arial" w:hAnsi="Arial" w:cs="Arial"/>
        </w:rPr>
        <w:lastRenderedPageBreak/>
        <w:t>where social protection is weak, politicians have stronger incentives to tolerate noncompliance or selectively relax enforcement. Where social protection cushions the social costs of regulation, local resistance falls and enforcement becomes less politically costly. This is the electoral form of the two mechanisms Chapter 2 identified in the eco-social arena. Weak protection reproduces cushioning as forbearance, strong protection enables cushioning as compensation. The expected implication is that environmental policy should be more effective where social protection is stronger, because welfare provision reduces blame-avoidance incentives and increases the political feasibility of enforcement.</w:t>
      </w:r>
    </w:p>
    <w:p w14:paraId="1985D1C4" w14:textId="77777777" w:rsidR="002E0AAF" w:rsidRPr="007615FA" w:rsidRDefault="00747680" w:rsidP="007615FA">
      <w:pPr>
        <w:tabs>
          <w:tab w:val="left" w:pos="709"/>
        </w:tabs>
        <w:ind w:left="142" w:firstLine="567"/>
        <w:jc w:val="both"/>
        <w:rPr>
          <w:rFonts w:ascii="Arial" w:hAnsi="Arial" w:cs="Arial"/>
        </w:rPr>
      </w:pPr>
      <w:r w:rsidRPr="007615FA">
        <w:rPr>
          <w:rFonts w:ascii="Arial" w:hAnsi="Arial" w:cs="Arial"/>
          <w:b/>
          <w:bCs/>
        </w:rPr>
        <w:t>Mechanism 4</w:t>
      </w:r>
      <w:r w:rsidRPr="007615FA">
        <w:rPr>
          <w:rFonts w:ascii="Arial" w:hAnsi="Arial" w:cs="Arial"/>
        </w:rPr>
        <w:t xml:space="preserve"> </w:t>
      </w:r>
      <w:r w:rsidR="00825D60" w:rsidRPr="007615FA">
        <w:rPr>
          <w:rFonts w:ascii="Arial" w:hAnsi="Arial" w:cs="Arial"/>
        </w:rPr>
        <w:t xml:space="preserve">- </w:t>
      </w:r>
      <w:r w:rsidRPr="007615FA">
        <w:rPr>
          <w:rFonts w:ascii="Arial" w:hAnsi="Arial" w:cs="Arial"/>
        </w:rPr>
        <w:t xml:space="preserve"> Formal labor-market incorporation increases the feasibility of compliance. Where formal employment and stable labor income are more available, local populations depend less on informal or frontier-expanding activities. This reduces the local economic reliance on deforestation and may increase the viability of complying with environmental restrictions. The expected implication is that municipalities with stronger formal labor markets should display lower deforestation, stronger responses to enforcement, or both.</w:t>
      </w:r>
    </w:p>
    <w:p w14:paraId="1D3C360E" w14:textId="77777777" w:rsidR="002E0AAF" w:rsidRPr="007615FA" w:rsidRDefault="00747680" w:rsidP="007615FA">
      <w:pPr>
        <w:tabs>
          <w:tab w:val="left" w:pos="709"/>
        </w:tabs>
        <w:ind w:left="142" w:firstLine="567"/>
        <w:jc w:val="both"/>
        <w:rPr>
          <w:rFonts w:ascii="Arial" w:hAnsi="Arial" w:cs="Arial"/>
        </w:rPr>
      </w:pPr>
      <w:r w:rsidRPr="007615FA">
        <w:rPr>
          <w:rFonts w:ascii="Arial" w:hAnsi="Arial" w:cs="Arial"/>
        </w:rPr>
        <w:t>These mechanisms ground four hypotheses.</w:t>
      </w:r>
    </w:p>
    <w:p w14:paraId="116E6F1C" w14:textId="77777777" w:rsidR="002E0AAF" w:rsidRPr="007615FA" w:rsidRDefault="00747680" w:rsidP="007615FA">
      <w:pPr>
        <w:tabs>
          <w:tab w:val="left" w:pos="709"/>
        </w:tabs>
        <w:ind w:left="142" w:firstLine="567"/>
        <w:jc w:val="both"/>
        <w:rPr>
          <w:rFonts w:ascii="Arial" w:hAnsi="Arial" w:cs="Arial"/>
        </w:rPr>
      </w:pPr>
      <w:r w:rsidRPr="007615FA">
        <w:rPr>
          <w:rFonts w:ascii="Arial" w:hAnsi="Arial" w:cs="Arial"/>
          <w:b/>
          <w:bCs/>
        </w:rPr>
        <w:t xml:space="preserve">Hypothesis 1 </w:t>
      </w:r>
      <w:r w:rsidR="002E0AAF" w:rsidRPr="007615FA">
        <w:rPr>
          <w:rFonts w:ascii="Arial" w:hAnsi="Arial" w:cs="Arial"/>
          <w:b/>
          <w:bCs/>
        </w:rPr>
        <w:t>-</w:t>
      </w:r>
      <w:r w:rsidRPr="007615FA">
        <w:rPr>
          <w:rFonts w:ascii="Arial" w:hAnsi="Arial" w:cs="Arial"/>
        </w:rPr>
        <w:t xml:space="preserve"> </w:t>
      </w:r>
      <w:r w:rsidRPr="007615FA">
        <w:rPr>
          <w:rFonts w:ascii="Arial" w:hAnsi="Arial" w:cs="Arial"/>
          <w:b/>
          <w:bCs/>
        </w:rPr>
        <w:t>Vulnerability conditioning</w:t>
      </w:r>
      <w:r w:rsidRPr="007615FA">
        <w:rPr>
          <w:rFonts w:ascii="Arial" w:hAnsi="Arial" w:cs="Arial"/>
        </w:rPr>
        <w:t>. Where social vulnerability is higher, environmental policy is expected to be less effective unless accompanied by compensatory social protection or stronger labor-market alternatives.</w:t>
      </w:r>
    </w:p>
    <w:p w14:paraId="2E584649" w14:textId="77777777" w:rsidR="002E0AAF" w:rsidRPr="007615FA" w:rsidRDefault="00747680" w:rsidP="007615FA">
      <w:pPr>
        <w:tabs>
          <w:tab w:val="left" w:pos="709"/>
        </w:tabs>
        <w:ind w:left="142" w:firstLine="567"/>
        <w:jc w:val="both"/>
        <w:rPr>
          <w:rFonts w:ascii="Arial" w:hAnsi="Arial" w:cs="Arial"/>
        </w:rPr>
      </w:pPr>
      <w:r w:rsidRPr="007615FA">
        <w:rPr>
          <w:rFonts w:ascii="Arial" w:hAnsi="Arial" w:cs="Arial"/>
          <w:b/>
          <w:bCs/>
        </w:rPr>
        <w:t xml:space="preserve">Hypothesis 2 </w:t>
      </w:r>
      <w:r w:rsidR="002E0AAF" w:rsidRPr="007615FA">
        <w:rPr>
          <w:rFonts w:ascii="Arial" w:hAnsi="Arial" w:cs="Arial"/>
          <w:b/>
          <w:bCs/>
        </w:rPr>
        <w:t>-</w:t>
      </w:r>
      <w:r w:rsidRPr="007615FA">
        <w:rPr>
          <w:rFonts w:ascii="Arial" w:hAnsi="Arial" w:cs="Arial"/>
        </w:rPr>
        <w:t xml:space="preserve"> </w:t>
      </w:r>
      <w:r w:rsidRPr="007615FA">
        <w:rPr>
          <w:rFonts w:ascii="Arial" w:hAnsi="Arial" w:cs="Arial"/>
          <w:b/>
          <w:bCs/>
        </w:rPr>
        <w:t>Social protection</w:t>
      </w:r>
      <w:r w:rsidRPr="007615FA">
        <w:rPr>
          <w:rFonts w:ascii="Arial" w:hAnsi="Arial" w:cs="Arial"/>
        </w:rPr>
        <w:t>. Municipalities with higher levels of welfare provision are expected to exhibit lower deforestation levels, all else equal, because social protection reduces dependence on environmentally harmful livelihood strategies and increases the political feasibility of enforcement.</w:t>
      </w:r>
    </w:p>
    <w:p w14:paraId="698175A2" w14:textId="77777777" w:rsidR="002E0AAF" w:rsidRPr="007615FA" w:rsidRDefault="00747680" w:rsidP="007615FA">
      <w:pPr>
        <w:tabs>
          <w:tab w:val="left" w:pos="709"/>
        </w:tabs>
        <w:ind w:left="142" w:firstLine="567"/>
        <w:jc w:val="both"/>
        <w:rPr>
          <w:rFonts w:ascii="Arial" w:hAnsi="Arial" w:cs="Arial"/>
        </w:rPr>
      </w:pPr>
      <w:r w:rsidRPr="007615FA">
        <w:rPr>
          <w:rFonts w:ascii="Arial" w:hAnsi="Arial" w:cs="Arial"/>
          <w:b/>
          <w:bCs/>
        </w:rPr>
        <w:t xml:space="preserve">Hypothesis 3 </w:t>
      </w:r>
      <w:r w:rsidR="002E0AAF" w:rsidRPr="007615FA">
        <w:rPr>
          <w:rFonts w:ascii="Arial" w:hAnsi="Arial" w:cs="Arial"/>
          <w:b/>
          <w:bCs/>
        </w:rPr>
        <w:t>-</w:t>
      </w:r>
      <w:r w:rsidRPr="007615FA">
        <w:rPr>
          <w:rFonts w:ascii="Arial" w:hAnsi="Arial" w:cs="Arial"/>
        </w:rPr>
        <w:t xml:space="preserve"> Labor incorporation. Municipalities with stronger formal labor-market conditions are expected to exhibit lower deforestation levels, all else equal, because more stable and protected income opportunities reduce reliance on deforestation-linked activities.</w:t>
      </w:r>
    </w:p>
    <w:p w14:paraId="5FDC4F79" w14:textId="77777777" w:rsidR="002E0AAF" w:rsidRPr="007615FA" w:rsidRDefault="00747680" w:rsidP="007615FA">
      <w:pPr>
        <w:tabs>
          <w:tab w:val="left" w:pos="709"/>
        </w:tabs>
        <w:ind w:left="142" w:firstLine="567"/>
        <w:jc w:val="both"/>
        <w:rPr>
          <w:rFonts w:ascii="Arial" w:hAnsi="Arial" w:cs="Arial"/>
        </w:rPr>
      </w:pPr>
      <w:r w:rsidRPr="007615FA">
        <w:rPr>
          <w:rFonts w:ascii="Arial" w:hAnsi="Arial" w:cs="Arial"/>
          <w:b/>
          <w:bCs/>
        </w:rPr>
        <w:t xml:space="preserve">Hypothesis 4 </w:t>
      </w:r>
      <w:r w:rsidR="002E0AAF" w:rsidRPr="007615FA">
        <w:rPr>
          <w:rFonts w:ascii="Arial" w:hAnsi="Arial" w:cs="Arial"/>
          <w:b/>
          <w:bCs/>
        </w:rPr>
        <w:t>-</w:t>
      </w:r>
      <w:r w:rsidRPr="007615FA">
        <w:rPr>
          <w:rFonts w:ascii="Arial" w:hAnsi="Arial" w:cs="Arial"/>
        </w:rPr>
        <w:t xml:space="preserve"> Eco-social interdependence. Environmental outcomes in the Brazilian Amazon are shaped by the interaction between environmental policy, social policy, and local socioeconomic structure, and not by environmental regulation alone. Models that incorporate these interdependencies should therefore explain deforestation dynamics better than models that treat the environmental and social domains separately.</w:t>
      </w:r>
    </w:p>
    <w:p w14:paraId="2B4556E9" w14:textId="749D8618" w:rsidR="00187788" w:rsidRPr="007615FA" w:rsidRDefault="00747680" w:rsidP="007615FA">
      <w:pPr>
        <w:tabs>
          <w:tab w:val="left" w:pos="709"/>
        </w:tabs>
        <w:ind w:left="142" w:firstLine="567"/>
        <w:jc w:val="both"/>
        <w:rPr>
          <w:rFonts w:ascii="Arial" w:hAnsi="Arial" w:cs="Arial"/>
        </w:rPr>
      </w:pPr>
      <w:r w:rsidRPr="007615FA">
        <w:rPr>
          <w:rFonts w:ascii="Arial" w:hAnsi="Arial" w:cs="Arial"/>
        </w:rPr>
        <w:t>The four hypotheses do not make the same kind of claim, and the research design treats them differently. H1 and H4 are conditional claims. They say that the effect of environmental policy depends on social conditions, and Mechanism 3 supplies their political logic. Claims of this form can be tested as moderation</w:t>
      </w:r>
      <w:r w:rsidR="002E0AAF" w:rsidRPr="007615FA">
        <w:rPr>
          <w:rFonts w:ascii="Arial" w:hAnsi="Arial" w:cs="Arial"/>
        </w:rPr>
        <w:t>, asking if</w:t>
      </w:r>
      <w:r w:rsidRPr="007615FA">
        <w:rPr>
          <w:rFonts w:ascii="Arial" w:hAnsi="Arial" w:cs="Arial"/>
        </w:rPr>
        <w:t xml:space="preserve"> the enforcement </w:t>
      </w:r>
      <w:r w:rsidRPr="007615FA">
        <w:rPr>
          <w:rFonts w:ascii="Arial" w:hAnsi="Arial" w:cs="Arial"/>
        </w:rPr>
        <w:lastRenderedPageBreak/>
        <w:t>effect var</w:t>
      </w:r>
      <w:r w:rsidR="002E0AAF" w:rsidRPr="007615FA">
        <w:rPr>
          <w:rFonts w:ascii="Arial" w:hAnsi="Arial" w:cs="Arial"/>
        </w:rPr>
        <w:t>ies</w:t>
      </w:r>
      <w:r w:rsidRPr="007615FA">
        <w:rPr>
          <w:rFonts w:ascii="Arial" w:hAnsi="Arial" w:cs="Arial"/>
        </w:rPr>
        <w:t xml:space="preserve"> with baseline social protection. H2 and H3 are direct-effect claims. They say that social policy and formal employment reduce deforestation on their own, through Mechanisms 2 and 4. Direct claims are much harder to identify in this period, because cash transfers, wage growth, and formalization expanded at the same time as enforcement, credit restrictions, and the commodity cycle. Section 5 explains why this crowding makes the moderation claims the causal spine of the chapter, while the direct-effect claims are documented descriptively. The distinction matters for reading everything that follows</w:t>
      </w:r>
      <w:r w:rsidR="002E0AAF" w:rsidRPr="007615FA">
        <w:rPr>
          <w:rFonts w:ascii="Arial" w:hAnsi="Arial" w:cs="Arial"/>
        </w:rPr>
        <w:t>. T</w:t>
      </w:r>
      <w:r w:rsidRPr="007615FA">
        <w:rPr>
          <w:rFonts w:ascii="Arial" w:hAnsi="Arial" w:cs="Arial"/>
        </w:rPr>
        <w:t>he chapter's central test is whether enforcement worked better where social protection was stronger, which is H1 and H4 restated, and the empirical counterpart of cushioning as compensation.</w:t>
      </w:r>
    </w:p>
    <w:p w14:paraId="43FD76B5" w14:textId="77777777" w:rsidR="00380F96" w:rsidRPr="007615FA" w:rsidRDefault="00380F96" w:rsidP="007615FA">
      <w:pPr>
        <w:tabs>
          <w:tab w:val="left" w:pos="709"/>
        </w:tabs>
        <w:ind w:left="142" w:firstLine="567"/>
        <w:jc w:val="both"/>
        <w:rPr>
          <w:rFonts w:ascii="Arial" w:hAnsi="Arial" w:cs="Arial"/>
        </w:rPr>
      </w:pPr>
    </w:p>
    <w:p w14:paraId="1405E5D5" w14:textId="77777777" w:rsidR="00AF5A27" w:rsidRPr="007615FA" w:rsidRDefault="00380F96" w:rsidP="007615FA">
      <w:pPr>
        <w:pStyle w:val="ListParagraph"/>
        <w:numPr>
          <w:ilvl w:val="0"/>
          <w:numId w:val="6"/>
        </w:numPr>
        <w:tabs>
          <w:tab w:val="left" w:pos="709"/>
        </w:tabs>
        <w:jc w:val="both"/>
        <w:rPr>
          <w:rFonts w:ascii="Arial" w:hAnsi="Arial" w:cs="Arial"/>
          <w:b/>
          <w:bCs/>
        </w:rPr>
      </w:pPr>
      <w:r w:rsidRPr="007615FA">
        <w:rPr>
          <w:rFonts w:ascii="Arial" w:hAnsi="Arial" w:cs="Arial"/>
          <w:b/>
          <w:bCs/>
        </w:rPr>
        <w:t>Data, period, and methodological overview</w:t>
      </w:r>
    </w:p>
    <w:p w14:paraId="7A7C2119" w14:textId="77777777" w:rsidR="00AF5A27" w:rsidRPr="007615FA" w:rsidRDefault="00AF5A27" w:rsidP="007615FA">
      <w:pPr>
        <w:tabs>
          <w:tab w:val="left" w:pos="709"/>
        </w:tabs>
        <w:jc w:val="both"/>
        <w:rPr>
          <w:rFonts w:ascii="Arial" w:hAnsi="Arial" w:cs="Arial"/>
          <w:b/>
          <w:bCs/>
        </w:rPr>
      </w:pPr>
    </w:p>
    <w:p w14:paraId="687D1E50" w14:textId="77777777" w:rsidR="00AF5A27" w:rsidRPr="007615FA" w:rsidRDefault="00AF5A27" w:rsidP="007615FA">
      <w:pPr>
        <w:tabs>
          <w:tab w:val="left" w:pos="709"/>
        </w:tabs>
        <w:jc w:val="both"/>
        <w:rPr>
          <w:rFonts w:ascii="Arial" w:hAnsi="Arial" w:cs="Arial"/>
        </w:rPr>
      </w:pPr>
      <w:r w:rsidRPr="007615FA">
        <w:rPr>
          <w:rFonts w:ascii="Arial" w:hAnsi="Arial" w:cs="Arial"/>
          <w:b/>
          <w:bCs/>
        </w:rPr>
        <w:tab/>
      </w:r>
      <w:r w:rsidRPr="007615FA">
        <w:rPr>
          <w:rFonts w:ascii="Arial" w:hAnsi="Arial" w:cs="Arial"/>
        </w:rPr>
        <w:t>The empirical basis of the chapter is a balanced municipal panel</w:t>
      </w:r>
      <w:r w:rsidRPr="007615FA">
        <w:rPr>
          <w:rFonts w:ascii="Arial" w:hAnsi="Arial" w:cs="Arial"/>
        </w:rPr>
        <w:t xml:space="preserve"> of</w:t>
      </w:r>
      <w:r w:rsidRPr="007615FA">
        <w:rPr>
          <w:rFonts w:ascii="Arial" w:hAnsi="Arial" w:cs="Arial"/>
        </w:rPr>
        <w:t xml:space="preserve"> 502 municipalities of the Amazon biome observed annually from 2000 to 2020. Each row is a municipality-year. The panel combines administrative and satellite sources that are described in detail in the data documentation, so this section presents only the variables that carry the analysis.</w:t>
      </w:r>
    </w:p>
    <w:p w14:paraId="2531C0F2" w14:textId="77777777" w:rsidR="00AF5A27" w:rsidRPr="007615FA" w:rsidRDefault="00AF5A27" w:rsidP="007615FA">
      <w:pPr>
        <w:tabs>
          <w:tab w:val="left" w:pos="709"/>
        </w:tabs>
        <w:jc w:val="both"/>
        <w:rPr>
          <w:rFonts w:ascii="Arial" w:hAnsi="Arial" w:cs="Arial"/>
        </w:rPr>
      </w:pPr>
      <w:r w:rsidRPr="007615FA">
        <w:rPr>
          <w:rFonts w:ascii="Arial" w:hAnsi="Arial" w:cs="Arial"/>
        </w:rPr>
        <w:tab/>
      </w:r>
      <w:r w:rsidRPr="007615FA">
        <w:rPr>
          <w:rFonts w:ascii="Arial" w:hAnsi="Arial" w:cs="Arial"/>
        </w:rPr>
        <w:t xml:space="preserve">Three variables measure the environmental outcome, all built from </w:t>
      </w:r>
      <w:r w:rsidRPr="007615FA">
        <w:rPr>
          <w:rFonts w:ascii="Arial" w:hAnsi="Arial" w:cs="Arial"/>
        </w:rPr>
        <w:t>MapBiomas</w:t>
      </w:r>
      <w:r w:rsidRPr="007615FA">
        <w:rPr>
          <w:rFonts w:ascii="Arial" w:hAnsi="Arial" w:cs="Arial"/>
        </w:rPr>
        <w:t xml:space="preserve"> satellite data. The first is </w:t>
      </w:r>
      <w:r w:rsidRPr="007615FA">
        <w:rPr>
          <w:rFonts w:ascii="Arial" w:hAnsi="Arial" w:cs="Arial"/>
          <w:b/>
          <w:bCs/>
          <w:i/>
          <w:iCs/>
        </w:rPr>
        <w:t>deforestation_area_km2</w:t>
      </w:r>
      <w:r w:rsidRPr="007615FA">
        <w:rPr>
          <w:rFonts w:ascii="Arial" w:hAnsi="Arial" w:cs="Arial"/>
        </w:rPr>
        <w:t xml:space="preserve">, the annual deforestation increment in square kilometers, following the PRODES August-to-July measurement year. The second is </w:t>
      </w:r>
      <w:r w:rsidRPr="007615FA">
        <w:rPr>
          <w:rFonts w:ascii="Arial" w:hAnsi="Arial" w:cs="Arial"/>
          <w:b/>
          <w:bCs/>
          <w:i/>
          <w:iCs/>
        </w:rPr>
        <w:t>deforestation_forest_rate</w:t>
      </w:r>
      <w:r w:rsidRPr="007615FA">
        <w:rPr>
          <w:rFonts w:ascii="Arial" w:hAnsi="Arial" w:cs="Arial"/>
        </w:rPr>
        <w:t xml:space="preserve">, the increment divided by the remaining forest area, which expresses clearing as a proportion of what is left to clear. The third is </w:t>
      </w:r>
      <w:r w:rsidRPr="007615FA">
        <w:rPr>
          <w:rFonts w:ascii="Arial" w:hAnsi="Arial" w:cs="Arial"/>
          <w:b/>
          <w:bCs/>
          <w:i/>
          <w:iCs/>
        </w:rPr>
        <w:t>defor_norm_ref0007</w:t>
      </w:r>
      <w:r w:rsidRPr="007615FA">
        <w:rPr>
          <w:rFonts w:ascii="Arial" w:hAnsi="Arial" w:cs="Arial"/>
        </w:rPr>
        <w:t xml:space="preserve">, the primary outcome of the causal analysis. It is a within-municipality z-score: each municipality's annual deforestation is centered and scaled on its own 2000 to 2007 mean and standard deviation. A value of 1 means deforestation one standard deviation above that municipality's own pre-policy norm. This normalization makes municipalities with very different clearing scales comparable, and </w:t>
      </w:r>
      <w:r w:rsidRPr="007615FA">
        <w:rPr>
          <w:rFonts w:ascii="Arial" w:hAnsi="Arial" w:cs="Arial"/>
          <w:b/>
          <w:bCs/>
        </w:rPr>
        <w:t>Section 3.3</w:t>
      </w:r>
      <w:r w:rsidRPr="007615FA">
        <w:rPr>
          <w:rFonts w:ascii="Arial" w:hAnsi="Arial" w:cs="Arial"/>
        </w:rPr>
        <w:t xml:space="preserve"> explains the sample restriction it requires.</w:t>
      </w:r>
    </w:p>
    <w:p w14:paraId="1BD313A2" w14:textId="77777777" w:rsidR="00AF5A27" w:rsidRPr="007615FA" w:rsidRDefault="00AF5A27" w:rsidP="007615FA">
      <w:pPr>
        <w:tabs>
          <w:tab w:val="left" w:pos="709"/>
        </w:tabs>
        <w:jc w:val="both"/>
        <w:rPr>
          <w:rFonts w:ascii="Arial" w:hAnsi="Arial" w:cs="Arial"/>
        </w:rPr>
      </w:pPr>
      <w:r w:rsidRPr="007615FA">
        <w:rPr>
          <w:rFonts w:ascii="Arial" w:hAnsi="Arial" w:cs="Arial"/>
        </w:rPr>
        <w:tab/>
      </w:r>
      <w:r w:rsidRPr="007615FA">
        <w:rPr>
          <w:rFonts w:ascii="Arial" w:hAnsi="Arial" w:cs="Arial"/>
        </w:rPr>
        <w:t xml:space="preserve">Two variables measure social protection, both from Bolsa Família administrative records. </w:t>
      </w:r>
      <w:r w:rsidRPr="007615FA">
        <w:rPr>
          <w:rFonts w:ascii="Arial" w:hAnsi="Arial" w:cs="Arial"/>
          <w:b/>
          <w:bCs/>
          <w:i/>
          <w:iCs/>
        </w:rPr>
        <w:t>bf_transfers_pc_brl_2024</w:t>
      </w:r>
      <w:r w:rsidRPr="007615FA">
        <w:rPr>
          <w:rFonts w:ascii="Arial" w:hAnsi="Arial" w:cs="Arial"/>
        </w:rPr>
        <w:t xml:space="preserve"> is the transfer volume per capita, deflated to 2024 prices with the IPCA. </w:t>
      </w:r>
      <w:r w:rsidRPr="007615FA">
        <w:rPr>
          <w:rFonts w:ascii="Arial" w:hAnsi="Arial" w:cs="Arial"/>
          <w:b/>
          <w:bCs/>
          <w:i/>
          <w:iCs/>
        </w:rPr>
        <w:t>bf_families_quota_ratio</w:t>
      </w:r>
      <w:r w:rsidRPr="007615FA">
        <w:rPr>
          <w:rFonts w:ascii="Arial" w:hAnsi="Arial" w:cs="Arial"/>
        </w:rPr>
        <w:t xml:space="preserve"> is the number of families served divided by the municipality's administrative quota, the federal estimate of eligible families. The two measure different things. Transfer volume tracks how poor a place is. The quota ratio tracks how completely the program reaches its estimated eligible population, which is the construct the theoretical argument means by welfare provision. The quota ratio is the moderator of the causal design, and the reasoning appears in </w:t>
      </w:r>
      <w:r w:rsidRPr="007615FA">
        <w:rPr>
          <w:rFonts w:ascii="Arial" w:hAnsi="Arial" w:cs="Arial"/>
          <w:b/>
          <w:bCs/>
        </w:rPr>
        <w:t>Section 3.4</w:t>
      </w:r>
      <w:r w:rsidRPr="007615FA">
        <w:rPr>
          <w:rFonts w:ascii="Arial" w:hAnsi="Arial" w:cs="Arial"/>
        </w:rPr>
        <w:t>.</w:t>
      </w:r>
    </w:p>
    <w:p w14:paraId="7FC604CF" w14:textId="05E8C490" w:rsidR="003A1103" w:rsidRPr="007615FA" w:rsidRDefault="00AF5A27" w:rsidP="007615FA">
      <w:pPr>
        <w:tabs>
          <w:tab w:val="left" w:pos="709"/>
        </w:tabs>
        <w:jc w:val="both"/>
        <w:rPr>
          <w:rFonts w:ascii="Arial" w:hAnsi="Arial" w:cs="Arial"/>
        </w:rPr>
      </w:pPr>
      <w:r w:rsidRPr="007615FA">
        <w:rPr>
          <w:rFonts w:ascii="Arial" w:hAnsi="Arial" w:cs="Arial"/>
        </w:rPr>
        <w:lastRenderedPageBreak/>
        <w:tab/>
      </w:r>
      <w:r w:rsidRPr="007615FA">
        <w:rPr>
          <w:rFonts w:ascii="Arial" w:hAnsi="Arial" w:cs="Arial"/>
        </w:rPr>
        <w:t xml:space="preserve">Three variables measure the formal labor market, built from RAIS employer records normalized by the working-age population (PIA, interpolated from the Census waves). </w:t>
      </w:r>
      <w:r w:rsidRPr="007615FA">
        <w:rPr>
          <w:rFonts w:ascii="Arial" w:hAnsi="Arial" w:cs="Arial"/>
          <w:b/>
          <w:bCs/>
          <w:i/>
          <w:iCs/>
        </w:rPr>
        <w:t>emp_pia_rate_total</w:t>
      </w:r>
      <w:r w:rsidRPr="007615FA">
        <w:rPr>
          <w:rFonts w:ascii="Arial" w:hAnsi="Arial" w:cs="Arial"/>
        </w:rPr>
        <w:t xml:space="preserve"> is formal jobs per working-age adult, the standard employment-to-population ratio. </w:t>
      </w:r>
      <w:r w:rsidRPr="007615FA">
        <w:rPr>
          <w:rFonts w:ascii="Arial" w:hAnsi="Arial" w:cs="Arial"/>
          <w:b/>
          <w:bCs/>
          <w:i/>
          <w:iCs/>
        </w:rPr>
        <w:t>emp_pia_rate_agric</w:t>
      </w:r>
      <w:r w:rsidRPr="007615FA">
        <w:rPr>
          <w:rFonts w:ascii="Arial" w:hAnsi="Arial" w:cs="Arial"/>
        </w:rPr>
        <w:t xml:space="preserve"> is the same ratio for agricultural employment. </w:t>
      </w:r>
      <w:r w:rsidRPr="007615FA">
        <w:rPr>
          <w:rFonts w:ascii="Arial" w:hAnsi="Arial" w:cs="Arial"/>
          <w:b/>
          <w:bCs/>
          <w:i/>
          <w:iCs/>
        </w:rPr>
        <w:t>emp_share_low_workers</w:t>
      </w:r>
      <w:r w:rsidRPr="007615FA">
        <w:rPr>
          <w:rFonts w:ascii="Arial" w:hAnsi="Arial" w:cs="Arial"/>
        </w:rPr>
        <w:t xml:space="preserve"> is the share of formal workers in the lowest of three wage groups, defined by fixed multiples of the 2024 minimum wage (R$1,412) applied to IPCA-deflated wages. Because the thresholds are fixed in real terms, movement across groups reflects changes in the real wage distribution, not reclassification from a moving nominal cutoff. The choice of PIA rather than the labor force as denominator is an identification decision, not a convention, and the data documentation develops it</w:t>
      </w:r>
      <w:r w:rsidRPr="007615FA">
        <w:rPr>
          <w:rFonts w:ascii="Arial" w:hAnsi="Arial" w:cs="Arial"/>
        </w:rPr>
        <w:t>.</w:t>
      </w:r>
      <w:r w:rsidRPr="007615FA">
        <w:rPr>
          <w:rFonts w:ascii="Arial" w:hAnsi="Arial" w:cs="Arial"/>
        </w:rPr>
        <w:t xml:space="preserve"> </w:t>
      </w:r>
      <w:r w:rsidRPr="007615FA">
        <w:rPr>
          <w:rFonts w:ascii="Arial" w:hAnsi="Arial" w:cs="Arial"/>
        </w:rPr>
        <w:t>T</w:t>
      </w:r>
      <w:r w:rsidRPr="007615FA">
        <w:rPr>
          <w:rFonts w:ascii="Arial" w:hAnsi="Arial" w:cs="Arial"/>
        </w:rPr>
        <w:t>he labor force responds to the same price variation the analysis studies, while the working-age population is demographic and predetermined.</w:t>
      </w:r>
    </w:p>
    <w:p w14:paraId="0E340351" w14:textId="7C6FE5BB" w:rsidR="00424323" w:rsidRPr="007615FA" w:rsidRDefault="003A1103" w:rsidP="007615FA">
      <w:pPr>
        <w:tabs>
          <w:tab w:val="left" w:pos="709"/>
        </w:tabs>
        <w:jc w:val="both"/>
        <w:rPr>
          <w:rFonts w:ascii="Arial" w:hAnsi="Arial" w:cs="Arial"/>
        </w:rPr>
      </w:pPr>
      <w:r w:rsidRPr="007615FA">
        <w:rPr>
          <w:rFonts w:ascii="Arial" w:hAnsi="Arial" w:cs="Arial"/>
          <w:kern w:val="0"/>
          <w14:ligatures w14:val="none"/>
        </w:rPr>
        <w:tab/>
      </w:r>
      <w:r w:rsidR="00380F96" w:rsidRPr="007615FA">
        <w:rPr>
          <w:rFonts w:ascii="Arial" w:hAnsi="Arial" w:cs="Arial"/>
        </w:rPr>
        <w:t>The remaining variables provide economic and political context</w:t>
      </w:r>
      <w:r w:rsidRPr="007615FA">
        <w:rPr>
          <w:rFonts w:ascii="Arial" w:hAnsi="Arial" w:cs="Arial"/>
        </w:rPr>
        <w:t xml:space="preserve">: </w:t>
      </w:r>
      <w:r w:rsidR="00424323" w:rsidRPr="007615FA">
        <w:rPr>
          <w:rFonts w:ascii="Arial" w:hAnsi="Arial" w:cs="Arial"/>
          <w:b/>
          <w:bCs/>
          <w:i/>
          <w:iCs/>
        </w:rPr>
        <w:t>gdp_per_capita_2024</w:t>
      </w:r>
      <w:r w:rsidR="00424323" w:rsidRPr="007615FA">
        <w:rPr>
          <w:rFonts w:ascii="Arial" w:hAnsi="Arial" w:cs="Arial"/>
        </w:rPr>
        <w:t xml:space="preserve"> is </w:t>
      </w:r>
      <w:r w:rsidR="00380F96" w:rsidRPr="007615FA">
        <w:rPr>
          <w:rFonts w:ascii="Arial" w:hAnsi="Arial" w:cs="Arial"/>
        </w:rPr>
        <w:t>municipal GDP per capita in 2024 prices, available from 2002</w:t>
      </w:r>
      <w:r w:rsidR="00424323" w:rsidRPr="007615FA">
        <w:rPr>
          <w:rFonts w:ascii="Arial" w:hAnsi="Arial" w:cs="Arial"/>
        </w:rPr>
        <w:t xml:space="preserve">. </w:t>
      </w:r>
      <w:r w:rsidR="00424323" w:rsidRPr="007615FA">
        <w:rPr>
          <w:rFonts w:ascii="Arial" w:hAnsi="Arial" w:cs="Arial"/>
          <w:b/>
          <w:bCs/>
          <w:i/>
          <w:iCs/>
        </w:rPr>
        <w:t>price_index_crop</w:t>
      </w:r>
      <w:r w:rsidR="00424323" w:rsidRPr="007615FA">
        <w:rPr>
          <w:rFonts w:ascii="Arial" w:hAnsi="Arial" w:cs="Arial"/>
        </w:rPr>
        <w:t xml:space="preserve"> and </w:t>
      </w:r>
      <w:r w:rsidR="00424323" w:rsidRPr="007615FA">
        <w:rPr>
          <w:rFonts w:ascii="Arial" w:hAnsi="Arial" w:cs="Arial"/>
          <w:b/>
          <w:bCs/>
          <w:i/>
          <w:iCs/>
        </w:rPr>
        <w:t>price_index_cattle</w:t>
      </w:r>
      <w:r w:rsidR="00424323" w:rsidRPr="007615FA">
        <w:rPr>
          <w:rFonts w:ascii="Arial" w:hAnsi="Arial" w:cs="Arial"/>
        </w:rPr>
        <w:t xml:space="preserve"> are </w:t>
      </w:r>
      <w:r w:rsidR="00424323" w:rsidRPr="007615FA">
        <w:rPr>
          <w:rFonts w:ascii="Arial" w:hAnsi="Arial" w:cs="Arial"/>
        </w:rPr>
        <w:t>municipality-specific commodity-price indices</w:t>
      </w:r>
      <w:r w:rsidR="00424323" w:rsidRPr="007615FA">
        <w:rPr>
          <w:rFonts w:ascii="Arial" w:hAnsi="Arial" w:cs="Arial"/>
        </w:rPr>
        <w:t xml:space="preserve"> built with </w:t>
      </w:r>
      <w:r w:rsidR="00380F96" w:rsidRPr="007615FA">
        <w:rPr>
          <w:rFonts w:ascii="Arial" w:hAnsi="Arial" w:cs="Arial"/>
        </w:rPr>
        <w:t xml:space="preserve">international </w:t>
      </w:r>
      <w:r w:rsidRPr="007615FA">
        <w:rPr>
          <w:rFonts w:ascii="Arial" w:hAnsi="Arial" w:cs="Arial"/>
        </w:rPr>
        <w:t xml:space="preserve">commodity </w:t>
      </w:r>
      <w:r w:rsidR="00380F96" w:rsidRPr="007615FA">
        <w:rPr>
          <w:rFonts w:ascii="Arial" w:hAnsi="Arial" w:cs="Arial"/>
        </w:rPr>
        <w:t>prices from the World Bank Pink Sheet</w:t>
      </w:r>
      <w:r w:rsidR="00380F96" w:rsidRPr="007615FA">
        <w:rPr>
          <w:rFonts w:ascii="Arial" w:hAnsi="Arial" w:cs="Arial"/>
          <w:b/>
          <w:bCs/>
        </w:rPr>
        <w:t xml:space="preserve">, weighted by each municipality's predetermined crop mix and cattle </w:t>
      </w:r>
      <w:r w:rsidR="00380F96" w:rsidRPr="007615FA">
        <w:rPr>
          <w:rFonts w:ascii="Arial" w:hAnsi="Arial" w:cs="Arial"/>
        </w:rPr>
        <w:t>exposure, with weights fixed at the start of the period. All time variation therefore comes from world prices, which no Amazon municipality can influence, filtered through a fixed local production profile. The indices enter regressions with a one-year lag, since deforestation recorded in year t responds to prices observed during the previous season's land-use decisions</w:t>
      </w:r>
      <w:r w:rsidR="00AF5A27" w:rsidRPr="007615FA">
        <w:rPr>
          <w:rStyle w:val="FootnoteReference"/>
          <w:rFonts w:ascii="Arial" w:hAnsi="Arial" w:cs="Arial"/>
        </w:rPr>
        <w:footnoteReference w:id="1"/>
      </w:r>
      <w:r w:rsidR="00424323" w:rsidRPr="007615FA">
        <w:rPr>
          <w:rFonts w:ascii="Arial" w:hAnsi="Arial" w:cs="Arial"/>
        </w:rPr>
        <w:t xml:space="preserve">. </w:t>
      </w:r>
      <w:r w:rsidR="00424323" w:rsidRPr="007615FA">
        <w:rPr>
          <w:rFonts w:ascii="Arial" w:hAnsi="Arial" w:cs="Arial"/>
          <w:b/>
          <w:bCs/>
          <w:i/>
          <w:iCs/>
        </w:rPr>
        <w:t>cattle_per_km2</w:t>
      </w:r>
      <w:r w:rsidR="00424323" w:rsidRPr="007615FA">
        <w:rPr>
          <w:rFonts w:ascii="Arial" w:hAnsi="Arial" w:cs="Arial"/>
        </w:rPr>
        <w:t xml:space="preserve"> </w:t>
      </w:r>
      <w:r w:rsidR="00AF5A27" w:rsidRPr="007615FA">
        <w:rPr>
          <w:rFonts w:ascii="Arial" w:hAnsi="Arial" w:cs="Arial"/>
        </w:rPr>
        <w:t xml:space="preserve"> </w:t>
      </w:r>
      <w:r w:rsidR="00424323" w:rsidRPr="007615FA">
        <w:rPr>
          <w:rFonts w:ascii="Arial" w:hAnsi="Arial" w:cs="Arial"/>
        </w:rPr>
        <w:t xml:space="preserve">is </w:t>
      </w:r>
      <w:r w:rsidR="00380F96" w:rsidRPr="007615FA">
        <w:rPr>
          <w:rFonts w:ascii="Arial" w:hAnsi="Arial" w:cs="Arial"/>
        </w:rPr>
        <w:t xml:space="preserve">herd density from the </w:t>
      </w:r>
      <w:r w:rsidR="00AF5A27" w:rsidRPr="007615FA">
        <w:rPr>
          <w:rFonts w:ascii="Arial" w:hAnsi="Arial" w:cs="Arial"/>
        </w:rPr>
        <w:t>IBGE’s Produção Pecuária Municipal (</w:t>
      </w:r>
      <w:r w:rsidR="00380F96" w:rsidRPr="007615FA">
        <w:rPr>
          <w:rFonts w:ascii="Arial" w:hAnsi="Arial" w:cs="Arial"/>
        </w:rPr>
        <w:t>PPM</w:t>
      </w:r>
      <w:r w:rsidR="00AF5A27" w:rsidRPr="007615FA">
        <w:rPr>
          <w:rFonts w:ascii="Arial" w:hAnsi="Arial" w:cs="Arial"/>
        </w:rPr>
        <w:t>)</w:t>
      </w:r>
      <w:r w:rsidR="00380F96" w:rsidRPr="007615FA">
        <w:rPr>
          <w:rFonts w:ascii="Arial" w:hAnsi="Arial" w:cs="Arial"/>
        </w:rPr>
        <w:t xml:space="preserve"> survey</w:t>
      </w:r>
      <w:r w:rsidR="00424323" w:rsidRPr="007615FA">
        <w:rPr>
          <w:rFonts w:ascii="Arial" w:hAnsi="Arial" w:cs="Arial"/>
        </w:rPr>
        <w:t xml:space="preserve">. </w:t>
      </w:r>
      <w:r w:rsidR="00424323" w:rsidRPr="007615FA">
        <w:rPr>
          <w:rFonts w:ascii="Arial" w:hAnsi="Arial" w:cs="Arial"/>
          <w:b/>
          <w:bCs/>
          <w:i/>
          <w:iCs/>
        </w:rPr>
        <w:t>elec_enc</w:t>
      </w:r>
      <w:r w:rsidR="00424323" w:rsidRPr="007615FA">
        <w:rPr>
          <w:rFonts w:ascii="Arial" w:hAnsi="Arial" w:cs="Arial"/>
        </w:rPr>
        <w:t xml:space="preserve"> </w:t>
      </w:r>
      <w:r w:rsidR="00424323" w:rsidRPr="007615FA">
        <w:rPr>
          <w:rFonts w:ascii="Arial" w:hAnsi="Arial" w:cs="Arial"/>
        </w:rPr>
        <w:t xml:space="preserve">is </w:t>
      </w:r>
      <w:r w:rsidR="00380F96" w:rsidRPr="007615FA">
        <w:rPr>
          <w:rFonts w:ascii="Arial" w:hAnsi="Arial" w:cs="Arial"/>
        </w:rPr>
        <w:t xml:space="preserve">the effective number of candidates in mayoral elections, a standard competitiveness measure from </w:t>
      </w:r>
      <w:r w:rsidR="00AF5A27" w:rsidRPr="007615FA">
        <w:rPr>
          <w:rFonts w:ascii="Arial" w:hAnsi="Arial" w:cs="Arial"/>
        </w:rPr>
        <w:t>Tribunal Superior Eleitoral (</w:t>
      </w:r>
      <w:r w:rsidR="00380F96" w:rsidRPr="007615FA">
        <w:rPr>
          <w:rFonts w:ascii="Arial" w:hAnsi="Arial" w:cs="Arial"/>
        </w:rPr>
        <w:t>TSE</w:t>
      </w:r>
      <w:r w:rsidR="00AF5A27" w:rsidRPr="007615FA">
        <w:rPr>
          <w:rFonts w:ascii="Arial" w:hAnsi="Arial" w:cs="Arial"/>
        </w:rPr>
        <w:t>)</w:t>
      </w:r>
      <w:r w:rsidR="00380F96" w:rsidRPr="007615FA">
        <w:rPr>
          <w:rFonts w:ascii="Arial" w:hAnsi="Arial" w:cs="Arial"/>
        </w:rPr>
        <w:t xml:space="preserve"> data, assigned to the years each elected government governs</w:t>
      </w:r>
      <w:r w:rsidR="00AF5A27" w:rsidRPr="007615FA">
        <w:rPr>
          <w:rStyle w:val="FootnoteReference"/>
          <w:rFonts w:ascii="Arial" w:hAnsi="Arial" w:cs="Arial"/>
        </w:rPr>
        <w:footnoteReference w:id="2"/>
      </w:r>
      <w:r w:rsidR="00380F96" w:rsidRPr="007615FA">
        <w:rPr>
          <w:rFonts w:ascii="Arial" w:hAnsi="Arial" w:cs="Arial"/>
        </w:rPr>
        <w:t>.</w:t>
      </w:r>
    </w:p>
    <w:p w14:paraId="26CEB170" w14:textId="77777777" w:rsidR="009B6DE4" w:rsidRPr="007615FA" w:rsidRDefault="009B6DE4" w:rsidP="007615FA">
      <w:pPr>
        <w:tabs>
          <w:tab w:val="left" w:pos="709"/>
        </w:tabs>
        <w:jc w:val="both"/>
        <w:rPr>
          <w:rFonts w:ascii="Arial" w:hAnsi="Arial" w:cs="Arial"/>
        </w:rPr>
      </w:pPr>
    </w:p>
    <w:p w14:paraId="44A8BBE4" w14:textId="7CEFCE35" w:rsidR="00380F96" w:rsidRPr="007615FA" w:rsidRDefault="00380F96" w:rsidP="007615FA">
      <w:pPr>
        <w:pStyle w:val="ListParagraph"/>
        <w:numPr>
          <w:ilvl w:val="1"/>
          <w:numId w:val="6"/>
        </w:numPr>
        <w:tabs>
          <w:tab w:val="left" w:pos="709"/>
        </w:tabs>
        <w:jc w:val="both"/>
        <w:rPr>
          <w:rFonts w:ascii="Arial" w:hAnsi="Arial" w:cs="Arial"/>
          <w:b/>
          <w:bCs/>
        </w:rPr>
      </w:pPr>
      <w:r w:rsidRPr="007615FA">
        <w:rPr>
          <w:rFonts w:ascii="Arial" w:hAnsi="Arial" w:cs="Arial"/>
          <w:b/>
          <w:bCs/>
        </w:rPr>
        <w:t>The analytic period</w:t>
      </w:r>
    </w:p>
    <w:p w14:paraId="44B4E61C" w14:textId="079C5985" w:rsidR="00277886" w:rsidRDefault="00AF5A27" w:rsidP="007615FA">
      <w:pPr>
        <w:tabs>
          <w:tab w:val="left" w:pos="709"/>
        </w:tabs>
        <w:jc w:val="both"/>
        <w:rPr>
          <w:rFonts w:ascii="Arial" w:hAnsi="Arial" w:cs="Arial"/>
        </w:rPr>
      </w:pPr>
      <w:r w:rsidRPr="007615FA">
        <w:rPr>
          <w:rFonts w:ascii="Arial" w:hAnsi="Arial" w:cs="Arial"/>
        </w:rPr>
        <w:tab/>
      </w:r>
      <w:r w:rsidR="00380F96" w:rsidRPr="007615FA">
        <w:rPr>
          <w:rFonts w:ascii="Arial" w:hAnsi="Arial" w:cs="Arial"/>
        </w:rPr>
        <w:t>The panel covers 2000 to 2020, but not every variable spans the full window. Figure 2 shows the availability of the main variables by year.</w:t>
      </w:r>
    </w:p>
    <w:p w14:paraId="1CBBB769" w14:textId="77777777" w:rsidR="00277886" w:rsidRDefault="00277886" w:rsidP="007615FA">
      <w:pPr>
        <w:tabs>
          <w:tab w:val="left" w:pos="709"/>
        </w:tabs>
        <w:jc w:val="both"/>
        <w:rPr>
          <w:rFonts w:ascii="Arial" w:hAnsi="Arial" w:cs="Arial"/>
        </w:rPr>
      </w:pPr>
    </w:p>
    <w:p w14:paraId="5F395BD9" w14:textId="77777777" w:rsidR="00277886" w:rsidRDefault="00277886" w:rsidP="007615FA">
      <w:pPr>
        <w:tabs>
          <w:tab w:val="left" w:pos="709"/>
        </w:tabs>
        <w:jc w:val="both"/>
        <w:rPr>
          <w:rFonts w:ascii="Arial" w:hAnsi="Arial" w:cs="Arial"/>
        </w:rPr>
      </w:pPr>
    </w:p>
    <w:p w14:paraId="3C539D0A" w14:textId="77777777" w:rsidR="00277886" w:rsidRDefault="00277886" w:rsidP="007615FA">
      <w:pPr>
        <w:tabs>
          <w:tab w:val="left" w:pos="709"/>
        </w:tabs>
        <w:jc w:val="both"/>
        <w:rPr>
          <w:rFonts w:ascii="Arial" w:hAnsi="Arial" w:cs="Arial"/>
        </w:rPr>
      </w:pPr>
    </w:p>
    <w:p w14:paraId="4A5D01AD" w14:textId="77777777" w:rsidR="00277886" w:rsidRPr="007615FA" w:rsidRDefault="00277886" w:rsidP="007615FA">
      <w:pPr>
        <w:tabs>
          <w:tab w:val="left" w:pos="709"/>
        </w:tabs>
        <w:jc w:val="both"/>
        <w:rPr>
          <w:rFonts w:ascii="Arial" w:hAnsi="Arial" w:cs="Arial"/>
        </w:rPr>
      </w:pPr>
    </w:p>
    <w:p w14:paraId="13274A8B" w14:textId="00803988" w:rsidR="00424323" w:rsidRPr="007615FA" w:rsidRDefault="00424323" w:rsidP="00277886">
      <w:pPr>
        <w:tabs>
          <w:tab w:val="left" w:pos="709"/>
        </w:tabs>
        <w:jc w:val="center"/>
        <w:rPr>
          <w:rFonts w:ascii="Arial" w:hAnsi="Arial" w:cs="Arial"/>
          <w:b/>
          <w:bCs/>
        </w:rPr>
      </w:pPr>
      <w:r w:rsidRPr="007615FA">
        <w:rPr>
          <w:rFonts w:ascii="Arial" w:hAnsi="Arial" w:cs="Arial"/>
          <w:b/>
          <w:bCs/>
        </w:rPr>
        <w:lastRenderedPageBreak/>
        <w:t>Figure 2</w:t>
      </w:r>
    </w:p>
    <w:p w14:paraId="48ED05D5" w14:textId="779CA59B" w:rsidR="00380F96" w:rsidRPr="007615FA" w:rsidRDefault="00AF5A27" w:rsidP="007615FA">
      <w:pPr>
        <w:tabs>
          <w:tab w:val="left" w:pos="709"/>
        </w:tabs>
        <w:jc w:val="both"/>
        <w:rPr>
          <w:rFonts w:ascii="Arial" w:hAnsi="Arial" w:cs="Arial"/>
        </w:rPr>
      </w:pPr>
      <w:r w:rsidRPr="007615FA">
        <w:rPr>
          <w:rFonts w:ascii="Arial" w:hAnsi="Arial" w:cs="Arial"/>
          <w:noProof/>
        </w:rPr>
        <w:drawing>
          <wp:inline distT="0" distB="0" distL="0" distR="0" wp14:anchorId="4820D2E4" wp14:editId="4DC978DE">
            <wp:extent cx="5943600" cy="2971800"/>
            <wp:effectExtent l="0" t="0" r="0" b="0"/>
            <wp:docPr id="722345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45384"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EDA1951" w14:textId="77777777" w:rsidR="009B6DE4" w:rsidRPr="007615FA" w:rsidRDefault="00424323" w:rsidP="007615FA">
      <w:pPr>
        <w:tabs>
          <w:tab w:val="left" w:pos="709"/>
        </w:tabs>
        <w:jc w:val="both"/>
        <w:rPr>
          <w:rFonts w:ascii="Arial" w:hAnsi="Arial" w:cs="Arial"/>
        </w:rPr>
      </w:pPr>
      <w:r w:rsidRPr="007615FA">
        <w:rPr>
          <w:rFonts w:ascii="Arial" w:hAnsi="Arial" w:cs="Arial"/>
        </w:rPr>
        <w:tab/>
      </w:r>
    </w:p>
    <w:p w14:paraId="6F37A031" w14:textId="7CFC1C64" w:rsidR="00380F96" w:rsidRPr="007615FA" w:rsidRDefault="00380F96" w:rsidP="007615FA">
      <w:pPr>
        <w:tabs>
          <w:tab w:val="left" w:pos="709"/>
        </w:tabs>
        <w:jc w:val="both"/>
        <w:rPr>
          <w:rFonts w:ascii="Arial" w:hAnsi="Arial" w:cs="Arial"/>
        </w:rPr>
      </w:pPr>
      <w:r w:rsidRPr="007615FA">
        <w:rPr>
          <w:rFonts w:ascii="Arial" w:hAnsi="Arial" w:cs="Arial"/>
        </w:rPr>
        <w:t xml:space="preserve">Two gaps define the analytic period. GDP per capita begins in 2002, so analyses using it start there. The Bolsa Família variables begin in 2004, when the program consolidated the prior transfer programs, and they are entirely missing in 2020. </w:t>
      </w:r>
      <w:r w:rsidR="00424323" w:rsidRPr="007615FA">
        <w:rPr>
          <w:rFonts w:ascii="Arial" w:hAnsi="Arial" w:cs="Arial"/>
        </w:rPr>
        <w:t xml:space="preserve">That is because 2020 Bolsa Família data is problematic due to the change of benefits to the Auxílio Emergencial program. </w:t>
      </w:r>
      <w:r w:rsidRPr="007615FA">
        <w:rPr>
          <w:rFonts w:ascii="Arial" w:hAnsi="Arial" w:cs="Arial"/>
        </w:rPr>
        <w:t>The panel keeps the years 2000 and 2001 even though several variables start later, because the normalized outcome needs the full 2000 to 2007 baseline to be computed.</w:t>
      </w:r>
    </w:p>
    <w:p w14:paraId="62ACCFEC" w14:textId="77777777" w:rsidR="009B6DE4" w:rsidRPr="007615FA" w:rsidRDefault="009B6DE4" w:rsidP="007615FA">
      <w:pPr>
        <w:tabs>
          <w:tab w:val="left" w:pos="709"/>
        </w:tabs>
        <w:jc w:val="both"/>
        <w:rPr>
          <w:rFonts w:ascii="Arial" w:hAnsi="Arial" w:cs="Arial"/>
        </w:rPr>
      </w:pPr>
    </w:p>
    <w:p w14:paraId="2879BFB7" w14:textId="5C233E0D" w:rsidR="009B6DE4" w:rsidRPr="007615FA" w:rsidRDefault="00380F96" w:rsidP="007615FA">
      <w:pPr>
        <w:pStyle w:val="ListParagraph"/>
        <w:numPr>
          <w:ilvl w:val="1"/>
          <w:numId w:val="6"/>
        </w:numPr>
        <w:tabs>
          <w:tab w:val="left" w:pos="709"/>
        </w:tabs>
        <w:jc w:val="both"/>
        <w:rPr>
          <w:rFonts w:ascii="Arial" w:hAnsi="Arial" w:cs="Arial"/>
          <w:b/>
          <w:bCs/>
        </w:rPr>
      </w:pPr>
      <w:r w:rsidRPr="007615FA">
        <w:rPr>
          <w:rFonts w:ascii="Arial" w:hAnsi="Arial" w:cs="Arial"/>
          <w:b/>
          <w:bCs/>
        </w:rPr>
        <w:t>Samples</w:t>
      </w:r>
    </w:p>
    <w:p w14:paraId="2D3688D1" w14:textId="4F8A16E8" w:rsidR="00380F96" w:rsidRPr="007615FA" w:rsidRDefault="00424323" w:rsidP="007615FA">
      <w:pPr>
        <w:tabs>
          <w:tab w:val="left" w:pos="709"/>
        </w:tabs>
        <w:jc w:val="both"/>
        <w:rPr>
          <w:rFonts w:ascii="Arial" w:hAnsi="Arial" w:cs="Arial"/>
        </w:rPr>
      </w:pPr>
      <w:r w:rsidRPr="007615FA">
        <w:rPr>
          <w:rFonts w:ascii="Arial" w:hAnsi="Arial" w:cs="Arial"/>
        </w:rPr>
        <w:tab/>
      </w:r>
      <w:r w:rsidR="00380F96" w:rsidRPr="007615FA">
        <w:rPr>
          <w:rFonts w:ascii="Arial" w:hAnsi="Arial" w:cs="Arial"/>
        </w:rPr>
        <w:t>Not every municipality can inform the causal question. The normalized outcome divides by each municipality's own baseline standard deviation, so municipalities that barely deforested in 2000 to 2007 produce explosive z-scores</w:t>
      </w:r>
      <w:r w:rsidRPr="007615FA">
        <w:rPr>
          <w:rFonts w:ascii="Arial" w:hAnsi="Arial" w:cs="Arial"/>
        </w:rPr>
        <w:t>, which lead to the situation in which</w:t>
      </w:r>
      <w:r w:rsidR="00380F96" w:rsidRPr="007615FA">
        <w:rPr>
          <w:rFonts w:ascii="Arial" w:hAnsi="Arial" w:cs="Arial"/>
        </w:rPr>
        <w:t xml:space="preserve"> </w:t>
      </w:r>
      <w:r w:rsidRPr="007615FA">
        <w:rPr>
          <w:rFonts w:ascii="Arial" w:hAnsi="Arial" w:cs="Arial"/>
        </w:rPr>
        <w:t>a</w:t>
      </w:r>
      <w:r w:rsidR="00380F96" w:rsidRPr="007615FA">
        <w:rPr>
          <w:rFonts w:ascii="Arial" w:hAnsi="Arial" w:cs="Arial"/>
        </w:rPr>
        <w:t xml:space="preserve"> trivial clearing episode becomes a huge standardized value. The analysis therefore uses an </w:t>
      </w:r>
      <w:r w:rsidR="00380F96" w:rsidRPr="007615FA">
        <w:rPr>
          <w:rFonts w:ascii="Arial" w:hAnsi="Arial" w:cs="Arial"/>
          <w:b/>
          <w:bCs/>
          <w:i/>
          <w:iCs/>
        </w:rPr>
        <w:t>at-risk sample</w:t>
      </w:r>
      <w:r w:rsidR="00380F96" w:rsidRPr="007615FA">
        <w:rPr>
          <w:rFonts w:ascii="Arial" w:hAnsi="Arial" w:cs="Arial"/>
        </w:rPr>
        <w:t xml:space="preserve">, municipalities that pass a forest-availability floor and a baseline-deforestation threshold. The narrow version, </w:t>
      </w:r>
      <w:r w:rsidRPr="007615FA">
        <w:rPr>
          <w:rFonts w:ascii="Arial" w:hAnsi="Arial" w:cs="Arial"/>
        </w:rPr>
        <w:t xml:space="preserve">with </w:t>
      </w:r>
      <w:r w:rsidR="00380F96" w:rsidRPr="007615FA">
        <w:rPr>
          <w:rFonts w:ascii="Arial" w:hAnsi="Arial" w:cs="Arial"/>
        </w:rPr>
        <w:t xml:space="preserve">408 municipalities, is the primary sample for anything using </w:t>
      </w:r>
      <w:r w:rsidR="00380F96" w:rsidRPr="007615FA">
        <w:rPr>
          <w:rFonts w:ascii="Arial" w:hAnsi="Arial" w:cs="Arial"/>
          <w:b/>
          <w:bCs/>
          <w:i/>
          <w:iCs/>
        </w:rPr>
        <w:t>defor_norm_ref0007</w:t>
      </w:r>
      <w:r w:rsidR="00380F96" w:rsidRPr="007615FA">
        <w:rPr>
          <w:rFonts w:ascii="Arial" w:hAnsi="Arial" w:cs="Arial"/>
        </w:rPr>
        <w:t>. This is a functional-form necessity, not selection on the outcome</w:t>
      </w:r>
      <w:r w:rsidRPr="007615FA">
        <w:rPr>
          <w:rFonts w:ascii="Arial" w:hAnsi="Arial" w:cs="Arial"/>
        </w:rPr>
        <w:t>, because</w:t>
      </w:r>
      <w:r w:rsidR="00380F96" w:rsidRPr="007615FA">
        <w:rPr>
          <w:rFonts w:ascii="Arial" w:hAnsi="Arial" w:cs="Arial"/>
        </w:rPr>
        <w:t xml:space="preserve"> the restriction is defined on the 2000 to 2007 baseline, before the treatment begins. All 61 municipalities that ever entered the priority list pass it, so no treated unit is lost. A broader forest-floor sample (499 </w:t>
      </w:r>
      <w:r w:rsidR="00380F96" w:rsidRPr="007615FA">
        <w:rPr>
          <w:rFonts w:ascii="Arial" w:hAnsi="Arial" w:cs="Arial"/>
        </w:rPr>
        <w:lastRenderedPageBreak/>
        <w:t>municipalities) is retained for descriptive analyses that use the rate outcome, where the z-score problem does not arise.</w:t>
      </w:r>
    </w:p>
    <w:p w14:paraId="4189A0FC" w14:textId="77777777" w:rsidR="009B6DE4" w:rsidRPr="007615FA" w:rsidRDefault="009B6DE4" w:rsidP="007615FA">
      <w:pPr>
        <w:tabs>
          <w:tab w:val="left" w:pos="709"/>
        </w:tabs>
        <w:jc w:val="both"/>
        <w:rPr>
          <w:rFonts w:ascii="Arial" w:hAnsi="Arial" w:cs="Arial"/>
        </w:rPr>
      </w:pPr>
    </w:p>
    <w:p w14:paraId="3DDFD0C7" w14:textId="3FDC1CBD" w:rsidR="00380F96" w:rsidRPr="007615FA" w:rsidRDefault="00380F96" w:rsidP="007615FA">
      <w:pPr>
        <w:pStyle w:val="ListParagraph"/>
        <w:numPr>
          <w:ilvl w:val="1"/>
          <w:numId w:val="6"/>
        </w:numPr>
        <w:tabs>
          <w:tab w:val="left" w:pos="709"/>
        </w:tabs>
        <w:jc w:val="both"/>
        <w:rPr>
          <w:rFonts w:ascii="Arial" w:hAnsi="Arial" w:cs="Arial"/>
          <w:b/>
          <w:bCs/>
        </w:rPr>
      </w:pPr>
      <w:r w:rsidRPr="007615FA">
        <w:rPr>
          <w:rFonts w:ascii="Arial" w:hAnsi="Arial" w:cs="Arial"/>
          <w:b/>
          <w:bCs/>
        </w:rPr>
        <w:t>Methodological overview</w:t>
      </w:r>
    </w:p>
    <w:p w14:paraId="6693B34E" w14:textId="12D24589" w:rsidR="00AE4ACA" w:rsidRPr="007615FA" w:rsidRDefault="00AE4ACA" w:rsidP="007615FA">
      <w:pPr>
        <w:tabs>
          <w:tab w:val="left" w:pos="709"/>
        </w:tabs>
        <w:jc w:val="both"/>
        <w:rPr>
          <w:rFonts w:ascii="Arial" w:hAnsi="Arial" w:cs="Arial"/>
        </w:rPr>
      </w:pPr>
      <w:r w:rsidRPr="007615FA">
        <w:rPr>
          <w:rFonts w:ascii="Arial" w:hAnsi="Arial" w:cs="Arial"/>
        </w:rPr>
        <w:tab/>
      </w:r>
      <w:r w:rsidR="00380F96" w:rsidRPr="007615FA">
        <w:rPr>
          <w:rFonts w:ascii="Arial" w:hAnsi="Arial" w:cs="Arial"/>
        </w:rPr>
        <w:t>The treatment of the causal design is entry to the Priority Municipalities List. Municipalities entered in waves: 36 in 2008, 7 in 2009, 6 in 2011, 2 in 2012, and a later re-listing round in 2017 and 2018. Treatment timing varies across municipalities, which rules out the simplest designs. A single before-and-after comparison has no untreated benchmark. A two-way fixed effects regression with one treatment dummy seems natural, but with staggered timing and effects that change over time it does something subtle and wrong: it uses already-listed municipalities as controls for later entrants. If the effect of listing grows or fades with time since entry, these comparisons contaminate the estimate. This problem is now well documented in the difference-in-differences literature</w:t>
      </w:r>
      <w:r w:rsidR="00E966D1" w:rsidRPr="007615FA">
        <w:rPr>
          <w:rFonts w:ascii="Arial" w:hAnsi="Arial" w:cs="Arial"/>
        </w:rPr>
        <w:t xml:space="preserve"> </w:t>
      </w:r>
      <w:r w:rsidR="00E966D1" w:rsidRPr="007615FA">
        <w:rPr>
          <w:rFonts w:ascii="Arial" w:hAnsi="Arial" w:cs="Arial"/>
        </w:rPr>
        <w:fldChar w:fldCharType="begin"/>
      </w:r>
      <w:r w:rsidR="00E966D1" w:rsidRPr="007615FA">
        <w:rPr>
          <w:rFonts w:ascii="Arial" w:hAnsi="Arial" w:cs="Arial"/>
        </w:rPr>
        <w:instrText xml:space="preserve"> ADDIN ZOTERO_ITEM CSL_CITATION {"citationID":"aLoFmRt8","properties":{"formattedCitation":"(Callaway and Sant\\uc0\\u8217{}Anna 2021; Cunningham 2021)","plainCitation":"(Callaway and Sant’Anna 2021; Cunningham 2021)","noteIndex":0},"citationItems":[{"id":6129,"uris":["http://zotero.org/users/6338991/items/LKB7TPX9"],"itemData":{"id":6129,"type":"article-journal","citation-key":"callawayDifferenceinDifferencesMultipleTime2021a","container-title":"Journal of Econometrics","DOI":"10.1016/j.jeconom.2020.12.001","ISSN":"03044076","issue":"2","journalAbbreviation":"Journal of Econometrics","language":"en","page":"200-230","source":"DOI.org (Crossref)","title":"Difference-in-Differences with multiple time periods","volume":"225","author":[{"family":"Callaway","given":"Brantly"},{"family":"Sant’Anna","given":"Pedro H.C."}],"issued":{"date-parts":[["2021",12]]}}},{"id":6131,"uris":["http://zotero.org/users/6338991/items/B7GIAJ6A"],"itemData":{"id":6131,"type":"book","citation-key":"cunninghamCausalInferenceMixtape18xx","DOI":"10.12987/9780300255881","ISBN":"978-0-300-25168-5","language":"eng","number-of-pages":"1","publisher":"Yale University Press","publisher-place":"New Haven London","source":"K10plus ISBN","title":"Causal inference: the mixtape","title-short":"Causal inference","author":[{"family":"Cunningham","given":"Scott"}],"issued":{"date-parts":[["2021"]]}}}],"schema":"https://github.com/citation-style-language/schema/raw/master/csl-citation.json"} </w:instrText>
      </w:r>
      <w:r w:rsidR="00E966D1" w:rsidRPr="007615FA">
        <w:rPr>
          <w:rFonts w:ascii="Arial" w:hAnsi="Arial" w:cs="Arial"/>
        </w:rPr>
        <w:fldChar w:fldCharType="separate"/>
      </w:r>
      <w:r w:rsidR="00E966D1" w:rsidRPr="007615FA">
        <w:rPr>
          <w:rFonts w:ascii="Arial" w:hAnsi="Arial" w:cs="Arial"/>
          <w:kern w:val="0"/>
          <w:lang w:val="en-US"/>
        </w:rPr>
        <w:t>(Callaway and Sant’Anna 2021; Cunningham 2021)</w:t>
      </w:r>
      <w:r w:rsidR="00E966D1" w:rsidRPr="007615FA">
        <w:rPr>
          <w:rFonts w:ascii="Arial" w:hAnsi="Arial" w:cs="Arial"/>
        </w:rPr>
        <w:fldChar w:fldCharType="end"/>
      </w:r>
      <w:r w:rsidR="00380F96" w:rsidRPr="007615FA">
        <w:rPr>
          <w:rFonts w:ascii="Arial" w:hAnsi="Arial" w:cs="Arial"/>
        </w:rPr>
        <w:t>.</w:t>
      </w:r>
    </w:p>
    <w:p w14:paraId="20907ECE" w14:textId="77777777" w:rsidR="009A1B89" w:rsidRPr="007615FA" w:rsidRDefault="00AE4ACA" w:rsidP="007615FA">
      <w:pPr>
        <w:tabs>
          <w:tab w:val="left" w:pos="709"/>
        </w:tabs>
        <w:jc w:val="both"/>
        <w:rPr>
          <w:rFonts w:ascii="Arial" w:hAnsi="Arial" w:cs="Arial"/>
        </w:rPr>
      </w:pPr>
      <w:r w:rsidRPr="007615FA">
        <w:rPr>
          <w:rFonts w:ascii="Arial" w:hAnsi="Arial" w:cs="Arial"/>
        </w:rPr>
        <w:tab/>
      </w:r>
      <w:r w:rsidR="00380F96" w:rsidRPr="007615FA">
        <w:rPr>
          <w:rFonts w:ascii="Arial" w:hAnsi="Arial" w:cs="Arial"/>
        </w:rPr>
        <w:t>The estimator of Callaway and Sant'Anna (2021) is built for exactly this structure. It estimates a separate treatment effect for each entry cohort in each year, comparing each cohort only to municipalities not yet listed or never listed. These clean group-time effects are then aggregated into one average treatment effect on the treated</w:t>
      </w:r>
      <w:r w:rsidR="009A1B89" w:rsidRPr="007615FA">
        <w:rPr>
          <w:rFonts w:ascii="Arial" w:hAnsi="Arial" w:cs="Arial"/>
        </w:rPr>
        <w:t xml:space="preserve"> (ATT)</w:t>
      </w:r>
      <w:r w:rsidR="00380F96" w:rsidRPr="007615FA">
        <w:rPr>
          <w:rFonts w:ascii="Arial" w:hAnsi="Arial" w:cs="Arial"/>
        </w:rPr>
        <w:t>. Nothing already treated ever enters the comparison group.</w:t>
      </w:r>
    </w:p>
    <w:p w14:paraId="6BD626D2" w14:textId="7BB24985" w:rsidR="003F3E9D" w:rsidRPr="007615FA" w:rsidRDefault="009A1B89" w:rsidP="007615FA">
      <w:pPr>
        <w:tabs>
          <w:tab w:val="left" w:pos="709"/>
        </w:tabs>
        <w:jc w:val="both"/>
        <w:rPr>
          <w:rFonts w:ascii="Arial" w:hAnsi="Arial" w:cs="Arial"/>
        </w:rPr>
      </w:pPr>
      <w:r w:rsidRPr="007615FA">
        <w:rPr>
          <w:rFonts w:ascii="Arial" w:hAnsi="Arial" w:cs="Arial"/>
        </w:rPr>
        <w:tab/>
      </w:r>
      <w:r w:rsidR="00380F96" w:rsidRPr="007615FA">
        <w:rPr>
          <w:rFonts w:ascii="Arial" w:hAnsi="Arial" w:cs="Arial"/>
        </w:rPr>
        <w:t>The identification strategy for the eco-social question rests on the quota ratio</w:t>
      </w:r>
      <w:r w:rsidRPr="007615FA">
        <w:rPr>
          <w:rFonts w:ascii="Arial" w:hAnsi="Arial" w:cs="Arial"/>
        </w:rPr>
        <w:t xml:space="preserve"> of Bolsa Família</w:t>
      </w:r>
      <w:r w:rsidR="00380F96" w:rsidRPr="007615FA">
        <w:rPr>
          <w:rFonts w:ascii="Arial" w:hAnsi="Arial" w:cs="Arial"/>
        </w:rPr>
        <w:t>. The design asks whether the effect of listing differs between municipalities that entered the enforcement period with high Bolsa Família coverage and municipalities that entered with low coverage. This requires the moderator to be a stable municipal characteristic measured before treatment, not a variable that moves with the treatment itself. Section 5 develops the identification argument in full</w:t>
      </w:r>
      <w:r w:rsidRPr="007615FA">
        <w:rPr>
          <w:rFonts w:ascii="Arial" w:hAnsi="Arial" w:cs="Arial"/>
        </w:rPr>
        <w:t>.</w:t>
      </w:r>
    </w:p>
    <w:p w14:paraId="504AEFD3" w14:textId="675E250F" w:rsidR="003F3E9D" w:rsidRPr="007615FA" w:rsidRDefault="003F3E9D" w:rsidP="007615FA">
      <w:pPr>
        <w:tabs>
          <w:tab w:val="left" w:pos="709"/>
        </w:tabs>
        <w:jc w:val="both"/>
        <w:rPr>
          <w:rFonts w:ascii="Arial" w:hAnsi="Arial" w:cs="Arial"/>
        </w:rPr>
      </w:pPr>
      <w:r w:rsidRPr="007615FA">
        <w:rPr>
          <w:rFonts w:ascii="Arial" w:hAnsi="Arial" w:cs="Arial"/>
        </w:rPr>
        <w:t xml:space="preserve"> </w:t>
      </w:r>
    </w:p>
    <w:p w14:paraId="52413E10" w14:textId="4DAE3143" w:rsidR="003F3E9D" w:rsidRPr="007615FA" w:rsidRDefault="003F3E9D" w:rsidP="007615FA">
      <w:pPr>
        <w:pStyle w:val="ListParagraph"/>
        <w:numPr>
          <w:ilvl w:val="0"/>
          <w:numId w:val="6"/>
        </w:numPr>
        <w:tabs>
          <w:tab w:val="left" w:pos="709"/>
        </w:tabs>
        <w:jc w:val="both"/>
        <w:rPr>
          <w:rFonts w:ascii="Arial" w:hAnsi="Arial" w:cs="Arial"/>
          <w:b/>
          <w:bCs/>
        </w:rPr>
      </w:pPr>
      <w:r w:rsidRPr="007615FA">
        <w:rPr>
          <w:rFonts w:ascii="Arial" w:hAnsi="Arial" w:cs="Arial"/>
          <w:b/>
          <w:bCs/>
        </w:rPr>
        <w:t>Exploratory Data Analysis</w:t>
      </w:r>
    </w:p>
    <w:p w14:paraId="2BF6D53D" w14:textId="77777777" w:rsidR="003F3E9D" w:rsidRPr="007615FA" w:rsidRDefault="003F3E9D" w:rsidP="007615FA">
      <w:pPr>
        <w:tabs>
          <w:tab w:val="left" w:pos="709"/>
        </w:tabs>
        <w:jc w:val="both"/>
        <w:rPr>
          <w:rFonts w:ascii="Arial" w:hAnsi="Arial" w:cs="Arial"/>
        </w:rPr>
      </w:pPr>
    </w:p>
    <w:p w14:paraId="0B486649" w14:textId="77777777" w:rsidR="00E14551" w:rsidRPr="007615FA" w:rsidRDefault="003F3E9D" w:rsidP="007615FA">
      <w:pPr>
        <w:tabs>
          <w:tab w:val="left" w:pos="709"/>
        </w:tabs>
        <w:jc w:val="both"/>
        <w:rPr>
          <w:rFonts w:ascii="Arial" w:hAnsi="Arial" w:cs="Arial"/>
        </w:rPr>
      </w:pPr>
      <w:r w:rsidRPr="007615FA">
        <w:rPr>
          <w:rFonts w:ascii="Arial" w:hAnsi="Arial" w:cs="Arial"/>
        </w:rPr>
        <w:tab/>
      </w:r>
      <w:r w:rsidRPr="007615FA">
        <w:rPr>
          <w:rFonts w:ascii="Arial" w:hAnsi="Arial" w:cs="Arial"/>
        </w:rPr>
        <w:t xml:space="preserve">The exploratory analysis starts from the problem </w:t>
      </w:r>
      <w:r w:rsidRPr="007615FA">
        <w:rPr>
          <w:rFonts w:ascii="Arial" w:hAnsi="Arial" w:cs="Arial"/>
          <w:b/>
          <w:bCs/>
        </w:rPr>
        <w:t>Figure 1</w:t>
      </w:r>
      <w:r w:rsidRPr="007615FA">
        <w:rPr>
          <w:rFonts w:ascii="Arial" w:hAnsi="Arial" w:cs="Arial"/>
        </w:rPr>
        <w:t xml:space="preserve"> announced</w:t>
      </w:r>
      <w:r w:rsidRPr="007615FA">
        <w:rPr>
          <w:rFonts w:ascii="Arial" w:hAnsi="Arial" w:cs="Arial"/>
        </w:rPr>
        <w:t>,</w:t>
      </w:r>
      <w:r w:rsidRPr="007615FA">
        <w:rPr>
          <w:rFonts w:ascii="Arial" w:hAnsi="Arial" w:cs="Arial"/>
        </w:rPr>
        <w:t xml:space="preserve"> the deforestation decline sits in the most crowded policy window of the period. This subsection shows the crowding in the data itself, then turns to the social-policy trajectory that motivates the chapter.</w:t>
      </w:r>
      <w:r w:rsidR="00E14551" w:rsidRPr="007615FA">
        <w:rPr>
          <w:rFonts w:ascii="Arial" w:hAnsi="Arial" w:cs="Arial"/>
        </w:rPr>
        <w:t xml:space="preserve"> </w:t>
      </w:r>
    </w:p>
    <w:p w14:paraId="670FBA09" w14:textId="4DD28BD3" w:rsidR="003F3E9D" w:rsidRPr="007615FA" w:rsidRDefault="00E14551" w:rsidP="007615FA">
      <w:pPr>
        <w:tabs>
          <w:tab w:val="left" w:pos="709"/>
        </w:tabs>
        <w:jc w:val="both"/>
        <w:rPr>
          <w:rFonts w:ascii="Arial" w:hAnsi="Arial" w:cs="Arial"/>
        </w:rPr>
      </w:pPr>
      <w:r w:rsidRPr="007615FA">
        <w:rPr>
          <w:rFonts w:ascii="Arial" w:hAnsi="Arial" w:cs="Arial"/>
        </w:rPr>
        <w:tab/>
      </w:r>
      <w:r w:rsidR="003F3E9D" w:rsidRPr="007615FA">
        <w:rPr>
          <w:rFonts w:ascii="Arial" w:hAnsi="Arial" w:cs="Arial"/>
          <w:b/>
          <w:bCs/>
        </w:rPr>
        <w:t>Figure 3</w:t>
      </w:r>
      <w:r w:rsidR="003F3E9D" w:rsidRPr="007615FA">
        <w:rPr>
          <w:rFonts w:ascii="Arial" w:hAnsi="Arial" w:cs="Arial"/>
        </w:rPr>
        <w:t xml:space="preserve"> presents the main series in natural units, as small multiples. Aggregate deforestation across the 502 municipalities peaks near 33,000 km² in 2003 and 2004, falls by roughly two thirds to about 11,000 km² by 2010, stays there through 2012, and </w:t>
      </w:r>
      <w:r w:rsidR="003F3E9D" w:rsidRPr="007615FA">
        <w:rPr>
          <w:rFonts w:ascii="Arial" w:hAnsi="Arial" w:cs="Arial"/>
        </w:rPr>
        <w:lastRenderedPageBreak/>
        <w:t xml:space="preserve">partially rebounds afterward. The other panels show what happened around it. Bolsa Família coverage jumps from about a third of the municipal quota in 2004 to above full coverage by 2006 and stays near 1.1 for the rest of the period. Formal employment rises steadily from 5 percent of the working-age population to about 13 percent by 2014. Both price indices climb during the </w:t>
      </w:r>
      <w:r w:rsidRPr="007615FA">
        <w:rPr>
          <w:rFonts w:ascii="Arial" w:hAnsi="Arial" w:cs="Arial"/>
        </w:rPr>
        <w:t xml:space="preserve">deforestation </w:t>
      </w:r>
      <w:r w:rsidR="003F3E9D" w:rsidRPr="007615FA">
        <w:rPr>
          <w:rFonts w:ascii="Arial" w:hAnsi="Arial" w:cs="Arial"/>
        </w:rPr>
        <w:t xml:space="preserve">decline, the crop index sharply from 2007. </w:t>
      </w:r>
    </w:p>
    <w:p w14:paraId="0850758B" w14:textId="77777777" w:rsidR="009B6DE4" w:rsidRPr="007615FA" w:rsidRDefault="009B6DE4" w:rsidP="007615FA">
      <w:pPr>
        <w:tabs>
          <w:tab w:val="left" w:pos="709"/>
        </w:tabs>
        <w:jc w:val="both"/>
        <w:rPr>
          <w:rFonts w:ascii="Arial" w:hAnsi="Arial" w:cs="Arial"/>
        </w:rPr>
      </w:pPr>
    </w:p>
    <w:p w14:paraId="6160D9C9" w14:textId="3962B8E7" w:rsidR="003F3E9D" w:rsidRPr="007615FA" w:rsidRDefault="00E14551" w:rsidP="00277886">
      <w:pPr>
        <w:tabs>
          <w:tab w:val="left" w:pos="709"/>
        </w:tabs>
        <w:jc w:val="center"/>
        <w:rPr>
          <w:rFonts w:ascii="Arial" w:hAnsi="Arial" w:cs="Arial"/>
          <w:b/>
          <w:bCs/>
        </w:rPr>
      </w:pPr>
      <w:r w:rsidRPr="007615FA">
        <w:rPr>
          <w:rFonts w:ascii="Arial" w:hAnsi="Arial" w:cs="Arial"/>
          <w:b/>
          <w:bCs/>
        </w:rPr>
        <w:t>Figure 3</w:t>
      </w:r>
    </w:p>
    <w:p w14:paraId="3C2325AF" w14:textId="7553F229" w:rsidR="003F3E9D" w:rsidRPr="007615FA" w:rsidRDefault="00E14551" w:rsidP="007615FA">
      <w:pPr>
        <w:tabs>
          <w:tab w:val="left" w:pos="709"/>
        </w:tabs>
        <w:jc w:val="both"/>
        <w:rPr>
          <w:rFonts w:ascii="Arial" w:hAnsi="Arial" w:cs="Arial"/>
        </w:rPr>
      </w:pPr>
      <w:r w:rsidRPr="007615FA">
        <w:rPr>
          <w:rFonts w:ascii="Arial" w:hAnsi="Arial" w:cs="Arial"/>
          <w:noProof/>
        </w:rPr>
        <w:drawing>
          <wp:inline distT="0" distB="0" distL="0" distR="0" wp14:anchorId="307E0FC6" wp14:editId="5F59B0A4">
            <wp:extent cx="5943600" cy="3863340"/>
            <wp:effectExtent l="0" t="0" r="0" b="0"/>
            <wp:docPr id="2100092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92790" name="Picture 21000927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6D43AFEE" w14:textId="77777777" w:rsidR="009B6DE4" w:rsidRPr="007615FA" w:rsidRDefault="009B6DE4" w:rsidP="007615FA">
      <w:pPr>
        <w:tabs>
          <w:tab w:val="left" w:pos="709"/>
        </w:tabs>
        <w:jc w:val="both"/>
        <w:rPr>
          <w:rFonts w:ascii="Arial" w:hAnsi="Arial" w:cs="Arial"/>
        </w:rPr>
      </w:pPr>
    </w:p>
    <w:p w14:paraId="2B696D1D" w14:textId="356CB753" w:rsidR="003F3E9D" w:rsidRPr="007615FA" w:rsidRDefault="00E14551" w:rsidP="007615FA">
      <w:pPr>
        <w:tabs>
          <w:tab w:val="left" w:pos="709"/>
        </w:tabs>
        <w:jc w:val="both"/>
        <w:rPr>
          <w:rFonts w:ascii="Arial" w:hAnsi="Arial" w:cs="Arial"/>
        </w:rPr>
      </w:pPr>
      <w:r w:rsidRPr="007615FA">
        <w:rPr>
          <w:rFonts w:ascii="Arial" w:hAnsi="Arial" w:cs="Arial"/>
        </w:rPr>
        <w:tab/>
      </w:r>
      <w:r w:rsidR="003F3E9D" w:rsidRPr="007615FA">
        <w:rPr>
          <w:rFonts w:ascii="Arial" w:hAnsi="Arial" w:cs="Arial"/>
          <w:b/>
          <w:bCs/>
        </w:rPr>
        <w:t>Figure 4</w:t>
      </w:r>
      <w:r w:rsidR="003F3E9D" w:rsidRPr="007615FA">
        <w:rPr>
          <w:rFonts w:ascii="Arial" w:hAnsi="Arial" w:cs="Arial"/>
        </w:rPr>
        <w:t xml:space="preserve"> then puts each family of candidate explanations against the deforestation curve directly, with all series indexed and deforestation repeated in every panel as the reference line. Each panel carries a different lesson. Panel A shows economic activity</w:t>
      </w:r>
      <w:r w:rsidRPr="007615FA">
        <w:rPr>
          <w:rFonts w:ascii="Arial" w:hAnsi="Arial" w:cs="Arial"/>
        </w:rPr>
        <w:t>.</w:t>
      </w:r>
      <w:r w:rsidR="003F3E9D" w:rsidRPr="007615FA">
        <w:rPr>
          <w:rFonts w:ascii="Arial" w:hAnsi="Arial" w:cs="Arial"/>
        </w:rPr>
        <w:t xml:space="preserve"> GDP per capita, crop area, and cattle density all grow through the decline, so production expanded while clearing collapsed. The frontier economy did not shrink its way to lower deforestation. Panel B is the sharpest fact in the figure. Crop prices surged exactly during the years deforestation fell fastest. Clearing declined against price pressure, which is the strongest descriptive argument that policy did real work in this period, and also the reason price exposure must be controlled in any estimate. Panel C shows the formal wage structure</w:t>
      </w:r>
      <w:r w:rsidRPr="007615FA">
        <w:rPr>
          <w:rFonts w:ascii="Arial" w:hAnsi="Arial" w:cs="Arial"/>
        </w:rPr>
        <w:t>. T</w:t>
      </w:r>
      <w:r w:rsidR="003F3E9D" w:rsidRPr="007615FA">
        <w:rPr>
          <w:rFonts w:ascii="Arial" w:hAnsi="Arial" w:cs="Arial"/>
        </w:rPr>
        <w:t xml:space="preserve">he low-wage employment rate falls </w:t>
      </w:r>
      <w:r w:rsidRPr="007615FA">
        <w:rPr>
          <w:rFonts w:ascii="Arial" w:hAnsi="Arial" w:cs="Arial"/>
        </w:rPr>
        <w:t>closely</w:t>
      </w:r>
      <w:r w:rsidR="003F3E9D" w:rsidRPr="007615FA">
        <w:rPr>
          <w:rFonts w:ascii="Arial" w:hAnsi="Arial" w:cs="Arial"/>
        </w:rPr>
        <w:t xml:space="preserve"> with deforestation inside the shaded band. Panel D shows Bolsa Família coverage, indexed to 2006. Coverage </w:t>
      </w:r>
      <w:r w:rsidR="003F3E9D" w:rsidRPr="007615FA">
        <w:rPr>
          <w:rFonts w:ascii="Arial" w:hAnsi="Arial" w:cs="Arial"/>
        </w:rPr>
        <w:lastRenderedPageBreak/>
        <w:t>saturates just before the first priority-list cohort in 2008 and then barely moves. That flatness matters for the design. By the time enforcement arrived, coverage differences across municipalities were a standing characteristic, not a trend, which is why the chapter uses coverage as a cross-sectional moderator rather than a time-varying regressor.</w:t>
      </w:r>
    </w:p>
    <w:p w14:paraId="29222831" w14:textId="77777777" w:rsidR="009B6DE4" w:rsidRPr="007615FA" w:rsidRDefault="009B6DE4" w:rsidP="007615FA">
      <w:pPr>
        <w:tabs>
          <w:tab w:val="left" w:pos="709"/>
        </w:tabs>
        <w:jc w:val="both"/>
        <w:rPr>
          <w:rFonts w:ascii="Arial" w:hAnsi="Arial" w:cs="Arial"/>
        </w:rPr>
      </w:pPr>
    </w:p>
    <w:p w14:paraId="068BB067" w14:textId="03AFE58E" w:rsidR="003F3E9D" w:rsidRPr="007615FA" w:rsidRDefault="006E5EB5" w:rsidP="00277886">
      <w:pPr>
        <w:tabs>
          <w:tab w:val="left" w:pos="709"/>
        </w:tabs>
        <w:jc w:val="center"/>
        <w:rPr>
          <w:rFonts w:ascii="Arial" w:hAnsi="Arial" w:cs="Arial"/>
          <w:b/>
          <w:bCs/>
        </w:rPr>
      </w:pPr>
      <w:r w:rsidRPr="007615FA">
        <w:rPr>
          <w:rFonts w:ascii="Arial" w:hAnsi="Arial" w:cs="Arial"/>
          <w:b/>
          <w:bCs/>
        </w:rPr>
        <w:t>Figure 4</w:t>
      </w:r>
    </w:p>
    <w:p w14:paraId="3858329C" w14:textId="7CBCA54E" w:rsidR="003F3E9D" w:rsidRPr="007615FA" w:rsidRDefault="00E14551" w:rsidP="007615FA">
      <w:pPr>
        <w:tabs>
          <w:tab w:val="left" w:pos="709"/>
        </w:tabs>
        <w:jc w:val="both"/>
        <w:rPr>
          <w:rFonts w:ascii="Arial" w:hAnsi="Arial" w:cs="Arial"/>
        </w:rPr>
      </w:pPr>
      <w:r w:rsidRPr="007615FA">
        <w:rPr>
          <w:rFonts w:ascii="Arial" w:hAnsi="Arial" w:cs="Arial"/>
          <w:noProof/>
        </w:rPr>
        <w:drawing>
          <wp:inline distT="0" distB="0" distL="0" distR="0" wp14:anchorId="6C1E9326" wp14:editId="14536BC2">
            <wp:extent cx="5943600" cy="4457700"/>
            <wp:effectExtent l="0" t="0" r="0" b="0"/>
            <wp:docPr id="1261678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78211" name="Picture 12616782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885A381" w14:textId="77777777" w:rsidR="009B6DE4" w:rsidRPr="007615FA" w:rsidRDefault="006E5EB5" w:rsidP="007615FA">
      <w:pPr>
        <w:tabs>
          <w:tab w:val="left" w:pos="709"/>
        </w:tabs>
        <w:jc w:val="both"/>
        <w:rPr>
          <w:rFonts w:ascii="Arial" w:hAnsi="Arial" w:cs="Arial"/>
        </w:rPr>
      </w:pPr>
      <w:r w:rsidRPr="007615FA">
        <w:rPr>
          <w:rFonts w:ascii="Arial" w:hAnsi="Arial" w:cs="Arial"/>
        </w:rPr>
        <w:tab/>
      </w:r>
    </w:p>
    <w:p w14:paraId="2A9A6B7B" w14:textId="1E6CA1BD" w:rsidR="003F3E9D" w:rsidRPr="007615FA" w:rsidRDefault="003F3E9D" w:rsidP="007615FA">
      <w:pPr>
        <w:tabs>
          <w:tab w:val="left" w:pos="709"/>
        </w:tabs>
        <w:jc w:val="both"/>
        <w:rPr>
          <w:rFonts w:ascii="Arial" w:hAnsi="Arial" w:cs="Arial"/>
        </w:rPr>
      </w:pPr>
      <w:r w:rsidRPr="007615FA">
        <w:rPr>
          <w:rFonts w:ascii="Arial" w:hAnsi="Arial" w:cs="Arial"/>
        </w:rPr>
        <w:t>The joint lesson of the two figures is the one the identification section builds on. Every candidate moved during 2004 to 2012: enforcement, credit policy, supply-chain agreements, prices, transfers, wages, formalization. Aggregate curves cannot separate them. The co-movement motivates the question and rules out answering it at this level, so the analysis moves to municipal variation, where listing arrived in staggered cohorts and coverage differed across places.</w:t>
      </w:r>
    </w:p>
    <w:p w14:paraId="011A1B3D" w14:textId="3B04F8CE" w:rsidR="003F3E9D" w:rsidRDefault="003F3E9D" w:rsidP="007615FA">
      <w:pPr>
        <w:tabs>
          <w:tab w:val="left" w:pos="709"/>
        </w:tabs>
        <w:jc w:val="both"/>
        <w:rPr>
          <w:rFonts w:ascii="Arial" w:hAnsi="Arial" w:cs="Arial"/>
        </w:rPr>
      </w:pPr>
    </w:p>
    <w:p w14:paraId="7F9F824E" w14:textId="77777777" w:rsidR="00277886" w:rsidRPr="007615FA" w:rsidRDefault="00277886" w:rsidP="007615FA">
      <w:pPr>
        <w:tabs>
          <w:tab w:val="left" w:pos="709"/>
        </w:tabs>
        <w:jc w:val="both"/>
        <w:rPr>
          <w:rFonts w:ascii="Arial" w:hAnsi="Arial" w:cs="Arial"/>
        </w:rPr>
      </w:pPr>
    </w:p>
    <w:p w14:paraId="6193A68F" w14:textId="5C06BD5C" w:rsidR="003F3E9D" w:rsidRPr="007615FA" w:rsidRDefault="003F3E9D" w:rsidP="007615FA">
      <w:pPr>
        <w:pStyle w:val="ListParagraph"/>
        <w:numPr>
          <w:ilvl w:val="1"/>
          <w:numId w:val="6"/>
        </w:numPr>
        <w:tabs>
          <w:tab w:val="left" w:pos="709"/>
        </w:tabs>
        <w:jc w:val="both"/>
        <w:rPr>
          <w:rFonts w:ascii="Arial" w:hAnsi="Arial" w:cs="Arial"/>
          <w:b/>
          <w:bCs/>
        </w:rPr>
      </w:pPr>
      <w:r w:rsidRPr="007615FA">
        <w:rPr>
          <w:rFonts w:ascii="Arial" w:hAnsi="Arial" w:cs="Arial"/>
          <w:b/>
          <w:bCs/>
        </w:rPr>
        <w:lastRenderedPageBreak/>
        <w:t xml:space="preserve"> The social-policy trajectory in the sample</w:t>
      </w:r>
    </w:p>
    <w:p w14:paraId="7869AD04" w14:textId="77777777" w:rsidR="003F3E9D" w:rsidRPr="007615FA" w:rsidRDefault="003F3E9D" w:rsidP="007615FA">
      <w:pPr>
        <w:tabs>
          <w:tab w:val="left" w:pos="709"/>
        </w:tabs>
        <w:jc w:val="both"/>
        <w:rPr>
          <w:rFonts w:ascii="Arial" w:hAnsi="Arial" w:cs="Arial"/>
        </w:rPr>
      </w:pPr>
    </w:p>
    <w:p w14:paraId="130350DF" w14:textId="7F9D95D3" w:rsidR="003F3E9D" w:rsidRPr="007615FA" w:rsidRDefault="006E5EB5" w:rsidP="007615FA">
      <w:pPr>
        <w:tabs>
          <w:tab w:val="left" w:pos="709"/>
        </w:tabs>
        <w:jc w:val="both"/>
        <w:rPr>
          <w:rFonts w:ascii="Arial" w:hAnsi="Arial" w:cs="Arial"/>
        </w:rPr>
      </w:pPr>
      <w:r w:rsidRPr="007615FA">
        <w:rPr>
          <w:rFonts w:ascii="Arial" w:hAnsi="Arial" w:cs="Arial"/>
        </w:rPr>
        <w:tab/>
      </w:r>
      <w:r w:rsidR="003F3E9D" w:rsidRPr="007615FA">
        <w:rPr>
          <w:rFonts w:ascii="Arial" w:hAnsi="Arial" w:cs="Arial"/>
        </w:rPr>
        <w:t>The two social series deserve a closer look, because their shapes carry design information.</w:t>
      </w:r>
    </w:p>
    <w:p w14:paraId="79CFF659" w14:textId="2556D470" w:rsidR="009B6DE4" w:rsidRDefault="006E5EB5" w:rsidP="007615FA">
      <w:pPr>
        <w:tabs>
          <w:tab w:val="left" w:pos="709"/>
        </w:tabs>
        <w:jc w:val="both"/>
        <w:rPr>
          <w:rFonts w:ascii="Arial" w:hAnsi="Arial" w:cs="Arial"/>
        </w:rPr>
      </w:pPr>
      <w:r w:rsidRPr="007615FA">
        <w:rPr>
          <w:rFonts w:ascii="Arial" w:hAnsi="Arial" w:cs="Arial"/>
        </w:rPr>
        <w:tab/>
      </w:r>
      <w:r w:rsidR="003F3E9D" w:rsidRPr="007615FA">
        <w:rPr>
          <w:rFonts w:ascii="Arial" w:hAnsi="Arial" w:cs="Arial"/>
          <w:b/>
          <w:bCs/>
        </w:rPr>
        <w:t>Figure 5</w:t>
      </w:r>
      <w:r w:rsidR="003F3E9D" w:rsidRPr="007615FA">
        <w:rPr>
          <w:rFonts w:ascii="Arial" w:hAnsi="Arial" w:cs="Arial"/>
        </w:rPr>
        <w:t xml:space="preserve"> breaks Bolsa Família into its components for 2004 to 2019. The coverage panel repeats the rollout-then-saturation shape</w:t>
      </w:r>
      <w:r w:rsidRPr="007615FA">
        <w:rPr>
          <w:rFonts w:ascii="Arial" w:hAnsi="Arial" w:cs="Arial"/>
        </w:rPr>
        <w:t>, showing a</w:t>
      </w:r>
      <w:r w:rsidR="003F3E9D" w:rsidRPr="007615FA">
        <w:rPr>
          <w:rFonts w:ascii="Arial" w:hAnsi="Arial" w:cs="Arial"/>
        </w:rPr>
        <w:t xml:space="preserve">bove full quota coverage by 2006 and stable around 1.1 afterward. The transfer panels show a different rhythm. Total transfers grow through 2014, peak near </w:t>
      </w:r>
      <w:r w:rsidRPr="007615FA">
        <w:rPr>
          <w:rFonts w:ascii="Arial" w:hAnsi="Arial" w:cs="Arial"/>
        </w:rPr>
        <w:t xml:space="preserve">R$ </w:t>
      </w:r>
      <w:r w:rsidR="003F3E9D" w:rsidRPr="007615FA">
        <w:rPr>
          <w:rFonts w:ascii="Arial" w:hAnsi="Arial" w:cs="Arial"/>
        </w:rPr>
        <w:t xml:space="preserve">65 </w:t>
      </w:r>
      <w:r w:rsidRPr="007615FA">
        <w:rPr>
          <w:rFonts w:ascii="Arial" w:hAnsi="Arial" w:cs="Arial"/>
        </w:rPr>
        <w:t>mi</w:t>
      </w:r>
      <w:r w:rsidR="003F3E9D" w:rsidRPr="007615FA">
        <w:rPr>
          <w:rFonts w:ascii="Arial" w:hAnsi="Arial" w:cs="Arial"/>
        </w:rPr>
        <w:t>llion at 2024 prices, and then fall back and stabilize. The average transfer per family declines during rollout, when many families entered at the margin</w:t>
      </w:r>
      <w:r w:rsidRPr="007615FA">
        <w:rPr>
          <w:rFonts w:ascii="Arial" w:hAnsi="Arial" w:cs="Arial"/>
        </w:rPr>
        <w:t xml:space="preserve"> of cash transfers </w:t>
      </w:r>
      <w:r w:rsidRPr="007615FA">
        <w:rPr>
          <w:rFonts w:ascii="Arial" w:hAnsi="Arial" w:cs="Arial"/>
        </w:rPr>
        <w:fldChar w:fldCharType="begin"/>
      </w:r>
      <w:r w:rsidRPr="007615FA">
        <w:rPr>
          <w:rFonts w:ascii="Arial" w:hAnsi="Arial" w:cs="Arial"/>
        </w:rPr>
        <w:instrText xml:space="preserve"> ADDIN ZOTERO_ITEM CSL_CITATION {"citationID":"NMIozzXD","properties":{"formattedCitation":"(Souza and Bruce 2022)","plainCitation":"(Souza and Bruce 2022)","noteIndex":0},"citationItems":[{"id":5260,"uris":["http://zotero.org/users/6338991/items/GI7IL7T3"],"itemData":{"id":5260,"type":"article-journal","abstract":"Este trabalho se propõe a entender quão boa foi a focalização do Programa Bolsa Família (PBF) e quão eficaz ele foi no combate à pobreza no Brasil entre 2004 e 2019. Por meio de dados da Pesquisa Nacional por Amostra de Domicílios (PNAD) de 2004 a 2015, da PNAD Contínua a partir de 2012 a 2019 e do Atlas of Social Protection Indicators of Resilience and Equity (Aspire), calculamos diferentes indicadores para medidas de focalização e pobreza para obter um panorama de como o programa funcionou ao longo do período analisado. Além disso, comparamos a focalização com a de programas semelhantes de outros países para apresentar o PBF em perspectiva internacional. Nossos resultados indicam que o PBF obteve boa focalização, com níveis baixos de erros de inclusão (isto é, pessoas que não deveriam receber o benefício, porém o recebem) e níveis moderados para os erros de exclusão (ou seja, pessoas que deveriam receber o benefício, porém não o recebem). Em perspectiva internacional, o PBF é bem focalizado, ficando entre os melhores programas de nossa amostra, independentemente da linha de pobreza ou métrica de focalização utilizada. No que diz respeito ao efeito sobre a redução de pobreza, os resultados sugerem um papel importante do PBF, especialmente quando são utilizadas linhas de pobreza mais baixas. No entanto, para essas linhas, o efeito do PBF sobre a pobreza diminuiu ao longo do tempo. Em especial, não houve um aumento do papel do PBF sobre a redução de pobreza entre 2012 e 2019. Concluímos então que a prioridade para os próximos anos é reduzir os erros de exclusão e manter ou elevar o valor real dos benefícios.","citation-key":"souza2022","container-title":"Texto para Discussão","DOI":"10.38116/td2813","journalAbbreviation":"TD","page":"1-83","source":"DOI.org (Crossref)","title":"TD 2813 - Uma avaliação final da focalização e da efetividade contra a pobreza do Programa Bolsa Família, em perspectiva comparada","author":[{"family":"Souza","given":"Pedro H. G. Ferreira De"},{"family":"Bruce","given":"Raphael"}],"issued":{"date-parts":[["2022",11,18]]}}}],"schema":"https://github.com/citation-style-language/schema/raw/master/csl-citation.json"} </w:instrText>
      </w:r>
      <w:r w:rsidRPr="007615FA">
        <w:rPr>
          <w:rFonts w:ascii="Arial" w:hAnsi="Arial" w:cs="Arial"/>
        </w:rPr>
        <w:fldChar w:fldCharType="separate"/>
      </w:r>
      <w:r w:rsidRPr="007615FA">
        <w:rPr>
          <w:rFonts w:ascii="Arial" w:hAnsi="Arial" w:cs="Arial"/>
          <w:noProof/>
        </w:rPr>
        <w:t>(Souza and Bruce 2022)</w:t>
      </w:r>
      <w:r w:rsidRPr="007615FA">
        <w:rPr>
          <w:rFonts w:ascii="Arial" w:hAnsi="Arial" w:cs="Arial"/>
        </w:rPr>
        <w:fldChar w:fldCharType="end"/>
      </w:r>
      <w:r w:rsidR="003F3E9D" w:rsidRPr="007615FA">
        <w:rPr>
          <w:rFonts w:ascii="Arial" w:hAnsi="Arial" w:cs="Arial"/>
        </w:rPr>
        <w:t xml:space="preserve">, then rises to a peak around </w:t>
      </w:r>
      <w:r w:rsidRPr="007615FA">
        <w:rPr>
          <w:rFonts w:ascii="Arial" w:hAnsi="Arial" w:cs="Arial"/>
        </w:rPr>
        <w:t xml:space="preserve">R$ </w:t>
      </w:r>
      <w:r w:rsidR="003F3E9D" w:rsidRPr="007615FA">
        <w:rPr>
          <w:rFonts w:ascii="Arial" w:hAnsi="Arial" w:cs="Arial"/>
        </w:rPr>
        <w:t xml:space="preserve">340 in 2014 and erodes after 2016. Per-capita transfers follow the same arc. </w:t>
      </w:r>
      <w:r w:rsidRPr="007615FA">
        <w:rPr>
          <w:rFonts w:ascii="Arial" w:hAnsi="Arial" w:cs="Arial"/>
        </w:rPr>
        <w:t>One</w:t>
      </w:r>
      <w:r w:rsidR="003F3E9D" w:rsidRPr="007615FA">
        <w:rPr>
          <w:rFonts w:ascii="Arial" w:hAnsi="Arial" w:cs="Arial"/>
        </w:rPr>
        <w:t xml:space="preserve"> fact in this figure do</w:t>
      </w:r>
      <w:r w:rsidRPr="007615FA">
        <w:rPr>
          <w:rFonts w:ascii="Arial" w:hAnsi="Arial" w:cs="Arial"/>
        </w:rPr>
        <w:t>es</w:t>
      </w:r>
      <w:r w:rsidR="003F3E9D" w:rsidRPr="007615FA">
        <w:rPr>
          <w:rFonts w:ascii="Arial" w:hAnsi="Arial" w:cs="Arial"/>
        </w:rPr>
        <w:t xml:space="preserve"> design work. </w:t>
      </w:r>
      <w:r w:rsidRPr="007615FA">
        <w:rPr>
          <w:rFonts w:ascii="Arial" w:hAnsi="Arial" w:cs="Arial"/>
        </w:rPr>
        <w:t>A</w:t>
      </w:r>
      <w:r w:rsidR="003F3E9D" w:rsidRPr="007615FA">
        <w:rPr>
          <w:rFonts w:ascii="Arial" w:hAnsi="Arial" w:cs="Arial"/>
        </w:rPr>
        <w:t>fter 2006</w:t>
      </w:r>
      <w:r w:rsidRPr="007615FA">
        <w:rPr>
          <w:rFonts w:ascii="Arial" w:hAnsi="Arial" w:cs="Arial"/>
        </w:rPr>
        <w:t>,</w:t>
      </w:r>
      <w:r w:rsidR="003F3E9D" w:rsidRPr="007615FA">
        <w:rPr>
          <w:rFonts w:ascii="Arial" w:hAnsi="Arial" w:cs="Arial"/>
        </w:rPr>
        <w:t xml:space="preserve"> the program's reach relative to need is essentially flat over time, so the variation the chapter can use is the persistent difference between municipalities, which is what the moderator captures at its 2006 to 2007 baseline. </w:t>
      </w:r>
    </w:p>
    <w:p w14:paraId="6E0C8F7A" w14:textId="77777777" w:rsidR="00277886" w:rsidRDefault="00277886" w:rsidP="007615FA">
      <w:pPr>
        <w:tabs>
          <w:tab w:val="left" w:pos="709"/>
        </w:tabs>
        <w:jc w:val="both"/>
        <w:rPr>
          <w:rFonts w:ascii="Arial" w:hAnsi="Arial" w:cs="Arial"/>
        </w:rPr>
      </w:pPr>
    </w:p>
    <w:p w14:paraId="778F2194" w14:textId="77777777" w:rsidR="00277886" w:rsidRDefault="00277886" w:rsidP="007615FA">
      <w:pPr>
        <w:tabs>
          <w:tab w:val="left" w:pos="709"/>
        </w:tabs>
        <w:jc w:val="both"/>
        <w:rPr>
          <w:rFonts w:ascii="Arial" w:hAnsi="Arial" w:cs="Arial"/>
        </w:rPr>
      </w:pPr>
    </w:p>
    <w:p w14:paraId="5AF1EBFE" w14:textId="77777777" w:rsidR="00277886" w:rsidRDefault="00277886" w:rsidP="007615FA">
      <w:pPr>
        <w:tabs>
          <w:tab w:val="left" w:pos="709"/>
        </w:tabs>
        <w:jc w:val="both"/>
        <w:rPr>
          <w:rFonts w:ascii="Arial" w:hAnsi="Arial" w:cs="Arial"/>
        </w:rPr>
      </w:pPr>
    </w:p>
    <w:p w14:paraId="64B97850" w14:textId="77777777" w:rsidR="00277886" w:rsidRDefault="00277886" w:rsidP="007615FA">
      <w:pPr>
        <w:tabs>
          <w:tab w:val="left" w:pos="709"/>
        </w:tabs>
        <w:jc w:val="both"/>
        <w:rPr>
          <w:rFonts w:ascii="Arial" w:hAnsi="Arial" w:cs="Arial"/>
        </w:rPr>
      </w:pPr>
    </w:p>
    <w:p w14:paraId="33CAC50F" w14:textId="77777777" w:rsidR="00277886" w:rsidRDefault="00277886" w:rsidP="007615FA">
      <w:pPr>
        <w:tabs>
          <w:tab w:val="left" w:pos="709"/>
        </w:tabs>
        <w:jc w:val="both"/>
        <w:rPr>
          <w:rFonts w:ascii="Arial" w:hAnsi="Arial" w:cs="Arial"/>
        </w:rPr>
      </w:pPr>
    </w:p>
    <w:p w14:paraId="0266334C" w14:textId="77777777" w:rsidR="00277886" w:rsidRDefault="00277886" w:rsidP="007615FA">
      <w:pPr>
        <w:tabs>
          <w:tab w:val="left" w:pos="709"/>
        </w:tabs>
        <w:jc w:val="both"/>
        <w:rPr>
          <w:rFonts w:ascii="Arial" w:hAnsi="Arial" w:cs="Arial"/>
        </w:rPr>
      </w:pPr>
    </w:p>
    <w:p w14:paraId="681FAF2D" w14:textId="77777777" w:rsidR="00277886" w:rsidRDefault="00277886" w:rsidP="007615FA">
      <w:pPr>
        <w:tabs>
          <w:tab w:val="left" w:pos="709"/>
        </w:tabs>
        <w:jc w:val="both"/>
        <w:rPr>
          <w:rFonts w:ascii="Arial" w:hAnsi="Arial" w:cs="Arial"/>
        </w:rPr>
      </w:pPr>
    </w:p>
    <w:p w14:paraId="10B01849" w14:textId="77777777" w:rsidR="00277886" w:rsidRDefault="00277886" w:rsidP="007615FA">
      <w:pPr>
        <w:tabs>
          <w:tab w:val="left" w:pos="709"/>
        </w:tabs>
        <w:jc w:val="both"/>
        <w:rPr>
          <w:rFonts w:ascii="Arial" w:hAnsi="Arial" w:cs="Arial"/>
        </w:rPr>
      </w:pPr>
    </w:p>
    <w:p w14:paraId="77F362F2" w14:textId="77777777" w:rsidR="00277886" w:rsidRDefault="00277886" w:rsidP="007615FA">
      <w:pPr>
        <w:tabs>
          <w:tab w:val="left" w:pos="709"/>
        </w:tabs>
        <w:jc w:val="both"/>
        <w:rPr>
          <w:rFonts w:ascii="Arial" w:hAnsi="Arial" w:cs="Arial"/>
        </w:rPr>
      </w:pPr>
    </w:p>
    <w:p w14:paraId="45870D68" w14:textId="77777777" w:rsidR="00277886" w:rsidRDefault="00277886" w:rsidP="007615FA">
      <w:pPr>
        <w:tabs>
          <w:tab w:val="left" w:pos="709"/>
        </w:tabs>
        <w:jc w:val="both"/>
        <w:rPr>
          <w:rFonts w:ascii="Arial" w:hAnsi="Arial" w:cs="Arial"/>
        </w:rPr>
      </w:pPr>
    </w:p>
    <w:p w14:paraId="2C054864" w14:textId="77777777" w:rsidR="00277886" w:rsidRDefault="00277886" w:rsidP="007615FA">
      <w:pPr>
        <w:tabs>
          <w:tab w:val="left" w:pos="709"/>
        </w:tabs>
        <w:jc w:val="both"/>
        <w:rPr>
          <w:rFonts w:ascii="Arial" w:hAnsi="Arial" w:cs="Arial"/>
        </w:rPr>
      </w:pPr>
    </w:p>
    <w:p w14:paraId="4319769D" w14:textId="77777777" w:rsidR="00277886" w:rsidRDefault="00277886" w:rsidP="007615FA">
      <w:pPr>
        <w:tabs>
          <w:tab w:val="left" w:pos="709"/>
        </w:tabs>
        <w:jc w:val="both"/>
        <w:rPr>
          <w:rFonts w:ascii="Arial" w:hAnsi="Arial" w:cs="Arial"/>
        </w:rPr>
      </w:pPr>
    </w:p>
    <w:p w14:paraId="630E858E" w14:textId="77777777" w:rsidR="00277886" w:rsidRDefault="00277886" w:rsidP="007615FA">
      <w:pPr>
        <w:tabs>
          <w:tab w:val="left" w:pos="709"/>
        </w:tabs>
        <w:jc w:val="both"/>
        <w:rPr>
          <w:rFonts w:ascii="Arial" w:hAnsi="Arial" w:cs="Arial"/>
        </w:rPr>
      </w:pPr>
    </w:p>
    <w:p w14:paraId="4181EB73" w14:textId="77777777" w:rsidR="00277886" w:rsidRDefault="00277886" w:rsidP="007615FA">
      <w:pPr>
        <w:tabs>
          <w:tab w:val="left" w:pos="709"/>
        </w:tabs>
        <w:jc w:val="both"/>
        <w:rPr>
          <w:rFonts w:ascii="Arial" w:hAnsi="Arial" w:cs="Arial"/>
        </w:rPr>
      </w:pPr>
    </w:p>
    <w:p w14:paraId="1B93B8DB" w14:textId="77777777" w:rsidR="00277886" w:rsidRDefault="00277886" w:rsidP="007615FA">
      <w:pPr>
        <w:tabs>
          <w:tab w:val="left" w:pos="709"/>
        </w:tabs>
        <w:jc w:val="both"/>
        <w:rPr>
          <w:rFonts w:ascii="Arial" w:hAnsi="Arial" w:cs="Arial"/>
        </w:rPr>
      </w:pPr>
    </w:p>
    <w:p w14:paraId="3D0BB2B5" w14:textId="77777777" w:rsidR="00277886" w:rsidRPr="007615FA" w:rsidRDefault="00277886" w:rsidP="007615FA">
      <w:pPr>
        <w:tabs>
          <w:tab w:val="left" w:pos="709"/>
        </w:tabs>
        <w:jc w:val="both"/>
        <w:rPr>
          <w:rFonts w:ascii="Arial" w:hAnsi="Arial" w:cs="Arial"/>
        </w:rPr>
      </w:pPr>
    </w:p>
    <w:p w14:paraId="65B303EA" w14:textId="3B4404DF" w:rsidR="003F3E9D" w:rsidRPr="007615FA" w:rsidRDefault="006E5EB5" w:rsidP="00277886">
      <w:pPr>
        <w:tabs>
          <w:tab w:val="left" w:pos="709"/>
        </w:tabs>
        <w:jc w:val="center"/>
        <w:rPr>
          <w:rFonts w:ascii="Arial" w:hAnsi="Arial" w:cs="Arial"/>
          <w:b/>
          <w:bCs/>
        </w:rPr>
      </w:pPr>
      <w:r w:rsidRPr="007615FA">
        <w:rPr>
          <w:rFonts w:ascii="Arial" w:hAnsi="Arial" w:cs="Arial"/>
          <w:b/>
          <w:bCs/>
        </w:rPr>
        <w:lastRenderedPageBreak/>
        <w:t>Figure 5</w:t>
      </w:r>
    </w:p>
    <w:p w14:paraId="58A8585F" w14:textId="75A63D2F" w:rsidR="003F3E9D" w:rsidRPr="007615FA" w:rsidRDefault="00E14551" w:rsidP="007615FA">
      <w:pPr>
        <w:tabs>
          <w:tab w:val="left" w:pos="709"/>
        </w:tabs>
        <w:jc w:val="both"/>
        <w:rPr>
          <w:rFonts w:ascii="Arial" w:hAnsi="Arial" w:cs="Arial"/>
        </w:rPr>
      </w:pPr>
      <w:r w:rsidRPr="007615FA">
        <w:rPr>
          <w:rFonts w:ascii="Arial" w:hAnsi="Arial" w:cs="Arial"/>
          <w:noProof/>
        </w:rPr>
        <w:drawing>
          <wp:inline distT="0" distB="0" distL="0" distR="0" wp14:anchorId="05863B8C" wp14:editId="777310AB">
            <wp:extent cx="5943600" cy="4622800"/>
            <wp:effectExtent l="0" t="0" r="0" b="0"/>
            <wp:docPr id="1953050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50692" name="Picture 19530506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13D57816" w14:textId="77777777" w:rsidR="009B6DE4" w:rsidRPr="007615FA" w:rsidRDefault="006E5EB5" w:rsidP="007615FA">
      <w:pPr>
        <w:tabs>
          <w:tab w:val="left" w:pos="709"/>
        </w:tabs>
        <w:jc w:val="both"/>
        <w:rPr>
          <w:rFonts w:ascii="Arial" w:hAnsi="Arial" w:cs="Arial"/>
          <w:b/>
          <w:bCs/>
        </w:rPr>
      </w:pPr>
      <w:r w:rsidRPr="007615FA">
        <w:rPr>
          <w:rFonts w:ascii="Arial" w:hAnsi="Arial" w:cs="Arial"/>
          <w:b/>
          <w:bCs/>
        </w:rPr>
        <w:tab/>
      </w:r>
    </w:p>
    <w:p w14:paraId="4D5319E4" w14:textId="3C9567D4" w:rsidR="003F3E9D" w:rsidRPr="007615FA" w:rsidRDefault="00277886" w:rsidP="00277886">
      <w:pPr>
        <w:tabs>
          <w:tab w:val="left" w:pos="709"/>
        </w:tabs>
        <w:jc w:val="both"/>
        <w:rPr>
          <w:rFonts w:ascii="Arial" w:hAnsi="Arial" w:cs="Arial"/>
        </w:rPr>
      </w:pPr>
      <w:r>
        <w:rPr>
          <w:rFonts w:ascii="Arial" w:hAnsi="Arial" w:cs="Arial"/>
          <w:b/>
          <w:bCs/>
        </w:rPr>
        <w:tab/>
      </w:r>
      <w:r w:rsidR="003F3E9D" w:rsidRPr="007615FA">
        <w:rPr>
          <w:rFonts w:ascii="Arial" w:hAnsi="Arial" w:cs="Arial"/>
          <w:b/>
          <w:bCs/>
        </w:rPr>
        <w:t>Figure 6</w:t>
      </w:r>
      <w:r w:rsidR="003F3E9D" w:rsidRPr="007615FA">
        <w:rPr>
          <w:rFonts w:ascii="Arial" w:hAnsi="Arial" w:cs="Arial"/>
        </w:rPr>
        <w:t xml:space="preserve"> shows the labor-market side, the trajectory behind Mechanism 4 and H3. </w:t>
      </w:r>
      <w:r w:rsidR="003F3E9D" w:rsidRPr="007615FA">
        <w:rPr>
          <w:rFonts w:ascii="Arial" w:hAnsi="Arial" w:cs="Arial"/>
          <w:b/>
          <w:bCs/>
        </w:rPr>
        <w:t>Panel A</w:t>
      </w:r>
      <w:r w:rsidR="003F3E9D" w:rsidRPr="007615FA">
        <w:rPr>
          <w:rFonts w:ascii="Arial" w:hAnsi="Arial" w:cs="Arial"/>
        </w:rPr>
        <w:t xml:space="preserve"> plots formal jobs per working-age adult by wage group, with the groups defined by fixed real thresholds. The middle group, between one and four times the 2024 minimum wage, rises from about 1.3 percent of the working-age population to about 10 percent, overtaking the low group around 2006. The low group, at or below one 2024 minimum wage, peaks near 4.5 percent in 2005 and falls to under 2 percent. Panel B shows the consequence for composition</w:t>
      </w:r>
      <w:r w:rsidR="006E5EB5" w:rsidRPr="007615FA">
        <w:rPr>
          <w:rFonts w:ascii="Arial" w:hAnsi="Arial" w:cs="Arial"/>
        </w:rPr>
        <w:t>.</w:t>
      </w:r>
      <w:r w:rsidR="003F3E9D" w:rsidRPr="007615FA">
        <w:rPr>
          <w:rFonts w:ascii="Arial" w:hAnsi="Arial" w:cs="Arial"/>
        </w:rPr>
        <w:t xml:space="preserve"> </w:t>
      </w:r>
      <w:r w:rsidR="006E5EB5" w:rsidRPr="007615FA">
        <w:rPr>
          <w:rFonts w:ascii="Arial" w:hAnsi="Arial" w:cs="Arial"/>
        </w:rPr>
        <w:t>W</w:t>
      </w:r>
      <w:r w:rsidR="003F3E9D" w:rsidRPr="007615FA">
        <w:rPr>
          <w:rFonts w:ascii="Arial" w:hAnsi="Arial" w:cs="Arial"/>
        </w:rPr>
        <w:t xml:space="preserve">orkers at or below the 2024 minimum fall from about two thirds of formal employment in 2000 to under a fifth by 2017. Because the thresholds are fixed in real terms, this migration across groups measures real wage growth in the formal sector, together with turnover and compositional change. It is the clearest picture in the data of labor-market incorporation reaching the Amazon during the enforcement period. </w:t>
      </w:r>
    </w:p>
    <w:p w14:paraId="53EA5EE9" w14:textId="77777777" w:rsidR="009B6DE4" w:rsidRPr="007615FA" w:rsidRDefault="009B6DE4" w:rsidP="007615FA">
      <w:pPr>
        <w:tabs>
          <w:tab w:val="left" w:pos="709"/>
        </w:tabs>
        <w:ind w:firstLine="851"/>
        <w:jc w:val="both"/>
        <w:rPr>
          <w:rFonts w:ascii="Arial" w:hAnsi="Arial" w:cs="Arial"/>
        </w:rPr>
      </w:pPr>
    </w:p>
    <w:p w14:paraId="08151074" w14:textId="6156E4E1" w:rsidR="003F3E9D" w:rsidRPr="007615FA" w:rsidRDefault="006E5EB5" w:rsidP="00277886">
      <w:pPr>
        <w:tabs>
          <w:tab w:val="left" w:pos="709"/>
        </w:tabs>
        <w:jc w:val="center"/>
        <w:rPr>
          <w:rFonts w:ascii="Arial" w:hAnsi="Arial" w:cs="Arial"/>
          <w:b/>
          <w:bCs/>
        </w:rPr>
      </w:pPr>
      <w:r w:rsidRPr="007615FA">
        <w:rPr>
          <w:rFonts w:ascii="Arial" w:hAnsi="Arial" w:cs="Arial"/>
          <w:b/>
          <w:bCs/>
        </w:rPr>
        <w:lastRenderedPageBreak/>
        <w:t>Figure 6</w:t>
      </w:r>
    </w:p>
    <w:p w14:paraId="44191296" w14:textId="0702B89C" w:rsidR="003F3E9D" w:rsidRPr="007615FA" w:rsidRDefault="00E14551" w:rsidP="007615FA">
      <w:pPr>
        <w:tabs>
          <w:tab w:val="left" w:pos="709"/>
        </w:tabs>
        <w:jc w:val="both"/>
        <w:rPr>
          <w:rFonts w:ascii="Arial" w:hAnsi="Arial" w:cs="Arial"/>
        </w:rPr>
      </w:pPr>
      <w:r w:rsidRPr="007615FA">
        <w:rPr>
          <w:rFonts w:ascii="Arial" w:hAnsi="Arial" w:cs="Arial"/>
          <w:noProof/>
        </w:rPr>
        <w:drawing>
          <wp:inline distT="0" distB="0" distL="0" distR="0" wp14:anchorId="0E70EC00" wp14:editId="033A87A9">
            <wp:extent cx="5943600" cy="4953000"/>
            <wp:effectExtent l="0" t="0" r="0" b="0"/>
            <wp:docPr id="241048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48150" name="Picture 2410481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2273A0C2" w14:textId="77777777" w:rsidR="009B6DE4" w:rsidRPr="007615FA" w:rsidRDefault="00AB41C1" w:rsidP="007615FA">
      <w:pPr>
        <w:tabs>
          <w:tab w:val="left" w:pos="709"/>
        </w:tabs>
        <w:jc w:val="both"/>
        <w:rPr>
          <w:rFonts w:ascii="Arial" w:hAnsi="Arial" w:cs="Arial"/>
        </w:rPr>
      </w:pPr>
      <w:r w:rsidRPr="007615FA">
        <w:rPr>
          <w:rFonts w:ascii="Arial" w:hAnsi="Arial" w:cs="Arial"/>
        </w:rPr>
        <w:tab/>
      </w:r>
    </w:p>
    <w:p w14:paraId="52964C7C" w14:textId="48EB0473" w:rsidR="003F3E9D" w:rsidRPr="007615FA" w:rsidRDefault="009B6DE4" w:rsidP="007615FA">
      <w:pPr>
        <w:tabs>
          <w:tab w:val="left" w:pos="709"/>
        </w:tabs>
        <w:ind w:firstLine="709"/>
        <w:jc w:val="both"/>
        <w:rPr>
          <w:rFonts w:ascii="Arial" w:hAnsi="Arial" w:cs="Arial"/>
        </w:rPr>
      </w:pPr>
      <w:r w:rsidRPr="007615FA">
        <w:rPr>
          <w:rFonts w:ascii="Arial" w:hAnsi="Arial" w:cs="Arial"/>
        </w:rPr>
        <w:tab/>
      </w:r>
      <w:r w:rsidR="003F3E9D" w:rsidRPr="007615FA">
        <w:rPr>
          <w:rFonts w:ascii="Arial" w:hAnsi="Arial" w:cs="Arial"/>
        </w:rPr>
        <w:t>Together, the two trajectories are the empirical face of the claim Chapter 2 made historically. Social policy reached the frontier and embedded there</w:t>
      </w:r>
      <w:r w:rsidR="00AB41C1" w:rsidRPr="007615FA">
        <w:rPr>
          <w:rFonts w:ascii="Arial" w:hAnsi="Arial" w:cs="Arial"/>
        </w:rPr>
        <w:t>.</w:t>
      </w:r>
      <w:r w:rsidR="003F3E9D" w:rsidRPr="007615FA">
        <w:rPr>
          <w:rFonts w:ascii="Arial" w:hAnsi="Arial" w:cs="Arial"/>
        </w:rPr>
        <w:t xml:space="preserve"> </w:t>
      </w:r>
      <w:r w:rsidR="00AB41C1" w:rsidRPr="007615FA">
        <w:rPr>
          <w:rFonts w:ascii="Arial" w:hAnsi="Arial" w:cs="Arial"/>
        </w:rPr>
        <w:t>T</w:t>
      </w:r>
      <w:r w:rsidR="003F3E9D" w:rsidRPr="007615FA">
        <w:rPr>
          <w:rFonts w:ascii="Arial" w:hAnsi="Arial" w:cs="Arial"/>
        </w:rPr>
        <w:t>ransfers saturated their quotas within three years, and formal wage growth transformed the composition of employment. Environmental enforcement, arriving in 2008 in selected municipalities, met a frontier where this incorporation was already underway. Whether that mattered for enforcement's effect is the chapter's question, and the next subsections turn from trajectories to the treatment itself: which municipalities were listed, how they compare to the rest, and whether the coverage moderator is credible.</w:t>
      </w:r>
    </w:p>
    <w:p w14:paraId="2CCCEB8C" w14:textId="77777777" w:rsidR="0089077D" w:rsidRPr="007615FA" w:rsidRDefault="0089077D" w:rsidP="007615FA">
      <w:pPr>
        <w:jc w:val="both"/>
        <w:rPr>
          <w:rFonts w:ascii="Arial" w:hAnsi="Arial" w:cs="Arial"/>
          <w:lang w:val="en-US"/>
        </w:rPr>
      </w:pPr>
    </w:p>
    <w:p w14:paraId="290696F4" w14:textId="77777777" w:rsidR="009B6DE4" w:rsidRDefault="009B6DE4" w:rsidP="007615FA">
      <w:pPr>
        <w:jc w:val="both"/>
        <w:rPr>
          <w:rFonts w:ascii="Arial" w:hAnsi="Arial" w:cs="Arial"/>
          <w:lang w:val="en-US"/>
        </w:rPr>
      </w:pPr>
    </w:p>
    <w:p w14:paraId="527A795B" w14:textId="77777777" w:rsidR="00277886" w:rsidRPr="007615FA" w:rsidRDefault="00277886" w:rsidP="007615FA">
      <w:pPr>
        <w:jc w:val="both"/>
        <w:rPr>
          <w:rFonts w:ascii="Arial" w:hAnsi="Arial" w:cs="Arial"/>
          <w:lang w:val="en-US"/>
        </w:rPr>
      </w:pPr>
    </w:p>
    <w:p w14:paraId="71766482" w14:textId="3816EFD0" w:rsidR="003F338D" w:rsidRPr="007615FA" w:rsidRDefault="003F338D" w:rsidP="007615FA">
      <w:pPr>
        <w:pStyle w:val="ListParagraph"/>
        <w:numPr>
          <w:ilvl w:val="0"/>
          <w:numId w:val="6"/>
        </w:numPr>
        <w:jc w:val="both"/>
        <w:rPr>
          <w:rFonts w:ascii="Arial" w:hAnsi="Arial" w:cs="Arial"/>
          <w:b/>
          <w:bCs/>
          <w:lang w:val="pt-BR"/>
        </w:rPr>
      </w:pPr>
      <w:proofErr w:type="spellStart"/>
      <w:r w:rsidRPr="007615FA">
        <w:rPr>
          <w:rFonts w:ascii="Arial" w:hAnsi="Arial" w:cs="Arial"/>
          <w:b/>
          <w:bCs/>
          <w:lang w:val="pt-BR"/>
        </w:rPr>
        <w:lastRenderedPageBreak/>
        <w:t>Identification</w:t>
      </w:r>
      <w:proofErr w:type="spellEnd"/>
      <w:r w:rsidRPr="007615FA">
        <w:rPr>
          <w:rFonts w:ascii="Arial" w:hAnsi="Arial" w:cs="Arial"/>
          <w:b/>
          <w:bCs/>
          <w:lang w:val="pt-BR"/>
        </w:rPr>
        <w:t xml:space="preserve"> </w:t>
      </w:r>
      <w:proofErr w:type="spellStart"/>
      <w:r w:rsidRPr="007615FA">
        <w:rPr>
          <w:rFonts w:ascii="Arial" w:hAnsi="Arial" w:cs="Arial"/>
          <w:b/>
          <w:bCs/>
          <w:lang w:val="pt-BR"/>
        </w:rPr>
        <w:t>strategy</w:t>
      </w:r>
      <w:proofErr w:type="spellEnd"/>
    </w:p>
    <w:p w14:paraId="4ABA4B32" w14:textId="77777777" w:rsidR="003F338D" w:rsidRPr="007615FA" w:rsidRDefault="003F338D" w:rsidP="007615FA">
      <w:pPr>
        <w:jc w:val="both"/>
        <w:rPr>
          <w:rFonts w:ascii="Arial" w:hAnsi="Arial" w:cs="Arial"/>
          <w:b/>
          <w:bCs/>
          <w:lang w:val="pt-BR"/>
        </w:rPr>
      </w:pPr>
    </w:p>
    <w:p w14:paraId="79C9B128" w14:textId="4F9AF5B3" w:rsidR="003F338D" w:rsidRPr="007615FA" w:rsidRDefault="003F338D" w:rsidP="007615FA">
      <w:pPr>
        <w:ind w:firstLine="709"/>
        <w:jc w:val="both"/>
        <w:rPr>
          <w:rFonts w:ascii="Arial" w:hAnsi="Arial" w:cs="Arial"/>
          <w:lang w:val="en-US"/>
        </w:rPr>
      </w:pPr>
      <w:r w:rsidRPr="007615FA">
        <w:rPr>
          <w:rFonts w:ascii="Arial" w:hAnsi="Arial" w:cs="Arial"/>
          <w:lang w:val="en-US"/>
        </w:rPr>
        <w:t>The exploratory analysis showed the problem in the data: enforcement, commodity prices, transfers</w:t>
      </w:r>
      <w:r w:rsidRPr="007615FA">
        <w:rPr>
          <w:rFonts w:ascii="Arial" w:hAnsi="Arial" w:cs="Arial"/>
          <w:lang w:val="en-US"/>
        </w:rPr>
        <w:t>, and</w:t>
      </w:r>
      <w:r w:rsidRPr="007615FA">
        <w:rPr>
          <w:rFonts w:ascii="Arial" w:hAnsi="Arial" w:cs="Arial"/>
          <w:lang w:val="en-US"/>
        </w:rPr>
        <w:t xml:space="preserve"> wages all moved inside the same window. The econometric literature attributes most of the 2005 to 2012 decline to enforcement</w:t>
      </w:r>
      <w:r w:rsidRPr="007615FA">
        <w:rPr>
          <w:rFonts w:ascii="Arial" w:hAnsi="Arial" w:cs="Arial"/>
          <w:lang w:val="en-US"/>
        </w:rPr>
        <w:t xml:space="preserve"> of environmental policies</w:t>
      </w:r>
      <w:r w:rsidRPr="007615FA">
        <w:rPr>
          <w:rFonts w:ascii="Arial" w:hAnsi="Arial" w:cs="Arial"/>
          <w:lang w:val="en-US"/>
        </w:rPr>
        <w:t xml:space="preserve"> and </w:t>
      </w:r>
      <w:r w:rsidRPr="007615FA">
        <w:rPr>
          <w:rFonts w:ascii="Arial" w:hAnsi="Arial" w:cs="Arial"/>
          <w:lang w:val="en-US"/>
        </w:rPr>
        <w:t xml:space="preserve">commodity </w:t>
      </w:r>
      <w:r w:rsidRPr="007615FA">
        <w:rPr>
          <w:rFonts w:ascii="Arial" w:hAnsi="Arial" w:cs="Arial"/>
          <w:lang w:val="en-US"/>
        </w:rPr>
        <w:t xml:space="preserve">prices. Cash transfers and the minimum wage are not in that canonical list. A </w:t>
      </w:r>
      <w:proofErr w:type="gramStart"/>
      <w:r w:rsidRPr="007615FA">
        <w:rPr>
          <w:rFonts w:ascii="Arial" w:hAnsi="Arial" w:cs="Arial"/>
          <w:lang w:val="en-US"/>
        </w:rPr>
        <w:t>direct-effect</w:t>
      </w:r>
      <w:proofErr w:type="gramEnd"/>
      <w:r w:rsidRPr="007615FA">
        <w:rPr>
          <w:rFonts w:ascii="Arial" w:hAnsi="Arial" w:cs="Arial"/>
          <w:lang w:val="en-US"/>
        </w:rPr>
        <w:t xml:space="preserve"> claim for social policy therefore fights a strong prior and a set of simultaneous confounders at once, and some of those confounders are not in the panel at all. Credit conditionality is the most dangerous one, because its </w:t>
      </w:r>
      <w:r w:rsidRPr="007615FA">
        <w:rPr>
          <w:rFonts w:ascii="Arial" w:hAnsi="Arial" w:cs="Arial"/>
          <w:lang w:val="en-US"/>
        </w:rPr>
        <w:t>impact</w:t>
      </w:r>
      <w:r w:rsidRPr="007615FA">
        <w:rPr>
          <w:rFonts w:ascii="Arial" w:hAnsi="Arial" w:cs="Arial"/>
          <w:lang w:val="en-US"/>
        </w:rPr>
        <w:t xml:space="preserve"> varied across municipalities, so year fixed effects do not absorb it.</w:t>
      </w:r>
      <w:r w:rsidRPr="007615FA">
        <w:rPr>
          <w:rFonts w:ascii="Arial" w:hAnsi="Arial" w:cs="Arial"/>
          <w:lang w:val="en-US"/>
        </w:rPr>
        <w:t xml:space="preserve"> Because of that limitation, we don’t test H2 and H3, which are related to the direct effect of social policies on deforestation.</w:t>
      </w:r>
    </w:p>
    <w:p w14:paraId="3FDDD4F5" w14:textId="28DE168F" w:rsidR="003F338D" w:rsidRPr="007615FA" w:rsidRDefault="003F338D" w:rsidP="007615FA">
      <w:pPr>
        <w:ind w:firstLine="709"/>
        <w:jc w:val="both"/>
        <w:rPr>
          <w:rFonts w:ascii="Arial" w:hAnsi="Arial" w:cs="Arial"/>
          <w:lang w:val="en-US"/>
        </w:rPr>
      </w:pPr>
      <w:r w:rsidRPr="007615FA">
        <w:rPr>
          <w:rFonts w:ascii="Arial" w:hAnsi="Arial" w:cs="Arial"/>
          <w:lang w:val="en-US"/>
        </w:rPr>
        <w:t>H1 and H4</w:t>
      </w:r>
      <w:r w:rsidRPr="007615FA">
        <w:rPr>
          <w:rFonts w:ascii="Arial" w:hAnsi="Arial" w:cs="Arial"/>
          <w:lang w:val="en-US"/>
        </w:rPr>
        <w:t>, in their turn,</w:t>
      </w:r>
      <w:r w:rsidRPr="007615FA">
        <w:rPr>
          <w:rFonts w:ascii="Arial" w:hAnsi="Arial" w:cs="Arial"/>
          <w:lang w:val="en-US"/>
        </w:rPr>
        <w:t xml:space="preserve"> do not say that Bolsa Família moved deforestation on its own. They say that the effect of enforcement depends on the social conditions it lands on. That is a heterogeneity question. It asks whether the listing effect was larger where social protection was stronger at baseline</w:t>
      </w:r>
      <w:r w:rsidRPr="007615FA">
        <w:rPr>
          <w:rFonts w:ascii="Arial" w:hAnsi="Arial" w:cs="Arial"/>
          <w:lang w:val="en-US"/>
        </w:rPr>
        <w:t>.</w:t>
      </w:r>
      <w:r w:rsidRPr="007615FA">
        <w:rPr>
          <w:rFonts w:ascii="Arial" w:hAnsi="Arial" w:cs="Arial"/>
          <w:lang w:val="en-US"/>
        </w:rPr>
        <w:t xml:space="preserve"> </w:t>
      </w:r>
      <w:r w:rsidRPr="007615FA">
        <w:rPr>
          <w:rFonts w:ascii="Arial" w:hAnsi="Arial" w:cs="Arial"/>
          <w:lang w:val="en-US"/>
        </w:rPr>
        <w:t xml:space="preserve">A </w:t>
      </w:r>
      <w:r w:rsidRPr="007615FA">
        <w:rPr>
          <w:rFonts w:ascii="Arial" w:hAnsi="Arial" w:cs="Arial"/>
          <w:lang w:val="en-US"/>
        </w:rPr>
        <w:t xml:space="preserve">heterogeneity contrast differences out everything that hit both groups alike, including the confounders the panel does not measure, </w:t>
      </w:r>
      <w:proofErr w:type="gramStart"/>
      <w:r w:rsidRPr="007615FA">
        <w:rPr>
          <w:rFonts w:ascii="Arial" w:hAnsi="Arial" w:cs="Arial"/>
          <w:lang w:val="en-US"/>
        </w:rPr>
        <w:t>as long as</w:t>
      </w:r>
      <w:proofErr w:type="gramEnd"/>
      <w:r w:rsidRPr="007615FA">
        <w:rPr>
          <w:rFonts w:ascii="Arial" w:hAnsi="Arial" w:cs="Arial"/>
          <w:lang w:val="en-US"/>
        </w:rPr>
        <w:t xml:space="preserve"> their incidence does not track the moderator.</w:t>
      </w:r>
      <w:r w:rsidRPr="007615FA">
        <w:rPr>
          <w:rFonts w:ascii="Arial" w:hAnsi="Arial" w:cs="Arial"/>
          <w:lang w:val="en-US"/>
        </w:rPr>
        <w:t xml:space="preserve"> </w:t>
      </w:r>
      <w:r w:rsidRPr="007615FA">
        <w:rPr>
          <w:rFonts w:ascii="Arial" w:hAnsi="Arial" w:cs="Arial"/>
          <w:lang w:val="en-US"/>
        </w:rPr>
        <w:t xml:space="preserve">The </w:t>
      </w:r>
      <w:r w:rsidRPr="007615FA">
        <w:rPr>
          <w:rFonts w:ascii="Arial" w:hAnsi="Arial" w:cs="Arial"/>
          <w:lang w:val="en-US"/>
        </w:rPr>
        <w:t xml:space="preserve">route to do that </w:t>
      </w:r>
      <w:r w:rsidRPr="007615FA">
        <w:rPr>
          <w:rFonts w:ascii="Arial" w:hAnsi="Arial" w:cs="Arial"/>
          <w:lang w:val="en-US"/>
        </w:rPr>
        <w:t>is to estimate the listing effect separately for high-</w:t>
      </w:r>
      <w:r w:rsidRPr="007615FA">
        <w:rPr>
          <w:rFonts w:ascii="Arial" w:hAnsi="Arial" w:cs="Arial"/>
          <w:lang w:val="en-US"/>
        </w:rPr>
        <w:t>BF-</w:t>
      </w:r>
      <w:r w:rsidRPr="007615FA">
        <w:rPr>
          <w:rFonts w:ascii="Arial" w:hAnsi="Arial" w:cs="Arial"/>
          <w:lang w:val="en-US"/>
        </w:rPr>
        <w:t>coverage and low-</w:t>
      </w:r>
      <w:r w:rsidRPr="007615FA">
        <w:rPr>
          <w:rFonts w:ascii="Arial" w:hAnsi="Arial" w:cs="Arial"/>
          <w:lang w:val="en-US"/>
        </w:rPr>
        <w:t>BF-</w:t>
      </w:r>
      <w:r w:rsidRPr="007615FA">
        <w:rPr>
          <w:rFonts w:ascii="Arial" w:hAnsi="Arial" w:cs="Arial"/>
          <w:lang w:val="en-US"/>
        </w:rPr>
        <w:t>coverage strata with the Callaway and Sant'Anna estimator and test the difference between the two ATTs. That stratified design is the chapter's center.</w:t>
      </w:r>
    </w:p>
    <w:p w14:paraId="4CD59E15" w14:textId="77777777" w:rsidR="009B6DE4" w:rsidRPr="007615FA" w:rsidRDefault="009B6DE4" w:rsidP="007615FA">
      <w:pPr>
        <w:ind w:firstLine="709"/>
        <w:jc w:val="both"/>
        <w:rPr>
          <w:rFonts w:ascii="Arial" w:hAnsi="Arial" w:cs="Arial"/>
          <w:lang w:val="en-US"/>
        </w:rPr>
      </w:pPr>
    </w:p>
    <w:p w14:paraId="6EB0EEF7" w14:textId="2E2F921A" w:rsidR="003F338D" w:rsidRPr="007615FA" w:rsidRDefault="003F338D" w:rsidP="007615FA">
      <w:pPr>
        <w:pStyle w:val="ListParagraph"/>
        <w:numPr>
          <w:ilvl w:val="1"/>
          <w:numId w:val="6"/>
        </w:numPr>
        <w:jc w:val="both"/>
        <w:rPr>
          <w:rFonts w:ascii="Arial" w:hAnsi="Arial" w:cs="Arial"/>
          <w:b/>
          <w:bCs/>
          <w:lang w:val="en-US"/>
        </w:rPr>
      </w:pPr>
      <w:r w:rsidRPr="007615FA">
        <w:rPr>
          <w:rFonts w:ascii="Arial" w:hAnsi="Arial" w:cs="Arial"/>
          <w:b/>
          <w:bCs/>
          <w:lang w:val="en-US"/>
        </w:rPr>
        <w:t xml:space="preserve"> </w:t>
      </w:r>
      <w:r w:rsidRPr="007615FA">
        <w:rPr>
          <w:rFonts w:ascii="Arial" w:hAnsi="Arial" w:cs="Arial"/>
          <w:b/>
          <w:bCs/>
          <w:lang w:val="en-US"/>
        </w:rPr>
        <w:t>T</w:t>
      </w:r>
      <w:r w:rsidRPr="007615FA">
        <w:rPr>
          <w:rFonts w:ascii="Arial" w:hAnsi="Arial" w:cs="Arial"/>
          <w:b/>
          <w:bCs/>
          <w:lang w:val="en-US"/>
        </w:rPr>
        <w:t>reatment and selection problem</w:t>
      </w:r>
    </w:p>
    <w:p w14:paraId="14CC6E19" w14:textId="287125F3" w:rsidR="003F338D" w:rsidRPr="007615FA" w:rsidRDefault="003F338D" w:rsidP="007615FA">
      <w:pPr>
        <w:ind w:firstLine="709"/>
        <w:jc w:val="both"/>
        <w:rPr>
          <w:rFonts w:ascii="Arial" w:hAnsi="Arial" w:cs="Arial"/>
          <w:lang w:val="en-US"/>
        </w:rPr>
      </w:pPr>
      <w:r w:rsidRPr="007615FA">
        <w:rPr>
          <w:rFonts w:ascii="Arial" w:hAnsi="Arial" w:cs="Arial"/>
          <w:b/>
          <w:bCs/>
          <w:lang w:val="en-US"/>
        </w:rPr>
        <w:t>Figure 7</w:t>
      </w:r>
      <w:r w:rsidRPr="007615FA">
        <w:rPr>
          <w:rFonts w:ascii="Arial" w:hAnsi="Arial" w:cs="Arial"/>
          <w:lang w:val="en-US"/>
        </w:rPr>
        <w:t xml:space="preserve"> shows every listed municipality's normalized </w:t>
      </w:r>
      <w:proofErr w:type="spellStart"/>
      <w:r w:rsidRPr="007615FA">
        <w:rPr>
          <w:rFonts w:ascii="Arial" w:hAnsi="Arial" w:cs="Arial"/>
          <w:lang w:val="en-US"/>
        </w:rPr>
        <w:t>deforestation</w:t>
      </w:r>
      <w:r w:rsidRPr="007615FA">
        <w:rPr>
          <w:rFonts w:ascii="Arial" w:hAnsi="Arial" w:cs="Arial"/>
          <w:lang w:val="en-US"/>
        </w:rPr>
        <w:t>n</w:t>
      </w:r>
      <w:proofErr w:type="spellEnd"/>
      <w:r w:rsidRPr="007615FA">
        <w:rPr>
          <w:rFonts w:ascii="Arial" w:hAnsi="Arial" w:cs="Arial"/>
          <w:lang w:val="en-US"/>
        </w:rPr>
        <w:t xml:space="preserve"> in event time, by entry cohort and exit status. The figure carries </w:t>
      </w:r>
      <w:r w:rsidR="00F275DB" w:rsidRPr="007615FA">
        <w:rPr>
          <w:rFonts w:ascii="Arial" w:hAnsi="Arial" w:cs="Arial"/>
          <w:lang w:val="en-US"/>
        </w:rPr>
        <w:t>two</w:t>
      </w:r>
      <w:r w:rsidRPr="007615FA">
        <w:rPr>
          <w:rFonts w:ascii="Arial" w:hAnsi="Arial" w:cs="Arial"/>
          <w:lang w:val="en-US"/>
        </w:rPr>
        <w:t xml:space="preserve"> lessons that discipline the design.</w:t>
      </w:r>
    </w:p>
    <w:p w14:paraId="3B5B3BF0" w14:textId="77777777" w:rsidR="009B6DE4" w:rsidRPr="007615FA" w:rsidRDefault="009B6DE4" w:rsidP="007615FA">
      <w:pPr>
        <w:ind w:firstLine="709"/>
        <w:jc w:val="both"/>
        <w:rPr>
          <w:rFonts w:ascii="Arial" w:hAnsi="Arial" w:cs="Arial"/>
          <w:lang w:val="en-US"/>
        </w:rPr>
      </w:pPr>
    </w:p>
    <w:p w14:paraId="2CFDAF93" w14:textId="77777777" w:rsidR="00F275DB" w:rsidRDefault="00F275DB" w:rsidP="007615FA">
      <w:pPr>
        <w:ind w:firstLine="709"/>
        <w:jc w:val="both"/>
        <w:rPr>
          <w:rFonts w:ascii="Arial" w:hAnsi="Arial" w:cs="Arial"/>
          <w:lang w:val="en-US"/>
        </w:rPr>
      </w:pPr>
    </w:p>
    <w:p w14:paraId="5A5A8C32" w14:textId="77777777" w:rsidR="00277886" w:rsidRDefault="00277886" w:rsidP="007615FA">
      <w:pPr>
        <w:ind w:firstLine="709"/>
        <w:jc w:val="both"/>
        <w:rPr>
          <w:rFonts w:ascii="Arial" w:hAnsi="Arial" w:cs="Arial"/>
          <w:lang w:val="en-US"/>
        </w:rPr>
      </w:pPr>
    </w:p>
    <w:p w14:paraId="3564F6FE" w14:textId="77777777" w:rsidR="00277886" w:rsidRDefault="00277886" w:rsidP="007615FA">
      <w:pPr>
        <w:ind w:firstLine="709"/>
        <w:jc w:val="both"/>
        <w:rPr>
          <w:rFonts w:ascii="Arial" w:hAnsi="Arial" w:cs="Arial"/>
          <w:lang w:val="en-US"/>
        </w:rPr>
      </w:pPr>
    </w:p>
    <w:p w14:paraId="0A073F88" w14:textId="77777777" w:rsidR="00277886" w:rsidRDefault="00277886" w:rsidP="007615FA">
      <w:pPr>
        <w:ind w:firstLine="709"/>
        <w:jc w:val="both"/>
        <w:rPr>
          <w:rFonts w:ascii="Arial" w:hAnsi="Arial" w:cs="Arial"/>
          <w:lang w:val="en-US"/>
        </w:rPr>
      </w:pPr>
    </w:p>
    <w:p w14:paraId="19AEE728" w14:textId="77777777" w:rsidR="00277886" w:rsidRDefault="00277886" w:rsidP="007615FA">
      <w:pPr>
        <w:ind w:firstLine="709"/>
        <w:jc w:val="both"/>
        <w:rPr>
          <w:rFonts w:ascii="Arial" w:hAnsi="Arial" w:cs="Arial"/>
          <w:lang w:val="en-US"/>
        </w:rPr>
      </w:pPr>
    </w:p>
    <w:p w14:paraId="5B0568B1" w14:textId="77777777" w:rsidR="00277886" w:rsidRPr="007615FA" w:rsidRDefault="00277886" w:rsidP="007615FA">
      <w:pPr>
        <w:ind w:firstLine="709"/>
        <w:jc w:val="both"/>
        <w:rPr>
          <w:rFonts w:ascii="Arial" w:hAnsi="Arial" w:cs="Arial"/>
          <w:lang w:val="en-US"/>
        </w:rPr>
      </w:pPr>
    </w:p>
    <w:p w14:paraId="4E1F9305" w14:textId="77777777" w:rsidR="00F275DB" w:rsidRPr="007615FA" w:rsidRDefault="00F275DB" w:rsidP="007615FA">
      <w:pPr>
        <w:ind w:firstLine="709"/>
        <w:jc w:val="both"/>
        <w:rPr>
          <w:rFonts w:ascii="Arial" w:hAnsi="Arial" w:cs="Arial"/>
          <w:lang w:val="en-US"/>
        </w:rPr>
      </w:pPr>
    </w:p>
    <w:p w14:paraId="484BD120" w14:textId="77777777" w:rsidR="00F275DB" w:rsidRPr="007615FA" w:rsidRDefault="00F275DB" w:rsidP="007615FA">
      <w:pPr>
        <w:ind w:firstLine="709"/>
        <w:jc w:val="both"/>
        <w:rPr>
          <w:rFonts w:ascii="Arial" w:hAnsi="Arial" w:cs="Arial"/>
          <w:lang w:val="en-US"/>
        </w:rPr>
      </w:pPr>
    </w:p>
    <w:p w14:paraId="392D642C" w14:textId="6BE57DF1" w:rsidR="00F275DB" w:rsidRPr="007615FA" w:rsidRDefault="00F275DB" w:rsidP="00277886">
      <w:pPr>
        <w:ind w:firstLine="709"/>
        <w:jc w:val="center"/>
        <w:rPr>
          <w:rFonts w:ascii="Arial" w:hAnsi="Arial" w:cs="Arial"/>
          <w:b/>
          <w:bCs/>
          <w:lang w:val="en-US"/>
        </w:rPr>
      </w:pPr>
      <w:r w:rsidRPr="007615FA">
        <w:rPr>
          <w:rFonts w:ascii="Arial" w:hAnsi="Arial" w:cs="Arial"/>
          <w:b/>
          <w:bCs/>
          <w:lang w:val="en-US"/>
        </w:rPr>
        <w:lastRenderedPageBreak/>
        <w:t>Figure 7</w:t>
      </w:r>
    </w:p>
    <w:p w14:paraId="354441AC" w14:textId="6C20A843" w:rsidR="003F338D" w:rsidRPr="007615FA" w:rsidRDefault="00F275DB" w:rsidP="007615FA">
      <w:pPr>
        <w:jc w:val="both"/>
        <w:rPr>
          <w:rFonts w:ascii="Arial" w:hAnsi="Arial" w:cs="Arial"/>
          <w:lang w:val="en-US"/>
        </w:rPr>
      </w:pPr>
      <w:r w:rsidRPr="007615FA">
        <w:rPr>
          <w:rFonts w:ascii="Arial" w:hAnsi="Arial" w:cs="Arial"/>
          <w:noProof/>
          <w:lang w:val="en-US"/>
        </w:rPr>
        <w:drawing>
          <wp:inline distT="0" distB="0" distL="0" distR="0" wp14:anchorId="3BE409C7" wp14:editId="140E100A">
            <wp:extent cx="5943600" cy="4160520"/>
            <wp:effectExtent l="0" t="0" r="0" b="5080"/>
            <wp:docPr id="1839173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73652" name="Picture 18391736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16983F20" w14:textId="77777777" w:rsidR="003F338D" w:rsidRPr="007615FA" w:rsidRDefault="003F338D" w:rsidP="007615FA">
      <w:pPr>
        <w:jc w:val="both"/>
        <w:rPr>
          <w:rFonts w:ascii="Arial" w:hAnsi="Arial" w:cs="Arial"/>
          <w:lang w:val="en-US"/>
        </w:rPr>
      </w:pPr>
    </w:p>
    <w:p w14:paraId="7DBB4CA8" w14:textId="2DA64DA8" w:rsidR="00F275DB" w:rsidRPr="007615FA" w:rsidRDefault="003F338D" w:rsidP="007615FA">
      <w:pPr>
        <w:ind w:firstLine="720"/>
        <w:jc w:val="both"/>
        <w:rPr>
          <w:rFonts w:ascii="Arial" w:hAnsi="Arial" w:cs="Arial"/>
          <w:lang w:val="en-US"/>
        </w:rPr>
      </w:pPr>
      <w:r w:rsidRPr="007615FA">
        <w:rPr>
          <w:rFonts w:ascii="Arial" w:hAnsi="Arial" w:cs="Arial"/>
          <w:lang w:val="en-US"/>
        </w:rPr>
        <w:t>The first is who the treated are. Municipalities entered the list because their deforestation was critical, and the 2008 cohort shows it</w:t>
      </w:r>
      <w:r w:rsidR="00F275DB" w:rsidRPr="007615FA">
        <w:rPr>
          <w:rFonts w:ascii="Arial" w:hAnsi="Arial" w:cs="Arial"/>
          <w:lang w:val="en-US"/>
        </w:rPr>
        <w:t>, as the</w:t>
      </w:r>
      <w:r w:rsidRPr="007615FA">
        <w:rPr>
          <w:rFonts w:ascii="Arial" w:hAnsi="Arial" w:cs="Arial"/>
          <w:lang w:val="en-US"/>
        </w:rPr>
        <w:t xml:space="preserve"> paths rise toward the listing year and fall after it. Treatment was assigned on the outcome's recent dynamics. This is the central threat to a difference-in-differences reading. The design cannot remove this threat, only confront it, and the pre-trend diagnostics discussed below exist for that reason.</w:t>
      </w:r>
    </w:p>
    <w:p w14:paraId="35B326AA" w14:textId="77777777" w:rsidR="00F275DB" w:rsidRPr="007615FA" w:rsidRDefault="003F338D" w:rsidP="007615FA">
      <w:pPr>
        <w:ind w:firstLine="720"/>
        <w:jc w:val="both"/>
        <w:rPr>
          <w:rFonts w:ascii="Arial" w:hAnsi="Arial" w:cs="Arial"/>
          <w:lang w:val="en-US"/>
        </w:rPr>
      </w:pPr>
      <w:r w:rsidRPr="007615FA">
        <w:rPr>
          <w:rFonts w:ascii="Arial" w:hAnsi="Arial" w:cs="Arial"/>
          <w:lang w:val="en-US"/>
        </w:rPr>
        <w:t>The second is that the cohorts are not one population. The 2008 and 2009 entries, 43 municipalities, entered during the enforcement build-up and form the core treated group. The 2011 and 2012 entries are few, and the 2017 and 2018 re-listings belong to a different regime</w:t>
      </w:r>
      <w:r w:rsidR="00F275DB" w:rsidRPr="007615FA">
        <w:rPr>
          <w:rFonts w:ascii="Arial" w:hAnsi="Arial" w:cs="Arial"/>
          <w:lang w:val="en-US"/>
        </w:rPr>
        <w:t>,</w:t>
      </w:r>
      <w:r w:rsidRPr="007615FA">
        <w:rPr>
          <w:rFonts w:ascii="Arial" w:hAnsi="Arial" w:cs="Arial"/>
          <w:lang w:val="en-US"/>
        </w:rPr>
        <w:t xml:space="preserve"> they were listed while enforcement was weakening. Pooling them with the core cohorts would average effects from different policy environments, so the stratified analysis runs on the 2008 and 2009 cohorts</w:t>
      </w:r>
      <w:r w:rsidR="00F275DB" w:rsidRPr="007615FA">
        <w:rPr>
          <w:rFonts w:ascii="Arial" w:hAnsi="Arial" w:cs="Arial"/>
          <w:lang w:val="en-US"/>
        </w:rPr>
        <w:t xml:space="preserve">. </w:t>
      </w:r>
      <w:r w:rsidRPr="007615FA">
        <w:rPr>
          <w:rFonts w:ascii="Arial" w:hAnsi="Arial" w:cs="Arial"/>
          <w:lang w:val="en-US"/>
        </w:rPr>
        <w:t xml:space="preserve">Treatment timing always comes from the first year on the annual list. </w:t>
      </w:r>
    </w:p>
    <w:p w14:paraId="478CBF4C" w14:textId="77777777" w:rsidR="003F338D" w:rsidRPr="007615FA" w:rsidRDefault="003F338D" w:rsidP="007615FA">
      <w:pPr>
        <w:jc w:val="both"/>
        <w:rPr>
          <w:rFonts w:ascii="Arial" w:hAnsi="Arial" w:cs="Arial"/>
          <w:lang w:val="en-US"/>
        </w:rPr>
      </w:pPr>
    </w:p>
    <w:p w14:paraId="34386456" w14:textId="77777777" w:rsidR="003F338D" w:rsidRPr="007615FA" w:rsidRDefault="003F338D" w:rsidP="007615FA">
      <w:pPr>
        <w:jc w:val="both"/>
        <w:rPr>
          <w:rFonts w:ascii="Arial" w:hAnsi="Arial" w:cs="Arial"/>
          <w:lang w:val="en-US"/>
        </w:rPr>
      </w:pPr>
    </w:p>
    <w:p w14:paraId="726E0431" w14:textId="179F53AA" w:rsidR="003F338D" w:rsidRPr="007615FA" w:rsidRDefault="003F338D" w:rsidP="007615FA">
      <w:pPr>
        <w:pStyle w:val="ListParagraph"/>
        <w:numPr>
          <w:ilvl w:val="1"/>
          <w:numId w:val="6"/>
        </w:numPr>
        <w:jc w:val="both"/>
        <w:rPr>
          <w:rFonts w:ascii="Arial" w:hAnsi="Arial" w:cs="Arial"/>
          <w:b/>
          <w:bCs/>
          <w:lang w:val="en-US"/>
        </w:rPr>
      </w:pPr>
      <w:r w:rsidRPr="007615FA">
        <w:rPr>
          <w:rFonts w:ascii="Arial" w:hAnsi="Arial" w:cs="Arial"/>
          <w:b/>
          <w:bCs/>
          <w:lang w:val="en-US"/>
        </w:rPr>
        <w:lastRenderedPageBreak/>
        <w:t xml:space="preserve"> The moderator</w:t>
      </w:r>
    </w:p>
    <w:p w14:paraId="0138522C" w14:textId="4963C875" w:rsidR="003F338D" w:rsidRDefault="003F338D" w:rsidP="007615FA">
      <w:pPr>
        <w:ind w:firstLine="709"/>
        <w:jc w:val="both"/>
        <w:rPr>
          <w:rFonts w:ascii="Arial" w:hAnsi="Arial" w:cs="Arial"/>
          <w:lang w:val="en-US"/>
        </w:rPr>
      </w:pPr>
      <w:r w:rsidRPr="007615FA">
        <w:rPr>
          <w:rFonts w:ascii="Arial" w:hAnsi="Arial" w:cs="Arial"/>
          <w:b/>
          <w:bCs/>
          <w:lang w:val="en-US"/>
        </w:rPr>
        <w:t>Figure 9</w:t>
      </w:r>
      <w:r w:rsidRPr="007615FA">
        <w:rPr>
          <w:rFonts w:ascii="Arial" w:hAnsi="Arial" w:cs="Arial"/>
          <w:lang w:val="en-US"/>
        </w:rPr>
        <w:t xml:space="preserve"> maps </w:t>
      </w:r>
      <w:r w:rsidR="00F275DB" w:rsidRPr="007615FA">
        <w:rPr>
          <w:rFonts w:ascii="Arial" w:hAnsi="Arial" w:cs="Arial"/>
          <w:lang w:val="en-US"/>
        </w:rPr>
        <w:t xml:space="preserve">BF </w:t>
      </w:r>
      <w:r w:rsidRPr="007615FA">
        <w:rPr>
          <w:rFonts w:ascii="Arial" w:hAnsi="Arial" w:cs="Arial"/>
          <w:lang w:val="en-US"/>
        </w:rPr>
        <w:t>coverage relative to the administrative quota across the sample at its 2006 to 2007 baseline. Coverage varies widely and its geography does not reproduce the deforestation frontier, which is the first hint that it measures something other than structure.</w:t>
      </w:r>
    </w:p>
    <w:p w14:paraId="3A3434E1" w14:textId="77777777" w:rsidR="00277886" w:rsidRPr="007615FA" w:rsidRDefault="00277886" w:rsidP="007615FA">
      <w:pPr>
        <w:ind w:firstLine="709"/>
        <w:jc w:val="both"/>
        <w:rPr>
          <w:rFonts w:ascii="Arial" w:hAnsi="Arial" w:cs="Arial"/>
          <w:lang w:val="en-US"/>
        </w:rPr>
      </w:pPr>
    </w:p>
    <w:p w14:paraId="701762B8" w14:textId="512CE409" w:rsidR="003F338D" w:rsidRPr="007615FA" w:rsidRDefault="00C556D2" w:rsidP="00277886">
      <w:pPr>
        <w:jc w:val="center"/>
        <w:rPr>
          <w:rFonts w:ascii="Arial" w:hAnsi="Arial" w:cs="Arial"/>
          <w:b/>
          <w:bCs/>
          <w:lang w:val="en-US"/>
        </w:rPr>
      </w:pPr>
      <w:r w:rsidRPr="007615FA">
        <w:rPr>
          <w:rFonts w:ascii="Arial" w:hAnsi="Arial" w:cs="Arial"/>
          <w:b/>
          <w:bCs/>
          <w:lang w:val="en-US"/>
        </w:rPr>
        <w:t>Figure 9</w:t>
      </w:r>
    </w:p>
    <w:p w14:paraId="46057ECF" w14:textId="06FE275A" w:rsidR="00C556D2" w:rsidRPr="007615FA" w:rsidRDefault="00C556D2" w:rsidP="007615FA">
      <w:pPr>
        <w:jc w:val="both"/>
        <w:rPr>
          <w:rFonts w:ascii="Arial" w:hAnsi="Arial" w:cs="Arial"/>
          <w:lang w:val="en-US"/>
        </w:rPr>
      </w:pPr>
      <w:r w:rsidRPr="007615FA">
        <w:rPr>
          <w:rFonts w:ascii="Arial" w:hAnsi="Arial" w:cs="Arial"/>
          <w:noProof/>
          <w:lang w:val="en-US"/>
        </w:rPr>
        <w:drawing>
          <wp:inline distT="0" distB="0" distL="0" distR="0" wp14:anchorId="5F3861FD" wp14:editId="1EC03F8F">
            <wp:extent cx="5943600" cy="5283200"/>
            <wp:effectExtent l="0" t="0" r="0" b="0"/>
            <wp:docPr id="595712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12757" name="Picture 5957127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283200"/>
                    </a:xfrm>
                    <a:prstGeom prst="rect">
                      <a:avLst/>
                    </a:prstGeom>
                  </pic:spPr>
                </pic:pic>
              </a:graphicData>
            </a:graphic>
          </wp:inline>
        </w:drawing>
      </w:r>
    </w:p>
    <w:p w14:paraId="4C331E96" w14:textId="73759D85" w:rsidR="003F338D" w:rsidRPr="007615FA" w:rsidRDefault="003F338D" w:rsidP="007615FA">
      <w:pPr>
        <w:ind w:firstLine="720"/>
        <w:jc w:val="both"/>
        <w:rPr>
          <w:rFonts w:ascii="Arial" w:hAnsi="Arial" w:cs="Arial"/>
          <w:lang w:val="en-US"/>
        </w:rPr>
      </w:pPr>
      <w:r w:rsidRPr="007615FA">
        <w:rPr>
          <w:rFonts w:ascii="Arial" w:hAnsi="Arial" w:cs="Arial"/>
          <w:b/>
          <w:bCs/>
          <w:lang w:val="en-US"/>
        </w:rPr>
        <w:t>Figure 10</w:t>
      </w:r>
      <w:r w:rsidRPr="007615FA">
        <w:rPr>
          <w:rFonts w:ascii="Arial" w:hAnsi="Arial" w:cs="Arial"/>
          <w:lang w:val="en-US"/>
        </w:rPr>
        <w:t xml:space="preserve"> </w:t>
      </w:r>
      <w:r w:rsidR="00C556D2" w:rsidRPr="007615FA">
        <w:rPr>
          <w:rFonts w:ascii="Arial" w:hAnsi="Arial" w:cs="Arial"/>
          <w:lang w:val="en-US"/>
        </w:rPr>
        <w:t>shows that, a</w:t>
      </w:r>
      <w:r w:rsidRPr="007615FA">
        <w:rPr>
          <w:rFonts w:ascii="Arial" w:hAnsi="Arial" w:cs="Arial"/>
          <w:lang w:val="en-US"/>
        </w:rPr>
        <w:t xml:space="preserve">mong the candidate moderators, transfers per capita correlate with baseline deforestation at −0.35 in the estimation sample. The families-to-quota ratio correlates at 0.06. Baseline deforestation is the variable that drove selection into treatment, so a moderator correlated with it would </w:t>
      </w:r>
      <w:r w:rsidR="00C556D2" w:rsidRPr="007615FA">
        <w:rPr>
          <w:rFonts w:ascii="Arial" w:hAnsi="Arial" w:cs="Arial"/>
          <w:lang w:val="en-US"/>
        </w:rPr>
        <w:t>bias</w:t>
      </w:r>
      <w:r w:rsidRPr="007615FA">
        <w:rPr>
          <w:rFonts w:ascii="Arial" w:hAnsi="Arial" w:cs="Arial"/>
          <w:lang w:val="en-US"/>
        </w:rPr>
        <w:t xml:space="preserve"> the strata with treatment assignment itself</w:t>
      </w:r>
      <w:r w:rsidR="00C556D2" w:rsidRPr="007615FA">
        <w:rPr>
          <w:rFonts w:ascii="Arial" w:hAnsi="Arial" w:cs="Arial"/>
          <w:lang w:val="en-US"/>
        </w:rPr>
        <w:t>. T</w:t>
      </w:r>
      <w:r w:rsidRPr="007615FA">
        <w:rPr>
          <w:rFonts w:ascii="Arial" w:hAnsi="Arial" w:cs="Arial"/>
          <w:lang w:val="en-US"/>
        </w:rPr>
        <w:t xml:space="preserve">he coverage ratio is the candidate that stays out of that trap. It is also </w:t>
      </w:r>
      <w:r w:rsidRPr="007615FA">
        <w:rPr>
          <w:rFonts w:ascii="Arial" w:hAnsi="Arial" w:cs="Arial"/>
          <w:lang w:val="en-US"/>
        </w:rPr>
        <w:lastRenderedPageBreak/>
        <w:t xml:space="preserve">the better measure of the theoretical construct. H1, H4, and Mechanism 3 are about provision relative to need, how completely the program reaches its eligible population, not about how much money flows to a poor place. Panel A of </w:t>
      </w:r>
      <w:r w:rsidRPr="007615FA">
        <w:rPr>
          <w:rFonts w:ascii="Arial" w:hAnsi="Arial" w:cs="Arial"/>
          <w:b/>
          <w:bCs/>
          <w:lang w:val="en-US"/>
        </w:rPr>
        <w:t>Figure 10</w:t>
      </w:r>
      <w:r w:rsidRPr="007615FA">
        <w:rPr>
          <w:rFonts w:ascii="Arial" w:hAnsi="Arial" w:cs="Arial"/>
          <w:lang w:val="en-US"/>
        </w:rPr>
        <w:t xml:space="preserve"> shows the distribution among the 43 core treated municipalities. The median is 0.96, and the split at the median gives 21 high-coverage and 22 low-coverage treated units, a balanced contrast.</w:t>
      </w:r>
    </w:p>
    <w:p w14:paraId="02BA05B4" w14:textId="77777777" w:rsidR="003F338D" w:rsidRPr="007615FA" w:rsidRDefault="003F338D" w:rsidP="007615FA">
      <w:pPr>
        <w:jc w:val="both"/>
        <w:rPr>
          <w:rFonts w:ascii="Arial" w:hAnsi="Arial" w:cs="Arial"/>
          <w:lang w:val="en-US"/>
        </w:rPr>
      </w:pPr>
    </w:p>
    <w:p w14:paraId="66869583" w14:textId="0189AA17" w:rsidR="00C556D2" w:rsidRPr="007615FA" w:rsidRDefault="00C556D2" w:rsidP="00277886">
      <w:pPr>
        <w:jc w:val="center"/>
        <w:rPr>
          <w:rFonts w:ascii="Arial" w:hAnsi="Arial" w:cs="Arial"/>
          <w:b/>
          <w:bCs/>
          <w:lang w:val="en-US"/>
        </w:rPr>
      </w:pPr>
      <w:r w:rsidRPr="007615FA">
        <w:rPr>
          <w:rFonts w:ascii="Arial" w:hAnsi="Arial" w:cs="Arial"/>
          <w:b/>
          <w:bCs/>
          <w:lang w:val="en-US"/>
        </w:rPr>
        <w:t>Figure 11</w:t>
      </w:r>
    </w:p>
    <w:p w14:paraId="784ABF75" w14:textId="1F1CD320" w:rsidR="00C556D2" w:rsidRPr="007615FA" w:rsidRDefault="00C556D2" w:rsidP="007615FA">
      <w:pPr>
        <w:jc w:val="both"/>
        <w:rPr>
          <w:rFonts w:ascii="Arial" w:hAnsi="Arial" w:cs="Arial"/>
          <w:lang w:val="en-US"/>
        </w:rPr>
      </w:pPr>
      <w:r w:rsidRPr="007615FA">
        <w:rPr>
          <w:rFonts w:ascii="Arial" w:hAnsi="Arial" w:cs="Arial"/>
          <w:noProof/>
          <w:lang w:val="en-US"/>
        </w:rPr>
        <w:drawing>
          <wp:inline distT="0" distB="0" distL="0" distR="0" wp14:anchorId="2FDC335D" wp14:editId="0DA56FD7">
            <wp:extent cx="5943600" cy="5283200"/>
            <wp:effectExtent l="0" t="0" r="0" b="0"/>
            <wp:docPr id="15255786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8663" name="Picture 15255786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283200"/>
                    </a:xfrm>
                    <a:prstGeom prst="rect">
                      <a:avLst/>
                    </a:prstGeom>
                  </pic:spPr>
                </pic:pic>
              </a:graphicData>
            </a:graphic>
          </wp:inline>
        </w:drawing>
      </w:r>
    </w:p>
    <w:p w14:paraId="12E1082D" w14:textId="77777777" w:rsidR="003F338D" w:rsidRPr="007615FA" w:rsidRDefault="003F338D" w:rsidP="007615FA">
      <w:pPr>
        <w:jc w:val="both"/>
        <w:rPr>
          <w:rFonts w:ascii="Arial" w:hAnsi="Arial" w:cs="Arial"/>
          <w:lang w:val="en-US"/>
        </w:rPr>
      </w:pPr>
    </w:p>
    <w:p w14:paraId="4BDD4566" w14:textId="77777777" w:rsidR="009B6DE4" w:rsidRDefault="009B6DE4" w:rsidP="007615FA">
      <w:pPr>
        <w:jc w:val="both"/>
        <w:rPr>
          <w:rFonts w:ascii="Arial" w:hAnsi="Arial" w:cs="Arial"/>
          <w:lang w:val="en-US"/>
        </w:rPr>
      </w:pPr>
    </w:p>
    <w:p w14:paraId="6CCF64A1" w14:textId="77777777" w:rsidR="00277886" w:rsidRPr="007615FA" w:rsidRDefault="00277886" w:rsidP="007615FA">
      <w:pPr>
        <w:jc w:val="both"/>
        <w:rPr>
          <w:rFonts w:ascii="Arial" w:hAnsi="Arial" w:cs="Arial"/>
          <w:lang w:val="en-US"/>
        </w:rPr>
      </w:pPr>
    </w:p>
    <w:p w14:paraId="086A9204" w14:textId="77777777" w:rsidR="009B6DE4" w:rsidRPr="007615FA" w:rsidRDefault="009B6DE4" w:rsidP="007615FA">
      <w:pPr>
        <w:jc w:val="both"/>
        <w:rPr>
          <w:rFonts w:ascii="Arial" w:hAnsi="Arial" w:cs="Arial"/>
          <w:lang w:val="en-US"/>
        </w:rPr>
      </w:pPr>
    </w:p>
    <w:p w14:paraId="43AAAD87" w14:textId="22E325B5" w:rsidR="003F338D" w:rsidRPr="007615FA" w:rsidRDefault="003F338D" w:rsidP="007615FA">
      <w:pPr>
        <w:pStyle w:val="ListParagraph"/>
        <w:numPr>
          <w:ilvl w:val="1"/>
          <w:numId w:val="6"/>
        </w:numPr>
        <w:jc w:val="both"/>
        <w:rPr>
          <w:rFonts w:ascii="Arial" w:hAnsi="Arial" w:cs="Arial"/>
          <w:b/>
          <w:bCs/>
          <w:lang w:val="en-US"/>
        </w:rPr>
      </w:pPr>
      <w:r w:rsidRPr="007615FA">
        <w:rPr>
          <w:rFonts w:ascii="Arial" w:hAnsi="Arial" w:cs="Arial"/>
          <w:lang w:val="en-US"/>
        </w:rPr>
        <w:lastRenderedPageBreak/>
        <w:t xml:space="preserve"> </w:t>
      </w:r>
      <w:r w:rsidRPr="007615FA">
        <w:rPr>
          <w:rFonts w:ascii="Arial" w:hAnsi="Arial" w:cs="Arial"/>
          <w:b/>
          <w:bCs/>
          <w:lang w:val="en-US"/>
        </w:rPr>
        <w:t>The stratified design</w:t>
      </w:r>
    </w:p>
    <w:p w14:paraId="5E88807D" w14:textId="77777777" w:rsidR="00277886" w:rsidRDefault="003F338D" w:rsidP="00277886">
      <w:pPr>
        <w:ind w:firstLine="709"/>
        <w:jc w:val="both"/>
        <w:rPr>
          <w:rFonts w:ascii="Arial" w:hAnsi="Arial" w:cs="Arial"/>
          <w:lang w:val="en-US"/>
        </w:rPr>
      </w:pPr>
      <w:r w:rsidRPr="007615FA">
        <w:rPr>
          <w:rFonts w:ascii="Arial" w:hAnsi="Arial" w:cs="Arial"/>
          <w:lang w:val="en-US"/>
        </w:rPr>
        <w:t xml:space="preserve">The pieces assemble as follows. Within each coverage stratum, the Callaway and Sant'Anna estimator </w:t>
      </w:r>
      <w:proofErr w:type="gramStart"/>
      <w:r w:rsidRPr="007615FA">
        <w:rPr>
          <w:rFonts w:ascii="Arial" w:hAnsi="Arial" w:cs="Arial"/>
          <w:lang w:val="en-US"/>
        </w:rPr>
        <w:t>compares</w:t>
      </w:r>
      <w:proofErr w:type="gramEnd"/>
      <w:r w:rsidRPr="007615FA">
        <w:rPr>
          <w:rFonts w:ascii="Arial" w:hAnsi="Arial" w:cs="Arial"/>
          <w:lang w:val="en-US"/>
        </w:rPr>
        <w:t xml:space="preserve"> listed municipalities to the never-listed and not-yet-listed at-risk pool in the same stratum, cohort by cohort and year by year, and aggregates to one ATT per stratum. Each stratum contains its own treated and control units, so the comparison is always between similar-coverage places with and without the treatment. The moderation test is the difference between the two stratum ATTs. Estimation runs on the at-risk narrow sample with the normalized outcome, on windows ending in 2010 and 2012, with baseline covariates entering through the estimator's doubly robust adjustment. Standard errors cluster by municipality.</w:t>
      </w:r>
    </w:p>
    <w:p w14:paraId="69AF54DA" w14:textId="5EA44218" w:rsidR="003F338D" w:rsidRPr="007615FA" w:rsidRDefault="003F338D" w:rsidP="00277886">
      <w:pPr>
        <w:ind w:firstLine="709"/>
        <w:jc w:val="both"/>
        <w:rPr>
          <w:rFonts w:ascii="Arial" w:hAnsi="Arial" w:cs="Arial"/>
          <w:lang w:val="en-US"/>
        </w:rPr>
      </w:pPr>
      <w:r w:rsidRPr="007615FA">
        <w:rPr>
          <w:rFonts w:ascii="Arial" w:hAnsi="Arial" w:cs="Arial"/>
          <w:lang w:val="en-US"/>
        </w:rPr>
        <w:t>The design has a genuine alternative on each side, which is what makes it a test. Mechanism A, cushioning as compensation, predicts the listing effect is stronger where coverage was high. Mechanism B, cushioning as forbearance, predicts the opposite, since need would soften enforcement exactly where coverage and poverty run deepest. A clearly reversed difference was a possible outcome, and the direction of the estimate is therefore informative even where its precision is limited.</w:t>
      </w:r>
    </w:p>
    <w:p w14:paraId="2B865891" w14:textId="77777777" w:rsidR="00F40342" w:rsidRPr="007615FA" w:rsidRDefault="00F40342" w:rsidP="007615FA">
      <w:pPr>
        <w:jc w:val="both"/>
        <w:rPr>
          <w:rFonts w:ascii="Arial" w:hAnsi="Arial" w:cs="Arial"/>
          <w:lang w:val="pt-BR"/>
        </w:rPr>
      </w:pPr>
    </w:p>
    <w:p w14:paraId="5C007D15" w14:textId="3B0FC3D1" w:rsidR="00F40342" w:rsidRPr="007615FA" w:rsidRDefault="00F40342" w:rsidP="007615FA">
      <w:pPr>
        <w:pStyle w:val="ListParagraph"/>
        <w:numPr>
          <w:ilvl w:val="0"/>
          <w:numId w:val="6"/>
        </w:numPr>
        <w:jc w:val="both"/>
        <w:rPr>
          <w:rFonts w:ascii="Arial" w:hAnsi="Arial" w:cs="Arial"/>
          <w:b/>
          <w:bCs/>
          <w:lang w:val="pt-BR"/>
        </w:rPr>
      </w:pPr>
      <w:proofErr w:type="spellStart"/>
      <w:r w:rsidRPr="007615FA">
        <w:rPr>
          <w:rFonts w:ascii="Arial" w:hAnsi="Arial" w:cs="Arial"/>
          <w:b/>
          <w:bCs/>
          <w:lang w:val="pt-BR"/>
        </w:rPr>
        <w:t>Preliminary</w:t>
      </w:r>
      <w:proofErr w:type="spellEnd"/>
      <w:r w:rsidRPr="007615FA">
        <w:rPr>
          <w:rFonts w:ascii="Arial" w:hAnsi="Arial" w:cs="Arial"/>
          <w:b/>
          <w:bCs/>
          <w:lang w:val="pt-BR"/>
        </w:rPr>
        <w:t xml:space="preserve"> </w:t>
      </w:r>
      <w:proofErr w:type="spellStart"/>
      <w:r w:rsidRPr="007615FA">
        <w:rPr>
          <w:rFonts w:ascii="Arial" w:hAnsi="Arial" w:cs="Arial"/>
          <w:b/>
          <w:bCs/>
          <w:lang w:val="pt-BR"/>
        </w:rPr>
        <w:t>results</w:t>
      </w:r>
      <w:proofErr w:type="spellEnd"/>
    </w:p>
    <w:p w14:paraId="5734BD52" w14:textId="77777777" w:rsidR="00F40342" w:rsidRPr="007615FA" w:rsidRDefault="00F40342" w:rsidP="007615FA">
      <w:pPr>
        <w:jc w:val="both"/>
        <w:rPr>
          <w:rFonts w:ascii="Arial" w:hAnsi="Arial" w:cs="Arial"/>
          <w:lang w:val="pt-BR"/>
        </w:rPr>
      </w:pPr>
    </w:p>
    <w:p w14:paraId="19CB6746" w14:textId="316C269B" w:rsidR="00F40342" w:rsidRPr="007615FA" w:rsidRDefault="00F40342" w:rsidP="007615FA">
      <w:pPr>
        <w:ind w:firstLine="709"/>
        <w:jc w:val="both"/>
        <w:rPr>
          <w:rFonts w:ascii="Arial" w:hAnsi="Arial" w:cs="Arial"/>
          <w:lang w:val="en-US"/>
        </w:rPr>
      </w:pPr>
      <w:r w:rsidRPr="007615FA">
        <w:rPr>
          <w:rFonts w:ascii="Arial" w:hAnsi="Arial" w:cs="Arial"/>
          <w:lang w:val="en-US"/>
        </w:rPr>
        <w:t>The stratified estimation delivers one clear result</w:t>
      </w:r>
      <w:r w:rsidRPr="007615FA">
        <w:rPr>
          <w:rFonts w:ascii="Arial" w:hAnsi="Arial" w:cs="Arial"/>
          <w:lang w:val="en-US"/>
        </w:rPr>
        <w:t xml:space="preserve">, as the </w:t>
      </w:r>
      <w:r w:rsidRPr="007615FA">
        <w:rPr>
          <w:rFonts w:ascii="Arial" w:hAnsi="Arial" w:cs="Arial"/>
          <w:b/>
          <w:bCs/>
          <w:lang w:val="en-US"/>
        </w:rPr>
        <w:t xml:space="preserve">table 2 </w:t>
      </w:r>
      <w:r w:rsidRPr="007615FA">
        <w:rPr>
          <w:rFonts w:ascii="Arial" w:hAnsi="Arial" w:cs="Arial"/>
          <w:lang w:val="en-US"/>
        </w:rPr>
        <w:t>shows</w:t>
      </w:r>
      <w:r w:rsidRPr="007615FA">
        <w:rPr>
          <w:rFonts w:ascii="Arial" w:hAnsi="Arial" w:cs="Arial"/>
          <w:lang w:val="en-US"/>
        </w:rPr>
        <w:t>. Entry to the priority list reduced normalized deforestation in both coverage strata, by similar and substantial amounts. The ATT is −0.662 standard deviations (SE 0.194) in the high-coverage stratum and −0.553 (SE 0.213) in the low-coverage stratum. Both estimates are clearly distinguishable from zero. Read in the outcome's units, listing moved a municipality's deforestation roughly 0.6 standard deviations below its own 2000 to 2007 norm, in places that had entered the list precisely because clearing was critical. The magnitude and sign agree with the econometric literature on the priority list, which strengthens confidence that the design recovers the known enforcement effect before asking its conditional question.</w:t>
      </w:r>
    </w:p>
    <w:p w14:paraId="16DE16B3" w14:textId="77777777" w:rsidR="009B6DE4" w:rsidRPr="007615FA" w:rsidRDefault="009B6DE4" w:rsidP="007615FA">
      <w:pPr>
        <w:ind w:firstLine="709"/>
        <w:jc w:val="both"/>
        <w:rPr>
          <w:rFonts w:ascii="Arial" w:hAnsi="Arial" w:cs="Arial"/>
          <w:lang w:val="en-US"/>
        </w:rPr>
      </w:pPr>
    </w:p>
    <w:p w14:paraId="2B7B94D9" w14:textId="77777777" w:rsidR="009B6DE4" w:rsidRPr="007615FA" w:rsidRDefault="009B6DE4" w:rsidP="007615FA">
      <w:pPr>
        <w:ind w:firstLine="709"/>
        <w:jc w:val="both"/>
        <w:rPr>
          <w:rFonts w:ascii="Arial" w:hAnsi="Arial" w:cs="Arial"/>
          <w:lang w:val="en-US"/>
        </w:rPr>
      </w:pPr>
    </w:p>
    <w:p w14:paraId="7EA2630A" w14:textId="77777777" w:rsidR="009B6DE4" w:rsidRPr="007615FA" w:rsidRDefault="009B6DE4" w:rsidP="007615FA">
      <w:pPr>
        <w:ind w:firstLine="709"/>
        <w:jc w:val="both"/>
        <w:rPr>
          <w:rFonts w:ascii="Arial" w:hAnsi="Arial" w:cs="Arial"/>
          <w:lang w:val="en-US"/>
        </w:rPr>
      </w:pPr>
    </w:p>
    <w:p w14:paraId="418BDC64" w14:textId="77777777" w:rsidR="009B6DE4" w:rsidRPr="007615FA" w:rsidRDefault="009B6DE4" w:rsidP="007615FA">
      <w:pPr>
        <w:ind w:firstLine="709"/>
        <w:jc w:val="both"/>
        <w:rPr>
          <w:rFonts w:ascii="Arial" w:hAnsi="Arial" w:cs="Arial"/>
          <w:lang w:val="en-US"/>
        </w:rPr>
      </w:pPr>
    </w:p>
    <w:p w14:paraId="25F26312" w14:textId="77777777" w:rsidR="00277886" w:rsidRDefault="00277886" w:rsidP="007615FA">
      <w:pPr>
        <w:ind w:firstLine="709"/>
        <w:jc w:val="both"/>
        <w:rPr>
          <w:rFonts w:ascii="Arial" w:hAnsi="Arial" w:cs="Arial"/>
          <w:b/>
          <w:bCs/>
          <w:lang w:val="en-US"/>
        </w:rPr>
      </w:pPr>
    </w:p>
    <w:p w14:paraId="74F5B382" w14:textId="35B61939" w:rsidR="00F40342" w:rsidRPr="007615FA" w:rsidRDefault="00F40342" w:rsidP="00277886">
      <w:pPr>
        <w:ind w:firstLine="709"/>
        <w:jc w:val="center"/>
        <w:rPr>
          <w:rFonts w:ascii="Arial" w:hAnsi="Arial" w:cs="Arial"/>
          <w:b/>
          <w:bCs/>
          <w:lang w:val="en-US"/>
        </w:rPr>
      </w:pPr>
      <w:r w:rsidRPr="007615FA">
        <w:rPr>
          <w:rFonts w:ascii="Arial" w:hAnsi="Arial" w:cs="Arial"/>
          <w:b/>
          <w:bCs/>
          <w:lang w:val="en-US"/>
        </w:rPr>
        <w:lastRenderedPageBreak/>
        <w:t>Table 2</w:t>
      </w:r>
    </w:p>
    <w:tbl>
      <w:tblPr>
        <w:tblW w:w="8985" w:type="dxa"/>
        <w:tblInd w:w="646" w:type="dxa"/>
        <w:tblLayout w:type="fixed"/>
        <w:tblCellMar>
          <w:left w:w="0" w:type="dxa"/>
          <w:right w:w="0" w:type="dxa"/>
        </w:tblCellMar>
        <w:tblLook w:val="04A0" w:firstRow="1" w:lastRow="0" w:firstColumn="1" w:lastColumn="0" w:noHBand="0" w:noVBand="1"/>
      </w:tblPr>
      <w:tblGrid>
        <w:gridCol w:w="2607"/>
        <w:gridCol w:w="1275"/>
        <w:gridCol w:w="851"/>
        <w:gridCol w:w="929"/>
        <w:gridCol w:w="772"/>
        <w:gridCol w:w="567"/>
        <w:gridCol w:w="992"/>
        <w:gridCol w:w="992"/>
      </w:tblGrid>
      <w:tr w:rsidR="00F40342" w:rsidRPr="00277886" w14:paraId="6643B314" w14:textId="77777777" w:rsidTr="00277886">
        <w:trPr>
          <w:trHeight w:val="165"/>
        </w:trPr>
        <w:tc>
          <w:tcPr>
            <w:tcW w:w="260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D06A41B"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b/>
                <w:bCs/>
                <w:color w:val="000000"/>
                <w:kern w:val="0"/>
                <w:sz w:val="22"/>
                <w:szCs w:val="22"/>
                <w14:ligatures w14:val="none"/>
              </w:rPr>
              <w:t>quantity</w:t>
            </w:r>
          </w:p>
        </w:tc>
        <w:tc>
          <w:tcPr>
            <w:tcW w:w="12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2D26EC8"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b/>
                <w:bCs/>
                <w:color w:val="000000"/>
                <w:kern w:val="0"/>
                <w:sz w:val="22"/>
                <w:szCs w:val="22"/>
                <w14:ligatures w14:val="none"/>
              </w:rPr>
              <w:t>estimate</w:t>
            </w:r>
          </w:p>
        </w:tc>
        <w:tc>
          <w:tcPr>
            <w:tcW w:w="85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DF0D9BB"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b/>
                <w:bCs/>
                <w:color w:val="000000"/>
                <w:kern w:val="0"/>
                <w:sz w:val="22"/>
                <w:szCs w:val="22"/>
                <w14:ligatures w14:val="none"/>
              </w:rPr>
              <w:t>se</w:t>
            </w:r>
          </w:p>
        </w:tc>
        <w:tc>
          <w:tcPr>
            <w:tcW w:w="92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BDDA423"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b/>
                <w:bCs/>
                <w:color w:val="000000"/>
                <w:kern w:val="0"/>
                <w:sz w:val="22"/>
                <w:szCs w:val="22"/>
                <w14:ligatures w14:val="none"/>
              </w:rPr>
              <w:t>n_treated</w:t>
            </w:r>
          </w:p>
        </w:tc>
        <w:tc>
          <w:tcPr>
            <w:tcW w:w="77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0EEBE50"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b/>
                <w:bCs/>
                <w:color w:val="000000"/>
                <w:kern w:val="0"/>
                <w:sz w:val="22"/>
                <w:szCs w:val="22"/>
                <w14:ligatures w14:val="none"/>
              </w:rPr>
              <w:t>z</w:t>
            </w:r>
          </w:p>
        </w:tc>
        <w:tc>
          <w:tcPr>
            <w:tcW w:w="56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207D69B"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b/>
                <w:bCs/>
                <w:color w:val="000000"/>
                <w:kern w:val="0"/>
                <w:sz w:val="22"/>
                <w:szCs w:val="22"/>
                <w14:ligatures w14:val="none"/>
              </w:rPr>
              <w:t>p</w:t>
            </w:r>
          </w:p>
        </w:tc>
        <w:tc>
          <w:tcPr>
            <w:tcW w:w="99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1C0E675"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b/>
                <w:bCs/>
                <w:color w:val="000000"/>
                <w:kern w:val="0"/>
                <w:sz w:val="22"/>
                <w:szCs w:val="22"/>
                <w14:ligatures w14:val="none"/>
              </w:rPr>
              <w:t>ci_low</w:t>
            </w:r>
          </w:p>
        </w:tc>
        <w:tc>
          <w:tcPr>
            <w:tcW w:w="99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055CA6E"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b/>
                <w:bCs/>
                <w:color w:val="000000"/>
                <w:kern w:val="0"/>
                <w:sz w:val="22"/>
                <w:szCs w:val="22"/>
                <w14:ligatures w14:val="none"/>
              </w:rPr>
              <w:t>ci_high</w:t>
            </w:r>
          </w:p>
        </w:tc>
      </w:tr>
      <w:tr w:rsidR="00F40342" w:rsidRPr="00277886" w14:paraId="63C879D2" w14:textId="77777777" w:rsidTr="00277886">
        <w:trPr>
          <w:trHeight w:val="180"/>
        </w:trPr>
        <w:tc>
          <w:tcPr>
            <w:tcW w:w="260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E39ED4B"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b/>
                <w:bCs/>
                <w:color w:val="000000"/>
                <w:kern w:val="0"/>
                <w:sz w:val="22"/>
                <w:szCs w:val="22"/>
                <w14:ligatures w14:val="none"/>
              </w:rPr>
              <w:t>ATT, high coverage</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5126B9"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-662</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473DD5"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194</w:t>
            </w:r>
          </w:p>
        </w:tc>
        <w:tc>
          <w:tcPr>
            <w:tcW w:w="9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1BD7D0"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21</w:t>
            </w:r>
          </w:p>
        </w:tc>
        <w:tc>
          <w:tcPr>
            <w:tcW w:w="7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3332AE"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-3.412</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2C4189"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1</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DAF611"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-1.043</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1EC717"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-282</w:t>
            </w:r>
          </w:p>
        </w:tc>
      </w:tr>
      <w:tr w:rsidR="00F40342" w:rsidRPr="00277886" w14:paraId="1EEABDBB" w14:textId="77777777" w:rsidTr="00277886">
        <w:trPr>
          <w:trHeight w:val="165"/>
        </w:trPr>
        <w:tc>
          <w:tcPr>
            <w:tcW w:w="260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CF65D89"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b/>
                <w:bCs/>
                <w:color w:val="000000"/>
                <w:kern w:val="0"/>
                <w:sz w:val="22"/>
                <w:szCs w:val="22"/>
                <w14:ligatures w14:val="none"/>
              </w:rPr>
              <w:t>ATT, low coverage</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6F07FE"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-553</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927017"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213</w:t>
            </w:r>
          </w:p>
        </w:tc>
        <w:tc>
          <w:tcPr>
            <w:tcW w:w="9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E313DF"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22</w:t>
            </w:r>
          </w:p>
        </w:tc>
        <w:tc>
          <w:tcPr>
            <w:tcW w:w="7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7E32F9"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-2.594</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762F95"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9</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0C38A7"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-971</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E62A1F"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-135</w:t>
            </w:r>
          </w:p>
        </w:tc>
      </w:tr>
      <w:tr w:rsidR="00F40342" w:rsidRPr="00277886" w14:paraId="48D39546" w14:textId="77777777" w:rsidTr="00277886">
        <w:trPr>
          <w:trHeight w:val="165"/>
        </w:trPr>
        <w:tc>
          <w:tcPr>
            <w:tcW w:w="260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E7D79F0"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b/>
                <w:bCs/>
                <w:color w:val="000000"/>
                <w:kern w:val="0"/>
                <w:sz w:val="22"/>
                <w:szCs w:val="22"/>
                <w14:ligatures w14:val="none"/>
              </w:rPr>
              <w:t>Moderation difference (high - low)</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BBBF36"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-109</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A337FC"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288</w:t>
            </w:r>
          </w:p>
        </w:tc>
        <w:tc>
          <w:tcPr>
            <w:tcW w:w="9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A78F52"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NA</w:t>
            </w:r>
          </w:p>
        </w:tc>
        <w:tc>
          <w:tcPr>
            <w:tcW w:w="7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320F4A"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-379</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813CD5"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705</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07A500"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-674</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51D7E0" w14:textId="77777777" w:rsidR="00F40342" w:rsidRPr="00277886" w:rsidRDefault="00F40342" w:rsidP="00277886">
            <w:pPr>
              <w:spacing w:after="0" w:line="240" w:lineRule="auto"/>
              <w:rPr>
                <w:rFonts w:ascii="Arial" w:eastAsia="Times New Roman" w:hAnsi="Arial" w:cs="Arial"/>
                <w:kern w:val="0"/>
                <w:sz w:val="22"/>
                <w:szCs w:val="22"/>
                <w14:ligatures w14:val="none"/>
              </w:rPr>
            </w:pPr>
            <w:r w:rsidRPr="00277886">
              <w:rPr>
                <w:rFonts w:ascii="Arial" w:eastAsia="Times New Roman" w:hAnsi="Arial" w:cs="Arial"/>
                <w:color w:val="000000"/>
                <w:kern w:val="0"/>
                <w:sz w:val="22"/>
                <w:szCs w:val="22"/>
                <w14:ligatures w14:val="none"/>
              </w:rPr>
              <w:t>456</w:t>
            </w:r>
          </w:p>
        </w:tc>
      </w:tr>
    </w:tbl>
    <w:p w14:paraId="0E22D463" w14:textId="77777777" w:rsidR="00F40342" w:rsidRPr="007615FA" w:rsidRDefault="00F40342" w:rsidP="007615FA">
      <w:pPr>
        <w:ind w:firstLine="709"/>
        <w:jc w:val="both"/>
        <w:rPr>
          <w:rFonts w:ascii="Arial" w:hAnsi="Arial" w:cs="Arial"/>
          <w:lang w:val="en-US"/>
        </w:rPr>
      </w:pPr>
    </w:p>
    <w:p w14:paraId="2B459756" w14:textId="77777777" w:rsidR="00F40342" w:rsidRPr="007615FA" w:rsidRDefault="00F40342" w:rsidP="007615FA">
      <w:pPr>
        <w:jc w:val="both"/>
        <w:rPr>
          <w:rFonts w:ascii="Arial" w:hAnsi="Arial" w:cs="Arial"/>
          <w:lang w:val="en-US"/>
        </w:rPr>
      </w:pPr>
    </w:p>
    <w:p w14:paraId="27CB8CD8" w14:textId="46098E8D" w:rsidR="00F40342" w:rsidRPr="007615FA" w:rsidRDefault="00F40342" w:rsidP="007615FA">
      <w:pPr>
        <w:ind w:firstLine="720"/>
        <w:jc w:val="both"/>
        <w:rPr>
          <w:rFonts w:ascii="Arial" w:hAnsi="Arial" w:cs="Arial"/>
          <w:lang w:val="en-US"/>
        </w:rPr>
      </w:pPr>
      <w:r w:rsidRPr="007615FA">
        <w:rPr>
          <w:rFonts w:ascii="Arial" w:hAnsi="Arial" w:cs="Arial"/>
          <w:b/>
          <w:bCs/>
          <w:lang w:val="en-US"/>
        </w:rPr>
        <w:t>Figure 11</w:t>
      </w:r>
      <w:r w:rsidRPr="007615FA">
        <w:rPr>
          <w:rFonts w:ascii="Arial" w:hAnsi="Arial" w:cs="Arial"/>
          <w:lang w:val="en-US"/>
        </w:rPr>
        <w:t xml:space="preserve"> shows the effect separately by stratum</w:t>
      </w:r>
      <w:r w:rsidRPr="007615FA">
        <w:rPr>
          <w:rFonts w:ascii="Arial" w:hAnsi="Arial" w:cs="Arial"/>
          <w:lang w:val="en-US"/>
        </w:rPr>
        <w:t xml:space="preserve"> (high and low BF coverage)</w:t>
      </w:r>
      <w:r w:rsidRPr="007615FA">
        <w:rPr>
          <w:rFonts w:ascii="Arial" w:hAnsi="Arial" w:cs="Arial"/>
          <w:lang w:val="en-US"/>
        </w:rPr>
        <w:t>. The post-entry paths carry the expected shape: the effect appears at entry, deepens over the first two years to around −0.8 to −0.9, and attenuates by the third and fourth year. The two strata track each other closely after entry, which previews the moderation result.</w:t>
      </w:r>
    </w:p>
    <w:p w14:paraId="1FABF0C8" w14:textId="77777777" w:rsidR="00277886" w:rsidRDefault="00277886" w:rsidP="007615FA">
      <w:pPr>
        <w:jc w:val="both"/>
        <w:rPr>
          <w:rFonts w:ascii="Arial" w:hAnsi="Arial" w:cs="Arial"/>
          <w:b/>
          <w:bCs/>
          <w:lang w:val="en-US"/>
        </w:rPr>
      </w:pPr>
    </w:p>
    <w:p w14:paraId="128F9D99" w14:textId="78604109" w:rsidR="00F40342" w:rsidRPr="007615FA" w:rsidRDefault="00F40342" w:rsidP="00277886">
      <w:pPr>
        <w:jc w:val="center"/>
        <w:rPr>
          <w:rFonts w:ascii="Arial" w:hAnsi="Arial" w:cs="Arial"/>
          <w:b/>
          <w:bCs/>
          <w:lang w:val="en-US"/>
        </w:rPr>
      </w:pPr>
      <w:r w:rsidRPr="007615FA">
        <w:rPr>
          <w:rFonts w:ascii="Arial" w:hAnsi="Arial" w:cs="Arial"/>
          <w:b/>
          <w:bCs/>
          <w:lang w:val="en-US"/>
        </w:rPr>
        <w:t>Figure 11</w:t>
      </w:r>
    </w:p>
    <w:p w14:paraId="01898743" w14:textId="47795EBD" w:rsidR="00F40342" w:rsidRPr="007615FA" w:rsidRDefault="00F40342" w:rsidP="007615FA">
      <w:pPr>
        <w:jc w:val="both"/>
        <w:rPr>
          <w:rFonts w:ascii="Arial" w:hAnsi="Arial" w:cs="Arial"/>
          <w:lang w:val="en-US"/>
        </w:rPr>
      </w:pPr>
      <w:r w:rsidRPr="007615FA">
        <w:rPr>
          <w:rFonts w:ascii="Arial" w:hAnsi="Arial" w:cs="Arial"/>
          <w:noProof/>
          <w:lang w:val="en-US"/>
        </w:rPr>
        <w:drawing>
          <wp:inline distT="0" distB="0" distL="0" distR="0" wp14:anchorId="163459A8" wp14:editId="00C94FE2">
            <wp:extent cx="5943600" cy="3714750"/>
            <wp:effectExtent l="0" t="0" r="0" b="6350"/>
            <wp:docPr id="13120595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59534" name="Picture 13120595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D1EEF87" w14:textId="77777777" w:rsidR="00FC13D7" w:rsidRDefault="00FC13D7" w:rsidP="007615FA">
      <w:pPr>
        <w:jc w:val="both"/>
        <w:rPr>
          <w:rFonts w:ascii="Arial" w:hAnsi="Arial" w:cs="Arial"/>
          <w:lang w:val="en-US"/>
        </w:rPr>
      </w:pPr>
    </w:p>
    <w:p w14:paraId="6A267FCD" w14:textId="77777777" w:rsidR="00277886" w:rsidRPr="007615FA" w:rsidRDefault="00277886" w:rsidP="007615FA">
      <w:pPr>
        <w:jc w:val="both"/>
        <w:rPr>
          <w:rFonts w:ascii="Arial" w:hAnsi="Arial" w:cs="Arial"/>
          <w:lang w:val="en-US"/>
        </w:rPr>
      </w:pPr>
    </w:p>
    <w:p w14:paraId="2A9DB97F" w14:textId="36AFBE4E" w:rsidR="00F40342" w:rsidRPr="007615FA" w:rsidRDefault="00F40342" w:rsidP="007615FA">
      <w:pPr>
        <w:pStyle w:val="ListParagraph"/>
        <w:numPr>
          <w:ilvl w:val="1"/>
          <w:numId w:val="6"/>
        </w:numPr>
        <w:jc w:val="both"/>
        <w:rPr>
          <w:rFonts w:ascii="Arial" w:hAnsi="Arial" w:cs="Arial"/>
          <w:b/>
          <w:bCs/>
          <w:lang w:val="en-US"/>
        </w:rPr>
      </w:pPr>
      <w:r w:rsidRPr="007615FA">
        <w:rPr>
          <w:rFonts w:ascii="Arial" w:hAnsi="Arial" w:cs="Arial"/>
          <w:b/>
          <w:bCs/>
          <w:lang w:val="en-US"/>
        </w:rPr>
        <w:lastRenderedPageBreak/>
        <w:t xml:space="preserve"> The moderation test</w:t>
      </w:r>
    </w:p>
    <w:p w14:paraId="37CD2A5B" w14:textId="77777777" w:rsidR="00FC13D7" w:rsidRPr="007615FA" w:rsidRDefault="00F40342" w:rsidP="007615FA">
      <w:pPr>
        <w:ind w:firstLine="709"/>
        <w:jc w:val="both"/>
        <w:rPr>
          <w:rFonts w:ascii="Arial" w:hAnsi="Arial" w:cs="Arial"/>
          <w:lang w:val="en-US"/>
        </w:rPr>
      </w:pPr>
      <w:r w:rsidRPr="007615FA">
        <w:rPr>
          <w:rFonts w:ascii="Arial" w:hAnsi="Arial" w:cs="Arial"/>
          <w:lang w:val="en-US"/>
        </w:rPr>
        <w:t xml:space="preserve">The difference between the </w:t>
      </w:r>
      <w:r w:rsidR="00FC13D7" w:rsidRPr="007615FA">
        <w:rPr>
          <w:rFonts w:ascii="Arial" w:hAnsi="Arial" w:cs="Arial"/>
          <w:lang w:val="en-US"/>
        </w:rPr>
        <w:t xml:space="preserve">two </w:t>
      </w:r>
      <w:r w:rsidRPr="007615FA">
        <w:rPr>
          <w:rFonts w:ascii="Arial" w:hAnsi="Arial" w:cs="Arial"/>
          <w:lang w:val="en-US"/>
        </w:rPr>
        <w:t>stratum ATTs</w:t>
      </w:r>
      <w:r w:rsidR="00FC13D7" w:rsidRPr="007615FA">
        <w:rPr>
          <w:rFonts w:ascii="Arial" w:hAnsi="Arial" w:cs="Arial"/>
          <w:lang w:val="en-US"/>
        </w:rPr>
        <w:t xml:space="preserve"> (high and low BF coverage)</w:t>
      </w:r>
      <w:r w:rsidRPr="007615FA">
        <w:rPr>
          <w:rFonts w:ascii="Arial" w:hAnsi="Arial" w:cs="Arial"/>
          <w:lang w:val="en-US"/>
        </w:rPr>
        <w:t xml:space="preserve"> is −0.109 (SE 0.288, z = −0.38, p = 0.705). It is not statistically distinguishable from zero</w:t>
      </w:r>
      <w:r w:rsidR="00FC13D7" w:rsidRPr="007615FA">
        <w:rPr>
          <w:rFonts w:ascii="Arial" w:hAnsi="Arial" w:cs="Arial"/>
          <w:lang w:val="en-US"/>
        </w:rPr>
        <w:t xml:space="preserve">. The explanation for this result is mainly that, </w:t>
      </w:r>
      <w:r w:rsidRPr="007615FA">
        <w:rPr>
          <w:rFonts w:ascii="Arial" w:hAnsi="Arial" w:cs="Arial"/>
          <w:lang w:val="en-US"/>
        </w:rPr>
        <w:t xml:space="preserve">with 21 and 22 treated units per stratum, the data </w:t>
      </w:r>
      <w:r w:rsidR="00FC13D7" w:rsidRPr="007615FA">
        <w:rPr>
          <w:rFonts w:ascii="Arial" w:hAnsi="Arial" w:cs="Arial"/>
          <w:lang w:val="en-US"/>
        </w:rPr>
        <w:t xml:space="preserve">lack explanatory power. </w:t>
      </w:r>
    </w:p>
    <w:p w14:paraId="5CE189E1" w14:textId="77777777" w:rsidR="00C65FC4" w:rsidRPr="007615FA" w:rsidRDefault="00F40342" w:rsidP="007615FA">
      <w:pPr>
        <w:ind w:firstLine="709"/>
        <w:jc w:val="both"/>
        <w:rPr>
          <w:rFonts w:ascii="Arial" w:hAnsi="Arial" w:cs="Arial"/>
          <w:lang w:val="en-US"/>
        </w:rPr>
      </w:pPr>
      <w:r w:rsidRPr="007615FA">
        <w:rPr>
          <w:rFonts w:ascii="Arial" w:hAnsi="Arial" w:cs="Arial"/>
          <w:lang w:val="en-US"/>
        </w:rPr>
        <w:t xml:space="preserve">With that limit stated, two features of the estimate are informative. The first is direction. The high-coverage stratum shows the larger reduction, which is the sign cushioning as compensation predicts. The second is consistency with Chapter 2. The historical account argues that the social and environmental tracks were never integrated, that compensation appeared only in marginal and underfunded forms, and that Bolsa Família was not designed to underwrite enforcement. If that account is right, any moderation in these data comes from incidental cushioning, and incidental effects are small. A large and precisely estimated moderation coefficient would </w:t>
      </w:r>
      <w:r w:rsidR="00C65FC4" w:rsidRPr="007615FA">
        <w:rPr>
          <w:rFonts w:ascii="Arial" w:hAnsi="Arial" w:cs="Arial"/>
          <w:lang w:val="en-US"/>
        </w:rPr>
        <w:t>be strange</w:t>
      </w:r>
      <w:r w:rsidRPr="007615FA">
        <w:rPr>
          <w:rFonts w:ascii="Arial" w:hAnsi="Arial" w:cs="Arial"/>
          <w:lang w:val="en-US"/>
        </w:rPr>
        <w:t xml:space="preserve"> </w:t>
      </w:r>
      <w:r w:rsidR="00C65FC4" w:rsidRPr="007615FA">
        <w:rPr>
          <w:rFonts w:ascii="Arial" w:hAnsi="Arial" w:cs="Arial"/>
          <w:lang w:val="en-US"/>
        </w:rPr>
        <w:t xml:space="preserve">regarding the </w:t>
      </w:r>
      <w:r w:rsidRPr="007615FA">
        <w:rPr>
          <w:rFonts w:ascii="Arial" w:hAnsi="Arial" w:cs="Arial"/>
          <w:lang w:val="en-US"/>
        </w:rPr>
        <w:t xml:space="preserve">historical chapter, because it would imply a functioning integration that Chapter 2 says never institutionalized. What the estimate shows, a correctly signed, </w:t>
      </w:r>
      <w:r w:rsidR="00C65FC4" w:rsidRPr="007615FA">
        <w:rPr>
          <w:rFonts w:ascii="Arial" w:hAnsi="Arial" w:cs="Arial"/>
          <w:lang w:val="en-US"/>
        </w:rPr>
        <w:t xml:space="preserve">despite being </w:t>
      </w:r>
      <w:r w:rsidRPr="007615FA">
        <w:rPr>
          <w:rFonts w:ascii="Arial" w:hAnsi="Arial" w:cs="Arial"/>
          <w:lang w:val="en-US"/>
        </w:rPr>
        <w:t>substantively modest, is what the historical account predicts.</w:t>
      </w:r>
    </w:p>
    <w:p w14:paraId="5C17BF2A" w14:textId="12B90568" w:rsidR="00F40342" w:rsidRPr="007615FA" w:rsidRDefault="00F40342" w:rsidP="007615FA">
      <w:pPr>
        <w:ind w:firstLine="709"/>
        <w:jc w:val="both"/>
        <w:rPr>
          <w:rFonts w:ascii="Arial" w:hAnsi="Arial" w:cs="Arial"/>
          <w:lang w:val="en-US"/>
        </w:rPr>
      </w:pPr>
      <w:r w:rsidRPr="007615FA">
        <w:rPr>
          <w:rFonts w:ascii="Arial" w:hAnsi="Arial" w:cs="Arial"/>
          <w:lang w:val="en-US"/>
        </w:rPr>
        <w:t>The defensible claim is therefore this: the quantitative evidence does not contradict the historical account, points in the direction compensation predicts, and is too imprecise to confirm it. The imprecision is itself informative. If the compensation channel operated, it did not operate at a scale this design can detect, and that is a substantive finding about the eco-social arena rather than the absence of one.</w:t>
      </w:r>
    </w:p>
    <w:p w14:paraId="6F63FD7E" w14:textId="77777777" w:rsidR="009B6DE4" w:rsidRPr="007615FA" w:rsidRDefault="009B6DE4" w:rsidP="007615FA">
      <w:pPr>
        <w:ind w:firstLine="709"/>
        <w:jc w:val="both"/>
        <w:rPr>
          <w:rFonts w:ascii="Arial" w:hAnsi="Arial" w:cs="Arial"/>
          <w:lang w:val="en-US"/>
        </w:rPr>
      </w:pPr>
    </w:p>
    <w:p w14:paraId="20EB9017" w14:textId="0F848F69" w:rsidR="00F40342" w:rsidRPr="007615FA" w:rsidRDefault="00F40342" w:rsidP="007615FA">
      <w:pPr>
        <w:pStyle w:val="ListParagraph"/>
        <w:numPr>
          <w:ilvl w:val="1"/>
          <w:numId w:val="6"/>
        </w:numPr>
        <w:jc w:val="both"/>
        <w:rPr>
          <w:rFonts w:ascii="Arial" w:hAnsi="Arial" w:cs="Arial"/>
          <w:b/>
          <w:bCs/>
          <w:lang w:val="en-US"/>
        </w:rPr>
      </w:pPr>
      <w:r w:rsidRPr="007615FA">
        <w:rPr>
          <w:rFonts w:ascii="Arial" w:hAnsi="Arial" w:cs="Arial"/>
          <w:b/>
          <w:bCs/>
          <w:lang w:val="en-US"/>
        </w:rPr>
        <w:t>What the results do not support</w:t>
      </w:r>
    </w:p>
    <w:p w14:paraId="3B7FF0A0" w14:textId="2B1B68DB" w:rsidR="0089077D" w:rsidRPr="007615FA" w:rsidRDefault="00F40342" w:rsidP="007615FA">
      <w:pPr>
        <w:ind w:firstLine="709"/>
        <w:jc w:val="both"/>
        <w:rPr>
          <w:rFonts w:ascii="Arial" w:hAnsi="Arial" w:cs="Arial"/>
          <w:lang w:val="en-US"/>
        </w:rPr>
      </w:pPr>
      <w:r w:rsidRPr="007615FA">
        <w:rPr>
          <w:rFonts w:ascii="Arial" w:hAnsi="Arial" w:cs="Arial"/>
          <w:lang w:val="en-US"/>
        </w:rPr>
        <w:t xml:space="preserve">Nothing in this design speaks to whether Bolsa Família or wage growth reduced deforestation on their own. H2 and H3 remain descriptive claims in this chapter, for the identification reasons </w:t>
      </w:r>
      <w:r w:rsidR="00C65FC4" w:rsidRPr="007615FA">
        <w:rPr>
          <w:rFonts w:ascii="Arial" w:hAnsi="Arial" w:cs="Arial"/>
          <w:b/>
          <w:bCs/>
          <w:lang w:val="en-US"/>
        </w:rPr>
        <w:t>s</w:t>
      </w:r>
      <w:r w:rsidRPr="007615FA">
        <w:rPr>
          <w:rFonts w:ascii="Arial" w:hAnsi="Arial" w:cs="Arial"/>
          <w:b/>
          <w:bCs/>
          <w:lang w:val="en-US"/>
        </w:rPr>
        <w:t>ection 5</w:t>
      </w:r>
      <w:r w:rsidRPr="007615FA">
        <w:rPr>
          <w:rFonts w:ascii="Arial" w:hAnsi="Arial" w:cs="Arial"/>
          <w:lang w:val="en-US"/>
        </w:rPr>
        <w:t xml:space="preserve"> gave. </w:t>
      </w:r>
      <w:r w:rsidR="00C65FC4" w:rsidRPr="007615FA">
        <w:rPr>
          <w:rFonts w:ascii="Arial" w:hAnsi="Arial" w:cs="Arial"/>
          <w:lang w:val="en-US"/>
        </w:rPr>
        <w:t>Also, t</w:t>
      </w:r>
      <w:r w:rsidRPr="007615FA">
        <w:rPr>
          <w:rFonts w:ascii="Arial" w:hAnsi="Arial" w:cs="Arial"/>
          <w:lang w:val="en-US"/>
        </w:rPr>
        <w:t>he estimates describe the effect of listing while enforcement pressure was active. They say nothing about whether social protection sustains compliance after pressure fades, which is a separate exploratory question</w:t>
      </w:r>
      <w:r w:rsidR="00C65FC4" w:rsidRPr="007615FA">
        <w:rPr>
          <w:rFonts w:ascii="Arial" w:hAnsi="Arial" w:cs="Arial"/>
          <w:lang w:val="en-US"/>
        </w:rPr>
        <w:t>.</w:t>
      </w:r>
    </w:p>
    <w:p w14:paraId="7B1ACAF1" w14:textId="77777777" w:rsidR="00C65FC4" w:rsidRDefault="00C65FC4" w:rsidP="007615FA">
      <w:pPr>
        <w:jc w:val="both"/>
        <w:rPr>
          <w:rFonts w:ascii="Arial" w:hAnsi="Arial" w:cs="Arial"/>
          <w:lang w:val="en-US"/>
        </w:rPr>
      </w:pPr>
    </w:p>
    <w:p w14:paraId="77AC6330" w14:textId="77777777" w:rsidR="00277886" w:rsidRDefault="00277886" w:rsidP="007615FA">
      <w:pPr>
        <w:jc w:val="both"/>
        <w:rPr>
          <w:rFonts w:ascii="Arial" w:hAnsi="Arial" w:cs="Arial"/>
          <w:lang w:val="en-US"/>
        </w:rPr>
      </w:pPr>
    </w:p>
    <w:p w14:paraId="06B6A9D6" w14:textId="77777777" w:rsidR="00277886" w:rsidRDefault="00277886" w:rsidP="007615FA">
      <w:pPr>
        <w:jc w:val="both"/>
        <w:rPr>
          <w:rFonts w:ascii="Arial" w:hAnsi="Arial" w:cs="Arial"/>
          <w:lang w:val="en-US"/>
        </w:rPr>
      </w:pPr>
    </w:p>
    <w:p w14:paraId="5536E9FE" w14:textId="77777777" w:rsidR="00277886" w:rsidRDefault="00277886" w:rsidP="007615FA">
      <w:pPr>
        <w:jc w:val="both"/>
        <w:rPr>
          <w:rFonts w:ascii="Arial" w:hAnsi="Arial" w:cs="Arial"/>
          <w:lang w:val="en-US"/>
        </w:rPr>
      </w:pPr>
    </w:p>
    <w:p w14:paraId="53F84282" w14:textId="77777777" w:rsidR="00277886" w:rsidRDefault="00277886" w:rsidP="007615FA">
      <w:pPr>
        <w:jc w:val="both"/>
        <w:rPr>
          <w:rFonts w:ascii="Arial" w:hAnsi="Arial" w:cs="Arial"/>
          <w:lang w:val="en-US"/>
        </w:rPr>
      </w:pPr>
    </w:p>
    <w:p w14:paraId="3953D6DB" w14:textId="77777777" w:rsidR="00277886" w:rsidRPr="007615FA" w:rsidRDefault="00277886" w:rsidP="007615FA">
      <w:pPr>
        <w:jc w:val="both"/>
        <w:rPr>
          <w:rFonts w:ascii="Arial" w:hAnsi="Arial" w:cs="Arial"/>
          <w:lang w:val="en-US"/>
        </w:rPr>
      </w:pPr>
    </w:p>
    <w:p w14:paraId="0DF4B5D9" w14:textId="5739C0A9" w:rsidR="00C65FC4" w:rsidRPr="007615FA" w:rsidRDefault="00C65FC4" w:rsidP="007615FA">
      <w:pPr>
        <w:pStyle w:val="ListParagraph"/>
        <w:numPr>
          <w:ilvl w:val="0"/>
          <w:numId w:val="6"/>
        </w:numPr>
        <w:jc w:val="both"/>
        <w:rPr>
          <w:rFonts w:ascii="Arial" w:hAnsi="Arial" w:cs="Arial"/>
          <w:b/>
          <w:bCs/>
          <w:lang w:val="en-US"/>
        </w:rPr>
      </w:pPr>
      <w:r w:rsidRPr="007615FA">
        <w:rPr>
          <w:rFonts w:ascii="Arial" w:hAnsi="Arial" w:cs="Arial"/>
          <w:b/>
          <w:bCs/>
          <w:lang w:val="en-US"/>
        </w:rPr>
        <w:lastRenderedPageBreak/>
        <w:t>Bibliography</w:t>
      </w:r>
    </w:p>
    <w:p w14:paraId="5D4AE81C" w14:textId="77777777" w:rsidR="00C65FC4" w:rsidRPr="007615FA" w:rsidRDefault="00C65FC4" w:rsidP="007615FA">
      <w:pPr>
        <w:jc w:val="both"/>
        <w:rPr>
          <w:rFonts w:ascii="Arial" w:hAnsi="Arial" w:cs="Arial"/>
          <w:lang w:val="en-US"/>
        </w:rPr>
      </w:pPr>
    </w:p>
    <w:p w14:paraId="1A0D77C9" w14:textId="77777777" w:rsidR="00C65FC4" w:rsidRPr="007615FA" w:rsidRDefault="00C65FC4" w:rsidP="007615FA">
      <w:pPr>
        <w:pStyle w:val="Bibliography"/>
        <w:jc w:val="both"/>
        <w:rPr>
          <w:rFonts w:ascii="Arial" w:hAnsi="Arial" w:cs="Arial"/>
          <w:lang w:val="en-US"/>
        </w:rPr>
      </w:pPr>
      <w:r w:rsidRPr="007615FA">
        <w:rPr>
          <w:rFonts w:ascii="Arial" w:hAnsi="Arial" w:cs="Arial"/>
          <w:lang w:val="en-US"/>
        </w:rPr>
        <w:fldChar w:fldCharType="begin"/>
      </w:r>
      <w:r w:rsidRPr="007615FA">
        <w:rPr>
          <w:rFonts w:ascii="Arial" w:hAnsi="Arial" w:cs="Arial"/>
          <w:lang w:val="pt-BR"/>
        </w:rPr>
        <w:instrText xml:space="preserve"> ADDIN ZOTERO_BIBL {"uncited":[],"omitted":[],"custom":[]} CSL_BIBLIOGRAPHY </w:instrText>
      </w:r>
      <w:r w:rsidRPr="007615FA">
        <w:rPr>
          <w:rFonts w:ascii="Arial" w:hAnsi="Arial" w:cs="Arial"/>
          <w:lang w:val="en-US"/>
        </w:rPr>
        <w:fldChar w:fldCharType="separate"/>
      </w:r>
      <w:r w:rsidRPr="007615FA">
        <w:rPr>
          <w:rFonts w:ascii="Arial" w:hAnsi="Arial" w:cs="Arial"/>
          <w:lang w:val="pt-BR"/>
        </w:rPr>
        <w:t xml:space="preserve">Assunção, Juliano, Clarissa </w:t>
      </w:r>
      <w:proofErr w:type="spellStart"/>
      <w:r w:rsidRPr="007615FA">
        <w:rPr>
          <w:rFonts w:ascii="Arial" w:hAnsi="Arial" w:cs="Arial"/>
          <w:lang w:val="pt-BR"/>
        </w:rPr>
        <w:t>Gandour</w:t>
      </w:r>
      <w:proofErr w:type="spellEnd"/>
      <w:r w:rsidRPr="007615FA">
        <w:rPr>
          <w:rFonts w:ascii="Arial" w:hAnsi="Arial" w:cs="Arial"/>
          <w:lang w:val="pt-BR"/>
        </w:rPr>
        <w:t xml:space="preserve">, </w:t>
      </w:r>
      <w:proofErr w:type="spellStart"/>
      <w:r w:rsidRPr="007615FA">
        <w:rPr>
          <w:rFonts w:ascii="Arial" w:hAnsi="Arial" w:cs="Arial"/>
          <w:lang w:val="pt-BR"/>
        </w:rPr>
        <w:t>and</w:t>
      </w:r>
      <w:proofErr w:type="spellEnd"/>
      <w:r w:rsidRPr="007615FA">
        <w:rPr>
          <w:rFonts w:ascii="Arial" w:hAnsi="Arial" w:cs="Arial"/>
          <w:lang w:val="pt-BR"/>
        </w:rPr>
        <w:t xml:space="preserve"> Rudi Rocha. </w:t>
      </w:r>
      <w:r w:rsidRPr="007615FA">
        <w:rPr>
          <w:rFonts w:ascii="Arial" w:hAnsi="Arial" w:cs="Arial"/>
          <w:lang w:val="en-US"/>
        </w:rPr>
        <w:t xml:space="preserve">2015. “Deforestation Slowdown in the Brazilian Amazon: Prices or Policies?” </w:t>
      </w:r>
      <w:r w:rsidRPr="007615FA">
        <w:rPr>
          <w:rFonts w:ascii="Arial" w:hAnsi="Arial" w:cs="Arial"/>
          <w:i/>
          <w:iCs/>
          <w:lang w:val="en-US"/>
        </w:rPr>
        <w:t>Environment and Development Economics</w:t>
      </w:r>
      <w:r w:rsidRPr="007615FA">
        <w:rPr>
          <w:rFonts w:ascii="Arial" w:hAnsi="Arial" w:cs="Arial"/>
          <w:lang w:val="en-US"/>
        </w:rPr>
        <w:t xml:space="preserve"> 20 (6): 697–722. https://doi.org/10.1017/S1355770X15000078.</w:t>
      </w:r>
    </w:p>
    <w:p w14:paraId="11B91285" w14:textId="77777777" w:rsidR="00C65FC4" w:rsidRPr="007615FA" w:rsidRDefault="00C65FC4" w:rsidP="007615FA">
      <w:pPr>
        <w:pStyle w:val="Bibliography"/>
        <w:jc w:val="both"/>
        <w:rPr>
          <w:rFonts w:ascii="Arial" w:hAnsi="Arial" w:cs="Arial"/>
          <w:lang w:val="en-US"/>
        </w:rPr>
      </w:pPr>
      <w:r w:rsidRPr="007615FA">
        <w:rPr>
          <w:rFonts w:ascii="Arial" w:hAnsi="Arial" w:cs="Arial"/>
          <w:lang w:val="pt-BR"/>
        </w:rPr>
        <w:t xml:space="preserve">Assunção, Juliano, </w:t>
      </w:r>
      <w:proofErr w:type="spellStart"/>
      <w:r w:rsidRPr="007615FA">
        <w:rPr>
          <w:rFonts w:ascii="Arial" w:hAnsi="Arial" w:cs="Arial"/>
          <w:lang w:val="pt-BR"/>
        </w:rPr>
        <w:t>and</w:t>
      </w:r>
      <w:proofErr w:type="spellEnd"/>
      <w:r w:rsidRPr="007615FA">
        <w:rPr>
          <w:rFonts w:ascii="Arial" w:hAnsi="Arial" w:cs="Arial"/>
          <w:lang w:val="pt-BR"/>
        </w:rPr>
        <w:t xml:space="preserve"> Romero Rocha. </w:t>
      </w:r>
      <w:r w:rsidRPr="007615FA">
        <w:rPr>
          <w:rFonts w:ascii="Arial" w:hAnsi="Arial" w:cs="Arial"/>
          <w:lang w:val="en-US"/>
        </w:rPr>
        <w:t xml:space="preserve">2019. “Getting Greener by Going Black: The Effect of Blacklisting Municipalities on Amazon Deforestation.” </w:t>
      </w:r>
      <w:r w:rsidRPr="007615FA">
        <w:rPr>
          <w:rFonts w:ascii="Arial" w:hAnsi="Arial" w:cs="Arial"/>
          <w:i/>
          <w:iCs/>
          <w:lang w:val="en-US"/>
        </w:rPr>
        <w:t>Environment and Development Economics</w:t>
      </w:r>
      <w:r w:rsidRPr="007615FA">
        <w:rPr>
          <w:rFonts w:ascii="Arial" w:hAnsi="Arial" w:cs="Arial"/>
          <w:lang w:val="en-US"/>
        </w:rPr>
        <w:t xml:space="preserve"> 24 (2): 115–37. https://doi.org/10.1017/S1355770X18000499.</w:t>
      </w:r>
    </w:p>
    <w:p w14:paraId="04082A26" w14:textId="77777777" w:rsidR="00C65FC4" w:rsidRPr="007615FA" w:rsidRDefault="00C65FC4" w:rsidP="007615FA">
      <w:pPr>
        <w:pStyle w:val="Bibliography"/>
        <w:jc w:val="both"/>
        <w:rPr>
          <w:rFonts w:ascii="Arial" w:hAnsi="Arial" w:cs="Arial"/>
          <w:lang w:val="en-US"/>
        </w:rPr>
      </w:pPr>
      <w:r w:rsidRPr="007615FA">
        <w:rPr>
          <w:rFonts w:ascii="Arial" w:hAnsi="Arial" w:cs="Arial"/>
          <w:lang w:val="en-US"/>
        </w:rPr>
        <w:t xml:space="preserve">Barber, Christopher P., Mark A. Cochrane, Carlos M. Souza, and William F. Laurance. 2014. “Roads, Deforestation, and the Mitigating Effect of Protected Areas in the Amazon.” </w:t>
      </w:r>
      <w:r w:rsidRPr="007615FA">
        <w:rPr>
          <w:rFonts w:ascii="Arial" w:hAnsi="Arial" w:cs="Arial"/>
          <w:i/>
          <w:iCs/>
          <w:lang w:val="en-US"/>
        </w:rPr>
        <w:t>Biological Conservation</w:t>
      </w:r>
      <w:r w:rsidRPr="007615FA">
        <w:rPr>
          <w:rFonts w:ascii="Arial" w:hAnsi="Arial" w:cs="Arial"/>
          <w:lang w:val="en-US"/>
        </w:rPr>
        <w:t xml:space="preserve"> 177 (September): 203–9. https://doi.org/10.1016/j.biocon.2014.07.004.</w:t>
      </w:r>
    </w:p>
    <w:p w14:paraId="48459F43" w14:textId="77777777" w:rsidR="00C65FC4" w:rsidRPr="007615FA" w:rsidRDefault="00C65FC4" w:rsidP="007615FA">
      <w:pPr>
        <w:pStyle w:val="Bibliography"/>
        <w:jc w:val="both"/>
        <w:rPr>
          <w:rFonts w:ascii="Arial" w:hAnsi="Arial" w:cs="Arial"/>
          <w:lang w:val="en-US"/>
        </w:rPr>
      </w:pPr>
      <w:r w:rsidRPr="007615FA">
        <w:rPr>
          <w:rFonts w:ascii="Arial" w:hAnsi="Arial" w:cs="Arial"/>
          <w:lang w:val="en-US"/>
        </w:rPr>
        <w:t xml:space="preserve">Binswanger, Hans P. 1991. “Brazilian Policies That Encourage Deforestation in the Amazon.” </w:t>
      </w:r>
      <w:r w:rsidRPr="007615FA">
        <w:rPr>
          <w:rFonts w:ascii="Arial" w:hAnsi="Arial" w:cs="Arial"/>
          <w:i/>
          <w:iCs/>
          <w:lang w:val="en-US"/>
        </w:rPr>
        <w:t>World Development</w:t>
      </w:r>
      <w:r w:rsidRPr="007615FA">
        <w:rPr>
          <w:rFonts w:ascii="Arial" w:hAnsi="Arial" w:cs="Arial"/>
          <w:lang w:val="en-US"/>
        </w:rPr>
        <w:t xml:space="preserve"> 19 (7): 821–29.</w:t>
      </w:r>
    </w:p>
    <w:p w14:paraId="31FBB4AB" w14:textId="77777777" w:rsidR="00C65FC4" w:rsidRPr="007615FA" w:rsidRDefault="00C65FC4" w:rsidP="007615FA">
      <w:pPr>
        <w:pStyle w:val="Bibliography"/>
        <w:jc w:val="both"/>
        <w:rPr>
          <w:rFonts w:ascii="Arial" w:hAnsi="Arial" w:cs="Arial"/>
          <w:lang w:val="en-US"/>
        </w:rPr>
      </w:pPr>
      <w:r w:rsidRPr="007615FA">
        <w:rPr>
          <w:rFonts w:ascii="Arial" w:hAnsi="Arial" w:cs="Arial"/>
          <w:lang w:val="en-US"/>
        </w:rPr>
        <w:t xml:space="preserve">Burgess, Robin, Matthew Hansen, Benjamin A. Olken, Peter Potapov, and Stefanie Sieber. 2012. “The Political Economy of Deforestation in the Tropics*.” </w:t>
      </w:r>
      <w:r w:rsidRPr="007615FA">
        <w:rPr>
          <w:rFonts w:ascii="Arial" w:hAnsi="Arial" w:cs="Arial"/>
          <w:i/>
          <w:iCs/>
          <w:lang w:val="en-US"/>
        </w:rPr>
        <w:t>The Quarterly Journal of Economics</w:t>
      </w:r>
      <w:r w:rsidRPr="007615FA">
        <w:rPr>
          <w:rFonts w:ascii="Arial" w:hAnsi="Arial" w:cs="Arial"/>
          <w:lang w:val="en-US"/>
        </w:rPr>
        <w:t xml:space="preserve"> 127 (4): 1707–54. https://doi.org/10.1093/qje/qjs034.</w:t>
      </w:r>
    </w:p>
    <w:p w14:paraId="204ECA1B" w14:textId="77777777" w:rsidR="00C65FC4" w:rsidRPr="007615FA" w:rsidRDefault="00C65FC4" w:rsidP="007615FA">
      <w:pPr>
        <w:pStyle w:val="Bibliography"/>
        <w:jc w:val="both"/>
        <w:rPr>
          <w:rFonts w:ascii="Arial" w:hAnsi="Arial" w:cs="Arial"/>
          <w:lang w:val="pt-BR"/>
        </w:rPr>
      </w:pPr>
      <w:r w:rsidRPr="007615FA">
        <w:rPr>
          <w:rFonts w:ascii="Arial" w:hAnsi="Arial" w:cs="Arial"/>
          <w:lang w:val="en-US"/>
        </w:rPr>
        <w:t xml:space="preserve">Callaway, Brantly, and Pedro H. C. Sant’Anna. 2021. “Difference-in-Differences with Multiple Time Periods.” </w:t>
      </w:r>
      <w:proofErr w:type="spellStart"/>
      <w:r w:rsidRPr="007615FA">
        <w:rPr>
          <w:rFonts w:ascii="Arial" w:hAnsi="Arial" w:cs="Arial"/>
          <w:i/>
          <w:iCs/>
          <w:lang w:val="pt-BR"/>
        </w:rPr>
        <w:t>Journal</w:t>
      </w:r>
      <w:proofErr w:type="spellEnd"/>
      <w:r w:rsidRPr="007615FA">
        <w:rPr>
          <w:rFonts w:ascii="Arial" w:hAnsi="Arial" w:cs="Arial"/>
          <w:i/>
          <w:iCs/>
          <w:lang w:val="pt-BR"/>
        </w:rPr>
        <w:t xml:space="preserve"> </w:t>
      </w:r>
      <w:proofErr w:type="spellStart"/>
      <w:r w:rsidRPr="007615FA">
        <w:rPr>
          <w:rFonts w:ascii="Arial" w:hAnsi="Arial" w:cs="Arial"/>
          <w:i/>
          <w:iCs/>
          <w:lang w:val="pt-BR"/>
        </w:rPr>
        <w:t>of</w:t>
      </w:r>
      <w:proofErr w:type="spellEnd"/>
      <w:r w:rsidRPr="007615FA">
        <w:rPr>
          <w:rFonts w:ascii="Arial" w:hAnsi="Arial" w:cs="Arial"/>
          <w:i/>
          <w:iCs/>
          <w:lang w:val="pt-BR"/>
        </w:rPr>
        <w:t xml:space="preserve"> </w:t>
      </w:r>
      <w:proofErr w:type="spellStart"/>
      <w:r w:rsidRPr="007615FA">
        <w:rPr>
          <w:rFonts w:ascii="Arial" w:hAnsi="Arial" w:cs="Arial"/>
          <w:i/>
          <w:iCs/>
          <w:lang w:val="pt-BR"/>
        </w:rPr>
        <w:t>Econometrics</w:t>
      </w:r>
      <w:proofErr w:type="spellEnd"/>
      <w:r w:rsidRPr="007615FA">
        <w:rPr>
          <w:rFonts w:ascii="Arial" w:hAnsi="Arial" w:cs="Arial"/>
          <w:lang w:val="pt-BR"/>
        </w:rPr>
        <w:t xml:space="preserve"> 225 (2): 200–230. https://doi.org/10.1016/j.jeconom.2020.12.001.</w:t>
      </w:r>
    </w:p>
    <w:p w14:paraId="09AC3A50" w14:textId="77777777" w:rsidR="00C65FC4" w:rsidRPr="007615FA" w:rsidRDefault="00C65FC4" w:rsidP="007615FA">
      <w:pPr>
        <w:pStyle w:val="Bibliography"/>
        <w:jc w:val="both"/>
        <w:rPr>
          <w:rFonts w:ascii="Arial" w:hAnsi="Arial" w:cs="Arial"/>
          <w:lang w:val="en-US"/>
        </w:rPr>
      </w:pPr>
      <w:r w:rsidRPr="007615FA">
        <w:rPr>
          <w:rFonts w:ascii="Arial" w:hAnsi="Arial" w:cs="Arial"/>
          <w:lang w:val="pt-BR"/>
        </w:rPr>
        <w:t xml:space="preserve">Carneiro, </w:t>
      </w:r>
      <w:proofErr w:type="spellStart"/>
      <w:r w:rsidRPr="007615FA">
        <w:rPr>
          <w:rFonts w:ascii="Arial" w:hAnsi="Arial" w:cs="Arial"/>
          <w:lang w:val="pt-BR"/>
        </w:rPr>
        <w:t>Francimary</w:t>
      </w:r>
      <w:proofErr w:type="spellEnd"/>
      <w:r w:rsidRPr="007615FA">
        <w:rPr>
          <w:rFonts w:ascii="Arial" w:hAnsi="Arial" w:cs="Arial"/>
          <w:lang w:val="pt-BR"/>
        </w:rPr>
        <w:t xml:space="preserve"> Da Silva, </w:t>
      </w:r>
      <w:proofErr w:type="spellStart"/>
      <w:r w:rsidRPr="007615FA">
        <w:rPr>
          <w:rFonts w:ascii="Arial" w:hAnsi="Arial" w:cs="Arial"/>
          <w:lang w:val="pt-BR"/>
        </w:rPr>
        <w:t>Klewton</w:t>
      </w:r>
      <w:proofErr w:type="spellEnd"/>
      <w:r w:rsidRPr="007615FA">
        <w:rPr>
          <w:rFonts w:ascii="Arial" w:hAnsi="Arial" w:cs="Arial"/>
          <w:lang w:val="pt-BR"/>
        </w:rPr>
        <w:t xml:space="preserve"> Adriano Oliveira Pinheiro, Mateus Trindade Barbosa, et al. 2022. “Dinâmica do desmatamento ilegal ocorrido em onze anos no estado do Pará-Brasil.” </w:t>
      </w:r>
      <w:r w:rsidRPr="007615FA">
        <w:rPr>
          <w:rFonts w:ascii="Arial" w:hAnsi="Arial" w:cs="Arial"/>
          <w:i/>
          <w:iCs/>
          <w:lang w:val="en-US"/>
        </w:rPr>
        <w:t>Research, Society and Development</w:t>
      </w:r>
      <w:r w:rsidRPr="007615FA">
        <w:rPr>
          <w:rFonts w:ascii="Arial" w:hAnsi="Arial" w:cs="Arial"/>
          <w:lang w:val="en-US"/>
        </w:rPr>
        <w:t xml:space="preserve"> 11 (7): e21311728308. https://doi.org/10.33448/rsd-v11i7.28308.</w:t>
      </w:r>
    </w:p>
    <w:p w14:paraId="2F45D3FF" w14:textId="77777777" w:rsidR="00C65FC4" w:rsidRPr="007615FA" w:rsidRDefault="00C65FC4" w:rsidP="007615FA">
      <w:pPr>
        <w:pStyle w:val="Bibliography"/>
        <w:jc w:val="both"/>
        <w:rPr>
          <w:rFonts w:ascii="Arial" w:hAnsi="Arial" w:cs="Arial"/>
          <w:lang w:val="pt-BR"/>
        </w:rPr>
      </w:pPr>
      <w:r w:rsidRPr="007615FA">
        <w:rPr>
          <w:rFonts w:ascii="Arial" w:hAnsi="Arial" w:cs="Arial"/>
          <w:lang w:val="pt-BR"/>
        </w:rPr>
        <w:t xml:space="preserve">Carneiro, Marcelo, </w:t>
      </w:r>
      <w:proofErr w:type="spellStart"/>
      <w:r w:rsidRPr="007615FA">
        <w:rPr>
          <w:rFonts w:ascii="Arial" w:hAnsi="Arial" w:cs="Arial"/>
          <w:lang w:val="pt-BR"/>
        </w:rPr>
        <w:t>and</w:t>
      </w:r>
      <w:proofErr w:type="spellEnd"/>
      <w:r w:rsidRPr="007615FA">
        <w:rPr>
          <w:rFonts w:ascii="Arial" w:hAnsi="Arial" w:cs="Arial"/>
          <w:lang w:val="pt-BR"/>
        </w:rPr>
        <w:t xml:space="preserve"> William Assis. 2015. “O Controle Do Desmatamento Na Amazônia Como Um Processo de Modernização Ecológica: A Experiência Do Projeto Município Verde.” </w:t>
      </w:r>
      <w:r w:rsidRPr="007615FA">
        <w:rPr>
          <w:rFonts w:ascii="Arial" w:hAnsi="Arial" w:cs="Arial"/>
          <w:i/>
          <w:iCs/>
          <w:lang w:val="pt-BR"/>
        </w:rPr>
        <w:t>Revista Pós Ciências Sociais</w:t>
      </w:r>
      <w:r w:rsidRPr="007615FA">
        <w:rPr>
          <w:rFonts w:ascii="Arial" w:hAnsi="Arial" w:cs="Arial"/>
          <w:lang w:val="pt-BR"/>
        </w:rPr>
        <w:t xml:space="preserve"> 12 (24): 53. https://doi.org/10.18764/2236-9473.v12n24p53-76.</w:t>
      </w:r>
    </w:p>
    <w:p w14:paraId="24E2BBAC" w14:textId="77777777" w:rsidR="00C65FC4" w:rsidRPr="007615FA" w:rsidRDefault="00C65FC4" w:rsidP="007615FA">
      <w:pPr>
        <w:pStyle w:val="Bibliography"/>
        <w:jc w:val="both"/>
        <w:rPr>
          <w:rFonts w:ascii="Arial" w:hAnsi="Arial" w:cs="Arial"/>
          <w:lang w:val="en-US"/>
        </w:rPr>
      </w:pPr>
      <w:r w:rsidRPr="007615FA">
        <w:rPr>
          <w:rFonts w:ascii="Arial" w:hAnsi="Arial" w:cs="Arial"/>
          <w:lang w:val="pt-BR"/>
        </w:rPr>
        <w:t xml:space="preserve">Costa, Sérgio. 2024. </w:t>
      </w:r>
      <w:r w:rsidRPr="007615FA">
        <w:rPr>
          <w:rFonts w:ascii="Arial" w:hAnsi="Arial" w:cs="Arial"/>
          <w:i/>
          <w:iCs/>
          <w:lang w:val="pt-BR"/>
        </w:rPr>
        <w:t>Desiguais e divididos: Uma interpretação do Brasil polarizado</w:t>
      </w:r>
      <w:r w:rsidRPr="007615FA">
        <w:rPr>
          <w:rFonts w:ascii="Arial" w:hAnsi="Arial" w:cs="Arial"/>
          <w:lang w:val="pt-BR"/>
        </w:rPr>
        <w:t xml:space="preserve">. </w:t>
      </w:r>
      <w:proofErr w:type="spellStart"/>
      <w:r w:rsidRPr="007615FA">
        <w:rPr>
          <w:rFonts w:ascii="Arial" w:hAnsi="Arial" w:cs="Arial"/>
          <w:lang w:val="en-US"/>
        </w:rPr>
        <w:t>Todavia</w:t>
      </w:r>
      <w:proofErr w:type="spellEnd"/>
      <w:r w:rsidRPr="007615FA">
        <w:rPr>
          <w:rFonts w:ascii="Arial" w:hAnsi="Arial" w:cs="Arial"/>
          <w:lang w:val="en-US"/>
        </w:rPr>
        <w:t>.</w:t>
      </w:r>
    </w:p>
    <w:p w14:paraId="29468DC0" w14:textId="77777777" w:rsidR="00C65FC4" w:rsidRPr="007615FA" w:rsidRDefault="00C65FC4" w:rsidP="007615FA">
      <w:pPr>
        <w:pStyle w:val="Bibliography"/>
        <w:jc w:val="both"/>
        <w:rPr>
          <w:rFonts w:ascii="Arial" w:hAnsi="Arial" w:cs="Arial"/>
          <w:lang w:val="en-US"/>
        </w:rPr>
      </w:pPr>
      <w:r w:rsidRPr="007615FA">
        <w:rPr>
          <w:rFonts w:ascii="Arial" w:hAnsi="Arial" w:cs="Arial"/>
          <w:lang w:val="en-US"/>
        </w:rPr>
        <w:t xml:space="preserve">Cunningham, Scott. 2021. </w:t>
      </w:r>
      <w:r w:rsidRPr="007615FA">
        <w:rPr>
          <w:rFonts w:ascii="Arial" w:hAnsi="Arial" w:cs="Arial"/>
          <w:i/>
          <w:iCs/>
          <w:lang w:val="en-US"/>
        </w:rPr>
        <w:t>Causal Inference: The Mixtape</w:t>
      </w:r>
      <w:r w:rsidRPr="007615FA">
        <w:rPr>
          <w:rFonts w:ascii="Arial" w:hAnsi="Arial" w:cs="Arial"/>
          <w:lang w:val="en-US"/>
        </w:rPr>
        <w:t>. Yale University Press. https://doi.org/10.12987/9780300255881.</w:t>
      </w:r>
    </w:p>
    <w:p w14:paraId="12B8D78B" w14:textId="77777777" w:rsidR="00C65FC4" w:rsidRPr="007615FA" w:rsidRDefault="00C65FC4" w:rsidP="007615FA">
      <w:pPr>
        <w:pStyle w:val="Bibliography"/>
        <w:jc w:val="both"/>
        <w:rPr>
          <w:rFonts w:ascii="Arial" w:hAnsi="Arial" w:cs="Arial"/>
          <w:lang w:val="pt-BR"/>
        </w:rPr>
      </w:pPr>
      <w:proofErr w:type="spellStart"/>
      <w:r w:rsidRPr="007615FA">
        <w:rPr>
          <w:rFonts w:ascii="Arial" w:hAnsi="Arial" w:cs="Arial"/>
          <w:lang w:val="pt-BR"/>
        </w:rPr>
        <w:t>Gandour</w:t>
      </w:r>
      <w:proofErr w:type="spellEnd"/>
      <w:r w:rsidRPr="007615FA">
        <w:rPr>
          <w:rFonts w:ascii="Arial" w:hAnsi="Arial" w:cs="Arial"/>
          <w:lang w:val="pt-BR"/>
        </w:rPr>
        <w:t xml:space="preserve">, Clarissa </w:t>
      </w:r>
      <w:proofErr w:type="spellStart"/>
      <w:r w:rsidRPr="007615FA">
        <w:rPr>
          <w:rFonts w:ascii="Arial" w:hAnsi="Arial" w:cs="Arial"/>
          <w:lang w:val="pt-BR"/>
        </w:rPr>
        <w:t>Costalonga</w:t>
      </w:r>
      <w:proofErr w:type="spellEnd"/>
      <w:r w:rsidRPr="007615FA">
        <w:rPr>
          <w:rFonts w:ascii="Arial" w:hAnsi="Arial" w:cs="Arial"/>
          <w:lang w:val="pt-BR"/>
        </w:rPr>
        <w:t xml:space="preserve"> e. 2018a. </w:t>
      </w:r>
      <w:r w:rsidRPr="007615FA">
        <w:rPr>
          <w:rFonts w:ascii="Arial" w:hAnsi="Arial" w:cs="Arial"/>
          <w:lang w:val="en-US"/>
        </w:rPr>
        <w:t xml:space="preserve">“Forest Wars: A Trilogy on Combating Deforestation in the Brazilian Amazon.” </w:t>
      </w:r>
      <w:r w:rsidRPr="007615FA">
        <w:rPr>
          <w:rFonts w:ascii="Arial" w:hAnsi="Arial" w:cs="Arial"/>
          <w:lang w:val="pt-BR"/>
        </w:rPr>
        <w:t xml:space="preserve">Doutor em Economia, Pontifícia </w:t>
      </w:r>
      <w:r w:rsidRPr="007615FA">
        <w:rPr>
          <w:rFonts w:ascii="Arial" w:hAnsi="Arial" w:cs="Arial"/>
          <w:lang w:val="pt-BR"/>
        </w:rPr>
        <w:lastRenderedPageBreak/>
        <w:t>Universidade Católica do Rio de Janeiro. https://doi.org/10.17771/PUCRio.acad.36194.</w:t>
      </w:r>
    </w:p>
    <w:p w14:paraId="5831AC56" w14:textId="77777777" w:rsidR="00C65FC4" w:rsidRPr="007615FA" w:rsidRDefault="00C65FC4" w:rsidP="007615FA">
      <w:pPr>
        <w:pStyle w:val="Bibliography"/>
        <w:jc w:val="both"/>
        <w:rPr>
          <w:rFonts w:ascii="Arial" w:hAnsi="Arial" w:cs="Arial"/>
          <w:lang w:val="pt-BR"/>
        </w:rPr>
      </w:pPr>
      <w:proofErr w:type="spellStart"/>
      <w:r w:rsidRPr="007615FA">
        <w:rPr>
          <w:rFonts w:ascii="Arial" w:hAnsi="Arial" w:cs="Arial"/>
          <w:lang w:val="pt-BR"/>
        </w:rPr>
        <w:t>Gandour</w:t>
      </w:r>
      <w:proofErr w:type="spellEnd"/>
      <w:r w:rsidRPr="007615FA">
        <w:rPr>
          <w:rFonts w:ascii="Arial" w:hAnsi="Arial" w:cs="Arial"/>
          <w:lang w:val="pt-BR"/>
        </w:rPr>
        <w:t xml:space="preserve">, Clarissa </w:t>
      </w:r>
      <w:proofErr w:type="spellStart"/>
      <w:r w:rsidRPr="007615FA">
        <w:rPr>
          <w:rFonts w:ascii="Arial" w:hAnsi="Arial" w:cs="Arial"/>
          <w:lang w:val="pt-BR"/>
        </w:rPr>
        <w:t>Costalonga</w:t>
      </w:r>
      <w:proofErr w:type="spellEnd"/>
      <w:r w:rsidRPr="007615FA">
        <w:rPr>
          <w:rFonts w:ascii="Arial" w:hAnsi="Arial" w:cs="Arial"/>
          <w:lang w:val="pt-BR"/>
        </w:rPr>
        <w:t xml:space="preserve"> e. 2018b. </w:t>
      </w:r>
      <w:r w:rsidRPr="007615FA">
        <w:rPr>
          <w:rFonts w:ascii="Arial" w:hAnsi="Arial" w:cs="Arial"/>
          <w:lang w:val="en-US"/>
        </w:rPr>
        <w:t xml:space="preserve">“Forest Wars: A Trilogy on Combating Deforestation in the </w:t>
      </w:r>
      <w:proofErr w:type="spellStart"/>
      <w:r w:rsidRPr="007615FA">
        <w:rPr>
          <w:rFonts w:ascii="Arial" w:hAnsi="Arial" w:cs="Arial"/>
          <w:lang w:val="en-US"/>
        </w:rPr>
        <w:t>Brazillian</w:t>
      </w:r>
      <w:proofErr w:type="spellEnd"/>
      <w:r w:rsidRPr="007615FA">
        <w:rPr>
          <w:rFonts w:ascii="Arial" w:hAnsi="Arial" w:cs="Arial"/>
          <w:lang w:val="en-US"/>
        </w:rPr>
        <w:t xml:space="preserve"> Amazon.” </w:t>
      </w:r>
      <w:r w:rsidRPr="007615FA">
        <w:rPr>
          <w:rFonts w:ascii="Arial" w:hAnsi="Arial" w:cs="Arial"/>
          <w:lang w:val="pt-BR"/>
        </w:rPr>
        <w:t>Doutor em Economia, Pontifícia Universidade Católica do Rio de Janeiro. https://doi.org/10.17771/PUCRio.acad.36194.</w:t>
      </w:r>
    </w:p>
    <w:p w14:paraId="04AD4BF8" w14:textId="77777777" w:rsidR="00C65FC4" w:rsidRPr="007615FA" w:rsidRDefault="00C65FC4" w:rsidP="007615FA">
      <w:pPr>
        <w:pStyle w:val="Bibliography"/>
        <w:jc w:val="both"/>
        <w:rPr>
          <w:rFonts w:ascii="Arial" w:hAnsi="Arial" w:cs="Arial"/>
          <w:lang w:val="en-US"/>
        </w:rPr>
      </w:pPr>
      <w:r w:rsidRPr="007615FA">
        <w:rPr>
          <w:rFonts w:ascii="Arial" w:hAnsi="Arial" w:cs="Arial"/>
          <w:lang w:val="en-US"/>
        </w:rPr>
        <w:t xml:space="preserve">Harding, Torfinn, Julika Herzberg, and Karlygash Kuralbayeva. 2021. “Commodity Prices and Robust Environmental Regulation: Evidence from Deforestation in Brazil.” </w:t>
      </w:r>
      <w:r w:rsidRPr="007615FA">
        <w:rPr>
          <w:rFonts w:ascii="Arial" w:hAnsi="Arial" w:cs="Arial"/>
          <w:i/>
          <w:iCs/>
          <w:lang w:val="en-US"/>
        </w:rPr>
        <w:t>Journal of Environmental Economics and Management</w:t>
      </w:r>
      <w:r w:rsidRPr="007615FA">
        <w:rPr>
          <w:rFonts w:ascii="Arial" w:hAnsi="Arial" w:cs="Arial"/>
          <w:lang w:val="en-US"/>
        </w:rPr>
        <w:t xml:space="preserve"> 108 (July): 102452. https://doi.org/10.1016/j.jeem.2021.102452.</w:t>
      </w:r>
    </w:p>
    <w:p w14:paraId="07480BB7" w14:textId="77777777" w:rsidR="00C65FC4" w:rsidRPr="007615FA" w:rsidRDefault="00C65FC4" w:rsidP="007615FA">
      <w:pPr>
        <w:pStyle w:val="Bibliography"/>
        <w:jc w:val="both"/>
        <w:rPr>
          <w:rFonts w:ascii="Arial" w:hAnsi="Arial" w:cs="Arial"/>
          <w:lang w:val="en-US"/>
        </w:rPr>
      </w:pPr>
      <w:r w:rsidRPr="007615FA">
        <w:rPr>
          <w:rFonts w:ascii="Arial" w:hAnsi="Arial" w:cs="Arial"/>
          <w:lang w:val="en-US"/>
        </w:rPr>
        <w:t xml:space="preserve">Hargrave, Jorge, and Krisztina Kis-Katos. 2013. “Economic Causes of Deforestation in the Brazilian Amazon: A Panel Data Analysis for the 2000s.” </w:t>
      </w:r>
      <w:r w:rsidRPr="007615FA">
        <w:rPr>
          <w:rFonts w:ascii="Arial" w:hAnsi="Arial" w:cs="Arial"/>
          <w:i/>
          <w:iCs/>
          <w:lang w:val="en-US"/>
        </w:rPr>
        <w:t>Environmental and Resource Economics</w:t>
      </w:r>
      <w:r w:rsidRPr="007615FA">
        <w:rPr>
          <w:rFonts w:ascii="Arial" w:hAnsi="Arial" w:cs="Arial"/>
          <w:lang w:val="en-US"/>
        </w:rPr>
        <w:t xml:space="preserve"> 54 (4): 471–94. https://doi.org/10.1007/s10640-012-9610-2.</w:t>
      </w:r>
    </w:p>
    <w:p w14:paraId="71F61BCE" w14:textId="77777777" w:rsidR="00C65FC4" w:rsidRPr="007615FA" w:rsidRDefault="00C65FC4" w:rsidP="007615FA">
      <w:pPr>
        <w:pStyle w:val="Bibliography"/>
        <w:jc w:val="both"/>
        <w:rPr>
          <w:rFonts w:ascii="Arial" w:hAnsi="Arial" w:cs="Arial"/>
          <w:lang w:val="en-US"/>
        </w:rPr>
      </w:pPr>
      <w:r w:rsidRPr="007615FA">
        <w:rPr>
          <w:rFonts w:ascii="Arial" w:hAnsi="Arial" w:cs="Arial"/>
          <w:lang w:val="en-US"/>
        </w:rPr>
        <w:t xml:space="preserve">Mahar, Dennis. 1988. </w:t>
      </w:r>
      <w:r w:rsidRPr="007615FA">
        <w:rPr>
          <w:rFonts w:ascii="Arial" w:hAnsi="Arial" w:cs="Arial"/>
          <w:i/>
          <w:iCs/>
          <w:lang w:val="en-US"/>
        </w:rPr>
        <w:t>Government Policies and Deforestation in Brazil’s Amazon Region</w:t>
      </w:r>
      <w:r w:rsidRPr="007615FA">
        <w:rPr>
          <w:rFonts w:ascii="Arial" w:hAnsi="Arial" w:cs="Arial"/>
          <w:lang w:val="en-US"/>
        </w:rPr>
        <w:t>. Environment Department Working Paper No. 7. The World Bank. https://documents1.worldbank.org/curated/en/865991493311211082/pdf/Government-policies-and-deforestation-in-Brazils-Amazon-region.pdf.</w:t>
      </w:r>
    </w:p>
    <w:p w14:paraId="0995B41C" w14:textId="77777777" w:rsidR="00C65FC4" w:rsidRPr="007615FA" w:rsidRDefault="00C65FC4" w:rsidP="007615FA">
      <w:pPr>
        <w:pStyle w:val="Bibliography"/>
        <w:jc w:val="both"/>
        <w:rPr>
          <w:rFonts w:ascii="Arial" w:hAnsi="Arial" w:cs="Arial"/>
          <w:lang w:val="en-US"/>
        </w:rPr>
      </w:pPr>
      <w:proofErr w:type="spellStart"/>
      <w:r w:rsidRPr="007615FA">
        <w:rPr>
          <w:rFonts w:ascii="Arial" w:hAnsi="Arial" w:cs="Arial"/>
          <w:lang w:val="pt-BR"/>
        </w:rPr>
        <w:t>Milmanda</w:t>
      </w:r>
      <w:proofErr w:type="spellEnd"/>
      <w:r w:rsidRPr="007615FA">
        <w:rPr>
          <w:rFonts w:ascii="Arial" w:hAnsi="Arial" w:cs="Arial"/>
          <w:lang w:val="pt-BR"/>
        </w:rPr>
        <w:t xml:space="preserve">, Belén Fernández, </w:t>
      </w:r>
      <w:proofErr w:type="spellStart"/>
      <w:r w:rsidRPr="007615FA">
        <w:rPr>
          <w:rFonts w:ascii="Arial" w:hAnsi="Arial" w:cs="Arial"/>
          <w:lang w:val="pt-BR"/>
        </w:rPr>
        <w:t>and</w:t>
      </w:r>
      <w:proofErr w:type="spellEnd"/>
      <w:r w:rsidRPr="007615FA">
        <w:rPr>
          <w:rFonts w:ascii="Arial" w:hAnsi="Arial" w:cs="Arial"/>
          <w:lang w:val="pt-BR"/>
        </w:rPr>
        <w:t xml:space="preserve"> </w:t>
      </w:r>
      <w:proofErr w:type="spellStart"/>
      <w:r w:rsidRPr="007615FA">
        <w:rPr>
          <w:rFonts w:ascii="Arial" w:hAnsi="Arial" w:cs="Arial"/>
          <w:lang w:val="pt-BR"/>
        </w:rPr>
        <w:t>Candelaria</w:t>
      </w:r>
      <w:proofErr w:type="spellEnd"/>
      <w:r w:rsidRPr="007615FA">
        <w:rPr>
          <w:rFonts w:ascii="Arial" w:hAnsi="Arial" w:cs="Arial"/>
          <w:lang w:val="pt-BR"/>
        </w:rPr>
        <w:t xml:space="preserve"> Garay. </w:t>
      </w:r>
      <w:r w:rsidRPr="007615FA">
        <w:rPr>
          <w:rFonts w:ascii="Arial" w:hAnsi="Arial" w:cs="Arial"/>
          <w:lang w:val="en-US"/>
        </w:rPr>
        <w:t xml:space="preserve">2019. “Subnational Variation in Forest Protection in the Argentine Chaco.” </w:t>
      </w:r>
      <w:r w:rsidRPr="007615FA">
        <w:rPr>
          <w:rFonts w:ascii="Arial" w:hAnsi="Arial" w:cs="Arial"/>
          <w:i/>
          <w:iCs/>
          <w:lang w:val="en-US"/>
        </w:rPr>
        <w:t>World Development</w:t>
      </w:r>
      <w:r w:rsidRPr="007615FA">
        <w:rPr>
          <w:rFonts w:ascii="Arial" w:hAnsi="Arial" w:cs="Arial"/>
          <w:lang w:val="en-US"/>
        </w:rPr>
        <w:t xml:space="preserve"> 118 (June): 79–90. https://doi.org/10.1016/j.worlddev.2019.02.002.</w:t>
      </w:r>
    </w:p>
    <w:p w14:paraId="4F2B5CD4" w14:textId="77777777" w:rsidR="00C65FC4" w:rsidRPr="007615FA" w:rsidRDefault="00C65FC4" w:rsidP="007615FA">
      <w:pPr>
        <w:pStyle w:val="Bibliography"/>
        <w:jc w:val="both"/>
        <w:rPr>
          <w:rFonts w:ascii="Arial" w:hAnsi="Arial" w:cs="Arial"/>
          <w:lang w:val="pt-BR"/>
        </w:rPr>
      </w:pPr>
      <w:proofErr w:type="spellStart"/>
      <w:r w:rsidRPr="007615FA">
        <w:rPr>
          <w:rFonts w:ascii="Arial" w:hAnsi="Arial" w:cs="Arial"/>
          <w:lang w:val="en-US"/>
        </w:rPr>
        <w:t>Milmanda</w:t>
      </w:r>
      <w:proofErr w:type="spellEnd"/>
      <w:r w:rsidRPr="007615FA">
        <w:rPr>
          <w:rFonts w:ascii="Arial" w:hAnsi="Arial" w:cs="Arial"/>
          <w:lang w:val="en-US"/>
        </w:rPr>
        <w:t xml:space="preserve">, Belén Fernández, and Candelaria Garay. 2020. “The Multilevel Politics of Enforcement: Environmental Institutions in Argentina.” </w:t>
      </w:r>
      <w:r w:rsidRPr="007615FA">
        <w:rPr>
          <w:rFonts w:ascii="Arial" w:hAnsi="Arial" w:cs="Arial"/>
          <w:i/>
          <w:iCs/>
          <w:lang w:val="pt-BR"/>
        </w:rPr>
        <w:t>Politics &amp; Society</w:t>
      </w:r>
      <w:r w:rsidRPr="007615FA">
        <w:rPr>
          <w:rFonts w:ascii="Arial" w:hAnsi="Arial" w:cs="Arial"/>
          <w:lang w:val="pt-BR"/>
        </w:rPr>
        <w:t xml:space="preserve"> 48 (1): 3–26. https://doi.org/10.1177/0032329219894074.</w:t>
      </w:r>
    </w:p>
    <w:p w14:paraId="4D9515DE" w14:textId="77777777" w:rsidR="00C65FC4" w:rsidRPr="007615FA" w:rsidRDefault="00C65FC4" w:rsidP="007615FA">
      <w:pPr>
        <w:pStyle w:val="Bibliography"/>
        <w:jc w:val="both"/>
        <w:rPr>
          <w:rFonts w:ascii="Arial" w:hAnsi="Arial" w:cs="Arial"/>
          <w:lang w:val="pt-BR"/>
        </w:rPr>
      </w:pPr>
      <w:r w:rsidRPr="007615FA">
        <w:rPr>
          <w:rFonts w:ascii="Arial" w:hAnsi="Arial" w:cs="Arial"/>
          <w:lang w:val="pt-BR"/>
        </w:rPr>
        <w:t>Pará, Governo do (Secretaria de Meio Ambiente e Sustentabilidade). 2023. “Programa Municípios Verdes.” https://www.municipiosverdes.pa.gov.br/.</w:t>
      </w:r>
    </w:p>
    <w:p w14:paraId="6B74D238" w14:textId="77777777" w:rsidR="00C65FC4" w:rsidRPr="007615FA" w:rsidRDefault="00C65FC4" w:rsidP="007615FA">
      <w:pPr>
        <w:pStyle w:val="Bibliography"/>
        <w:jc w:val="both"/>
        <w:rPr>
          <w:rFonts w:ascii="Arial" w:hAnsi="Arial" w:cs="Arial"/>
          <w:lang w:val="pt-BR"/>
        </w:rPr>
      </w:pPr>
      <w:r w:rsidRPr="007615FA">
        <w:rPr>
          <w:rFonts w:ascii="Arial" w:hAnsi="Arial" w:cs="Arial"/>
          <w:lang w:val="pt-BR"/>
        </w:rPr>
        <w:t xml:space="preserve">Saboia, João, </w:t>
      </w:r>
      <w:proofErr w:type="spellStart"/>
      <w:r w:rsidRPr="007615FA">
        <w:rPr>
          <w:rFonts w:ascii="Arial" w:hAnsi="Arial" w:cs="Arial"/>
          <w:lang w:val="pt-BR"/>
        </w:rPr>
        <w:t>and</w:t>
      </w:r>
      <w:proofErr w:type="spellEnd"/>
      <w:r w:rsidRPr="007615FA">
        <w:rPr>
          <w:rFonts w:ascii="Arial" w:hAnsi="Arial" w:cs="Arial"/>
          <w:lang w:val="pt-BR"/>
        </w:rPr>
        <w:t xml:space="preserve"> João Hallak Neto. 2018. “</w:t>
      </w:r>
      <w:proofErr w:type="gramStart"/>
      <w:r w:rsidRPr="007615FA">
        <w:rPr>
          <w:rFonts w:ascii="Arial" w:hAnsi="Arial" w:cs="Arial"/>
          <w:lang w:val="pt-BR"/>
        </w:rPr>
        <w:t>Salário Mínimo</w:t>
      </w:r>
      <w:proofErr w:type="gramEnd"/>
      <w:r w:rsidRPr="007615FA">
        <w:rPr>
          <w:rFonts w:ascii="Arial" w:hAnsi="Arial" w:cs="Arial"/>
          <w:lang w:val="pt-BR"/>
        </w:rPr>
        <w:t xml:space="preserve"> e Distribuição de Renda No Brasil a Partir Dos Anos 2000*.” </w:t>
      </w:r>
      <w:r w:rsidRPr="007615FA">
        <w:rPr>
          <w:rFonts w:ascii="Arial" w:hAnsi="Arial" w:cs="Arial"/>
          <w:i/>
          <w:iCs/>
          <w:lang w:val="pt-BR"/>
        </w:rPr>
        <w:t>Economia e Sociedade</w:t>
      </w:r>
      <w:r w:rsidRPr="007615FA">
        <w:rPr>
          <w:rFonts w:ascii="Arial" w:hAnsi="Arial" w:cs="Arial"/>
          <w:lang w:val="pt-BR"/>
        </w:rPr>
        <w:t xml:space="preserve"> 27 (1): 265–85. https://doi.org/10.1590/1982-3533.2017v27n1art9.</w:t>
      </w:r>
    </w:p>
    <w:p w14:paraId="7BB18FBF" w14:textId="77777777" w:rsidR="00C65FC4" w:rsidRPr="007615FA" w:rsidRDefault="00C65FC4" w:rsidP="007615FA">
      <w:pPr>
        <w:pStyle w:val="Bibliography"/>
        <w:jc w:val="both"/>
        <w:rPr>
          <w:rFonts w:ascii="Arial" w:hAnsi="Arial" w:cs="Arial"/>
          <w:lang w:val="en-US"/>
        </w:rPr>
      </w:pPr>
      <w:r w:rsidRPr="007615FA">
        <w:rPr>
          <w:rFonts w:ascii="Arial" w:hAnsi="Arial" w:cs="Arial"/>
          <w:lang w:val="pt-BR"/>
        </w:rPr>
        <w:t xml:space="preserve">Schneider, Robert R. 1995. </w:t>
      </w:r>
      <w:r w:rsidRPr="007615FA">
        <w:rPr>
          <w:rFonts w:ascii="Arial" w:hAnsi="Arial" w:cs="Arial"/>
          <w:i/>
          <w:iCs/>
          <w:lang w:val="en-US"/>
        </w:rPr>
        <w:t>Government and the Economy on the Amazon Frontier</w:t>
      </w:r>
      <w:r w:rsidRPr="007615FA">
        <w:rPr>
          <w:rFonts w:ascii="Arial" w:hAnsi="Arial" w:cs="Arial"/>
          <w:lang w:val="en-US"/>
        </w:rPr>
        <w:t>. The World Bank. https://doi.org/10.1596/0-8213-3353-4.</w:t>
      </w:r>
    </w:p>
    <w:p w14:paraId="65E497AF" w14:textId="77777777" w:rsidR="00C65FC4" w:rsidRPr="007615FA" w:rsidRDefault="00C65FC4" w:rsidP="007615FA">
      <w:pPr>
        <w:pStyle w:val="Bibliography"/>
        <w:jc w:val="both"/>
        <w:rPr>
          <w:rFonts w:ascii="Arial" w:hAnsi="Arial" w:cs="Arial"/>
          <w:lang w:val="pt-BR"/>
        </w:rPr>
      </w:pPr>
      <w:r w:rsidRPr="007615FA">
        <w:rPr>
          <w:rFonts w:ascii="Arial" w:hAnsi="Arial" w:cs="Arial"/>
          <w:lang w:val="en-US"/>
        </w:rPr>
        <w:t xml:space="preserve">Sills, Erin O., Diego Herrera, A. Justin Kirkpatrick, et al. 2015. “Estimating the Impacts of Local Policy Innovation: The Synthetic Control Method Applied to Tropical Deforestation.” </w:t>
      </w:r>
      <w:r w:rsidRPr="007615FA">
        <w:rPr>
          <w:rFonts w:ascii="Arial" w:hAnsi="Arial" w:cs="Arial"/>
          <w:i/>
          <w:iCs/>
          <w:lang w:val="pt-BR"/>
        </w:rPr>
        <w:t>PLOS ONE</w:t>
      </w:r>
      <w:r w:rsidRPr="007615FA">
        <w:rPr>
          <w:rFonts w:ascii="Arial" w:hAnsi="Arial" w:cs="Arial"/>
          <w:lang w:val="pt-BR"/>
        </w:rPr>
        <w:t xml:space="preserve"> 10 (7): e0132590. https://doi.org/10.1371/journal.pone.0132590.</w:t>
      </w:r>
    </w:p>
    <w:p w14:paraId="0D9BF3D0" w14:textId="77777777" w:rsidR="00C65FC4" w:rsidRPr="007615FA" w:rsidRDefault="00C65FC4" w:rsidP="007615FA">
      <w:pPr>
        <w:pStyle w:val="Bibliography"/>
        <w:jc w:val="both"/>
        <w:rPr>
          <w:rFonts w:ascii="Arial" w:hAnsi="Arial" w:cs="Arial"/>
          <w:lang w:val="en-US"/>
        </w:rPr>
      </w:pPr>
      <w:r w:rsidRPr="007615FA">
        <w:rPr>
          <w:rFonts w:ascii="Arial" w:hAnsi="Arial" w:cs="Arial"/>
          <w:lang w:val="pt-BR"/>
        </w:rPr>
        <w:t xml:space="preserve">Souza, Pedro H. G. Ferreira </w:t>
      </w:r>
      <w:proofErr w:type="gramStart"/>
      <w:r w:rsidRPr="007615FA">
        <w:rPr>
          <w:rFonts w:ascii="Arial" w:hAnsi="Arial" w:cs="Arial"/>
          <w:lang w:val="pt-BR"/>
        </w:rPr>
        <w:t xml:space="preserve">De, </w:t>
      </w:r>
      <w:proofErr w:type="spellStart"/>
      <w:r w:rsidRPr="007615FA">
        <w:rPr>
          <w:rFonts w:ascii="Arial" w:hAnsi="Arial" w:cs="Arial"/>
          <w:lang w:val="pt-BR"/>
        </w:rPr>
        <w:t>and</w:t>
      </w:r>
      <w:proofErr w:type="spellEnd"/>
      <w:proofErr w:type="gramEnd"/>
      <w:r w:rsidRPr="007615FA">
        <w:rPr>
          <w:rFonts w:ascii="Arial" w:hAnsi="Arial" w:cs="Arial"/>
          <w:lang w:val="pt-BR"/>
        </w:rPr>
        <w:t xml:space="preserve"> Raphael Bruce. 2022. “TD 2813 - Uma Avaliação Final Da Focalização e Da Efetividade Contra a Pobreza Do Programa Bolsa </w:t>
      </w:r>
      <w:r w:rsidRPr="007615FA">
        <w:rPr>
          <w:rFonts w:ascii="Arial" w:hAnsi="Arial" w:cs="Arial"/>
          <w:lang w:val="pt-BR"/>
        </w:rPr>
        <w:lastRenderedPageBreak/>
        <w:t xml:space="preserve">Família, Em Perspectiva Comparada.” </w:t>
      </w:r>
      <w:proofErr w:type="spellStart"/>
      <w:r w:rsidRPr="007615FA">
        <w:rPr>
          <w:rFonts w:ascii="Arial" w:hAnsi="Arial" w:cs="Arial"/>
          <w:i/>
          <w:iCs/>
          <w:lang w:val="en-US"/>
        </w:rPr>
        <w:t>Texto</w:t>
      </w:r>
      <w:proofErr w:type="spellEnd"/>
      <w:r w:rsidRPr="007615FA">
        <w:rPr>
          <w:rFonts w:ascii="Arial" w:hAnsi="Arial" w:cs="Arial"/>
          <w:i/>
          <w:iCs/>
          <w:lang w:val="en-US"/>
        </w:rPr>
        <w:t xml:space="preserve"> Para Discussão</w:t>
      </w:r>
      <w:r w:rsidRPr="007615FA">
        <w:rPr>
          <w:rFonts w:ascii="Arial" w:hAnsi="Arial" w:cs="Arial"/>
          <w:lang w:val="en-US"/>
        </w:rPr>
        <w:t>, November 18, 1–83. https://doi.org/10.38116/td2813.</w:t>
      </w:r>
    </w:p>
    <w:p w14:paraId="6A7A0C4B" w14:textId="32E520DF" w:rsidR="00C65FC4" w:rsidRPr="007615FA" w:rsidRDefault="00C65FC4" w:rsidP="007615FA">
      <w:pPr>
        <w:jc w:val="both"/>
        <w:rPr>
          <w:rFonts w:ascii="Arial" w:hAnsi="Arial" w:cs="Arial"/>
          <w:lang w:val="en-US"/>
        </w:rPr>
      </w:pPr>
      <w:r w:rsidRPr="007615FA">
        <w:rPr>
          <w:rFonts w:ascii="Arial" w:hAnsi="Arial" w:cs="Arial"/>
          <w:lang w:val="en-US"/>
        </w:rPr>
        <w:fldChar w:fldCharType="end"/>
      </w:r>
    </w:p>
    <w:p w14:paraId="3F63A6FA" w14:textId="77777777" w:rsidR="00E46A7E" w:rsidRPr="007615FA" w:rsidRDefault="00E46A7E" w:rsidP="007615FA">
      <w:pPr>
        <w:jc w:val="both"/>
        <w:rPr>
          <w:rFonts w:ascii="Arial" w:hAnsi="Arial" w:cs="Arial"/>
          <w:lang w:val="en-US"/>
        </w:rPr>
      </w:pPr>
    </w:p>
    <w:p w14:paraId="36DAD7D5" w14:textId="77777777" w:rsidR="00F40342" w:rsidRPr="007615FA" w:rsidRDefault="00F40342" w:rsidP="007615FA">
      <w:pPr>
        <w:jc w:val="both"/>
        <w:rPr>
          <w:rFonts w:ascii="Arial" w:hAnsi="Arial" w:cs="Arial"/>
          <w:lang w:val="en-US"/>
        </w:rPr>
      </w:pPr>
    </w:p>
    <w:p w14:paraId="252CAA2A" w14:textId="77777777" w:rsidR="00E46A7E" w:rsidRPr="007615FA" w:rsidRDefault="00E46A7E" w:rsidP="007615FA">
      <w:pPr>
        <w:jc w:val="both"/>
        <w:rPr>
          <w:rFonts w:ascii="Arial" w:hAnsi="Arial" w:cs="Arial"/>
          <w:lang w:val="en-US"/>
        </w:rPr>
      </w:pPr>
    </w:p>
    <w:p w14:paraId="43B56E31" w14:textId="77777777" w:rsidR="00E46A7E" w:rsidRPr="007615FA" w:rsidRDefault="00E46A7E" w:rsidP="007615FA">
      <w:pPr>
        <w:jc w:val="both"/>
        <w:rPr>
          <w:rFonts w:ascii="Arial" w:hAnsi="Arial" w:cs="Arial"/>
          <w:lang w:val="en-US"/>
        </w:rPr>
      </w:pPr>
    </w:p>
    <w:p w14:paraId="1DBE1803" w14:textId="77777777" w:rsidR="00E46A7E" w:rsidRPr="007615FA" w:rsidRDefault="00E46A7E" w:rsidP="007615FA">
      <w:pPr>
        <w:jc w:val="both"/>
        <w:rPr>
          <w:rFonts w:ascii="Arial" w:hAnsi="Arial" w:cs="Arial"/>
          <w:lang w:val="en-US"/>
        </w:rPr>
      </w:pPr>
    </w:p>
    <w:p w14:paraId="7F0455A2" w14:textId="77777777" w:rsidR="00E46A7E" w:rsidRPr="007615FA" w:rsidRDefault="00E46A7E" w:rsidP="007615FA">
      <w:pPr>
        <w:jc w:val="both"/>
        <w:rPr>
          <w:rFonts w:ascii="Arial" w:hAnsi="Arial" w:cs="Arial"/>
          <w:lang w:val="en-US"/>
        </w:rPr>
      </w:pPr>
    </w:p>
    <w:p w14:paraId="591A6985" w14:textId="77777777" w:rsidR="00E46A7E" w:rsidRPr="007615FA" w:rsidRDefault="00E46A7E" w:rsidP="007615FA">
      <w:pPr>
        <w:jc w:val="both"/>
        <w:rPr>
          <w:rFonts w:ascii="Arial" w:hAnsi="Arial" w:cs="Arial"/>
          <w:lang w:val="en-US"/>
        </w:rPr>
      </w:pPr>
    </w:p>
    <w:p w14:paraId="23626C70" w14:textId="77777777" w:rsidR="0070458D" w:rsidRPr="007615FA" w:rsidRDefault="0070458D" w:rsidP="007615FA">
      <w:pPr>
        <w:jc w:val="both"/>
        <w:rPr>
          <w:rFonts w:ascii="Arial" w:hAnsi="Arial" w:cs="Arial"/>
          <w:lang w:val="en-US"/>
        </w:rPr>
      </w:pPr>
    </w:p>
    <w:p w14:paraId="56AC1263" w14:textId="77777777" w:rsidR="003B431A" w:rsidRPr="007615FA" w:rsidRDefault="003B431A" w:rsidP="007615FA">
      <w:pPr>
        <w:jc w:val="both"/>
        <w:rPr>
          <w:rFonts w:ascii="Arial" w:hAnsi="Arial" w:cs="Arial"/>
          <w:lang w:val="en-US"/>
        </w:rPr>
      </w:pPr>
    </w:p>
    <w:sectPr w:rsidR="003B431A" w:rsidRPr="007615F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DAABB0" w14:textId="77777777" w:rsidR="00EF71F0" w:rsidRDefault="00EF71F0" w:rsidP="0070458D">
      <w:pPr>
        <w:spacing w:after="0" w:line="240" w:lineRule="auto"/>
      </w:pPr>
      <w:r>
        <w:separator/>
      </w:r>
    </w:p>
  </w:endnote>
  <w:endnote w:type="continuationSeparator" w:id="0">
    <w:p w14:paraId="04DA41E7" w14:textId="77777777" w:rsidR="00EF71F0" w:rsidRDefault="00EF71F0" w:rsidP="00704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CA8575" w14:textId="77777777" w:rsidR="00EF71F0" w:rsidRDefault="00EF71F0" w:rsidP="0070458D">
      <w:pPr>
        <w:spacing w:after="0" w:line="240" w:lineRule="auto"/>
      </w:pPr>
      <w:r>
        <w:separator/>
      </w:r>
    </w:p>
  </w:footnote>
  <w:footnote w:type="continuationSeparator" w:id="0">
    <w:p w14:paraId="6F0224AF" w14:textId="77777777" w:rsidR="00EF71F0" w:rsidRDefault="00EF71F0" w:rsidP="0070458D">
      <w:pPr>
        <w:spacing w:after="0" w:line="240" w:lineRule="auto"/>
      </w:pPr>
      <w:r>
        <w:continuationSeparator/>
      </w:r>
    </w:p>
  </w:footnote>
  <w:footnote w:id="1">
    <w:p w14:paraId="68B9ECF5" w14:textId="3FC473A8" w:rsidR="00AF5A27" w:rsidRPr="00AF5A27" w:rsidRDefault="00AF5A27">
      <w:pPr>
        <w:pStyle w:val="FootnoteText"/>
        <w:rPr>
          <w:lang w:val="en-BR"/>
        </w:rPr>
      </w:pPr>
      <w:r>
        <w:rPr>
          <w:rStyle w:val="FootnoteReference"/>
        </w:rPr>
        <w:footnoteRef/>
      </w:r>
      <w:r w:rsidRPr="00AF5A27">
        <w:rPr>
          <w:lang w:val="en-US"/>
        </w:rPr>
        <w:t xml:space="preserve"> </w:t>
      </w:r>
      <w:r w:rsidRPr="00AF5A27">
        <w:rPr>
          <w:lang w:val="en-BR"/>
        </w:rPr>
        <w:t>A normalization inconsistency between the two indices is known and scheduled for correction</w:t>
      </w:r>
      <w:r>
        <w:rPr>
          <w:lang w:val="en-BR"/>
        </w:rPr>
        <w:t>.</w:t>
      </w:r>
    </w:p>
  </w:footnote>
  <w:footnote w:id="2">
    <w:p w14:paraId="0361A1DA" w14:textId="3A1AF15F" w:rsidR="00AF5A27" w:rsidRPr="00AF5A27" w:rsidRDefault="00AF5A27">
      <w:pPr>
        <w:pStyle w:val="FootnoteText"/>
        <w:rPr>
          <w:lang w:val="en-US"/>
        </w:rPr>
      </w:pPr>
      <w:r>
        <w:rPr>
          <w:rStyle w:val="FootnoteReference"/>
        </w:rPr>
        <w:footnoteRef/>
      </w:r>
      <w:r w:rsidRPr="00AF5A27">
        <w:rPr>
          <w:lang w:val="en-US"/>
        </w:rPr>
        <w:t xml:space="preserve"> </w:t>
      </w:r>
      <w:r w:rsidRPr="00AF5A27">
        <w:rPr>
          <w:lang w:val="en-US"/>
        </w:rPr>
        <w:t>A known indexing correction for the electoral variables is pending</w:t>
      </w:r>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555D6"/>
    <w:multiLevelType w:val="hybridMultilevel"/>
    <w:tmpl w:val="785A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E1891"/>
    <w:multiLevelType w:val="hybridMultilevel"/>
    <w:tmpl w:val="CD1C51B2"/>
    <w:lvl w:ilvl="0" w:tplc="90F20090">
      <w:start w:val="1"/>
      <w:numFmt w:val="lowerRoman"/>
      <w:lvlText w:val="%1."/>
      <w:lvlJc w:val="left"/>
      <w:pPr>
        <w:ind w:left="1571" w:hanging="72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 w15:restartNumberingAfterBreak="0">
    <w:nsid w:val="2C020C5A"/>
    <w:multiLevelType w:val="hybridMultilevel"/>
    <w:tmpl w:val="07A49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6E1B80"/>
    <w:multiLevelType w:val="hybridMultilevel"/>
    <w:tmpl w:val="8CC87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124DF4"/>
    <w:multiLevelType w:val="hybridMultilevel"/>
    <w:tmpl w:val="8CA05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A75EDF"/>
    <w:multiLevelType w:val="multilevel"/>
    <w:tmpl w:val="7408BFB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43166041">
    <w:abstractNumId w:val="1"/>
  </w:num>
  <w:num w:numId="2" w16cid:durableId="841434868">
    <w:abstractNumId w:val="4"/>
  </w:num>
  <w:num w:numId="3" w16cid:durableId="356345966">
    <w:abstractNumId w:val="0"/>
  </w:num>
  <w:num w:numId="4" w16cid:durableId="2048406075">
    <w:abstractNumId w:val="3"/>
  </w:num>
  <w:num w:numId="5" w16cid:durableId="935552060">
    <w:abstractNumId w:val="2"/>
  </w:num>
  <w:num w:numId="6" w16cid:durableId="99649218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58D"/>
    <w:rsid w:val="0003635A"/>
    <w:rsid w:val="00096121"/>
    <w:rsid w:val="0014059F"/>
    <w:rsid w:val="0015599E"/>
    <w:rsid w:val="001869A4"/>
    <w:rsid w:val="00187788"/>
    <w:rsid w:val="002009C3"/>
    <w:rsid w:val="00267A7C"/>
    <w:rsid w:val="00277886"/>
    <w:rsid w:val="002D58E4"/>
    <w:rsid w:val="002E0AAF"/>
    <w:rsid w:val="00380F96"/>
    <w:rsid w:val="003A1103"/>
    <w:rsid w:val="003B431A"/>
    <w:rsid w:val="003F338D"/>
    <w:rsid w:val="003F3E9D"/>
    <w:rsid w:val="00424323"/>
    <w:rsid w:val="004A2ABD"/>
    <w:rsid w:val="004E35D7"/>
    <w:rsid w:val="005B132F"/>
    <w:rsid w:val="006244FB"/>
    <w:rsid w:val="006D2C25"/>
    <w:rsid w:val="006E5EB5"/>
    <w:rsid w:val="0070458D"/>
    <w:rsid w:val="00725205"/>
    <w:rsid w:val="00747680"/>
    <w:rsid w:val="007615FA"/>
    <w:rsid w:val="007C2329"/>
    <w:rsid w:val="007D0244"/>
    <w:rsid w:val="007D43C9"/>
    <w:rsid w:val="00825D60"/>
    <w:rsid w:val="00851CBC"/>
    <w:rsid w:val="0089077D"/>
    <w:rsid w:val="008F0AFC"/>
    <w:rsid w:val="0093638C"/>
    <w:rsid w:val="009836CB"/>
    <w:rsid w:val="009A1B89"/>
    <w:rsid w:val="009B6DE4"/>
    <w:rsid w:val="00A7796D"/>
    <w:rsid w:val="00A97B51"/>
    <w:rsid w:val="00AB41C1"/>
    <w:rsid w:val="00AE2D88"/>
    <w:rsid w:val="00AE4ACA"/>
    <w:rsid w:val="00AF5A27"/>
    <w:rsid w:val="00B32395"/>
    <w:rsid w:val="00C556D2"/>
    <w:rsid w:val="00C65FC4"/>
    <w:rsid w:val="00D6008F"/>
    <w:rsid w:val="00D62861"/>
    <w:rsid w:val="00E14551"/>
    <w:rsid w:val="00E46A7E"/>
    <w:rsid w:val="00E731F5"/>
    <w:rsid w:val="00E966D1"/>
    <w:rsid w:val="00EF71F0"/>
    <w:rsid w:val="00F275DB"/>
    <w:rsid w:val="00F40342"/>
    <w:rsid w:val="00F5183A"/>
    <w:rsid w:val="00F5584F"/>
    <w:rsid w:val="00FA5570"/>
    <w:rsid w:val="00FB0DB9"/>
    <w:rsid w:val="00FC13D7"/>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682AB060"/>
  <w15:chartTrackingRefBased/>
  <w15:docId w15:val="{1B06FD24-E3EF-2F49-9A4C-B2C6D8F2F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58D"/>
    <w:rPr>
      <w:rFonts w:eastAsiaTheme="majorEastAsia" w:cstheme="majorBidi"/>
      <w:color w:val="272727" w:themeColor="text1" w:themeTint="D8"/>
    </w:rPr>
  </w:style>
  <w:style w:type="paragraph" w:styleId="Title">
    <w:name w:val="Title"/>
    <w:basedOn w:val="Normal"/>
    <w:next w:val="Normal"/>
    <w:link w:val="TitleChar"/>
    <w:uiPriority w:val="10"/>
    <w:qFormat/>
    <w:rsid w:val="00704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58D"/>
    <w:pPr>
      <w:spacing w:before="160"/>
      <w:jc w:val="center"/>
    </w:pPr>
    <w:rPr>
      <w:i/>
      <w:iCs/>
      <w:color w:val="404040" w:themeColor="text1" w:themeTint="BF"/>
    </w:rPr>
  </w:style>
  <w:style w:type="character" w:customStyle="1" w:styleId="QuoteChar">
    <w:name w:val="Quote Char"/>
    <w:basedOn w:val="DefaultParagraphFont"/>
    <w:link w:val="Quote"/>
    <w:uiPriority w:val="29"/>
    <w:rsid w:val="0070458D"/>
    <w:rPr>
      <w:i/>
      <w:iCs/>
      <w:color w:val="404040" w:themeColor="text1" w:themeTint="BF"/>
    </w:rPr>
  </w:style>
  <w:style w:type="paragraph" w:styleId="ListParagraph">
    <w:name w:val="List Paragraph"/>
    <w:basedOn w:val="Normal"/>
    <w:uiPriority w:val="34"/>
    <w:qFormat/>
    <w:rsid w:val="0070458D"/>
    <w:pPr>
      <w:ind w:left="720"/>
      <w:contextualSpacing/>
    </w:pPr>
  </w:style>
  <w:style w:type="character" w:styleId="IntenseEmphasis">
    <w:name w:val="Intense Emphasis"/>
    <w:basedOn w:val="DefaultParagraphFont"/>
    <w:uiPriority w:val="21"/>
    <w:qFormat/>
    <w:rsid w:val="0070458D"/>
    <w:rPr>
      <w:i/>
      <w:iCs/>
      <w:color w:val="0F4761" w:themeColor="accent1" w:themeShade="BF"/>
    </w:rPr>
  </w:style>
  <w:style w:type="paragraph" w:styleId="IntenseQuote">
    <w:name w:val="Intense Quote"/>
    <w:basedOn w:val="Normal"/>
    <w:next w:val="Normal"/>
    <w:link w:val="IntenseQuoteChar"/>
    <w:uiPriority w:val="30"/>
    <w:qFormat/>
    <w:rsid w:val="00704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58D"/>
    <w:rPr>
      <w:i/>
      <w:iCs/>
      <w:color w:val="0F4761" w:themeColor="accent1" w:themeShade="BF"/>
    </w:rPr>
  </w:style>
  <w:style w:type="character" w:styleId="IntenseReference">
    <w:name w:val="Intense Reference"/>
    <w:basedOn w:val="DefaultParagraphFont"/>
    <w:uiPriority w:val="32"/>
    <w:qFormat/>
    <w:rsid w:val="0070458D"/>
    <w:rPr>
      <w:b/>
      <w:bCs/>
      <w:smallCaps/>
      <w:color w:val="0F4761" w:themeColor="accent1" w:themeShade="BF"/>
      <w:spacing w:val="5"/>
    </w:rPr>
  </w:style>
  <w:style w:type="paragraph" w:styleId="FootnoteText">
    <w:name w:val="footnote text"/>
    <w:basedOn w:val="Normal"/>
    <w:link w:val="FootnoteTextChar"/>
    <w:uiPriority w:val="99"/>
    <w:semiHidden/>
    <w:unhideWhenUsed/>
    <w:rsid w:val="0070458D"/>
    <w:pPr>
      <w:spacing w:after="0" w:line="240" w:lineRule="auto"/>
    </w:pPr>
    <w:rPr>
      <w:kern w:val="0"/>
      <w:sz w:val="20"/>
      <w:szCs w:val="20"/>
      <w:lang w:val="pt-BR"/>
      <w14:ligatures w14:val="none"/>
    </w:rPr>
  </w:style>
  <w:style w:type="character" w:customStyle="1" w:styleId="FootnoteTextChar">
    <w:name w:val="Footnote Text Char"/>
    <w:basedOn w:val="DefaultParagraphFont"/>
    <w:link w:val="FootnoteText"/>
    <w:uiPriority w:val="99"/>
    <w:semiHidden/>
    <w:rsid w:val="0070458D"/>
    <w:rPr>
      <w:kern w:val="0"/>
      <w:sz w:val="20"/>
      <w:szCs w:val="20"/>
      <w:lang w:val="pt-BR"/>
      <w14:ligatures w14:val="none"/>
    </w:rPr>
  </w:style>
  <w:style w:type="character" w:styleId="FootnoteReference">
    <w:name w:val="footnote reference"/>
    <w:basedOn w:val="DefaultParagraphFont"/>
    <w:uiPriority w:val="99"/>
    <w:semiHidden/>
    <w:unhideWhenUsed/>
    <w:rsid w:val="0070458D"/>
    <w:rPr>
      <w:vertAlign w:val="superscript"/>
    </w:rPr>
  </w:style>
  <w:style w:type="paragraph" w:styleId="NormalWeb">
    <w:name w:val="Normal (Web)"/>
    <w:basedOn w:val="Normal"/>
    <w:uiPriority w:val="99"/>
    <w:semiHidden/>
    <w:unhideWhenUsed/>
    <w:rsid w:val="002E0AA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ibliography">
    <w:name w:val="Bibliography"/>
    <w:basedOn w:val="Normal"/>
    <w:next w:val="Normal"/>
    <w:uiPriority w:val="37"/>
    <w:unhideWhenUsed/>
    <w:rsid w:val="00C65FC4"/>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5661B-8183-B346-8389-2F88B908B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25</Pages>
  <Words>11335</Words>
  <Characters>65292</Characters>
  <Application>Microsoft Office Word</Application>
  <DocSecurity>0</DocSecurity>
  <Lines>1165</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Cymbaluk</dc:creator>
  <cp:keywords/>
  <dc:description/>
  <cp:lastModifiedBy>Fernando Cymbaluk</cp:lastModifiedBy>
  <cp:revision>7</cp:revision>
  <dcterms:created xsi:type="dcterms:W3CDTF">2026-08-01T17:42:00Z</dcterms:created>
  <dcterms:modified xsi:type="dcterms:W3CDTF">2026-08-03T05:47:00Z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398B123D-08EB-48D6-B6E1-1FEC9DB477F6</vt:lpwstr>
  </property>
  <property fmtid="{D5CDD505-2E9C-101B-9397-08002B2CF9AE}" pid="3" name="ZOTERO_PREF_1">
    <vt:lpwstr>&lt;data data-version="3" zotero-version="9.0.6"&gt;&lt;session id="KAsnAd9J"/&gt;&lt;style id="http://www.zotero.org/styles/chicago-author-date" locale="en-US"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