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004_RUDAW</w:t>
      </w:r>
    </w:p>
    <w:p>
      <w:pPr>
        <w:jc w:val="center"/>
      </w:pPr>
      <w:r>
        <w:rPr>
          <w:i/>
          <w:color w:val="555555"/>
          <w:sz w:val="20"/>
        </w:rPr>
        <w:t>Corpus ID: TSLK-004-RUDAW-ANALYTICAL | Analytical, Opinion &amp; Multimedia News Corpus (Rudaw Media Network)</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'TSLK-004-RUDAW-ANALYTICAL'. The file represents Largest journalistic dataset comprising 39,715 articles. Encompasses analytical essays (Nêrîn), deep interviews (Hevpeyvîn), economy, and arts.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TSLK-004-RUDAW-ANALYTICAL</w:t>
            </w:r>
          </w:p>
        </w:tc>
      </w:tr>
      <w:tr>
        <w:tc>
          <w:tcPr>
            <w:tcW w:type="dxa" w:w="4680"/>
          </w:tcPr>
          <w:p>
            <w:r>
              <w:t>Documentary Provenance</w:t>
            </w:r>
          </w:p>
        </w:tc>
        <w:tc>
          <w:tcPr>
            <w:tcW w:type="dxa" w:w="4680"/>
          </w:tcPr>
          <w:p>
            <w:r>
              <w:t>004_RUDAW</w:t>
            </w:r>
          </w:p>
        </w:tc>
      </w:tr>
      <w:tr>
        <w:tc>
          <w:tcPr>
            <w:tcW w:type="dxa" w:w="4680"/>
          </w:tcPr>
          <w:p>
            <w:r>
              <w:t>Observed Text Volume</w:t>
            </w:r>
          </w:p>
        </w:tc>
        <w:tc>
          <w:tcPr>
            <w:tcW w:type="dxa" w:w="4680"/>
          </w:tcPr>
          <w:p>
            <w:r>
              <w:t>39,715 articles / 8,920,000+ words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û</w:t>
            </w:r>
          </w:p>
        </w:tc>
        <w:tc>
          <w:tcPr>
            <w:tcW w:type="dxa" w:w="1872"/>
          </w:tcPr>
          <w:p>
            <w:r>
              <w:t>380,000+</w:t>
            </w:r>
          </w:p>
        </w:tc>
        <w:tc>
          <w:tcPr>
            <w:tcW w:type="dxa" w:w="1872"/>
          </w:tcPr>
          <w:p>
            <w:r>
              <w:t>Universal coordinator</w:t>
            </w:r>
          </w:p>
        </w:tc>
        <w:tc>
          <w:tcPr>
            <w:tcW w:type="dxa" w:w="1872"/>
          </w:tcPr>
          <w:p>
            <w:r>
              <w:t>O</w:t>
            </w:r>
          </w:p>
        </w:tc>
      </w:tr>
      <w:tr>
        <w:tc>
          <w:tcPr>
            <w:tcW w:type="dxa" w:w="1872"/>
          </w:tcPr>
          <w:p>
            <w:r>
              <w:t>FORM-002</w:t>
            </w:r>
          </w:p>
        </w:tc>
        <w:tc>
          <w:tcPr>
            <w:tcW w:type="dxa" w:w="1872"/>
          </w:tcPr>
          <w:p>
            <w:r>
              <w:t>li</w:t>
            </w:r>
          </w:p>
        </w:tc>
        <w:tc>
          <w:tcPr>
            <w:tcW w:type="dxa" w:w="1872"/>
          </w:tcPr>
          <w:p>
            <w:r>
              <w:t>295,000+</w:t>
            </w:r>
          </w:p>
        </w:tc>
        <w:tc>
          <w:tcPr>
            <w:tcW w:type="dxa" w:w="1872"/>
          </w:tcPr>
          <w:p>
            <w:r>
              <w:t>Locative marker</w:t>
            </w:r>
          </w:p>
        </w:tc>
        <w:tc>
          <w:tcPr>
            <w:tcW w:type="dxa" w:w="1872"/>
          </w:tcPr>
          <w:p>
            <w:r>
              <w:t>O</w:t>
            </w:r>
          </w:p>
        </w:tc>
      </w:tr>
      <w:tr>
        <w:tc>
          <w:tcPr>
            <w:tcW w:type="dxa" w:w="1872"/>
          </w:tcPr>
          <w:p>
            <w:r>
              <w:t>FORM-003</w:t>
            </w:r>
          </w:p>
        </w:tc>
        <w:tc>
          <w:tcPr>
            <w:tcW w:type="dxa" w:w="1872"/>
          </w:tcPr>
          <w:p>
            <w:r>
              <w:t>di ... de</w:t>
            </w:r>
          </w:p>
        </w:tc>
        <w:tc>
          <w:tcPr>
            <w:tcW w:type="dxa" w:w="1872"/>
          </w:tcPr>
          <w:p>
            <w:r>
              <w:t>240,000+</w:t>
            </w:r>
          </w:p>
        </w:tc>
        <w:tc>
          <w:tcPr>
            <w:tcW w:type="dxa" w:w="1872"/>
          </w:tcPr>
          <w:p>
            <w:r>
              <w:t>Circumposition</w:t>
            </w:r>
          </w:p>
        </w:tc>
        <w:tc>
          <w:tcPr>
            <w:tcW w:type="dxa" w:w="1872"/>
          </w:tcPr>
          <w:p>
            <w:r>
              <w:t>O</w:t>
            </w:r>
          </w:p>
        </w:tc>
      </w:tr>
      <w:tr>
        <w:tc>
          <w:tcPr>
            <w:tcW w:type="dxa" w:w="1872"/>
          </w:tcPr>
          <w:p>
            <w:r>
              <w:t>FORM-004</w:t>
            </w:r>
          </w:p>
        </w:tc>
        <w:tc>
          <w:tcPr>
            <w:tcW w:type="dxa" w:w="1872"/>
          </w:tcPr>
          <w:p>
            <w:r>
              <w:t>ku</w:t>
            </w:r>
          </w:p>
        </w:tc>
        <w:tc>
          <w:tcPr>
            <w:tcW w:type="dxa" w:w="1872"/>
          </w:tcPr>
          <w:p>
            <w:r>
              <w:t>198,000+</w:t>
            </w:r>
          </w:p>
        </w:tc>
        <w:tc>
          <w:tcPr>
            <w:tcW w:type="dxa" w:w="1872"/>
          </w:tcPr>
          <w:p>
            <w:r>
              <w:t>Subordinator</w:t>
            </w:r>
          </w:p>
        </w:tc>
        <w:tc>
          <w:tcPr>
            <w:tcW w:type="dxa" w:w="1872"/>
          </w:tcPr>
          <w:p>
            <w:r>
              <w:t>O</w:t>
            </w:r>
          </w:p>
        </w:tc>
      </w:tr>
      <w:tr>
        <w:tc>
          <w:tcPr>
            <w:tcW w:type="dxa" w:w="1872"/>
          </w:tcPr>
          <w:p>
            <w:r>
              <w:t>FORM-005</w:t>
            </w:r>
          </w:p>
        </w:tc>
        <w:tc>
          <w:tcPr>
            <w:tcW w:type="dxa" w:w="1872"/>
          </w:tcPr>
          <w:p>
            <w:r>
              <w:t>dê / wê</w:t>
            </w:r>
          </w:p>
        </w:tc>
        <w:tc>
          <w:tcPr>
            <w:tcW w:type="dxa" w:w="1872"/>
          </w:tcPr>
          <w:p>
            <w:r>
              <w:t>112,000+</w:t>
            </w:r>
          </w:p>
        </w:tc>
        <w:tc>
          <w:tcPr>
            <w:tcW w:type="dxa" w:w="1872"/>
          </w:tcPr>
          <w:p>
            <w:r>
              <w:t>Future modal marker</w:t>
            </w:r>
          </w:p>
        </w:tc>
        <w:tc>
          <w:tcPr>
            <w:tcW w:type="dxa" w:w="1872"/>
          </w:tcPr>
          <w:p>
            <w:r>
              <w:t>O</w:t>
            </w:r>
          </w:p>
        </w:tc>
      </w:tr>
      <w:tr>
        <w:tc>
          <w:tcPr>
            <w:tcW w:type="dxa" w:w="1872"/>
          </w:tcPr>
          <w:p>
            <w:r>
              <w:t>FORM-006</w:t>
            </w:r>
          </w:p>
        </w:tc>
        <w:tc>
          <w:tcPr>
            <w:tcW w:type="dxa" w:w="1872"/>
          </w:tcPr>
          <w:p>
            <w:r>
              <w:t>got</w:t>
            </w:r>
          </w:p>
        </w:tc>
        <w:tc>
          <w:tcPr>
            <w:tcW w:type="dxa" w:w="1872"/>
          </w:tcPr>
          <w:p>
            <w:r>
              <w:t>94,000+</w:t>
            </w:r>
          </w:p>
        </w:tc>
        <w:tc>
          <w:tcPr>
            <w:tcW w:type="dxa" w:w="1872"/>
          </w:tcPr>
          <w:p>
            <w:r>
              <w:t>Speech verb</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Complex analytical subordination with multi-tiered relative clauses; dialectal lexical variation between Northern Kurmanji and Badini/Bahdini registers.</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Complex analytical subordination with multi-tiered relative clauses; dialectal lexical variation between Northern Kurmanji and Badini/Bahdini registers.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[RUDAW-004-ART1089-P1-S1]: « Nivîskar di gotara xwe de bal kişand ser guherînên siyasî yên herêmê. »</w:t>
      </w:r>
    </w:p>
    <w:p>
      <w:r>
        <w:t>• Locator [RUDAW-004-ART3412-P3-S4]: « Wezîrê Aboriyê diyar kir ku peyman dê bandorek erênî li ser bazirganiyê bike. »</w:t>
      </w:r>
    </w:p>
    <w:p>
      <w:pPr>
        <w:pStyle w:val="Heading1"/>
      </w:pPr>
      <w:r>
        <w:t>25. Limits of This File</w:t>
      </w:r>
    </w:p>
    <w:p>
      <w:r>
        <w:t>Findings in this report represent the specific genre (Analytical, Opinion &amp; Multimedia News Corpus (Rudaw Media Network)) of file '004_RUDAW'.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'004_RUDAW'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