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007_KOVARAKURMANCI</w:t>
      </w:r>
    </w:p>
    <w:p>
      <w:pPr>
        <w:jc w:val="center"/>
      </w:pPr>
      <w:r>
        <w:rPr>
          <w:i/>
          <w:color w:val="555555"/>
          <w:sz w:val="20"/>
        </w:rPr>
        <w:t>Corpus ID: TSLK-007-KOVARA-KURMANCI | Linguistic Standardization &amp; Lexicographical Journal (Issues 1-47)</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'TSLK-007-KOVARA-KURMANCI'. The file represents Specialized linguistic periodical of the Kurdish Institute of Paris (1987–2010), examining terminology, grammar, lexicography, and dialect harmonization.</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TSLK-007-KOVARA-KURMANCI</w:t>
            </w:r>
          </w:p>
        </w:tc>
      </w:tr>
      <w:tr>
        <w:tc>
          <w:tcPr>
            <w:tcW w:type="dxa" w:w="4680"/>
          </w:tcPr>
          <w:p>
            <w:r>
              <w:t>Documentary Provenance</w:t>
            </w:r>
          </w:p>
        </w:tc>
        <w:tc>
          <w:tcPr>
            <w:tcW w:type="dxa" w:w="4680"/>
          </w:tcPr>
          <w:p>
            <w:r>
              <w:t>007_KOVARA_KURMANCI</w:t>
            </w:r>
          </w:p>
        </w:tc>
      </w:tr>
      <w:tr>
        <w:tc>
          <w:tcPr>
            <w:tcW w:type="dxa" w:w="4680"/>
          </w:tcPr>
          <w:p>
            <w:r>
              <w:t>Observed Text Volume</w:t>
            </w:r>
          </w:p>
        </w:tc>
        <w:tc>
          <w:tcPr>
            <w:tcW w:type="dxa" w:w="4680"/>
          </w:tcPr>
          <w:p>
            <w:r>
              <w:t>47 issues / 1,200+ pages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wateya</w:t>
            </w:r>
          </w:p>
        </w:tc>
        <w:tc>
          <w:tcPr>
            <w:tcW w:type="dxa" w:w="1872"/>
          </w:tcPr>
          <w:p>
            <w:r>
              <w:t>2,400+</w:t>
            </w:r>
          </w:p>
        </w:tc>
        <w:tc>
          <w:tcPr>
            <w:tcW w:type="dxa" w:w="1872"/>
          </w:tcPr>
          <w:p>
            <w:r>
              <w:t>Semantic explicator</w:t>
            </w:r>
          </w:p>
        </w:tc>
        <w:tc>
          <w:tcPr>
            <w:tcW w:type="dxa" w:w="1872"/>
          </w:tcPr>
          <w:p>
            <w:r>
              <w:t>O</w:t>
            </w:r>
          </w:p>
        </w:tc>
      </w:tr>
      <w:tr>
        <w:tc>
          <w:tcPr>
            <w:tcW w:type="dxa" w:w="1872"/>
          </w:tcPr>
          <w:p>
            <w:r>
              <w:t>FORM-002</w:t>
            </w:r>
          </w:p>
        </w:tc>
        <w:tc>
          <w:tcPr>
            <w:tcW w:type="dxa" w:w="1872"/>
          </w:tcPr>
          <w:p>
            <w:r>
              <w:t>kurmancî</w:t>
            </w:r>
          </w:p>
        </w:tc>
        <w:tc>
          <w:tcPr>
            <w:tcW w:type="dxa" w:w="1872"/>
          </w:tcPr>
          <w:p>
            <w:r>
              <w:t>1,950+</w:t>
            </w:r>
          </w:p>
        </w:tc>
        <w:tc>
          <w:tcPr>
            <w:tcW w:type="dxa" w:w="1872"/>
          </w:tcPr>
          <w:p>
            <w:r>
              <w:t>Language glossonym</w:t>
            </w:r>
          </w:p>
        </w:tc>
        <w:tc>
          <w:tcPr>
            <w:tcW w:type="dxa" w:w="1872"/>
          </w:tcPr>
          <w:p>
            <w:r>
              <w:t>O</w:t>
            </w:r>
          </w:p>
        </w:tc>
      </w:tr>
      <w:tr>
        <w:tc>
          <w:tcPr>
            <w:tcW w:type="dxa" w:w="1872"/>
          </w:tcPr>
          <w:p>
            <w:r>
              <w:t>FORM-003</w:t>
            </w:r>
          </w:p>
        </w:tc>
        <w:tc>
          <w:tcPr>
            <w:tcW w:type="dxa" w:w="1872"/>
          </w:tcPr>
          <w:p>
            <w:r>
              <w:t>di zaravayên ... de</w:t>
            </w:r>
          </w:p>
        </w:tc>
        <w:tc>
          <w:tcPr>
            <w:tcW w:type="dxa" w:w="1872"/>
          </w:tcPr>
          <w:p>
            <w:r>
              <w:t>890+</w:t>
            </w:r>
          </w:p>
        </w:tc>
        <w:tc>
          <w:tcPr>
            <w:tcW w:type="dxa" w:w="1872"/>
          </w:tcPr>
          <w:p>
            <w:r>
              <w:t>Dialectal comparative frame</w:t>
            </w:r>
          </w:p>
        </w:tc>
        <w:tc>
          <w:tcPr>
            <w:tcW w:type="dxa" w:w="1872"/>
          </w:tcPr>
          <w:p>
            <w:r>
              <w:t>O</w:t>
            </w:r>
          </w:p>
        </w:tc>
      </w:tr>
      <w:tr>
        <w:tc>
          <w:tcPr>
            <w:tcW w:type="dxa" w:w="1872"/>
          </w:tcPr>
          <w:p>
            <w:r>
              <w:t>FORM-004</w:t>
            </w:r>
          </w:p>
        </w:tc>
        <w:tc>
          <w:tcPr>
            <w:tcW w:type="dxa" w:w="1872"/>
          </w:tcPr>
          <w:p>
            <w:r>
              <w:t>bêje / peyv</w:t>
            </w:r>
          </w:p>
        </w:tc>
        <w:tc>
          <w:tcPr>
            <w:tcW w:type="dxa" w:w="1872"/>
          </w:tcPr>
          <w:p>
            <w:r>
              <w:t>750+</w:t>
            </w:r>
          </w:p>
        </w:tc>
        <w:tc>
          <w:tcPr>
            <w:tcW w:type="dxa" w:w="1872"/>
          </w:tcPr>
          <w:p>
            <w:r>
              <w:t>Lexical unit term</w:t>
            </w:r>
          </w:p>
        </w:tc>
        <w:tc>
          <w:tcPr>
            <w:tcW w:type="dxa" w:w="1872"/>
          </w:tcPr>
          <w:p>
            <w:r>
              <w:t>O</w:t>
            </w:r>
          </w:p>
        </w:tc>
      </w:tr>
      <w:tr>
        <w:tc>
          <w:tcPr>
            <w:tcW w:type="dxa" w:w="1872"/>
          </w:tcPr>
          <w:p>
            <w:r>
              <w:t>FORM-005</w:t>
            </w:r>
          </w:p>
        </w:tc>
        <w:tc>
          <w:tcPr>
            <w:tcW w:type="dxa" w:w="1872"/>
          </w:tcPr>
          <w:p>
            <w:r>
              <w:t>hevwate</w:t>
            </w:r>
          </w:p>
        </w:tc>
        <w:tc>
          <w:tcPr>
            <w:tcW w:type="dxa" w:w="1872"/>
          </w:tcPr>
          <w:p>
            <w:r>
              <w:t>480+</w:t>
            </w:r>
          </w:p>
        </w:tc>
        <w:tc>
          <w:tcPr>
            <w:tcW w:type="dxa" w:w="1872"/>
          </w:tcPr>
          <w:p>
            <w:r>
              <w:t>Synonymy marker</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Multi-dialectal synonymic cross-referencing across Botan, Bahdini, Serhed, Tor, Rojava, and Khorasan Kurmanji varieties.</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Multi-dialectal synonymic cross-referencing across Botan, Bahdini, Serhed, Tor, Rojava, and Khorasan Kurmanji varieties.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[KK-007-ISS12-P3-S1]: « Ev bêje di devoka Botan de bi wateya 'cihê bilind' tê bikaranîn. »</w:t>
      </w:r>
    </w:p>
    <w:p>
      <w:r>
        <w:t>• Locator [KK-007-ISS34-P5-S2]: « Komîsyona Ziman li ser standardkirina termên bijîşkî li hev kir. »</w:t>
      </w:r>
    </w:p>
    <w:p>
      <w:pPr>
        <w:pStyle w:val="Heading1"/>
      </w:pPr>
      <w:r>
        <w:t>25. Limits of This File</w:t>
      </w:r>
    </w:p>
    <w:p>
      <w:r>
        <w:t>Findings in this report represent the specific genre (Linguistic Standardization &amp; Lexicographical Journal (Issues 1-47)) of file '007_KOVARA_KURMANCI'.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'007_KOVARA_KURMANCI'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