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34B"/>
          <w:sz w:val="36"/>
        </w:rPr>
        <w:t>KORPUSA ROJNAMA KURDISTAN (1898-1902) - MIKDAD MIDHAT BEDIRXAN</w:t>
      </w:r>
    </w:p>
    <w:p>
      <w:pPr>
        <w:jc w:val="center"/>
      </w:pPr>
      <w:r>
        <w:rPr>
          <w:i/>
          <w:color w:val="5A5A5A"/>
          <w:sz w:val="21"/>
        </w:rPr>
        <w:t>Yekemîn Rojnama Kurdî ya Dîrokî (Qahîre, Cenevre, London, Folkestone) | Çapa M. Emîn Bozarslan</w:t>
      </w:r>
    </w:p>
    <w:p/>
    <w:p>
      <w:r>
        <w:rPr>
          <w:b/>
          <w:color w:val="0F2D5A"/>
          <w:sz w:val="26"/>
        </w:rPr>
        <w:t>Table of Contents / Pêrist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Danasîn û Naveroka Korpusa Dîrokî</w:t>
      </w:r>
    </w:p>
    <w:p>
      <w:r>
        <w:t>Rojnama Kurdistan is the first Kurdish newspaper in history, founded on April 22, 1898 in Cairo by Mikdad Midhat Bedir Khan and continued by Abdurrahman Bedir Khan across 31 issues.</w:t>
      </w:r>
    </w:p>
    <w:p>
      <w:pPr>
        <w:pStyle w:val="Heading1"/>
      </w:pPr>
      <w:r>
        <w:t>2. Taybetmendiyên Zimanî û Çavkanî</w:t>
      </w:r>
    </w:p>
    <w:p>
      <w:r>
        <w:t>1. Late 19th-century Kurdish journalistic and political prose.</w:t>
      </w:r>
    </w:p>
    <w:p>
      <w:r>
        <w:t>2. Written originally in Arabic-Persian modified script and transliterated/edited into Latin by M. E. Bozarslan.</w:t>
      </w:r>
    </w:p>
    <w:p>
      <w:r>
        <w:t>3. Rich historical lexicon reflecting late Ottoman administrative, educational, and social vocabulary in authentic Kurmanji.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D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94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