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011_FOLKLORAKURMANCA1936</w:t>
      </w:r>
    </w:p>
    <w:p>
      <w:pPr>
        <w:jc w:val="center"/>
      </w:pPr>
      <w:r>
        <w:rPr>
          <w:i/>
          <w:color w:val="555555"/>
          <w:sz w:val="20"/>
        </w:rPr>
        <w:t>Corpus ID: TSLK-011-FOLKLORA-KURMANCA-1936 | Soviet Kurdish Oral Folklore Collection (Yerevan - 1936)</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'TSLK-011-FOLKLORA-KURMANCA-1936'. The file represents Monumental Soviet Kurdish folklore collection compiled by Heciyê Cindî and Emînê Evdal, containing epics, kilams, fairy tales, and proverbs.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TSLK-011-FOLKLORA-KURMANCA-1936</w:t>
            </w:r>
          </w:p>
        </w:tc>
      </w:tr>
      <w:tr>
        <w:tc>
          <w:tcPr>
            <w:tcW w:type="dxa" w:w="4680"/>
          </w:tcPr>
          <w:p>
            <w:r>
              <w:t>Documentary Provenance</w:t>
            </w:r>
          </w:p>
        </w:tc>
        <w:tc>
          <w:tcPr>
            <w:tcW w:type="dxa" w:w="4680"/>
          </w:tcPr>
          <w:p>
            <w:r>
              <w:t>011_FOLKLORA_KURMANCA_1936</w:t>
            </w:r>
          </w:p>
        </w:tc>
      </w:tr>
      <w:tr>
        <w:tc>
          <w:tcPr>
            <w:tcW w:type="dxa" w:w="4680"/>
          </w:tcPr>
          <w:p>
            <w:r>
              <w:t>Observed Text Volume</w:t>
            </w:r>
          </w:p>
        </w:tc>
        <w:tc>
          <w:tcPr>
            <w:tcW w:type="dxa" w:w="4680"/>
          </w:tcPr>
          <w:p>
            <w:r>
              <w:t>670 pages / 45 epic narratives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hebû tune bû</w:t>
            </w:r>
          </w:p>
        </w:tc>
        <w:tc>
          <w:tcPr>
            <w:tcW w:type="dxa" w:w="1872"/>
          </w:tcPr>
          <w:p>
            <w:r>
              <w:t>380+</w:t>
            </w:r>
          </w:p>
        </w:tc>
        <w:tc>
          <w:tcPr>
            <w:tcW w:type="dxa" w:w="1872"/>
          </w:tcPr>
          <w:p>
            <w:r>
              <w:t>Oral formulaic opener</w:t>
            </w:r>
          </w:p>
        </w:tc>
        <w:tc>
          <w:tcPr>
            <w:tcW w:type="dxa" w:w="1872"/>
          </w:tcPr>
          <w:p>
            <w:r>
              <w:t>O</w:t>
            </w:r>
          </w:p>
        </w:tc>
      </w:tr>
      <w:tr>
        <w:tc>
          <w:tcPr>
            <w:tcW w:type="dxa" w:w="1872"/>
          </w:tcPr>
          <w:p>
            <w:r>
              <w:t>FORM-002</w:t>
            </w:r>
          </w:p>
        </w:tc>
        <w:tc>
          <w:tcPr>
            <w:tcW w:type="dxa" w:w="1872"/>
          </w:tcPr>
          <w:p>
            <w:r>
              <w:t>go / got</w:t>
            </w:r>
          </w:p>
        </w:tc>
        <w:tc>
          <w:tcPr>
            <w:tcW w:type="dxa" w:w="1872"/>
          </w:tcPr>
          <w:p>
            <w:r>
              <w:t>2,900+</w:t>
            </w:r>
          </w:p>
        </w:tc>
        <w:tc>
          <w:tcPr>
            <w:tcW w:type="dxa" w:w="1872"/>
          </w:tcPr>
          <w:p>
            <w:r>
              <w:t>Quotative particle</w:t>
            </w:r>
          </w:p>
        </w:tc>
        <w:tc>
          <w:tcPr>
            <w:tcW w:type="dxa" w:w="1872"/>
          </w:tcPr>
          <w:p>
            <w:r>
              <w:t>O</w:t>
            </w:r>
          </w:p>
        </w:tc>
      </w:tr>
      <w:tr>
        <w:tc>
          <w:tcPr>
            <w:tcW w:type="dxa" w:w="1872"/>
          </w:tcPr>
          <w:p>
            <w:r>
              <w:t>FORM-003</w:t>
            </w:r>
          </w:p>
        </w:tc>
        <w:tc>
          <w:tcPr>
            <w:tcW w:type="dxa" w:w="1872"/>
          </w:tcPr>
          <w:p>
            <w:r>
              <w:t>mîr</w:t>
            </w:r>
          </w:p>
        </w:tc>
        <w:tc>
          <w:tcPr>
            <w:tcW w:type="dxa" w:w="1872"/>
          </w:tcPr>
          <w:p>
            <w:r>
              <w:t>1,250+</w:t>
            </w:r>
          </w:p>
        </w:tc>
        <w:tc>
          <w:tcPr>
            <w:tcW w:type="dxa" w:w="1872"/>
          </w:tcPr>
          <w:p>
            <w:r>
              <w:t>Feudal ruler</w:t>
            </w:r>
          </w:p>
        </w:tc>
        <w:tc>
          <w:tcPr>
            <w:tcW w:type="dxa" w:w="1872"/>
          </w:tcPr>
          <w:p>
            <w:r>
              <w:t>O</w:t>
            </w:r>
          </w:p>
        </w:tc>
      </w:tr>
      <w:tr>
        <w:tc>
          <w:tcPr>
            <w:tcW w:type="dxa" w:w="1872"/>
          </w:tcPr>
          <w:p>
            <w:r>
              <w:t>FORM-004</w:t>
            </w:r>
          </w:p>
        </w:tc>
        <w:tc>
          <w:tcPr>
            <w:tcW w:type="dxa" w:w="1872"/>
          </w:tcPr>
          <w:p>
            <w:r>
              <w:t>hesen</w:t>
            </w:r>
          </w:p>
        </w:tc>
        <w:tc>
          <w:tcPr>
            <w:tcW w:type="dxa" w:w="1872"/>
          </w:tcPr>
          <w:p>
            <w:r>
              <w:t>890+</w:t>
            </w:r>
          </w:p>
        </w:tc>
        <w:tc>
          <w:tcPr>
            <w:tcW w:type="dxa" w:w="1872"/>
          </w:tcPr>
          <w:p>
            <w:r>
              <w:t>Character name</w:t>
            </w:r>
          </w:p>
        </w:tc>
        <w:tc>
          <w:tcPr>
            <w:tcW w:type="dxa" w:w="1872"/>
          </w:tcPr>
          <w:p>
            <w:r>
              <w:t>O</w:t>
            </w:r>
          </w:p>
        </w:tc>
      </w:tr>
      <w:tr>
        <w:tc>
          <w:tcPr>
            <w:tcW w:type="dxa" w:w="1872"/>
          </w:tcPr>
          <w:p>
            <w:r>
              <w:t>FORM-005</w:t>
            </w:r>
          </w:p>
        </w:tc>
        <w:tc>
          <w:tcPr>
            <w:tcW w:type="dxa" w:w="1872"/>
          </w:tcPr>
          <w:p>
            <w:r>
              <w:t>şer</w:t>
            </w:r>
          </w:p>
        </w:tc>
        <w:tc>
          <w:tcPr>
            <w:tcW w:type="dxa" w:w="1872"/>
          </w:tcPr>
          <w:p>
            <w:r>
              <w:t>740+</w:t>
            </w:r>
          </w:p>
        </w:tc>
        <w:tc>
          <w:tcPr>
            <w:tcW w:type="dxa" w:w="1872"/>
          </w:tcPr>
          <w:p>
            <w:r>
              <w:t>Battle/Epic conflict</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Oral narrative syntax with frequent paratactic chaining, dramatic present tense shifts, and regional Caucasus/Serhed phonological markers.</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Oral narrative syntax with frequent paratactic chaining, dramatic present tense shifts, and regional Caucasus/Serhed phonological markers.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[FOLK-011-EP1-P1-S1]: « Hebû tune bû, li welatekî dûr mîrekî mezin hebû. »</w:t>
      </w:r>
    </w:p>
    <w:p>
      <w:r>
        <w:t>• Locator [FOLK-011-EP4-P18-S3]: « Xort rabû ser hespê xwe û berê xwe da çiyayên bilind. »</w:t>
      </w:r>
    </w:p>
    <w:p>
      <w:pPr>
        <w:pStyle w:val="Heading1"/>
      </w:pPr>
      <w:r>
        <w:t>25. Limits of This File</w:t>
      </w:r>
    </w:p>
    <w:p>
      <w:r>
        <w:t>Findings in this report represent the specific genre (Soviet Kurdish Oral Folklore Collection (Yerevan - 1936)) of file '011_FOLKLORA_KURMANCA_1936'.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'011_FOLKLORA_KURMANCA_1936'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