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34B"/>
          <w:sz w:val="36"/>
        </w:rPr>
        <w:t>KORPUSA ROJNAMEYA KÜRD TEAVÜN VE TERAKKÎ CEMİYETİ (1908-1909)</w:t>
      </w:r>
    </w:p>
    <w:p>
      <w:pPr>
        <w:jc w:val="center"/>
      </w:pPr>
      <w:r>
        <w:rPr>
          <w:i/>
          <w:color w:val="5A5A5A"/>
          <w:sz w:val="21"/>
        </w:rPr>
        <w:t>Komele û Rojnameya Alîkarî û Pêşveçûna Kurd (Stembol) | Çapa M. Emîn Bozarslan</w:t>
      </w:r>
    </w:p>
    <w:p/>
    <w:p>
      <w:r>
        <w:rPr>
          <w:b/>
          <w:color w:val="0F2D5A"/>
          <w:sz w:val="26"/>
        </w:rPr>
        <w:t>Table of Contents / Pêrist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Danasîn û Naveroka Korpusa Dîrokî</w:t>
      </w:r>
    </w:p>
    <w:p>
      <w:r>
        <w:t>Published in Istanbul following the 1908 Constitutional revolution, this periodical was the official organ of the Kurdish Society for Progress and Mutual Aid.</w:t>
      </w:r>
    </w:p>
    <w:p>
      <w:pPr>
        <w:pStyle w:val="Heading1"/>
      </w:pPr>
      <w:r>
        <w:t>2. Taybetmendiyên Zimanî û Çavkanî</w:t>
      </w:r>
    </w:p>
    <w:p>
      <w:r>
        <w:t>1. Early 20th-century political and legal essays.</w:t>
      </w:r>
    </w:p>
    <w:p>
      <w:r>
        <w:t>2. Sociolinguistic discourse on Kurdish education, alphabet reform, and language revival.</w:t>
      </w:r>
    </w:p>
    <w:p>
      <w:r>
        <w:t>3. Bilingual Kurdish-Ottoman comparative terminology.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D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94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