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KOVARA ROJÎ KURD (1913) - CIVATA TELEBEYÊ KURDAN (HÊVÎ)</w:t>
      </w:r>
    </w:p>
    <w:p>
      <w:pPr>
        <w:jc w:val="center"/>
      </w:pPr>
      <w:r>
        <w:rPr>
          <w:i/>
          <w:color w:val="5A5A5A"/>
          <w:sz w:val="21"/>
        </w:rPr>
        <w:t>Kovara Xwendekarên Kurd li Stembolê (1913) | Çapa M. Emîn Bozarslan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Rojî Kurd (The Kurdish Sun/Day) was published in 1913 in Istanbul by the Kurdish Student Association Hêvî (Hope), featuring Kurmanji and Sorani Kurdish articles and poetry.</w:t>
      </w:r>
    </w:p>
    <w:p>
      <w:pPr>
        <w:pStyle w:val="Heading1"/>
      </w:pPr>
      <w:r>
        <w:t>2. Taybetmendiyên Zimanî û Çavkanî</w:t>
      </w:r>
    </w:p>
    <w:p>
      <w:r>
        <w:t>1. Student and youth intellectual essays promoting language preservation and scientific literacy.</w:t>
      </w:r>
    </w:p>
    <w:p>
      <w:r>
        <w:t>2. Early comparative dialectology featuring both Kurmanji and Sorani texts.</w:t>
      </w:r>
    </w:p>
    <w:p>
      <w:r>
        <w:t>3. National and romantic poetry.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