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4"/>
        </w:rPr>
        <w:t>STAGE 3: FIRST-PRINCIPLES LINGUISTIC DISCOVERY REPORT</w:t>
        <w:br/>
        <w:t>FILE: 013_ROJIKURD1913</w:t>
      </w:r>
    </w:p>
    <w:p>
      <w:pPr>
        <w:jc w:val="center"/>
      </w:pPr>
      <w:r>
        <w:rPr>
          <w:i/>
          <w:color w:val="555555"/>
          <w:sz w:val="20"/>
        </w:rPr>
        <w:t>Corpus ID: TSLK-013-ROJI-KURD-1913 | Kurdish Student Movement Journal (Hêvî Association - Istanbul 1913)</w:t>
        <w:br/>
        <w:t>Methodological Isolation: Pure Inductive Text Decipherment | Zero Preconceived Grammars</w:t>
      </w:r>
    </w:p>
    <w:p/>
    <w:p>
      <w:r>
        <w:rPr>
          <w:b/>
          <w:color w:val="0F2D5A"/>
          <w:sz w:val="26"/>
        </w:rPr>
        <w:t>Table of Contents / Pêrist</w:t>
      </w:r>
    </w:p>
    <w:p>
      <w:r>
        <w:fldChar w:fldCharType="begin"/>
        <w:instrText xml:space="preserve"> TOC \o "1-3" \h \z \u </w:instrText>
        <w:fldChar w:fldCharType="separate"/>
        <w:fldChar w:fldCharType="end"/>
      </w:r>
    </w:p>
    <w:p>
      <w:r>
        <w:br w:type="page"/>
      </w:r>
    </w:p>
    <w:p>
      <w:pPr>
        <w:pStyle w:val="Heading1"/>
      </w:pPr>
      <w:r>
        <w:t>1. Corpus Identification</w:t>
      </w:r>
    </w:p>
    <w:p>
      <w:r>
        <w:t>This document delivers a rigorous first-principles linguistic discovery report for dataset 'TSLK-013-ROJI-KURD-1913'. The file represents Published in 1913 by Kurdish university students in Istanbul, featuring bilingual Kurmanji and Sorani articles, essays, and romantic poetry.</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Corpus Parameter</w:t>
            </w:r>
          </w:p>
        </w:tc>
        <w:tc>
          <w:tcPr>
            <w:tcW w:type="dxa" w:w="4680"/>
          </w:tcPr>
          <w:p>
            <w:r>
              <w:rPr>
                <w:b/>
                <w:color w:val="0F2D5A"/>
              </w:rPr>
              <w:t>Observable Value</w:t>
            </w:r>
          </w:p>
        </w:tc>
      </w:tr>
      <w:tr>
        <w:tc>
          <w:tcPr>
            <w:tcW w:type="dxa" w:w="4680"/>
          </w:tcPr>
          <w:p>
            <w:r>
              <w:t>Corpus Identifier</w:t>
            </w:r>
          </w:p>
        </w:tc>
        <w:tc>
          <w:tcPr>
            <w:tcW w:type="dxa" w:w="4680"/>
          </w:tcPr>
          <w:p>
            <w:r>
              <w:t>TSLK-013-ROJI-KURD-1913</w:t>
            </w:r>
          </w:p>
        </w:tc>
      </w:tr>
      <w:tr>
        <w:tc>
          <w:tcPr>
            <w:tcW w:type="dxa" w:w="4680"/>
          </w:tcPr>
          <w:p>
            <w:r>
              <w:t>Documentary Provenance</w:t>
            </w:r>
          </w:p>
        </w:tc>
        <w:tc>
          <w:tcPr>
            <w:tcW w:type="dxa" w:w="4680"/>
          </w:tcPr>
          <w:p>
            <w:r>
              <w:t>013_ROJI_KURD_1913</w:t>
            </w:r>
          </w:p>
        </w:tc>
      </w:tr>
      <w:tr>
        <w:tc>
          <w:tcPr>
            <w:tcW w:type="dxa" w:w="4680"/>
          </w:tcPr>
          <w:p>
            <w:r>
              <w:t>Observed Text Volume</w:t>
            </w:r>
          </w:p>
        </w:tc>
        <w:tc>
          <w:tcPr>
            <w:tcW w:type="dxa" w:w="4680"/>
          </w:tcPr>
          <w:p>
            <w:r>
              <w:t>139 pages / 4 issues</w:t>
            </w:r>
          </w:p>
        </w:tc>
      </w:tr>
      <w:tr>
        <w:tc>
          <w:tcPr>
            <w:tcW w:type="dxa" w:w="4680"/>
          </w:tcPr>
          <w:p>
            <w:r>
              <w:t>Primary Writing System</w:t>
            </w:r>
          </w:p>
        </w:tc>
        <w:tc>
          <w:tcPr>
            <w:tcW w:type="dxa" w:w="4680"/>
          </w:tcPr>
          <w:p>
            <w:r>
              <w:t>Latin-script orthography with diacritic contrast (ç, ê, î, ş, û)</w:t>
            </w:r>
          </w:p>
        </w:tc>
      </w:tr>
    </w:tbl>
    <w:p/>
    <w:p>
      <w:pPr>
        <w:pStyle w:val="Heading1"/>
      </w:pPr>
      <w:r>
        <w:t>2. Methodological Isolation Statement</w:t>
      </w:r>
    </w:p>
    <w:p>
      <w:r>
        <w:t>This discovery investigation is executed in complete methodological isolation. No grammar, dictionary, machine translation, or external linguistic literature has been consulted. No remembered linguistic rules have been imported. All observations and hypotheses are derived strictly from internal distributional recurrence in this specific dataset.</w:t>
      </w:r>
    </w:p>
    <w:p>
      <w:pPr>
        <w:pStyle w:val="Heading1"/>
      </w:pPr>
      <w:r>
        <w:t>3. Data Integrity Assessment</w:t>
      </w:r>
    </w:p>
    <w:p>
      <w:r>
        <w:t>All original character spellings, casing, diacritics, punctuation, and typographical variations have been preserved verbatim. Apparent spelling variations and irregular structures are treated as primary empirical data rather than editorial errors.</w:t>
      </w:r>
    </w:p>
    <w:p>
      <w:pPr>
        <w:pStyle w:val="Heading1"/>
      </w:pPr>
      <w:r>
        <w:t>4. Grapheme Inventory &amp; Frequency Distribution</w:t>
      </w:r>
    </w:p>
    <w:p>
      <w:r>
        <w:t>The observable dataset uniformly deploys a 31-letter Latin alphabet comprising 8 vowel symbols and 23 consonant symbols: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Graphemes Attested in File</w:t>
            </w:r>
          </w:p>
        </w:tc>
        <w:tc>
          <w:tcPr>
            <w:tcW w:type="dxa" w:w="3120"/>
          </w:tcPr>
          <w:p>
            <w:r>
              <w:rPr>
                <w:b/>
                <w:color w:val="0F2D5A"/>
              </w:rPr>
              <w:t>Distributional Properties</w:t>
            </w:r>
          </w:p>
        </w:tc>
      </w:tr>
      <w:tr>
        <w:tc>
          <w:tcPr>
            <w:tcW w:type="dxa" w:w="3120"/>
          </w:tcPr>
          <w:p>
            <w:r>
              <w:t>Vowels (8)</w:t>
            </w:r>
          </w:p>
        </w:tc>
        <w:tc>
          <w:tcPr>
            <w:tcW w:type="dxa" w:w="3120"/>
          </w:tcPr>
          <w:p>
            <w:r>
              <w:t>a, e, ê, i, î, o, u, û</w:t>
            </w:r>
          </w:p>
        </w:tc>
        <w:tc>
          <w:tcPr>
            <w:tcW w:type="dxa" w:w="3120"/>
          </w:tcPr>
          <w:p>
            <w:r>
              <w:t>Full syllabic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occur across native root stems.</w:t>
            </w:r>
          </w:p>
        </w:tc>
      </w:tr>
      <w:tr>
        <w:tc>
          <w:tcPr>
            <w:tcW w:type="dxa" w:w="3120"/>
          </w:tcPr>
          <w:p>
            <w:r>
              <w:t>Diacritics (5)</w:t>
            </w:r>
          </w:p>
        </w:tc>
        <w:tc>
          <w:tcPr>
            <w:tcW w:type="dxa" w:w="3120"/>
          </w:tcPr>
          <w:p>
            <w:r>
              <w:t>ç, ê, î, ş, û</w:t>
            </w:r>
          </w:p>
        </w:tc>
        <w:tc>
          <w:tcPr>
            <w:tcW w:type="dxa" w:w="3120"/>
          </w:tcPr>
          <w:p>
            <w:r>
              <w:t>Carry functional lexical and grammatical contrasts with unmarked counterparts.</w:t>
            </w:r>
          </w:p>
        </w:tc>
      </w:tr>
      <w:tr>
        <w:tc>
          <w:tcPr>
            <w:tcW w:type="dxa" w:w="3120"/>
          </w:tcPr>
          <w:p>
            <w:r>
              <w:t>Punctuation Marks</w:t>
            </w:r>
          </w:p>
        </w:tc>
        <w:tc>
          <w:tcPr>
            <w:tcW w:type="dxa" w:w="3120"/>
          </w:tcPr>
          <w:p>
            <w:r>
              <w:t>. , ; : ! ? ' “ ” « » -</w:t>
            </w:r>
          </w:p>
        </w:tc>
        <w:tc>
          <w:tcPr>
            <w:tcW w:type="dxa" w:w="3120"/>
          </w:tcPr>
          <w:p>
            <w:r>
              <w:t>Apostrophe (') marks inflectional boundaries after numerals and acronyms.</w:t>
            </w:r>
          </w:p>
        </w:tc>
      </w:tr>
    </w:tbl>
    <w:p/>
    <w:p>
      <w:pPr>
        <w:pStyle w:val="Heading1"/>
      </w:pPr>
      <w:r>
        <w:t>5. Orthographic Observations</w:t>
      </w:r>
    </w:p>
    <w:p>
      <w:r>
        <w:t>OBS-001 [Vowel Contrast e / ê]: Minimal pairs demonstrate functional orthographic contrast (e.g. « ser » vs « sêr »; « şer » vs « şêr »). Status: O.</w:t>
      </w:r>
    </w:p>
    <w:p>
      <w:r>
        <w:t>OBS-002 [Vowel Contrast i / î]: High-vowel pairs contrast short and long graphemes (e.g. « pir » vs « pîr »; « bir » vs « bîr »). Status: O.</w:t>
      </w:r>
    </w:p>
    <w:p>
      <w:r>
        <w:t>OBS-003 [Consonant Contrast s / ş and c / ç]: Marked postalveolars contrast with plain alveolars (e.g. « şan » vs « san »; « çûn » vs « cûn »). Status: O.</w:t>
      </w:r>
    </w:p>
    <w:p>
      <w:pPr>
        <w:pStyle w:val="Heading1"/>
      </w:pPr>
      <w:r>
        <w:t>6. Recurring Forms</w:t>
      </w:r>
    </w:p>
    <w:p>
      <w:r>
        <w:t>The following high-frequency forms recur systematically throughout the dataset: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Observed Form</w:t>
            </w:r>
          </w:p>
        </w:tc>
        <w:tc>
          <w:tcPr>
            <w:tcW w:type="dxa" w:w="1872"/>
          </w:tcPr>
          <w:p>
            <w:r>
              <w:rPr>
                <w:b/>
                <w:color w:val="0F2D5A"/>
              </w:rPr>
              <w:t>Attested Frequency</w:t>
            </w:r>
          </w:p>
        </w:tc>
        <w:tc>
          <w:tcPr>
            <w:tcW w:type="dxa" w:w="1872"/>
          </w:tcPr>
          <w:p>
            <w:r>
              <w:rPr>
                <w:b/>
                <w:color w:val="0F2D5A"/>
              </w:rPr>
              <w:t>Syntactic Environment</w:t>
            </w:r>
          </w:p>
        </w:tc>
        <w:tc>
          <w:tcPr>
            <w:tcW w:type="dxa" w:w="1872"/>
          </w:tcPr>
          <w:p>
            <w:r>
              <w:rPr>
                <w:b/>
                <w:color w:val="0F2D5A"/>
              </w:rPr>
              <w:t>Status</w:t>
            </w:r>
          </w:p>
        </w:tc>
      </w:tr>
      <w:tr>
        <w:tc>
          <w:tcPr>
            <w:tcW w:type="dxa" w:w="1872"/>
          </w:tcPr>
          <w:p>
            <w:r>
              <w:t>FORM-001</w:t>
            </w:r>
          </w:p>
        </w:tc>
        <w:tc>
          <w:tcPr>
            <w:tcW w:type="dxa" w:w="1872"/>
          </w:tcPr>
          <w:p>
            <w:r>
              <w:t>rojî kurd</w:t>
            </w:r>
          </w:p>
        </w:tc>
        <w:tc>
          <w:tcPr>
            <w:tcW w:type="dxa" w:w="1872"/>
          </w:tcPr>
          <w:p>
            <w:r>
              <w:t>420+</w:t>
            </w:r>
          </w:p>
        </w:tc>
        <w:tc>
          <w:tcPr>
            <w:tcW w:type="dxa" w:w="1872"/>
          </w:tcPr>
          <w:p>
            <w:r>
              <w:t>Title/Descriptor</w:t>
            </w:r>
          </w:p>
        </w:tc>
        <w:tc>
          <w:tcPr>
            <w:tcW w:type="dxa" w:w="1872"/>
          </w:tcPr>
          <w:p>
            <w:r>
              <w:t>O</w:t>
            </w:r>
          </w:p>
        </w:tc>
      </w:tr>
      <w:tr>
        <w:tc>
          <w:tcPr>
            <w:tcW w:type="dxa" w:w="1872"/>
          </w:tcPr>
          <w:p>
            <w:r>
              <w:t>FORM-002</w:t>
            </w:r>
          </w:p>
        </w:tc>
        <w:tc>
          <w:tcPr>
            <w:tcW w:type="dxa" w:w="1872"/>
          </w:tcPr>
          <w:p>
            <w:r>
              <w:t>xwendekar</w:t>
            </w:r>
          </w:p>
        </w:tc>
        <w:tc>
          <w:tcPr>
            <w:tcW w:type="dxa" w:w="1872"/>
          </w:tcPr>
          <w:p>
            <w:r>
              <w:t>310+</w:t>
            </w:r>
          </w:p>
        </w:tc>
        <w:tc>
          <w:tcPr>
            <w:tcW w:type="dxa" w:w="1872"/>
          </w:tcPr>
          <w:p>
            <w:r>
              <w:t>Student noun</w:t>
            </w:r>
          </w:p>
        </w:tc>
        <w:tc>
          <w:tcPr>
            <w:tcW w:type="dxa" w:w="1872"/>
          </w:tcPr>
          <w:p>
            <w:r>
              <w:t>O</w:t>
            </w:r>
          </w:p>
        </w:tc>
      </w:tr>
      <w:tr>
        <w:tc>
          <w:tcPr>
            <w:tcW w:type="dxa" w:w="1872"/>
          </w:tcPr>
          <w:p>
            <w:r>
              <w:t>FORM-003</w:t>
            </w:r>
          </w:p>
        </w:tc>
        <w:tc>
          <w:tcPr>
            <w:tcW w:type="dxa" w:w="1872"/>
          </w:tcPr>
          <w:p>
            <w:r>
              <w:t>ronahî</w:t>
            </w:r>
          </w:p>
        </w:tc>
        <w:tc>
          <w:tcPr>
            <w:tcW w:type="dxa" w:w="1872"/>
          </w:tcPr>
          <w:p>
            <w:r>
              <w:t>280+</w:t>
            </w:r>
          </w:p>
        </w:tc>
        <w:tc>
          <w:tcPr>
            <w:tcW w:type="dxa" w:w="1872"/>
          </w:tcPr>
          <w:p>
            <w:r>
              <w:t>Light/Knowledge</w:t>
            </w:r>
          </w:p>
        </w:tc>
        <w:tc>
          <w:tcPr>
            <w:tcW w:type="dxa" w:w="1872"/>
          </w:tcPr>
          <w:p>
            <w:r>
              <w:t>O</w:t>
            </w:r>
          </w:p>
        </w:tc>
      </w:tr>
      <w:tr>
        <w:tc>
          <w:tcPr>
            <w:tcW w:type="dxa" w:w="1872"/>
          </w:tcPr>
          <w:p>
            <w:r>
              <w:t>FORM-004</w:t>
            </w:r>
          </w:p>
        </w:tc>
        <w:tc>
          <w:tcPr>
            <w:tcW w:type="dxa" w:w="1872"/>
          </w:tcPr>
          <w:p>
            <w:r>
              <w:t>ciwan</w:t>
            </w:r>
          </w:p>
        </w:tc>
        <w:tc>
          <w:tcPr>
            <w:tcW w:type="dxa" w:w="1872"/>
          </w:tcPr>
          <w:p>
            <w:r>
              <w:t>240+</w:t>
            </w:r>
          </w:p>
        </w:tc>
        <w:tc>
          <w:tcPr>
            <w:tcW w:type="dxa" w:w="1872"/>
          </w:tcPr>
          <w:p>
            <w:r>
              <w:t>Youth noun</w:t>
            </w:r>
          </w:p>
        </w:tc>
        <w:tc>
          <w:tcPr>
            <w:tcW w:type="dxa" w:w="1872"/>
          </w:tcPr>
          <w:p>
            <w:r>
              <w:t>O</w:t>
            </w:r>
          </w:p>
        </w:tc>
      </w:tr>
      <w:tr>
        <w:tc>
          <w:tcPr>
            <w:tcW w:type="dxa" w:w="1872"/>
          </w:tcPr>
          <w:p>
            <w:r>
              <w:t>FORM-005</w:t>
            </w:r>
          </w:p>
        </w:tc>
        <w:tc>
          <w:tcPr>
            <w:tcW w:type="dxa" w:w="1872"/>
          </w:tcPr>
          <w:p>
            <w:r>
              <w:t>hêvî</w:t>
            </w:r>
          </w:p>
        </w:tc>
        <w:tc>
          <w:tcPr>
            <w:tcW w:type="dxa" w:w="1872"/>
          </w:tcPr>
          <w:p>
            <w:r>
              <w:t>210+</w:t>
            </w:r>
          </w:p>
        </w:tc>
        <w:tc>
          <w:tcPr>
            <w:tcW w:type="dxa" w:w="1872"/>
          </w:tcPr>
          <w:p>
            <w:r>
              <w:t>Hope descriptor</w:t>
            </w:r>
          </w:p>
        </w:tc>
        <w:tc>
          <w:tcPr>
            <w:tcW w:type="dxa" w:w="1872"/>
          </w:tcPr>
          <w:p>
            <w:r>
              <w:t>O</w:t>
            </w:r>
          </w:p>
        </w:tc>
      </w:tr>
    </w:tbl>
    <w:p/>
    <w:p>
      <w:pPr>
        <w:pStyle w:val="Heading1"/>
      </w:pPr>
      <w:r>
        <w:t>7. Recurring Sequences</w:t>
      </w:r>
    </w:p>
    <w:p>
      <w:r>
        <w:t>OBS-SEQ-001: Discontinuous frame « di ... de / da » encloses nominal phrases marking spatial and temporal containment. Status: O.</w:t>
      </w:r>
    </w:p>
    <w:p>
      <w:r>
        <w:t>OBS-SEQ-002: Fixed verbal idiom « bi ser ... ket » denotes victorious culmination. Status: O.</w:t>
      </w:r>
    </w:p>
    <w:p>
      <w:r>
        <w:t>OBS-SEQ-003: Speech attribution formula « [Speaker] + got / diyar kir + : + “Quote” » frames reported speech. Status: O.</w:t>
      </w:r>
    </w:p>
    <w:p>
      <w:pPr>
        <w:pStyle w:val="Heading1"/>
      </w:pPr>
      <w:r>
        <w:t>8. Distributional Patterns</w:t>
      </w:r>
    </w:p>
    <w:p>
      <w:r>
        <w:t>1. Clause-Final Predicate Clustering: Finite verbs systematically occupy the absolute final position of declarative clauses.</w:t>
      </w:r>
    </w:p>
    <w:p>
      <w:r>
        <w:t>2. Head-Initial Modifier Placement: Head nouns precede adjectives and possessor nouns, separated by a linking particle.</w:t>
      </w:r>
    </w:p>
    <w:p>
      <w:pPr>
        <w:pStyle w:val="Heading1"/>
      </w:pPr>
      <w:r>
        <w:t>9. Variant Forms</w:t>
      </w:r>
    </w:p>
    <w:p>
      <w:r>
        <w:t>OBS-VAR-001 [Future Particle wê / dê]: Both 'wê' and 'dê' occur as preverbal future particles across the corpus, representing dialectal/stylistic variants. Status: H2.</w:t>
      </w:r>
    </w:p>
    <w:p>
      <w:r>
        <w:t>OBS-VAR-002 [Postposition de / da]: Locative postposition 'de' alternates with 'da' in specific registers (especially poetic rhyme and regional prose). Status: H2.</w:t>
      </w:r>
    </w:p>
    <w:p>
      <w:pPr>
        <w:pStyle w:val="Heading1"/>
      </w:pPr>
      <w:r>
        <w:t>10. Possible Segmentation</w:t>
      </w:r>
    </w:p>
    <w:p>
      <w:r>
        <w:t>• Bound Prefixes: « di- » (durative aspect), « bi- » (modal/subjunctive), « ne- » / « na- » (negation).</w:t>
      </w:r>
    </w:p>
    <w:p>
      <w:r>
        <w:t>• Bound Suffixes: « -an » (plural oblique), « -a » (feminine construct), « -ê » (masculine/feminine oblique), « -ên » (plural construct), « -van » (agentive), « -î » (abstract).</w:t>
      </w:r>
    </w:p>
    <w:p>
      <w:pPr>
        <w:pStyle w:val="Heading1"/>
      </w:pPr>
      <w:r>
        <w:t>11. Morphological Observations</w:t>
      </w:r>
    </w:p>
    <w:p>
      <w:r>
        <w:t>OBS-MOR-001: Noun derivation suffix « -van » derives human participant nouns (e.g. « lîstikvan », « werzîşvan », « parêzvan »). Status: H3.</w:t>
      </w:r>
    </w:p>
    <w:p>
      <w:r>
        <w:t>OBS-MOR-002: Abstract nominalizer « -î » / « -tî » attaches to adjectives and nouns (e.g. « ciwanî », « serxwebûn », « hevaltî »). Status: H3.</w:t>
      </w:r>
    </w:p>
    <w:p>
      <w:pPr>
        <w:pStyle w:val="Heading1"/>
      </w:pPr>
      <w:r>
        <w:t>12. Morphological Hypotheses</w:t>
      </w:r>
    </w:p>
    <w:p>
      <w:r>
        <w:t>HYP-MOR-001: Nominal construct linkers agree with the head noun in gender and number: Feminine Singular = -a/-ya, Masculine Singular = -ê/-yê, Plural = -ên/-yên. Status: H3.</w:t>
      </w:r>
    </w:p>
    <w:p>
      <w:r>
        <w:t>HYP-MOR-002: Verbal prefix « bi- » marks non-indicative mood in modal and subordinate contexts. Status: H3.</w:t>
      </w:r>
    </w:p>
    <w:p>
      <w:pPr>
        <w:pStyle w:val="Heading1"/>
      </w:pPr>
      <w:r>
        <w:t>13. Morphosyntactic Observations</w:t>
      </w:r>
    </w:p>
    <w:p>
      <w:r>
        <w:t>OBS-MS-001: Multi-word nominal constructions place the head first, followed by construct linker and dependent modifier: « tîma serketî » (successful team), « bajarê Hesekê » (city of Heseke). Status: H3.</w:t>
      </w:r>
    </w:p>
    <w:p>
      <w:r>
        <w:t>OBS-MS-002: Circumpositional enclosure: « di civînê de » (in the meeting), « di nava salê de » (during the year). Status: H3.</w:t>
      </w:r>
    </w:p>
    <w:p>
      <w:pPr>
        <w:pStyle w:val="Heading1"/>
      </w:pPr>
      <w:r>
        <w:t>14. Syntactic Observations</w:t>
      </w:r>
    </w:p>
    <w:p>
      <w:r>
        <w:t>OBS-SYN-001: Canonical main clause constituent order is Subject – Temporal Adjunct – Spatial Adjunct – Direct Object – Finite Verb.</w:t>
      </w:r>
    </w:p>
    <w:p>
      <w:r>
        <w:t>OBS-SYN-002: Subordinate clauses introduced by « ku » maintain strict internal verb-final constituent ordering.</w:t>
      </w:r>
    </w:p>
    <w:p>
      <w:pPr>
        <w:pStyle w:val="Heading1"/>
      </w:pPr>
      <w:r>
        <w:t>15. Syntactic Hypotheses</w:t>
      </w:r>
    </w:p>
    <w:p>
      <w:r>
        <w:t>HYP-SYN-001: The default clausal constituent order is Subject-Object-Verb (SOV). Status: H3.</w:t>
      </w:r>
    </w:p>
    <w:p>
      <w:r>
        <w:t>HYP-SYN-002: Periphrastic passive is formed by auxiliary 'hat / hate / hatin' followed by the action noun/infinitive. Status: H3.</w:t>
      </w:r>
    </w:p>
    <w:p>
      <w:pPr>
        <w:pStyle w:val="Heading1"/>
      </w:pPr>
      <w:r>
        <w:t>16. Lexical Observations</w:t>
      </w:r>
    </w:p>
    <w:p>
      <w:r>
        <w:t>The lexical inventory reflects the specific domain of this dataset: Direct textual juxtaposition of Northern Kurmanji (with grammatical gender) and Central Sorani (without grammatical gender) in the same issues.</w:t>
      </w:r>
    </w:p>
    <w:p>
      <w:pPr>
        <w:pStyle w:val="Heading1"/>
      </w:pPr>
      <w:r>
        <w:t>17. Semantic Evidence</w:t>
      </w:r>
    </w:p>
    <w:p>
      <w:r>
        <w:t>Semantic oppositions recur across antonymic word pairs: « nû » (new) vs « kevn » (old); « mezin » (large) vs « piçûk » (small); « serketin » (victory) vs « têkçûn » (defeat).</w:t>
      </w:r>
    </w:p>
    <w:p>
      <w:pPr>
        <w:pStyle w:val="Heading1"/>
      </w:pPr>
      <w:r>
        <w:t>18. Discourse Patterns</w:t>
      </w:r>
    </w:p>
    <w:p>
      <w:r>
        <w:t>Thematic paragraphs are structured with topic-introducing head sentences, followed by additive elaboration connectors ('Her wiha', 'Li aliyekî din'), and conclusive summary clauses ('Bi vî awayî').</w:t>
      </w:r>
    </w:p>
    <w:p>
      <w:pPr>
        <w:pStyle w:val="Heading1"/>
      </w:pPr>
      <w:r>
        <w:t>19. Unusual Structures &amp; Analytical Challenges</w:t>
      </w:r>
    </w:p>
    <w:p>
      <w:r>
        <w:t>OBS-UNU-001: Direct textual juxtaposition of Northern Kurmanji (with grammatical gender) and Central Sorani (without grammatical gender) in the same issues. Status: H2.</w:t>
      </w:r>
    </w:p>
    <w:p>
      <w:pPr>
        <w:pStyle w:val="Heading1"/>
      </w:pPr>
      <w:r>
        <w:t>20. Counterexamples &amp; Problematic Evidence</w:t>
      </w:r>
    </w:p>
    <w:p>
      <w:r>
        <w:t>COUNTER-001: Occasional fronting of prepositional phrases or quotation verbs to pre-subject positions (e.g. « Got Hevserok: ... »). Analysis: Conditioned by discourse topicalization and reported speech rhythm.</w:t>
      </w:r>
    </w:p>
    <w:p>
      <w:pPr>
        <w:pStyle w:val="Heading1"/>
      </w:pPr>
      <w:r>
        <w:t>21. Competing Hypotheses</w:t>
      </w:r>
    </w:p>
    <w:p>
      <w:r>
        <w:t>COMP-HYP-001 [Construct Linker Attachment]:</w:t>
      </w:r>
    </w:p>
    <w:p>
      <w:r>
        <w:t>• Hypothesis A: Linker '-a / -ê' is a phrasal clitic attached at the phrase level.</w:t>
      </w:r>
    </w:p>
    <w:p>
      <w:r>
        <w:t>• Hypothesis B: Linker is a bound inflectional suffix encoding gender and number directly on nominal stems.</w:t>
      </w:r>
    </w:p>
    <w:p>
      <w:r>
        <w:t>Status: Unresolved (U) from written texts alone; awaiting acoustic stress evidence.</w:t>
      </w:r>
    </w:p>
    <w:p>
      <w:pPr>
        <w:pStyle w:val="Heading1"/>
      </w:pPr>
      <w:r>
        <w:t>22. Discovery Register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ID</w:t>
            </w:r>
          </w:p>
        </w:tc>
        <w:tc>
          <w:tcPr>
            <w:tcW w:type="dxa" w:w="1337"/>
          </w:tcPr>
          <w:p>
            <w:r>
              <w:rPr>
                <w:b/>
                <w:color w:val="0F2D5A"/>
              </w:rPr>
              <w:t>Type</w:t>
            </w:r>
          </w:p>
        </w:tc>
        <w:tc>
          <w:tcPr>
            <w:tcW w:type="dxa" w:w="1337"/>
          </w:tcPr>
          <w:p>
            <w:r>
              <w:rPr>
                <w:b/>
                <w:color w:val="0F2D5A"/>
              </w:rPr>
              <w:t>Observed Form/Pattern</w:t>
            </w:r>
          </w:p>
        </w:tc>
        <w:tc>
          <w:tcPr>
            <w:tcW w:type="dxa" w:w="1337"/>
          </w:tcPr>
          <w:p>
            <w:r>
              <w:rPr>
                <w:b/>
                <w:color w:val="0F2D5A"/>
              </w:rPr>
              <w:t>Evidence / Locator</w:t>
            </w:r>
          </w:p>
        </w:tc>
        <w:tc>
          <w:tcPr>
            <w:tcW w:type="dxa" w:w="1337"/>
          </w:tcPr>
          <w:p>
            <w:r>
              <w:rPr>
                <w:b/>
                <w:color w:val="0F2D5A"/>
              </w:rPr>
              <w:t>Hypothesis</w:t>
            </w:r>
          </w:p>
        </w:tc>
        <w:tc>
          <w:tcPr>
            <w:tcW w:type="dxa" w:w="1337"/>
          </w:tcPr>
          <w:p>
            <w:r>
              <w:rPr>
                <w:b/>
                <w:color w:val="0F2D5A"/>
              </w:rPr>
              <w:t>Confidence</w:t>
            </w:r>
          </w:p>
        </w:tc>
        <w:tc>
          <w:tcPr>
            <w:tcW w:type="dxa" w:w="1337"/>
          </w:tcPr>
          <w:p>
            <w:r>
              <w:rPr>
                <w:b/>
                <w:color w:val="0F2D5A"/>
              </w:rPr>
              <w:t>Status</w:t>
            </w:r>
          </w:p>
        </w:tc>
      </w:tr>
      <w:tr>
        <w:tc>
          <w:tcPr>
            <w:tcW w:type="dxa" w:w="1337"/>
          </w:tcPr>
          <w:p>
            <w:r>
              <w:t>DISC-001</w:t>
            </w:r>
          </w:p>
        </w:tc>
        <w:tc>
          <w:tcPr>
            <w:tcW w:type="dxa" w:w="1337"/>
          </w:tcPr>
          <w:p>
            <w:r>
              <w:t>Orthography</w:t>
            </w:r>
          </w:p>
        </w:tc>
        <w:tc>
          <w:tcPr>
            <w:tcW w:type="dxa" w:w="1337"/>
          </w:tcPr>
          <w:p>
            <w:r>
              <w:t>31-letter Latin system with ç, ê, î, ş, û</w:t>
            </w:r>
          </w:p>
        </w:tc>
        <w:tc>
          <w:tcPr>
            <w:tcW w:type="dxa" w:w="1337"/>
          </w:tcPr>
          <w:p>
            <w:r>
              <w:t>All pages</w:t>
            </w:r>
          </w:p>
        </w:tc>
        <w:tc>
          <w:tcPr>
            <w:tcW w:type="dxa" w:w="1337"/>
          </w:tcPr>
          <w:p>
            <w:r>
              <w:t>Standard phonemic script</w:t>
            </w:r>
          </w:p>
        </w:tc>
        <w:tc>
          <w:tcPr>
            <w:tcW w:type="dxa" w:w="1337"/>
          </w:tcPr>
          <w:p>
            <w:r>
              <w:t>H3</w:t>
            </w:r>
          </w:p>
        </w:tc>
        <w:tc>
          <w:tcPr>
            <w:tcW w:type="dxa" w:w="1337"/>
          </w:tcPr>
          <w:p>
            <w:r>
              <w:t>Supported</w:t>
            </w:r>
          </w:p>
        </w:tc>
      </w:tr>
      <w:tr>
        <w:tc>
          <w:tcPr>
            <w:tcW w:type="dxa" w:w="1337"/>
          </w:tcPr>
          <w:p>
            <w:r>
              <w:t>DISC-002</w:t>
            </w:r>
          </w:p>
        </w:tc>
        <w:tc>
          <w:tcPr>
            <w:tcW w:type="dxa" w:w="1337"/>
          </w:tcPr>
          <w:p>
            <w:r>
              <w:t>Morphology</w:t>
            </w:r>
          </w:p>
        </w:tc>
        <w:tc>
          <w:tcPr>
            <w:tcW w:type="dxa" w:w="1337"/>
          </w:tcPr>
          <w:p>
            <w:r>
              <w:t>Linkers -a, -ê, -ên</w:t>
            </w:r>
          </w:p>
        </w:tc>
        <w:tc>
          <w:tcPr>
            <w:tcW w:type="dxa" w:w="1337"/>
          </w:tcPr>
          <w:p>
            <w:r>
              <w:t>All nominal phrases</w:t>
            </w:r>
          </w:p>
        </w:tc>
        <w:tc>
          <w:tcPr>
            <w:tcW w:type="dxa" w:w="1337"/>
          </w:tcPr>
          <w:p>
            <w:r>
              <w:t>Head-initial construct linker</w:t>
            </w:r>
          </w:p>
        </w:tc>
        <w:tc>
          <w:tcPr>
            <w:tcW w:type="dxa" w:w="1337"/>
          </w:tcPr>
          <w:p>
            <w:r>
              <w:t>H3</w:t>
            </w:r>
          </w:p>
        </w:tc>
        <w:tc>
          <w:tcPr>
            <w:tcW w:type="dxa" w:w="1337"/>
          </w:tcPr>
          <w:p>
            <w:r>
              <w:t>Supported</w:t>
            </w:r>
          </w:p>
        </w:tc>
      </w:tr>
      <w:tr>
        <w:tc>
          <w:tcPr>
            <w:tcW w:type="dxa" w:w="1337"/>
          </w:tcPr>
          <w:p>
            <w:r>
              <w:t>DISC-003</w:t>
            </w:r>
          </w:p>
        </w:tc>
        <w:tc>
          <w:tcPr>
            <w:tcW w:type="dxa" w:w="1337"/>
          </w:tcPr>
          <w:p>
            <w:r>
              <w:t>Morphosyntax</w:t>
            </w:r>
          </w:p>
        </w:tc>
        <w:tc>
          <w:tcPr>
            <w:tcW w:type="dxa" w:w="1337"/>
          </w:tcPr>
          <w:p>
            <w:r>
              <w:t>di ... de / da frame</w:t>
            </w:r>
          </w:p>
        </w:tc>
        <w:tc>
          <w:tcPr>
            <w:tcW w:type="dxa" w:w="1337"/>
          </w:tcPr>
          <w:p>
            <w:r>
              <w:t>All pages</w:t>
            </w:r>
          </w:p>
        </w:tc>
        <w:tc>
          <w:tcPr>
            <w:tcW w:type="dxa" w:w="1337"/>
          </w:tcPr>
          <w:p>
            <w:r>
              <w:t>Circumpositional locative</w:t>
            </w:r>
          </w:p>
        </w:tc>
        <w:tc>
          <w:tcPr>
            <w:tcW w:type="dxa" w:w="1337"/>
          </w:tcPr>
          <w:p>
            <w:r>
              <w:t>H3</w:t>
            </w:r>
          </w:p>
        </w:tc>
        <w:tc>
          <w:tcPr>
            <w:tcW w:type="dxa" w:w="1337"/>
          </w:tcPr>
          <w:p>
            <w:r>
              <w:t>Supported</w:t>
            </w:r>
          </w:p>
        </w:tc>
      </w:tr>
      <w:tr>
        <w:tc>
          <w:tcPr>
            <w:tcW w:type="dxa" w:w="1337"/>
          </w:tcPr>
          <w:p>
            <w:r>
              <w:t>DISC-004</w:t>
            </w:r>
          </w:p>
        </w:tc>
        <w:tc>
          <w:tcPr>
            <w:tcW w:type="dxa" w:w="1337"/>
          </w:tcPr>
          <w:p>
            <w:r>
              <w:t>Syntax</w:t>
            </w:r>
          </w:p>
        </w:tc>
        <w:tc>
          <w:tcPr>
            <w:tcW w:type="dxa" w:w="1337"/>
          </w:tcPr>
          <w:p>
            <w:r>
              <w:t>SOV clause ordering</w:t>
            </w:r>
          </w:p>
        </w:tc>
        <w:tc>
          <w:tcPr>
            <w:tcW w:type="dxa" w:w="1337"/>
          </w:tcPr>
          <w:p>
            <w:r>
              <w:t>All declarative sentences</w:t>
            </w:r>
          </w:p>
        </w:tc>
        <w:tc>
          <w:tcPr>
            <w:tcW w:type="dxa" w:w="1337"/>
          </w:tcPr>
          <w:p>
            <w:r>
              <w:t>Predicate-final syntax</w:t>
            </w:r>
          </w:p>
        </w:tc>
        <w:tc>
          <w:tcPr>
            <w:tcW w:type="dxa" w:w="1337"/>
          </w:tcPr>
          <w:p>
            <w:r>
              <w:t>H3</w:t>
            </w:r>
          </w:p>
        </w:tc>
        <w:tc>
          <w:tcPr>
            <w:tcW w:type="dxa" w:w="1337"/>
          </w:tcPr>
          <w:p>
            <w:r>
              <w:t>Supported</w:t>
            </w:r>
          </w:p>
        </w:tc>
      </w:tr>
      <w:tr>
        <w:tc>
          <w:tcPr>
            <w:tcW w:type="dxa" w:w="1337"/>
          </w:tcPr>
          <w:p>
            <w:r>
              <w:t>DISC-005</w:t>
            </w:r>
          </w:p>
        </w:tc>
        <w:tc>
          <w:tcPr>
            <w:tcW w:type="dxa" w:w="1337"/>
          </w:tcPr>
          <w:p>
            <w:r>
              <w:t>Syntax</w:t>
            </w:r>
          </w:p>
        </w:tc>
        <w:tc>
          <w:tcPr>
            <w:tcW w:type="dxa" w:w="1337"/>
          </w:tcPr>
          <w:p>
            <w:r>
              <w:t>hat / hate / hatin + Verbal Noun</w:t>
            </w:r>
          </w:p>
        </w:tc>
        <w:tc>
          <w:tcPr>
            <w:tcW w:type="dxa" w:w="1337"/>
          </w:tcPr>
          <w:p>
            <w:r>
              <w:t>Passive sentences</w:t>
            </w:r>
          </w:p>
        </w:tc>
        <w:tc>
          <w:tcPr>
            <w:tcW w:type="dxa" w:w="1337"/>
          </w:tcPr>
          <w:p>
            <w:r>
              <w:t>Periphrastic passive</w:t>
            </w:r>
          </w:p>
        </w:tc>
        <w:tc>
          <w:tcPr>
            <w:tcW w:type="dxa" w:w="1337"/>
          </w:tcPr>
          <w:p>
            <w:r>
              <w:t>H3</w:t>
            </w:r>
          </w:p>
        </w:tc>
        <w:tc>
          <w:tcPr>
            <w:tcW w:type="dxa" w:w="1337"/>
          </w:tcPr>
          <w:p>
            <w:r>
              <w:t>Supported</w:t>
            </w:r>
          </w:p>
        </w:tc>
      </w:tr>
    </w:tbl>
    <w:p/>
    <w:p>
      <w:pPr>
        <w:pStyle w:val="Heading1"/>
      </w:pPr>
      <w:r>
        <w:t>23. Open Questions for Further Investigation</w:t>
      </w:r>
    </w:p>
    <w:p>
      <w:r>
        <w:t>1. What exact phonetic contrast differentiates written 'e' from 'ê', and 'i' from 'î' in native spoken speech?</w:t>
      </w:r>
    </w:p>
    <w:p>
      <w:r>
        <w:t>2. Does the alternation between 'wê' and 'dê' represent geographical dialect boundaries or stylistic register variation?</w:t>
      </w:r>
    </w:p>
    <w:p>
      <w:r>
        <w:t>3. How does split-ergative agreement behave in complex clauses with conjoined objects?</w:t>
      </w:r>
    </w:p>
    <w:p>
      <w:pPr>
        <w:pStyle w:val="Heading1"/>
      </w:pPr>
      <w:r>
        <w:t>24. Evidence Appendix: Verbatim Citations</w:t>
      </w:r>
    </w:p>
    <w:p>
      <w:r>
        <w:t>• Locator [ROJ-013-ISS1-P1-S1]: « Rojî Kurd ji bo ronîkirina riya ciwanên xwendekar derketiye. »</w:t>
      </w:r>
    </w:p>
    <w:p>
      <w:r>
        <w:t>• Locator [ROJ-013-ISS3-P4-S2]: « Hêviya me bi pêşeroja vî miletî heye. »</w:t>
      </w:r>
    </w:p>
    <w:p>
      <w:pPr>
        <w:pStyle w:val="Heading1"/>
      </w:pPr>
      <w:r>
        <w:t>25. Limits of This File</w:t>
      </w:r>
    </w:p>
    <w:p>
      <w:r>
        <w:t>Findings in this report represent the specific genre (Kurdish Student Movement Journal (Hêvî Association - Istanbul 1913)) of file '013_ROJI_KURD_1913'. They cannot be assumed to apply universally across all historical periods or dialects without independent cross-file comparison.</w:t>
      </w:r>
    </w:p>
    <w:p>
      <w:pPr>
        <w:pStyle w:val="Heading1"/>
      </w:pPr>
      <w:r>
        <w:t>26. Questions Requiring Spoken Evidence (Stream B Targets)</w:t>
      </w:r>
    </w:p>
    <w:p>
      <w:r>
        <w:t>1. Syllable stress placement in construct linker noun phrases (e.g. whether stress falls on stem or linker morpheme).</w:t>
      </w:r>
    </w:p>
    <w:p>
      <w:r>
        <w:t>2. Spoken acoustic quality and duration of vowels (e, ê, i, î, u, û).</w:t>
      </w:r>
    </w:p>
    <w:p>
      <w:r>
        <w:t>3. Intonational contours of declarative SOV clauses versus polar questions.</w:t>
      </w:r>
    </w:p>
    <w:p>
      <w:pPr>
        <w:pStyle w:val="Heading1"/>
      </w:pPr>
      <w:r>
        <w:t>27. Provisional Conclusions Derived Solely From This File</w:t>
      </w:r>
    </w:p>
    <w:p>
      <w:r>
        <w:t>1. File '013_ROJI_KURD_1913' provides clear empirical evidence for head-initial nominal syntax mediated by gender/number construct linkers, combined with strict head-final clause syntax (SOV).</w:t>
      </w:r>
    </w:p>
    <w:p>
      <w:r>
        <w:t>2. All findings have been inductively derived and documented without importing external grammatical models or modifying original source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