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004_RUDAW</w:t>
      </w:r>
    </w:p>
    <w:p>
      <w:pPr>
        <w:jc w:val="center"/>
      </w:pPr>
      <w:r>
        <w:rPr>
          <w:i/>
          <w:color w:val="555555"/>
          <w:sz w:val="19"/>
        </w:rPr>
        <w:t>Corpus: 004_RUDAW (TSLK-004-RUDAW-ANALYTICAL) | Analytical, Opinion &amp; Multimedia News Corpus (Rudaw Media Network)</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DSR-TSLK-004-RUDAW-2026-FDA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TSLK-004-RUDAW-ANALYTICAL</w:t>
        <w:br/>
        <w:t>Documentary Source Folder: 004_RUDAW</w:t>
        <w:br/>
        <w:t>Observable Text Volume: 39,715 articles / 8,920,000+ words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39,715 articles / 8,920,000+ words.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û</w:t>
            </w:r>
          </w:p>
        </w:tc>
        <w:tc>
          <w:tcPr>
            <w:tcW w:type="dxa" w:w="1872"/>
          </w:tcPr>
          <w:p>
            <w:r>
              <w:t>380,000+</w:t>
            </w:r>
          </w:p>
        </w:tc>
        <w:tc>
          <w:tcPr>
            <w:tcW w:type="dxa" w:w="1872"/>
          </w:tcPr>
          <w:p>
            <w:r>
              <w:t>Universal coordinator</w:t>
            </w:r>
          </w:p>
        </w:tc>
        <w:tc>
          <w:tcPr>
            <w:tcW w:type="dxa" w:w="1872"/>
          </w:tcPr>
          <w:p>
            <w:r>
              <w:t>Strongly Supported</w:t>
            </w:r>
          </w:p>
        </w:tc>
      </w:tr>
      <w:tr>
        <w:tc>
          <w:tcPr>
            <w:tcW w:type="dxa" w:w="1872"/>
          </w:tcPr>
          <w:p>
            <w:r>
              <w:t>RF-002</w:t>
            </w:r>
          </w:p>
        </w:tc>
        <w:tc>
          <w:tcPr>
            <w:tcW w:type="dxa" w:w="1872"/>
          </w:tcPr>
          <w:p>
            <w:r>
              <w:t>li</w:t>
            </w:r>
          </w:p>
        </w:tc>
        <w:tc>
          <w:tcPr>
            <w:tcW w:type="dxa" w:w="1872"/>
          </w:tcPr>
          <w:p>
            <w:r>
              <w:t>295,000+</w:t>
            </w:r>
          </w:p>
        </w:tc>
        <w:tc>
          <w:tcPr>
            <w:tcW w:type="dxa" w:w="1872"/>
          </w:tcPr>
          <w:p>
            <w:r>
              <w:t>Locative marker</w:t>
            </w:r>
          </w:p>
        </w:tc>
        <w:tc>
          <w:tcPr>
            <w:tcW w:type="dxa" w:w="1872"/>
          </w:tcPr>
          <w:p>
            <w:r>
              <w:t>Strongly Supported</w:t>
            </w:r>
          </w:p>
        </w:tc>
      </w:tr>
      <w:tr>
        <w:tc>
          <w:tcPr>
            <w:tcW w:type="dxa" w:w="1872"/>
          </w:tcPr>
          <w:p>
            <w:r>
              <w:t>RF-003</w:t>
            </w:r>
          </w:p>
        </w:tc>
        <w:tc>
          <w:tcPr>
            <w:tcW w:type="dxa" w:w="1872"/>
          </w:tcPr>
          <w:p>
            <w:r>
              <w:t>di ... de</w:t>
            </w:r>
          </w:p>
        </w:tc>
        <w:tc>
          <w:tcPr>
            <w:tcW w:type="dxa" w:w="1872"/>
          </w:tcPr>
          <w:p>
            <w:r>
              <w:t>240,000+</w:t>
            </w:r>
          </w:p>
        </w:tc>
        <w:tc>
          <w:tcPr>
            <w:tcW w:type="dxa" w:w="1872"/>
          </w:tcPr>
          <w:p>
            <w:r>
              <w:t>Circumposition</w:t>
            </w:r>
          </w:p>
        </w:tc>
        <w:tc>
          <w:tcPr>
            <w:tcW w:type="dxa" w:w="1872"/>
          </w:tcPr>
          <w:p>
            <w:r>
              <w:t>Strongly Supported</w:t>
            </w:r>
          </w:p>
        </w:tc>
      </w:tr>
      <w:tr>
        <w:tc>
          <w:tcPr>
            <w:tcW w:type="dxa" w:w="1872"/>
          </w:tcPr>
          <w:p>
            <w:r>
              <w:t>RF-004</w:t>
            </w:r>
          </w:p>
        </w:tc>
        <w:tc>
          <w:tcPr>
            <w:tcW w:type="dxa" w:w="1872"/>
          </w:tcPr>
          <w:p>
            <w:r>
              <w:t>ku</w:t>
            </w:r>
          </w:p>
        </w:tc>
        <w:tc>
          <w:tcPr>
            <w:tcW w:type="dxa" w:w="1872"/>
          </w:tcPr>
          <w:p>
            <w:r>
              <w:t>198,000+</w:t>
            </w:r>
          </w:p>
        </w:tc>
        <w:tc>
          <w:tcPr>
            <w:tcW w:type="dxa" w:w="1872"/>
          </w:tcPr>
          <w:p>
            <w:r>
              <w:t>Subordinator</w:t>
            </w:r>
          </w:p>
        </w:tc>
        <w:tc>
          <w:tcPr>
            <w:tcW w:type="dxa" w:w="1872"/>
          </w:tcPr>
          <w:p>
            <w:r>
              <w:t>Strongly Supported</w:t>
            </w:r>
          </w:p>
        </w:tc>
      </w:tr>
      <w:tr>
        <w:tc>
          <w:tcPr>
            <w:tcW w:type="dxa" w:w="1872"/>
          </w:tcPr>
          <w:p>
            <w:r>
              <w:t>RF-005</w:t>
            </w:r>
          </w:p>
        </w:tc>
        <w:tc>
          <w:tcPr>
            <w:tcW w:type="dxa" w:w="1872"/>
          </w:tcPr>
          <w:p>
            <w:r>
              <w:t>dê / wê</w:t>
            </w:r>
          </w:p>
        </w:tc>
        <w:tc>
          <w:tcPr>
            <w:tcW w:type="dxa" w:w="1872"/>
          </w:tcPr>
          <w:p>
            <w:r>
              <w:t>112,000+</w:t>
            </w:r>
          </w:p>
        </w:tc>
        <w:tc>
          <w:tcPr>
            <w:tcW w:type="dxa" w:w="1872"/>
          </w:tcPr>
          <w:p>
            <w:r>
              <w:t>Future modal marker</w:t>
            </w:r>
          </w:p>
        </w:tc>
        <w:tc>
          <w:tcPr>
            <w:tcW w:type="dxa" w:w="1872"/>
          </w:tcPr>
          <w:p>
            <w:r>
              <w:t>Strongly Supported</w:t>
            </w:r>
          </w:p>
        </w:tc>
      </w:tr>
      <w:tr>
        <w:tc>
          <w:tcPr>
            <w:tcW w:type="dxa" w:w="1872"/>
          </w:tcPr>
          <w:p>
            <w:r>
              <w:t>RF-006</w:t>
            </w:r>
          </w:p>
        </w:tc>
        <w:tc>
          <w:tcPr>
            <w:tcW w:type="dxa" w:w="1872"/>
          </w:tcPr>
          <w:p>
            <w:r>
              <w:t>got</w:t>
            </w:r>
          </w:p>
        </w:tc>
        <w:tc>
          <w:tcPr>
            <w:tcW w:type="dxa" w:w="1872"/>
          </w:tcPr>
          <w:p>
            <w:r>
              <w:t>94,000+</w:t>
            </w:r>
          </w:p>
        </w:tc>
        <w:tc>
          <w:tcPr>
            <w:tcW w:type="dxa" w:w="1872"/>
          </w:tcPr>
          <w:p>
            <w:r>
              <w:t>Speech verb</w:t>
            </w:r>
          </w:p>
        </w:tc>
        <w:tc>
          <w:tcPr>
            <w:tcW w:type="dxa" w:w="1872"/>
          </w:tcPr>
          <w:p>
            <w:r>
              <w:t>Strongly Supported</w:t>
            </w:r>
          </w:p>
        </w:tc>
      </w:tr>
    </w:tbl>
    <w:p/>
    <w:p>
      <w:pPr>
        <w:pStyle w:val="Heading1"/>
      </w:pPr>
      <w:r>
        <w:t>9. Word-Family Networks (Form-Development Networks)</w:t>
      </w:r>
    </w:p>
    <w:p>
      <w:r>
        <w:t>Form Development Network (Root: *nivîs- (write)):</w:t>
        <w:br/>
        <w:t>├── nivîs-ar (Article/Essay)</w:t>
        <w:br/>
        <w:t>├── nivîs-kar (Author/Writer)</w:t>
        <w:br/>
        <w:t>├── nivîs-kar-ê (Construct Masc)</w:t>
        <w:br/>
        <w:t>├── hate nivîs-an-d-in (Passive past)</w:t>
        <w:br/>
        <w:t>├── di-nivîs-e (Durative 3sg)</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[RUDAW-ART1089-P1-S1]</w:t>
            </w:r>
          </w:p>
        </w:tc>
        <w:tc>
          <w:tcPr>
            <w:tcW w:type="dxa" w:w="2340"/>
          </w:tcPr>
          <w:p>
            <w:r>
              <w:t>Nivîskar di gotara xwe de bal kişand ser guherînên siyasî yên herêmê.</w:t>
            </w:r>
          </w:p>
        </w:tc>
        <w:tc>
          <w:tcPr>
            <w:tcW w:type="dxa" w:w="2340"/>
          </w:tcPr>
          <w:p>
            <w:r>
              <w:t>SOV Clause</w:t>
            </w:r>
          </w:p>
        </w:tc>
        <w:tc>
          <w:tcPr>
            <w:tcW w:type="dxa" w:w="2340"/>
          </w:tcPr>
          <w:p>
            <w:r>
              <w:t>Supported</w:t>
            </w:r>
          </w:p>
        </w:tc>
      </w:tr>
      <w:tr>
        <w:tc>
          <w:tcPr>
            <w:tcW w:type="dxa" w:w="2340"/>
          </w:tcPr>
          <w:p>
            <w:r>
              <w:t>[RUDAW-ART3412-P3-S4]</w:t>
            </w:r>
          </w:p>
        </w:tc>
        <w:tc>
          <w:tcPr>
            <w:tcW w:type="dxa" w:w="2340"/>
          </w:tcPr>
          <w:p>
            <w:r>
              <w:t>Wezîrê Aboriyê diyar kir ku peyman dê bandorek erênî li ser bazirganiyê bike.</w:t>
            </w:r>
          </w:p>
        </w:tc>
        <w:tc>
          <w:tcPr>
            <w:tcW w:type="dxa" w:w="2340"/>
          </w:tcPr>
          <w:p>
            <w:r>
              <w:t>SOV Clause</w:t>
            </w:r>
          </w:p>
        </w:tc>
        <w:tc>
          <w:tcPr>
            <w:tcW w:type="dxa" w:w="2340"/>
          </w:tcPr>
          <w:p>
            <w:r>
              <w:t>Supported</w:t>
            </w:r>
          </w:p>
        </w:tc>
      </w:tr>
    </w:tbl>
    <w:p/>
    <w:p>
      <w:pPr>
        <w:pStyle w:val="Heading1"/>
      </w:pPr>
      <w:r>
        <w:t>16. Sentence Formula Discovery</w:t>
      </w:r>
    </w:p>
    <w:p>
      <w:r>
        <w:t>• SF-001: S + PP_mod + O_complex + V_final [Attested Frequency: 44.5% | Confidence: Strongly Supported]</w:t>
      </w:r>
    </w:p>
    <w:p>
      <w:r>
        <w:t>• SF-002: S + got ku + Subordinate_Clause [Attested Frequency: 31.2% | Confidence: Strongly Supported]</w:t>
      </w:r>
    </w:p>
    <w:p>
      <w:r>
        <w:t>• SF-003: Condition_Clause (heke...) + S + dê + V_subj [Attested Frequency: 15.8%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S + PP_mod + O_complex + V_final</w:t>
            </w:r>
          </w:p>
        </w:tc>
        <w:tc>
          <w:tcPr>
            <w:tcW w:type="dxa" w:w="2340"/>
          </w:tcPr>
          <w:p>
            <w:r>
              <w:t>44.5%</w:t>
            </w:r>
          </w:p>
        </w:tc>
        <w:tc>
          <w:tcPr>
            <w:tcW w:type="dxa" w:w="2340"/>
          </w:tcPr>
          <w:p>
            <w:r>
              <w:t>Strongly Supported</w:t>
            </w:r>
          </w:p>
        </w:tc>
      </w:tr>
      <w:tr>
        <w:tc>
          <w:tcPr>
            <w:tcW w:type="dxa" w:w="2340"/>
          </w:tcPr>
          <w:p>
            <w:r>
              <w:t>SF-002</w:t>
            </w:r>
          </w:p>
        </w:tc>
        <w:tc>
          <w:tcPr>
            <w:tcW w:type="dxa" w:w="2340"/>
          </w:tcPr>
          <w:p>
            <w:r>
              <w:t>S + got ku + Subordinate_Clause</w:t>
            </w:r>
          </w:p>
        </w:tc>
        <w:tc>
          <w:tcPr>
            <w:tcW w:type="dxa" w:w="2340"/>
          </w:tcPr>
          <w:p>
            <w:r>
              <w:t>31.2%</w:t>
            </w:r>
          </w:p>
        </w:tc>
        <w:tc>
          <w:tcPr>
            <w:tcW w:type="dxa" w:w="2340"/>
          </w:tcPr>
          <w:p>
            <w:r>
              <w:t>Strongly Supported</w:t>
            </w:r>
          </w:p>
        </w:tc>
      </w:tr>
      <w:tr>
        <w:tc>
          <w:tcPr>
            <w:tcW w:type="dxa" w:w="2340"/>
          </w:tcPr>
          <w:p>
            <w:r>
              <w:t>SF-003</w:t>
            </w:r>
          </w:p>
        </w:tc>
        <w:tc>
          <w:tcPr>
            <w:tcW w:type="dxa" w:w="2340"/>
          </w:tcPr>
          <w:p>
            <w:r>
              <w:t>Condition_Clause (heke...) + S + dê + V_subj</w:t>
            </w:r>
          </w:p>
        </w:tc>
        <w:tc>
          <w:tcPr>
            <w:tcW w:type="dxa" w:w="2340"/>
          </w:tcPr>
          <w:p>
            <w:r>
              <w:t>15.8%</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Analytical, Opinion &amp; Multimedia News Corpus (Rudaw Media Network).</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SOV Predicate-Final Clause Model</w:t>
            </w:r>
          </w:p>
        </w:tc>
        <w:tc>
          <w:tcPr>
            <w:tcW w:type="dxa" w:w="1560"/>
          </w:tcPr>
          <w:p>
            <w:r>
              <w:t>958/1000</w:t>
            </w:r>
          </w:p>
        </w:tc>
        <w:tc>
          <w:tcPr>
            <w:tcW w:type="dxa" w:w="1560"/>
          </w:tcPr>
          <w:p>
            <w:r>
              <w:t>28</w:t>
            </w:r>
          </w:p>
        </w:tc>
        <w:tc>
          <w:tcPr>
            <w:tcW w:type="dxa" w:w="1560"/>
          </w:tcPr>
          <w:p>
            <w:r>
              <w:t>95.8%</w:t>
            </w:r>
          </w:p>
        </w:tc>
        <w:tc>
          <w:tcPr>
            <w:tcW w:type="dxa" w:w="1560"/>
          </w:tcPr>
          <w:p>
            <w:r>
              <w:t>Strongly Supported</w:t>
            </w:r>
          </w:p>
        </w:tc>
      </w:tr>
      <w:tr>
        <w:tc>
          <w:tcPr>
            <w:tcW w:type="dxa" w:w="1560"/>
          </w:tcPr>
          <w:p>
            <w:r>
              <w:t>FM-002</w:t>
            </w:r>
          </w:p>
        </w:tc>
        <w:tc>
          <w:tcPr>
            <w:tcW w:type="dxa" w:w="1560"/>
          </w:tcPr>
          <w:p>
            <w:r>
              <w:t>Subordination with 'ku' Finality</w:t>
            </w:r>
          </w:p>
        </w:tc>
        <w:tc>
          <w:tcPr>
            <w:tcW w:type="dxa" w:w="1560"/>
          </w:tcPr>
          <w:p>
            <w:r>
              <w:t>892/920</w:t>
            </w:r>
          </w:p>
        </w:tc>
        <w:tc>
          <w:tcPr>
            <w:tcW w:type="dxa" w:w="1560"/>
          </w:tcPr>
          <w:p>
            <w:r>
              <w:t>18</w:t>
            </w:r>
          </w:p>
        </w:tc>
        <w:tc>
          <w:tcPr>
            <w:tcW w:type="dxa" w:w="1560"/>
          </w:tcPr>
          <w:p>
            <w:r>
              <w:t>97.0%</w:t>
            </w:r>
          </w:p>
        </w:tc>
        <w:tc>
          <w:tcPr>
            <w:tcW w:type="dxa" w:w="1560"/>
          </w:tcPr>
          <w:p>
            <w:r>
              <w:t>Strongly Supported</w:t>
            </w:r>
          </w:p>
        </w:tc>
      </w:tr>
      <w:tr>
        <w:tc>
          <w:tcPr>
            <w:tcW w:type="dxa" w:w="1560"/>
          </w:tcPr>
          <w:p>
            <w:r>
              <w:t>FM-003</w:t>
            </w:r>
          </w:p>
        </w:tc>
        <w:tc>
          <w:tcPr>
            <w:tcW w:type="dxa" w:w="1560"/>
          </w:tcPr>
          <w:p>
            <w:r>
              <w:t>Construct Linker Agreement</w:t>
            </w:r>
          </w:p>
        </w:tc>
        <w:tc>
          <w:tcPr>
            <w:tcW w:type="dxa" w:w="1560"/>
          </w:tcPr>
          <w:p>
            <w:r>
              <w:t>985/1000</w:t>
            </w:r>
          </w:p>
        </w:tc>
        <w:tc>
          <w:tcPr>
            <w:tcW w:type="dxa" w:w="1560"/>
          </w:tcPr>
          <w:p>
            <w:r>
              <w:t>12</w:t>
            </w:r>
          </w:p>
        </w:tc>
        <w:tc>
          <w:tcPr>
            <w:tcW w:type="dxa" w:w="1560"/>
          </w:tcPr>
          <w:p>
            <w:r>
              <w:t>98.5%</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[RUD-ART1089-P3]</w:t>
            </w:r>
          </w:p>
        </w:tc>
        <w:tc>
          <w:tcPr>
            <w:tcW w:type="dxa" w:w="1560"/>
          </w:tcPr>
          <w:p>
            <w:r>
              <w:t>Verb-Final</w:t>
            </w:r>
          </w:p>
        </w:tc>
        <w:tc>
          <w:tcPr>
            <w:tcW w:type="dxa" w:w="1560"/>
          </w:tcPr>
          <w:p>
            <w:r>
              <w:t>Post-verbal heavy prepositional complement (bal kişand ser guherînan...)</w:t>
            </w:r>
          </w:p>
        </w:tc>
        <w:tc>
          <w:tcPr>
            <w:tcW w:type="dxa" w:w="1560"/>
          </w:tcPr>
          <w:p>
            <w:r>
              <w:t>Heavy constituent extraposition</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'004_RUDAW' (Analytical, Opinion &amp; Multimedia News Corpus (Rudaw Media Network))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'004_RUDAW'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[RUDAW-ART1089-P1-S1]: « Nivîskar di gotara xwe de bal kişand ser guherînên siyasî yên herêmê. »</w:t>
      </w:r>
    </w:p>
    <w:p>
      <w:r>
        <w:t>• Locator [RUDAW-ART3412-P3-S4]: « Wezîrê Aboriyê diyar kir ku peyman dê bandorek erênî li ser bazirganiyê bike.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