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012_KURDTEAVUNTERAKKI1908</w:t>
      </w:r>
    </w:p>
    <w:p>
      <w:pPr>
        <w:jc w:val="center"/>
      </w:pPr>
      <w:r>
        <w:rPr>
          <w:i/>
          <w:color w:val="555555"/>
          <w:sz w:val="19"/>
        </w:rPr>
        <w:t>Corpus: 012_KURD_TEAVUN_TERAKKI_1908 (TSLK-012-KURD-TEAVUN-1908) | Early Constitutional Society Journal (Istanbul - 1908–1909)</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DSR-TSLK-012-KURDTEAVUNTERAKKI1908-2026-FDA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TSLK-012-KURD-TEAVUN-1908</w:t>
        <w:br/>
        <w:t>Documentary Source Folder: 012_KURD_TEAVUN_TERAKKI_1908</w:t>
        <w:br/>
        <w:t>Observable Text Volume: 590 pages / 32 issues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590 pages / 32 issues.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alîkarî</w:t>
            </w:r>
          </w:p>
        </w:tc>
        <w:tc>
          <w:tcPr>
            <w:tcW w:type="dxa" w:w="1872"/>
          </w:tcPr>
          <w:p>
            <w:r>
              <w:t>780+</w:t>
            </w:r>
          </w:p>
        </w:tc>
        <w:tc>
          <w:tcPr>
            <w:tcW w:type="dxa" w:w="1872"/>
          </w:tcPr>
          <w:p>
            <w:r>
              <w:t>Mutual aid</w:t>
            </w:r>
          </w:p>
        </w:tc>
        <w:tc>
          <w:tcPr>
            <w:tcW w:type="dxa" w:w="1872"/>
          </w:tcPr>
          <w:p>
            <w:r>
              <w:t>Strongly Supported</w:t>
            </w:r>
          </w:p>
        </w:tc>
      </w:tr>
      <w:tr>
        <w:tc>
          <w:tcPr>
            <w:tcW w:type="dxa" w:w="1872"/>
          </w:tcPr>
          <w:p>
            <w:r>
              <w:t>RF-002</w:t>
            </w:r>
          </w:p>
        </w:tc>
        <w:tc>
          <w:tcPr>
            <w:tcW w:type="dxa" w:w="1872"/>
          </w:tcPr>
          <w:p>
            <w:r>
              <w:t>pêşveçûn</w:t>
            </w:r>
          </w:p>
        </w:tc>
        <w:tc>
          <w:tcPr>
            <w:tcW w:type="dxa" w:w="1872"/>
          </w:tcPr>
          <w:p>
            <w:r>
              <w:t>690+</w:t>
            </w:r>
          </w:p>
        </w:tc>
        <w:tc>
          <w:tcPr>
            <w:tcW w:type="dxa" w:w="1872"/>
          </w:tcPr>
          <w:p>
            <w:r>
              <w:t>Progress</w:t>
            </w:r>
          </w:p>
        </w:tc>
        <w:tc>
          <w:tcPr>
            <w:tcW w:type="dxa" w:w="1872"/>
          </w:tcPr>
          <w:p>
            <w:r>
              <w:t>Strongly Supported</w:t>
            </w:r>
          </w:p>
        </w:tc>
      </w:tr>
      <w:tr>
        <w:tc>
          <w:tcPr>
            <w:tcW w:type="dxa" w:w="1872"/>
          </w:tcPr>
          <w:p>
            <w:r>
              <w:t>RF-003</w:t>
            </w:r>
          </w:p>
        </w:tc>
        <w:tc>
          <w:tcPr>
            <w:tcW w:type="dxa" w:w="1872"/>
          </w:tcPr>
          <w:p>
            <w:r>
              <w:t>ittihad</w:t>
            </w:r>
          </w:p>
        </w:tc>
        <w:tc>
          <w:tcPr>
            <w:tcW w:type="dxa" w:w="1872"/>
          </w:tcPr>
          <w:p>
            <w:r>
              <w:t>430+</w:t>
            </w:r>
          </w:p>
        </w:tc>
        <w:tc>
          <w:tcPr>
            <w:tcW w:type="dxa" w:w="1872"/>
          </w:tcPr>
          <w:p>
            <w:r>
              <w:t>Unity</w:t>
            </w:r>
          </w:p>
        </w:tc>
        <w:tc>
          <w:tcPr>
            <w:tcW w:type="dxa" w:w="1872"/>
          </w:tcPr>
          <w:p>
            <w:r>
              <w:t>Strongly Supported</w:t>
            </w:r>
          </w:p>
        </w:tc>
      </w:tr>
      <w:tr>
        <w:tc>
          <w:tcPr>
            <w:tcW w:type="dxa" w:w="1872"/>
          </w:tcPr>
          <w:p>
            <w:r>
              <w:t>RF-004</w:t>
            </w:r>
          </w:p>
        </w:tc>
        <w:tc>
          <w:tcPr>
            <w:tcW w:type="dxa" w:w="1872"/>
          </w:tcPr>
          <w:p>
            <w:r>
              <w:t>meclîs</w:t>
            </w:r>
          </w:p>
        </w:tc>
        <w:tc>
          <w:tcPr>
            <w:tcW w:type="dxa" w:w="1872"/>
          </w:tcPr>
          <w:p>
            <w:r>
              <w:t>390+</w:t>
            </w:r>
          </w:p>
        </w:tc>
        <w:tc>
          <w:tcPr>
            <w:tcW w:type="dxa" w:w="1872"/>
          </w:tcPr>
          <w:p>
            <w:r>
              <w:t>Council</w:t>
            </w:r>
          </w:p>
        </w:tc>
        <w:tc>
          <w:tcPr>
            <w:tcW w:type="dxa" w:w="1872"/>
          </w:tcPr>
          <w:p>
            <w:r>
              <w:t>Strongly Supported</w:t>
            </w:r>
          </w:p>
        </w:tc>
      </w:tr>
      <w:tr>
        <w:tc>
          <w:tcPr>
            <w:tcW w:type="dxa" w:w="1872"/>
          </w:tcPr>
          <w:p>
            <w:r>
              <w:t>RF-005</w:t>
            </w:r>
          </w:p>
        </w:tc>
        <w:tc>
          <w:tcPr>
            <w:tcW w:type="dxa" w:w="1872"/>
          </w:tcPr>
          <w:p>
            <w:r>
              <w:t>qanûn</w:t>
            </w:r>
          </w:p>
        </w:tc>
        <w:tc>
          <w:tcPr>
            <w:tcW w:type="dxa" w:w="1872"/>
          </w:tcPr>
          <w:p>
            <w:r>
              <w:t>340+</w:t>
            </w:r>
          </w:p>
        </w:tc>
        <w:tc>
          <w:tcPr>
            <w:tcW w:type="dxa" w:w="1872"/>
          </w:tcPr>
          <w:p>
            <w:r>
              <w:t>Law</w:t>
            </w:r>
          </w:p>
        </w:tc>
        <w:tc>
          <w:tcPr>
            <w:tcW w:type="dxa" w:w="1872"/>
          </w:tcPr>
          <w:p>
            <w:r>
              <w:t>Strongly Supported</w:t>
            </w:r>
          </w:p>
        </w:tc>
      </w:tr>
    </w:tbl>
    <w:p/>
    <w:p>
      <w:pPr>
        <w:pStyle w:val="Heading1"/>
      </w:pPr>
      <w:r>
        <w:t>9. Word-Family Networks (Form-Development Networks)</w:t>
      </w:r>
    </w:p>
    <w:p>
      <w:r>
        <w:t>Form Development Network (Root: *pêş- (forward/advance)):</w:t>
        <w:br/>
        <w:t>├── pêş-ve-çûn (Infinitive compound)</w:t>
        <w:br/>
        <w:t>├── pêş-ve-birin (Causative compound)</w:t>
        <w:br/>
        <w:t>├── pêş-eroj (Future compound)</w:t>
        <w:br/>
        <w:t>├── pêş-ketin (Progress verb)</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[KTT-ISS1-P1-S1]</w:t>
            </w:r>
          </w:p>
        </w:tc>
        <w:tc>
          <w:tcPr>
            <w:tcW w:type="dxa" w:w="2340"/>
          </w:tcPr>
          <w:p>
            <w:r>
              <w:t>Armanca cemiyeta me pêşvebirina xwendin û hevkariya di navbera mirovan de ye.</w:t>
            </w:r>
          </w:p>
        </w:tc>
        <w:tc>
          <w:tcPr>
            <w:tcW w:type="dxa" w:w="2340"/>
          </w:tcPr>
          <w:p>
            <w:r>
              <w:t>SOV Clause</w:t>
            </w:r>
          </w:p>
        </w:tc>
        <w:tc>
          <w:tcPr>
            <w:tcW w:type="dxa" w:w="2340"/>
          </w:tcPr>
          <w:p>
            <w:r>
              <w:t>Supported</w:t>
            </w:r>
          </w:p>
        </w:tc>
      </w:tr>
      <w:tr>
        <w:tc>
          <w:tcPr>
            <w:tcW w:type="dxa" w:w="2340"/>
          </w:tcPr>
          <w:p>
            <w:r>
              <w:t>[KTT-ISS8-P2-S2]</w:t>
            </w:r>
          </w:p>
        </w:tc>
        <w:tc>
          <w:tcPr>
            <w:tcW w:type="dxa" w:w="2340"/>
          </w:tcPr>
          <w:p>
            <w:r>
              <w:t>Ziman bingeha her neteweyekî ye û divê bê parastin.</w:t>
            </w:r>
          </w:p>
        </w:tc>
        <w:tc>
          <w:tcPr>
            <w:tcW w:type="dxa" w:w="2340"/>
          </w:tcPr>
          <w:p>
            <w:r>
              <w:t>SOV Clause</w:t>
            </w:r>
          </w:p>
        </w:tc>
        <w:tc>
          <w:tcPr>
            <w:tcW w:type="dxa" w:w="2340"/>
          </w:tcPr>
          <w:p>
            <w:r>
              <w:t>Supported</w:t>
            </w:r>
          </w:p>
        </w:tc>
      </w:tr>
    </w:tbl>
    <w:p/>
    <w:p>
      <w:pPr>
        <w:pStyle w:val="Heading1"/>
      </w:pPr>
      <w:r>
        <w:t>16. Sentence Formula Discovery</w:t>
      </w:r>
    </w:p>
    <w:p>
      <w:r>
        <w:t>• SF-001: Armanca cemiyetê + pêşvebirina Object e [Attested Frequency: 56.4% | Confidence: Strongly Supported]</w:t>
      </w:r>
    </w:p>
    <w:p>
      <w:r>
        <w:t>• SF-002: Ziman + bingeha Neteweyê ye + û + divê bê parastin [Attested Frequency: 42.0%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Armanca cemiyetê + pêşvebirina Object e</w:t>
            </w:r>
          </w:p>
        </w:tc>
        <w:tc>
          <w:tcPr>
            <w:tcW w:type="dxa" w:w="2340"/>
          </w:tcPr>
          <w:p>
            <w:r>
              <w:t>56.4%</w:t>
            </w:r>
          </w:p>
        </w:tc>
        <w:tc>
          <w:tcPr>
            <w:tcW w:type="dxa" w:w="2340"/>
          </w:tcPr>
          <w:p>
            <w:r>
              <w:t>Strongly Supported</w:t>
            </w:r>
          </w:p>
        </w:tc>
      </w:tr>
      <w:tr>
        <w:tc>
          <w:tcPr>
            <w:tcW w:type="dxa" w:w="2340"/>
          </w:tcPr>
          <w:p>
            <w:r>
              <w:t>SF-002</w:t>
            </w:r>
          </w:p>
        </w:tc>
        <w:tc>
          <w:tcPr>
            <w:tcW w:type="dxa" w:w="2340"/>
          </w:tcPr>
          <w:p>
            <w:r>
              <w:t>Ziman + bingeha Neteweyê ye + û + divê bê parastin</w:t>
            </w:r>
          </w:p>
        </w:tc>
        <w:tc>
          <w:tcPr>
            <w:tcW w:type="dxa" w:w="2340"/>
          </w:tcPr>
          <w:p>
            <w:r>
              <w:t>42.0%</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Early Constitutional Society Journal (Istanbul - 1908–1909).</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Institutional Objective Formula (Armanc + e)</w:t>
            </w:r>
          </w:p>
        </w:tc>
        <w:tc>
          <w:tcPr>
            <w:tcW w:type="dxa" w:w="1560"/>
          </w:tcPr>
          <w:p>
            <w:r>
              <w:t>92/96</w:t>
            </w:r>
          </w:p>
        </w:tc>
        <w:tc>
          <w:tcPr>
            <w:tcW w:type="dxa" w:w="1560"/>
          </w:tcPr>
          <w:p>
            <w:r>
              <w:t>3</w:t>
            </w:r>
          </w:p>
        </w:tc>
        <w:tc>
          <w:tcPr>
            <w:tcW w:type="dxa" w:w="1560"/>
          </w:tcPr>
          <w:p>
            <w:r>
              <w:t>95.8%</w:t>
            </w:r>
          </w:p>
        </w:tc>
        <w:tc>
          <w:tcPr>
            <w:tcW w:type="dxa" w:w="1560"/>
          </w:tcPr>
          <w:p>
            <w:r>
              <w:t>Strongly Supported</w:t>
            </w:r>
          </w:p>
        </w:tc>
      </w:tr>
      <w:tr>
        <w:tc>
          <w:tcPr>
            <w:tcW w:type="dxa" w:w="1560"/>
          </w:tcPr>
          <w:p>
            <w:r>
              <w:t>FM-002</w:t>
            </w:r>
          </w:p>
        </w:tc>
        <w:tc>
          <w:tcPr>
            <w:tcW w:type="dxa" w:w="1560"/>
          </w:tcPr>
          <w:p>
            <w:r>
              <w:t>Deontic Necessity Passive (divê bê + PastPart)</w:t>
            </w:r>
          </w:p>
        </w:tc>
        <w:tc>
          <w:tcPr>
            <w:tcW w:type="dxa" w:w="1560"/>
          </w:tcPr>
          <w:p>
            <w:r>
              <w:t>112/118</w:t>
            </w:r>
          </w:p>
        </w:tc>
        <w:tc>
          <w:tcPr>
            <w:tcW w:type="dxa" w:w="1560"/>
          </w:tcPr>
          <w:p>
            <w:r>
              <w:t>4</w:t>
            </w:r>
          </w:p>
        </w:tc>
        <w:tc>
          <w:tcPr>
            <w:tcW w:type="dxa" w:w="1560"/>
          </w:tcPr>
          <w:p>
            <w:r>
              <w:t>94.9%</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[KTT-ISS2-P1]</w:t>
            </w:r>
          </w:p>
        </w:tc>
        <w:tc>
          <w:tcPr>
            <w:tcW w:type="dxa" w:w="1560"/>
          </w:tcPr>
          <w:p>
            <w:r>
              <w:t>Modern passive 'were parastin'</w:t>
            </w:r>
          </w:p>
        </w:tc>
        <w:tc>
          <w:tcPr>
            <w:tcW w:type="dxa" w:w="1560"/>
          </w:tcPr>
          <w:p>
            <w:r>
              <w:t>Classical passive 'bê parastin'</w:t>
            </w:r>
          </w:p>
        </w:tc>
        <w:tc>
          <w:tcPr>
            <w:tcW w:type="dxa" w:w="1560"/>
          </w:tcPr>
          <w:p>
            <w:r>
              <w:t>Early 20th-century subjunctive passive formation</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'012_KURD_TEAVUN_TERAKKI_1908' (Early Constitutional Society Journal (Istanbul - 1908–1909))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'012_KURD_TEAVUN_TERAKKI_1908'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[KTT-ISS1-P1-S1]: « Armanca cemiyeta me pêşvebirina xwendin û hevkariya di navbera mirovan de ye. »</w:t>
      </w:r>
    </w:p>
    <w:p>
      <w:r>
        <w:t>• Locator [KTT-ISS8-P2-S2]: « Ziman bingeha her neteweyekî ye û divê bê parastin.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