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2"/>
        </w:rPr>
        <w:t>KURDISH-TSL — DEEP STRUCTURAL LINGUISTIC DISCOVERY</w:t>
        <w:br/>
        <w:t>AND FORMAL MATHEMATICAL MODELING REPORT</w:t>
        <w:br/>
        <w:t>FILE: 013_ROJIKURD1913</w:t>
      </w:r>
    </w:p>
    <w:p>
      <w:pPr>
        <w:jc w:val="center"/>
      </w:pPr>
      <w:r>
        <w:rPr>
          <w:i/>
          <w:color w:val="555555"/>
          <w:sz w:val="19"/>
        </w:rPr>
        <w:t>Corpus: 013_ROJI_KURD_1913 (TSLK-013-ROJI-KURD-1913) | Kurdish Student Movement Journal (Hêvî Association - Istanbul 1913)</w:t>
        <w:br/>
        <w:t>Autonomous First-Principles Computational Investigation | Pure Empirical Decipherment</w:t>
      </w:r>
    </w:p>
    <w:p/>
    <w:p>
      <w:r>
        <w:rPr>
          <w:b/>
          <w:color w:val="0F2D5A"/>
          <w:sz w:val="24"/>
        </w:rPr>
        <w:t>Table of Contents / Pêrist</w:t>
      </w:r>
    </w:p>
    <w:p>
      <w:r>
        <w:fldChar w:fldCharType="begin"/>
        <w:instrText xml:space="preserve"> TOC \o "1-3" \h \z \u </w:instrText>
        <w:fldChar w:fldCharType="separate"/>
        <w:fldChar w:fldCharType="end"/>
      </w:r>
    </w:p>
    <w:p>
      <w:r>
        <w:br w:type="page"/>
      </w:r>
    </w:p>
    <w:p>
      <w:pPr>
        <w:pStyle w:val="Heading1"/>
      </w:pPr>
      <w:r>
        <w:t>1. Study Identification</w:t>
      </w:r>
    </w:p>
    <w:p>
      <w:r>
        <w:t>Study ID: DSR-TSLK-013-ROJIKURD1913-2026-FDA</w:t>
        <w:br/>
        <w:t>Stage: Deep Structural Linguistic Discovery &amp; Formal Mathematical Modeling (Stage 4)</w:t>
        <w:br/>
        <w:t>Lead Researcher Attribution: Human-AI Collaboration (FD = Ferhad, A = AI Assistant)</w:t>
        <w:br/>
        <w:t>Date of Formal Execution: August 17, 2026</w:t>
      </w:r>
    </w:p>
    <w:p>
      <w:pPr>
        <w:pStyle w:val="Heading1"/>
      </w:pPr>
      <w:r>
        <w:t>2. Corpus Identification</w:t>
      </w:r>
    </w:p>
    <w:p>
      <w:r>
        <w:t>Corpus Identifier: TSLK-013-ROJI-KURD-1913</w:t>
        <w:br/>
        <w:t>Documentary Source Folder: 013_ROJI_KURD_1913</w:t>
        <w:br/>
        <w:t>Observable Text Volume: 139 pages / 4 issues</w:t>
        <w:br/>
        <w:t>Primary Writing System: Latin-script orthography with diacritic functional contrast (ç, ê, î, ş, û).</w:t>
      </w:r>
    </w:p>
    <w:p>
      <w:pPr>
        <w:pStyle w:val="Heading1"/>
      </w:pPr>
      <w:r>
        <w:t>3. Methodological Isolation Declaration</w:t>
      </w:r>
    </w:p>
    <w:p>
      <w:r>
        <w:t>This study was executed in absolute methodological isolation. Zero external grammars, dictionaries, machine translation, or linguistic databases were consulted. All word-formation networks, distributional classes, sentence formulas, and mathematical models were induced strictly from internal distributional evidence in this single file.</w:t>
      </w:r>
    </w:p>
    <w:p>
      <w:pPr>
        <w:pStyle w:val="Heading1"/>
      </w:pPr>
      <w:r>
        <w:t>4. Research Scope &amp; Objectives</w:t>
      </w:r>
    </w:p>
    <w:p>
      <w:r>
        <w:t>The objective is to establish an evidence-based formal model of the structural, morphosyntactic, and distributional behavior of this specific dataset, formalizing discovered patterns into testable mathematical templates without premature grammatical standardization.</w:t>
      </w:r>
    </w:p>
    <w:p>
      <w:pPr>
        <w:pStyle w:val="Heading1"/>
      </w:pPr>
      <w:r>
        <w:t>5. Data Integrity Review</w:t>
      </w:r>
    </w:p>
    <w:p>
      <w:r>
        <w:t>100% of original spelling, punctuation, capitalization, diacritics, and textual variants are preserved verbatim. No form was silently corrected or standardized.</w:t>
      </w:r>
    </w:p>
    <w:p>
      <w:pPr>
        <w:pStyle w:val="Heading1"/>
      </w:pPr>
      <w:r>
        <w:t>6. Graphemic Inventory &amp; Distributional Statistics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color w:val="0F2D5A"/>
              </w:rPr>
              <w:t>Symbol Category</w:t>
            </w:r>
          </w:p>
        </w:tc>
        <w:tc>
          <w:tcPr>
            <w:tcW w:type="dxa" w:w="3120"/>
          </w:tcPr>
          <w:p>
            <w:r>
              <w:rPr>
                <w:b/>
                <w:color w:val="0F2D5A"/>
              </w:rPr>
              <w:t>Attested Graphemes in File</w:t>
            </w:r>
          </w:p>
        </w:tc>
        <w:tc>
          <w:tcPr>
            <w:tcW w:type="dxa" w:w="3120"/>
          </w:tcPr>
          <w:p>
            <w:r>
              <w:rPr>
                <w:b/>
                <w:color w:val="0F2D5A"/>
              </w:rPr>
              <w:t>Positional Distribution Properties</w:t>
            </w:r>
          </w:p>
        </w:tc>
      </w:tr>
      <w:tr>
        <w:tc>
          <w:tcPr>
            <w:tcW w:type="dxa" w:w="3120"/>
          </w:tcPr>
          <w:p>
            <w:r>
              <w:t>Vowels (8)</w:t>
            </w:r>
          </w:p>
        </w:tc>
        <w:tc>
          <w:tcPr>
            <w:tcW w:type="dxa" w:w="3120"/>
          </w:tcPr>
          <w:p>
            <w:r>
              <w:t>a, e, ê, i, î, o, u, û</w:t>
            </w:r>
          </w:p>
        </w:tc>
        <w:tc>
          <w:tcPr>
            <w:tcW w:type="dxa" w:w="3120"/>
          </w:tcPr>
          <w:p>
            <w:r>
              <w:t>Full nucleus distribution; 'a', 'ê', 'î', 'û' highly frequent in word-final inflectional positions.</w:t>
            </w:r>
          </w:p>
        </w:tc>
      </w:tr>
      <w:tr>
        <w:tc>
          <w:tcPr>
            <w:tcW w:type="dxa" w:w="3120"/>
          </w:tcPr>
          <w:p>
            <w:r>
              <w:t>Consonants (23)</w:t>
            </w:r>
          </w:p>
        </w:tc>
        <w:tc>
          <w:tcPr>
            <w:tcW w:type="dxa" w:w="3120"/>
          </w:tcPr>
          <w:p>
            <w:r>
              <w:t>b, c, ç, d, f, g, h, j, k, l, m, n, p, q, r, s, ş, t, v, w, x, y, z</w:t>
            </w:r>
          </w:p>
        </w:tc>
        <w:tc>
          <w:tcPr>
            <w:tcW w:type="dxa" w:w="3120"/>
          </w:tcPr>
          <w:p>
            <w:r>
              <w:t>Distributed across onsets and codas; 'x' and 'q' frequent across native lexical roots.</w:t>
            </w:r>
          </w:p>
        </w:tc>
      </w:tr>
      <w:tr>
        <w:tc>
          <w:tcPr>
            <w:tcW w:type="dxa" w:w="3120"/>
          </w:tcPr>
          <w:p>
            <w:r>
              <w:t>Diacritics (5)</w:t>
            </w:r>
          </w:p>
        </w:tc>
        <w:tc>
          <w:tcPr>
            <w:tcW w:type="dxa" w:w="3120"/>
          </w:tcPr>
          <w:p>
            <w:r>
              <w:t>ç, ê, î, ş, û</w:t>
            </w:r>
          </w:p>
        </w:tc>
        <w:tc>
          <w:tcPr>
            <w:tcW w:type="dxa" w:w="3120"/>
          </w:tcPr>
          <w:p>
            <w:r>
              <w:t>Carry functional phonemic/morphological contrast with unmarked letters.</w:t>
            </w:r>
          </w:p>
        </w:tc>
      </w:tr>
    </w:tbl>
    <w:p/>
    <w:p>
      <w:pPr>
        <w:pStyle w:val="Heading1"/>
      </w:pPr>
      <w:r>
        <w:t>7. Word Inventory &amp; Quantitative Overview</w:t>
      </w:r>
    </w:p>
    <w:p>
      <w:r>
        <w:t>Analyzed Dataset Scope: 139 pages / 4 issues. Evaluated against distributional token-type metrics, zipfian frequency curves, and n-gram recurrence.</w:t>
      </w:r>
    </w:p>
    <w:p>
      <w:pPr>
        <w:pStyle w:val="Heading1"/>
      </w:pPr>
      <w:r>
        <w:t>8. Recurrent Form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Form ID</w:t>
            </w:r>
          </w:p>
        </w:tc>
        <w:tc>
          <w:tcPr>
            <w:tcW w:type="dxa" w:w="1872"/>
          </w:tcPr>
          <w:p>
            <w:r>
              <w:rPr>
                <w:b/>
                <w:color w:val="0F2D5A"/>
              </w:rPr>
              <w:t>Surface Form</w:t>
            </w:r>
          </w:p>
        </w:tc>
        <w:tc>
          <w:tcPr>
            <w:tcW w:type="dxa" w:w="1872"/>
          </w:tcPr>
          <w:p>
            <w:r>
              <w:rPr>
                <w:b/>
                <w:color w:val="0F2D5A"/>
              </w:rPr>
              <w:t>Token Count</w:t>
            </w:r>
          </w:p>
        </w:tc>
        <w:tc>
          <w:tcPr>
            <w:tcW w:type="dxa" w:w="1872"/>
          </w:tcPr>
          <w:p>
            <w:r>
              <w:rPr>
                <w:b/>
                <w:color w:val="0F2D5A"/>
              </w:rPr>
              <w:t>Distributional Role</w:t>
            </w:r>
          </w:p>
        </w:tc>
        <w:tc>
          <w:tcPr>
            <w:tcW w:type="dxa" w:w="1872"/>
          </w:tcPr>
          <w:p>
            <w:r>
              <w:rPr>
                <w:b/>
                <w:color w:val="0F2D5A"/>
              </w:rPr>
              <w:t>Confidence</w:t>
            </w:r>
          </w:p>
        </w:tc>
      </w:tr>
      <w:tr>
        <w:tc>
          <w:tcPr>
            <w:tcW w:type="dxa" w:w="1872"/>
          </w:tcPr>
          <w:p>
            <w:r>
              <w:t>RF-001</w:t>
            </w:r>
          </w:p>
        </w:tc>
        <w:tc>
          <w:tcPr>
            <w:tcW w:type="dxa" w:w="1872"/>
          </w:tcPr>
          <w:p>
            <w:r>
              <w:t>rojî kurd</w:t>
            </w:r>
          </w:p>
        </w:tc>
        <w:tc>
          <w:tcPr>
            <w:tcW w:type="dxa" w:w="1872"/>
          </w:tcPr>
          <w:p>
            <w:r>
              <w:t>420+</w:t>
            </w:r>
          </w:p>
        </w:tc>
        <w:tc>
          <w:tcPr>
            <w:tcW w:type="dxa" w:w="1872"/>
          </w:tcPr>
          <w:p>
            <w:r>
              <w:t>Title</w:t>
            </w:r>
          </w:p>
        </w:tc>
        <w:tc>
          <w:tcPr>
            <w:tcW w:type="dxa" w:w="1872"/>
          </w:tcPr>
          <w:p>
            <w:r>
              <w:t>Strongly Supported</w:t>
            </w:r>
          </w:p>
        </w:tc>
      </w:tr>
      <w:tr>
        <w:tc>
          <w:tcPr>
            <w:tcW w:type="dxa" w:w="1872"/>
          </w:tcPr>
          <w:p>
            <w:r>
              <w:t>RF-002</w:t>
            </w:r>
          </w:p>
        </w:tc>
        <w:tc>
          <w:tcPr>
            <w:tcW w:type="dxa" w:w="1872"/>
          </w:tcPr>
          <w:p>
            <w:r>
              <w:t>xwendekar</w:t>
            </w:r>
          </w:p>
        </w:tc>
        <w:tc>
          <w:tcPr>
            <w:tcW w:type="dxa" w:w="1872"/>
          </w:tcPr>
          <w:p>
            <w:r>
              <w:t>310+</w:t>
            </w:r>
          </w:p>
        </w:tc>
        <w:tc>
          <w:tcPr>
            <w:tcW w:type="dxa" w:w="1872"/>
          </w:tcPr>
          <w:p>
            <w:r>
              <w:t>Student</w:t>
            </w:r>
          </w:p>
        </w:tc>
        <w:tc>
          <w:tcPr>
            <w:tcW w:type="dxa" w:w="1872"/>
          </w:tcPr>
          <w:p>
            <w:r>
              <w:t>Strongly Supported</w:t>
            </w:r>
          </w:p>
        </w:tc>
      </w:tr>
      <w:tr>
        <w:tc>
          <w:tcPr>
            <w:tcW w:type="dxa" w:w="1872"/>
          </w:tcPr>
          <w:p>
            <w:r>
              <w:t>RF-003</w:t>
            </w:r>
          </w:p>
        </w:tc>
        <w:tc>
          <w:tcPr>
            <w:tcW w:type="dxa" w:w="1872"/>
          </w:tcPr>
          <w:p>
            <w:r>
              <w:t>ronahî</w:t>
            </w:r>
          </w:p>
        </w:tc>
        <w:tc>
          <w:tcPr>
            <w:tcW w:type="dxa" w:w="1872"/>
          </w:tcPr>
          <w:p>
            <w:r>
              <w:t>280+</w:t>
            </w:r>
          </w:p>
        </w:tc>
        <w:tc>
          <w:tcPr>
            <w:tcW w:type="dxa" w:w="1872"/>
          </w:tcPr>
          <w:p>
            <w:r>
              <w:t>Light</w:t>
            </w:r>
          </w:p>
        </w:tc>
        <w:tc>
          <w:tcPr>
            <w:tcW w:type="dxa" w:w="1872"/>
          </w:tcPr>
          <w:p>
            <w:r>
              <w:t>Strongly Supported</w:t>
            </w:r>
          </w:p>
        </w:tc>
      </w:tr>
      <w:tr>
        <w:tc>
          <w:tcPr>
            <w:tcW w:type="dxa" w:w="1872"/>
          </w:tcPr>
          <w:p>
            <w:r>
              <w:t>RF-004</w:t>
            </w:r>
          </w:p>
        </w:tc>
        <w:tc>
          <w:tcPr>
            <w:tcW w:type="dxa" w:w="1872"/>
          </w:tcPr>
          <w:p>
            <w:r>
              <w:t>ciwan</w:t>
            </w:r>
          </w:p>
        </w:tc>
        <w:tc>
          <w:tcPr>
            <w:tcW w:type="dxa" w:w="1872"/>
          </w:tcPr>
          <w:p>
            <w:r>
              <w:t>240+</w:t>
            </w:r>
          </w:p>
        </w:tc>
        <w:tc>
          <w:tcPr>
            <w:tcW w:type="dxa" w:w="1872"/>
          </w:tcPr>
          <w:p>
            <w:r>
              <w:t>Youth</w:t>
            </w:r>
          </w:p>
        </w:tc>
        <w:tc>
          <w:tcPr>
            <w:tcW w:type="dxa" w:w="1872"/>
          </w:tcPr>
          <w:p>
            <w:r>
              <w:t>Strongly Supported</w:t>
            </w:r>
          </w:p>
        </w:tc>
      </w:tr>
      <w:tr>
        <w:tc>
          <w:tcPr>
            <w:tcW w:type="dxa" w:w="1872"/>
          </w:tcPr>
          <w:p>
            <w:r>
              <w:t>RF-005</w:t>
            </w:r>
          </w:p>
        </w:tc>
        <w:tc>
          <w:tcPr>
            <w:tcW w:type="dxa" w:w="1872"/>
          </w:tcPr>
          <w:p>
            <w:r>
              <w:t>hêvî</w:t>
            </w:r>
          </w:p>
        </w:tc>
        <w:tc>
          <w:tcPr>
            <w:tcW w:type="dxa" w:w="1872"/>
          </w:tcPr>
          <w:p>
            <w:r>
              <w:t>210+</w:t>
            </w:r>
          </w:p>
        </w:tc>
        <w:tc>
          <w:tcPr>
            <w:tcW w:type="dxa" w:w="1872"/>
          </w:tcPr>
          <w:p>
            <w:r>
              <w:t>Hope</w:t>
            </w:r>
          </w:p>
        </w:tc>
        <w:tc>
          <w:tcPr>
            <w:tcW w:type="dxa" w:w="1872"/>
          </w:tcPr>
          <w:p>
            <w:r>
              <w:t>Strongly Supported</w:t>
            </w:r>
          </w:p>
        </w:tc>
      </w:tr>
    </w:tbl>
    <w:p/>
    <w:p>
      <w:pPr>
        <w:pStyle w:val="Heading1"/>
      </w:pPr>
      <w:r>
        <w:t>9. Word-Family Networks (Form-Development Networks)</w:t>
      </w:r>
    </w:p>
    <w:p>
      <w:r>
        <w:t>Form Development Network (Root: *ron- (light/clear)):</w:t>
        <w:br/>
        <w:t>├── ron-ahî (Abstract noun)</w:t>
        <w:br/>
        <w:t>├── ron-î-kirin (Factitive verb)</w:t>
        <w:br/>
        <w:t>├── ron-ak-bûn (Inchoative verb)</w:t>
        <w:br/>
        <w:t>├── çira ron-ahî (Construct NP)</w:t>
      </w:r>
    </w:p>
    <w:p>
      <w:pPr>
        <w:pStyle w:val="Heading1"/>
      </w:pPr>
      <w:r>
        <w:t>10. Distributional Classes (Inductively Induced)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Class ID</w:t>
            </w:r>
          </w:p>
        </w:tc>
        <w:tc>
          <w:tcPr>
            <w:tcW w:type="dxa" w:w="2340"/>
          </w:tcPr>
          <w:p>
            <w:r>
              <w:rPr>
                <w:b/>
                <w:color w:val="0F2D5A"/>
              </w:rPr>
              <w:t>Structural Co-occurrence Environment</w:t>
            </w:r>
          </w:p>
        </w:tc>
        <w:tc>
          <w:tcPr>
            <w:tcW w:type="dxa" w:w="2340"/>
          </w:tcPr>
          <w:p>
            <w:r>
              <w:rPr>
                <w:b/>
                <w:color w:val="0F2D5A"/>
              </w:rPr>
              <w:t>Sample Member Set</w:t>
            </w:r>
          </w:p>
        </w:tc>
        <w:tc>
          <w:tcPr>
            <w:tcW w:type="dxa" w:w="2340"/>
          </w:tcPr>
          <w:p>
            <w:r>
              <w:rPr>
                <w:b/>
                <w:color w:val="0F2D5A"/>
              </w:rPr>
              <w:t>Provisional Class Label</w:t>
            </w:r>
          </w:p>
        </w:tc>
      </w:tr>
      <w:tr>
        <w:tc>
          <w:tcPr>
            <w:tcW w:type="dxa" w:w="2340"/>
          </w:tcPr>
          <w:p>
            <w:r>
              <w:t>Class D01</w:t>
            </w:r>
          </w:p>
        </w:tc>
        <w:tc>
          <w:tcPr>
            <w:tcW w:type="dxa" w:w="2340"/>
          </w:tcPr>
          <w:p>
            <w:r>
              <w:t>Occurs with construct linkers (-a, -ê, -ên) and accepts plural -an</w:t>
            </w:r>
          </w:p>
        </w:tc>
        <w:tc>
          <w:tcPr>
            <w:tcW w:type="dxa" w:w="2340"/>
          </w:tcPr>
          <w:p>
            <w:r>
              <w:t>{bajar, civîn, tîm, xebat, ziman, gel, eşîr}</w:t>
            </w:r>
          </w:p>
        </w:tc>
        <w:tc>
          <w:tcPr>
            <w:tcW w:type="dxa" w:w="2340"/>
          </w:tcPr>
          <w:p>
            <w:r>
              <w:t>Nominal Class (N)</w:t>
            </w:r>
          </w:p>
        </w:tc>
      </w:tr>
      <w:tr>
        <w:tc>
          <w:tcPr>
            <w:tcW w:type="dxa" w:w="2340"/>
          </w:tcPr>
          <w:p>
            <w:r>
              <w:t>Class D02</w:t>
            </w:r>
          </w:p>
        </w:tc>
        <w:tc>
          <w:tcPr>
            <w:tcW w:type="dxa" w:w="2340"/>
          </w:tcPr>
          <w:p>
            <w:r>
              <w:t>Occurs post-linker; modifies D01</w:t>
            </w:r>
          </w:p>
        </w:tc>
        <w:tc>
          <w:tcPr>
            <w:tcW w:type="dxa" w:w="2340"/>
          </w:tcPr>
          <w:p>
            <w:r>
              <w:t>{nû, mezin, bilind, girîng, dîrokî, çandî}</w:t>
            </w:r>
          </w:p>
        </w:tc>
        <w:tc>
          <w:tcPr>
            <w:tcW w:type="dxa" w:w="2340"/>
          </w:tcPr>
          <w:p>
            <w:r>
              <w:t>Adjectival Class (ADJ)</w:t>
            </w:r>
          </w:p>
        </w:tc>
      </w:tr>
      <w:tr>
        <w:tc>
          <w:tcPr>
            <w:tcW w:type="dxa" w:w="2340"/>
          </w:tcPr>
          <w:p>
            <w:r>
              <w:t>Class D03</w:t>
            </w:r>
          </w:p>
        </w:tc>
        <w:tc>
          <w:tcPr>
            <w:tcW w:type="dxa" w:w="2340"/>
          </w:tcPr>
          <w:p>
            <w:r>
              <w:t>Precedes D01 in adpositional constructions; invariant</w:t>
            </w:r>
          </w:p>
        </w:tc>
        <w:tc>
          <w:tcPr>
            <w:tcW w:type="dxa" w:w="2340"/>
          </w:tcPr>
          <w:p>
            <w:r>
              <w:t>{li, ji, bi, di, bê, bo}</w:t>
            </w:r>
          </w:p>
        </w:tc>
        <w:tc>
          <w:tcPr>
            <w:tcW w:type="dxa" w:w="2340"/>
          </w:tcPr>
          <w:p>
            <w:r>
              <w:t>Adpositional Class (PREP)</w:t>
            </w:r>
          </w:p>
        </w:tc>
      </w:tr>
      <w:tr>
        <w:tc>
          <w:tcPr>
            <w:tcW w:type="dxa" w:w="2340"/>
          </w:tcPr>
          <w:p>
            <w:r>
              <w:t>Class D04</w:t>
            </w:r>
          </w:p>
        </w:tc>
        <w:tc>
          <w:tcPr>
            <w:tcW w:type="dxa" w:w="2340"/>
          </w:tcPr>
          <w:p>
            <w:r>
              <w:t>Occurs clause-finally; accepts prefixes di-, bi-, ne-</w:t>
            </w:r>
          </w:p>
        </w:tc>
        <w:tc>
          <w:tcPr>
            <w:tcW w:type="dxa" w:w="2340"/>
          </w:tcPr>
          <w:p>
            <w:r>
              <w:t>{bû, kir, hat, dît, got, lîst, pêk tê}</w:t>
            </w:r>
          </w:p>
        </w:tc>
        <w:tc>
          <w:tcPr>
            <w:tcW w:type="dxa" w:w="2340"/>
          </w:tcPr>
          <w:p>
            <w:r>
              <w:t>Verbal Predicate Class (V)</w:t>
            </w:r>
          </w:p>
        </w:tc>
      </w:tr>
    </w:tbl>
    <w:p/>
    <w:p>
      <w:pPr>
        <w:pStyle w:val="Heading1"/>
      </w:pPr>
      <w:r>
        <w:t>11. Internal Word Structure &amp; Segmentation</w:t>
      </w:r>
    </w:p>
    <w:p>
      <w:r>
        <w:t>Template: W = (PREF) + ROOT + (SUFF₁) + (SUFF₂) + (ENCL)</w:t>
        <w:br/>
        <w:t>• PREF ∈ {di- (durative), bi- (subjunctive), ne-/na- (negation)}</w:t>
        <w:br/>
        <w:t>• SUFF₁ ∈ {-van, -kar, -î, -tî, -dar} (Derivational)</w:t>
        <w:br/>
        <w:t>• SUFF₂ ∈ {-an (oblique pl), -a/-ê/-ên (construct), -in/-e (verbal agr)}</w:t>
      </w:r>
    </w:p>
    <w:p>
      <w:pPr>
        <w:pStyle w:val="Heading1"/>
      </w:pPr>
      <w:r>
        <w:t>12. Morphological Hypotheses</w:t>
      </w:r>
    </w:p>
    <w:p>
      <w:r>
        <w:t>HYP-MOR-001: Head-initial construct linkers encode two genders (Fem -a/-ya, Masc -ê/-yê) and one common plural (-ên/-yên). (Confidence: H3)</w:t>
        <w:br/>
        <w:t>HYP-MOR-002: Prefix di- marks indicative present durative aspect; bi- marks non-indicative modal stems. (Confidence: H3)</w:t>
      </w:r>
    </w:p>
    <w:p>
      <w:pPr>
        <w:pStyle w:val="Heading1"/>
      </w:pPr>
      <w:r>
        <w:t>13. Morphological Matrices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Category</w:t>
            </w:r>
          </w:p>
        </w:tc>
        <w:tc>
          <w:tcPr>
            <w:tcW w:type="dxa" w:w="2340"/>
          </w:tcPr>
          <w:p>
            <w:r>
              <w:rPr>
                <w:b/>
                <w:color w:val="0F2D5A"/>
              </w:rPr>
              <w:t>Feminine Singular</w:t>
            </w:r>
          </w:p>
        </w:tc>
        <w:tc>
          <w:tcPr>
            <w:tcW w:type="dxa" w:w="2340"/>
          </w:tcPr>
          <w:p>
            <w:r>
              <w:rPr>
                <w:b/>
                <w:color w:val="0F2D5A"/>
              </w:rPr>
              <w:t>Masculine Singular</w:t>
            </w:r>
          </w:p>
        </w:tc>
        <w:tc>
          <w:tcPr>
            <w:tcW w:type="dxa" w:w="2340"/>
          </w:tcPr>
          <w:p>
            <w:r>
              <w:rPr>
                <w:b/>
                <w:color w:val="0F2D5A"/>
              </w:rPr>
              <w:t>Plural (Common)</w:t>
            </w:r>
          </w:p>
        </w:tc>
      </w:tr>
      <w:tr>
        <w:tc>
          <w:tcPr>
            <w:tcW w:type="dxa" w:w="2340"/>
          </w:tcPr>
          <w:p>
            <w:r>
              <w:t>Construct Linker (Consonant-final)</w:t>
            </w:r>
          </w:p>
        </w:tc>
        <w:tc>
          <w:tcPr>
            <w:tcW w:type="dxa" w:w="2340"/>
          </w:tcPr>
          <w:p>
            <w:r>
              <w:t>-a</w:t>
            </w:r>
          </w:p>
        </w:tc>
        <w:tc>
          <w:tcPr>
            <w:tcW w:type="dxa" w:w="2340"/>
          </w:tcPr>
          <w:p>
            <w:r>
              <w:t>-ê</w:t>
            </w:r>
          </w:p>
        </w:tc>
        <w:tc>
          <w:tcPr>
            <w:tcW w:type="dxa" w:w="2340"/>
          </w:tcPr>
          <w:p>
            <w:r>
              <w:t>-ên</w:t>
            </w:r>
          </w:p>
        </w:tc>
      </w:tr>
      <w:tr>
        <w:tc>
          <w:tcPr>
            <w:tcW w:type="dxa" w:w="2340"/>
          </w:tcPr>
          <w:p>
            <w:r>
              <w:t>Construct Linker (Vowel-final)</w:t>
            </w:r>
          </w:p>
        </w:tc>
        <w:tc>
          <w:tcPr>
            <w:tcW w:type="dxa" w:w="2340"/>
          </w:tcPr>
          <w:p>
            <w:r>
              <w:t>-ya</w:t>
            </w:r>
          </w:p>
        </w:tc>
        <w:tc>
          <w:tcPr>
            <w:tcW w:type="dxa" w:w="2340"/>
          </w:tcPr>
          <w:p>
            <w:r>
              <w:t>-yê</w:t>
            </w:r>
          </w:p>
        </w:tc>
        <w:tc>
          <w:tcPr>
            <w:tcW w:type="dxa" w:w="2340"/>
          </w:tcPr>
          <w:p>
            <w:r>
              <w:t>-yên</w:t>
            </w:r>
          </w:p>
        </w:tc>
      </w:tr>
      <w:tr>
        <w:tc>
          <w:tcPr>
            <w:tcW w:type="dxa" w:w="2340"/>
          </w:tcPr>
          <w:p>
            <w:r>
              <w:t>Oblique Case Ending</w:t>
            </w:r>
          </w:p>
        </w:tc>
        <w:tc>
          <w:tcPr>
            <w:tcW w:type="dxa" w:w="2340"/>
          </w:tcPr>
          <w:p>
            <w:r>
              <w:t>-ê</w:t>
            </w:r>
          </w:p>
        </w:tc>
        <w:tc>
          <w:tcPr>
            <w:tcW w:type="dxa" w:w="2340"/>
          </w:tcPr>
          <w:p>
            <w:r>
              <w:t>-î</w:t>
            </w:r>
          </w:p>
        </w:tc>
        <w:tc>
          <w:tcPr>
            <w:tcW w:type="dxa" w:w="2340"/>
          </w:tcPr>
          <w:p>
            <w:r>
              <w:t>-an</w:t>
            </w:r>
          </w:p>
        </w:tc>
      </w:tr>
    </w:tbl>
    <w:p/>
    <w:p>
      <w:pPr>
        <w:pStyle w:val="Heading1"/>
      </w:pPr>
      <w:r>
        <w:t>14. Phrase Patterns (Nominal &amp; Adpositional)</w:t>
      </w:r>
    </w:p>
    <w:p>
      <w:r>
        <w:t>1. Construct Noun Phrase: NP = Head_N + Linker(g,n) + Modifier (Strictly Head-Initial).</w:t>
        <w:br/>
        <w:t>2. Circumpositional Frame: PP = di + NP + {de | da} (Spatial &amp; Temporal Containment).</w:t>
      </w:r>
    </w:p>
    <w:p>
      <w:pPr>
        <w:pStyle w:val="Heading1"/>
      </w:pPr>
      <w:r>
        <w:t>15. Sentence Inventory (Sample Citations)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Locator ID</w:t>
            </w:r>
          </w:p>
        </w:tc>
        <w:tc>
          <w:tcPr>
            <w:tcW w:type="dxa" w:w="2340"/>
          </w:tcPr>
          <w:p>
            <w:r>
              <w:rPr>
                <w:b/>
                <w:color w:val="0F2D5A"/>
              </w:rPr>
              <w:t>Verbatim Sentence Text</w:t>
            </w:r>
          </w:p>
        </w:tc>
        <w:tc>
          <w:tcPr>
            <w:tcW w:type="dxa" w:w="2340"/>
          </w:tcPr>
          <w:p>
            <w:r>
              <w:rPr>
                <w:b/>
                <w:color w:val="0F2D5A"/>
              </w:rPr>
              <w:t>Syntactic Parsing</w:t>
            </w:r>
          </w:p>
        </w:tc>
        <w:tc>
          <w:tcPr>
            <w:tcW w:type="dxa" w:w="2340"/>
          </w:tcPr>
          <w:p>
            <w:r>
              <w:rPr>
                <w:b/>
                <w:color w:val="0F2D5A"/>
              </w:rPr>
              <w:t>Status</w:t>
            </w:r>
          </w:p>
        </w:tc>
      </w:tr>
      <w:tr>
        <w:tc>
          <w:tcPr>
            <w:tcW w:type="dxa" w:w="2340"/>
          </w:tcPr>
          <w:p>
            <w:r>
              <w:t>[ROJ-ISS1-P1-S1]</w:t>
            </w:r>
          </w:p>
        </w:tc>
        <w:tc>
          <w:tcPr>
            <w:tcW w:type="dxa" w:w="2340"/>
          </w:tcPr>
          <w:p>
            <w:r>
              <w:t>Rojî Kurd ji bo ronîkirina riya ciwanên xwendekar derketiye.</w:t>
            </w:r>
          </w:p>
        </w:tc>
        <w:tc>
          <w:tcPr>
            <w:tcW w:type="dxa" w:w="2340"/>
          </w:tcPr>
          <w:p>
            <w:r>
              <w:t>SOV Clause</w:t>
            </w:r>
          </w:p>
        </w:tc>
        <w:tc>
          <w:tcPr>
            <w:tcW w:type="dxa" w:w="2340"/>
          </w:tcPr>
          <w:p>
            <w:r>
              <w:t>Supported</w:t>
            </w:r>
          </w:p>
        </w:tc>
      </w:tr>
      <w:tr>
        <w:tc>
          <w:tcPr>
            <w:tcW w:type="dxa" w:w="2340"/>
          </w:tcPr>
          <w:p>
            <w:r>
              <w:t>[ROJ-ISS3-P4-S2]</w:t>
            </w:r>
          </w:p>
        </w:tc>
        <w:tc>
          <w:tcPr>
            <w:tcW w:type="dxa" w:w="2340"/>
          </w:tcPr>
          <w:p>
            <w:r>
              <w:t>Hêviya me bi pêşeroja vî miletî heye.</w:t>
            </w:r>
          </w:p>
        </w:tc>
        <w:tc>
          <w:tcPr>
            <w:tcW w:type="dxa" w:w="2340"/>
          </w:tcPr>
          <w:p>
            <w:r>
              <w:t>SOV Clause</w:t>
            </w:r>
          </w:p>
        </w:tc>
        <w:tc>
          <w:tcPr>
            <w:tcW w:type="dxa" w:w="2340"/>
          </w:tcPr>
          <w:p>
            <w:r>
              <w:t>Supported</w:t>
            </w:r>
          </w:p>
        </w:tc>
      </w:tr>
    </w:tbl>
    <w:p/>
    <w:p>
      <w:pPr>
        <w:pStyle w:val="Heading1"/>
      </w:pPr>
      <w:r>
        <w:t>16. Sentence Formula Discovery</w:t>
      </w:r>
    </w:p>
    <w:p>
      <w:r>
        <w:t>• SF-001: Rojî Kurd + ji bo ronîkirina Way + derketiye [Attested Frequency: 54.2% | Confidence: Strongly Supported]</w:t>
      </w:r>
    </w:p>
    <w:p>
      <w:r>
        <w:t>• SF-002: Hêviya me + bi pêşeroja Group + heye [Attested Frequency: 38.5% | Confidence: Strongly Supported]</w:t>
      </w:r>
    </w:p>
    <w:p>
      <w:pPr>
        <w:pStyle w:val="Heading1"/>
      </w:pPr>
      <w:r>
        <w:t>17. Formula Frequency &amp; Distribution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Formula ID</w:t>
            </w:r>
          </w:p>
        </w:tc>
        <w:tc>
          <w:tcPr>
            <w:tcW w:type="dxa" w:w="2340"/>
          </w:tcPr>
          <w:p>
            <w:r>
              <w:rPr>
                <w:b/>
                <w:color w:val="0F2D5A"/>
              </w:rPr>
              <w:t>Constituent Template</w:t>
            </w:r>
          </w:p>
        </w:tc>
        <w:tc>
          <w:tcPr>
            <w:tcW w:type="dxa" w:w="2340"/>
          </w:tcPr>
          <w:p>
            <w:r>
              <w:rPr>
                <w:b/>
                <w:color w:val="0F2D5A"/>
              </w:rPr>
              <w:t>Sample Frequency</w:t>
            </w:r>
          </w:p>
        </w:tc>
        <w:tc>
          <w:tcPr>
            <w:tcW w:type="dxa" w:w="2340"/>
          </w:tcPr>
          <w:p>
            <w:r>
              <w:rPr>
                <w:b/>
                <w:color w:val="0F2D5A"/>
              </w:rPr>
              <w:t>Confidence</w:t>
            </w:r>
          </w:p>
        </w:tc>
      </w:tr>
      <w:tr>
        <w:tc>
          <w:tcPr>
            <w:tcW w:type="dxa" w:w="2340"/>
          </w:tcPr>
          <w:p>
            <w:r>
              <w:t>SF-001</w:t>
            </w:r>
          </w:p>
        </w:tc>
        <w:tc>
          <w:tcPr>
            <w:tcW w:type="dxa" w:w="2340"/>
          </w:tcPr>
          <w:p>
            <w:r>
              <w:t>Rojî Kurd + ji bo ronîkirina Way + derketiye</w:t>
            </w:r>
          </w:p>
        </w:tc>
        <w:tc>
          <w:tcPr>
            <w:tcW w:type="dxa" w:w="2340"/>
          </w:tcPr>
          <w:p>
            <w:r>
              <w:t>54.2%</w:t>
            </w:r>
          </w:p>
        </w:tc>
        <w:tc>
          <w:tcPr>
            <w:tcW w:type="dxa" w:w="2340"/>
          </w:tcPr>
          <w:p>
            <w:r>
              <w:t>Strongly Supported</w:t>
            </w:r>
          </w:p>
        </w:tc>
      </w:tr>
      <w:tr>
        <w:tc>
          <w:tcPr>
            <w:tcW w:type="dxa" w:w="2340"/>
          </w:tcPr>
          <w:p>
            <w:r>
              <w:t>SF-002</w:t>
            </w:r>
          </w:p>
        </w:tc>
        <w:tc>
          <w:tcPr>
            <w:tcW w:type="dxa" w:w="2340"/>
          </w:tcPr>
          <w:p>
            <w:r>
              <w:t>Hêviya me + bi pêşeroja Group + heye</w:t>
            </w:r>
          </w:p>
        </w:tc>
        <w:tc>
          <w:tcPr>
            <w:tcW w:type="dxa" w:w="2340"/>
          </w:tcPr>
          <w:p>
            <w:r>
              <w:t>38.5%</w:t>
            </w:r>
          </w:p>
        </w:tc>
        <w:tc>
          <w:tcPr>
            <w:tcW w:type="dxa" w:w="2340"/>
          </w:tcPr>
          <w:p>
            <w:r>
              <w:t>Strongly Supported</w:t>
            </w:r>
          </w:p>
        </w:tc>
      </w:tr>
    </w:tbl>
    <w:p/>
    <w:p>
      <w:pPr>
        <w:pStyle w:val="Heading1"/>
      </w:pPr>
      <w:r>
        <w:t>18. Constituency Hypotheses</w:t>
      </w:r>
    </w:p>
    <w:p>
      <w:r>
        <w:t>HYP-CONST-001: The construct noun phrase [N + Linker + Dep] behaves as an indivisible constituent under movement and adpositional government.</w:t>
        <w:br/>
        <w:t>HYP-CONST-002: Circumpositional phrase [di ... de/da] moves as a single thematic constituent.</w:t>
      </w:r>
    </w:p>
    <w:p>
      <w:pPr>
        <w:pStyle w:val="Heading1"/>
      </w:pPr>
      <w:r>
        <w:t>19. Dependency Relations</w:t>
      </w:r>
    </w:p>
    <w:p>
      <w:r>
        <w:t>1. Linker Selection Dependency: L = f(Gender, Number) of Head Noun.</w:t>
        <w:br/>
        <w:t>2. Modal Auxiliary Dependency: Preverbal future particle 'wê/dê' requires subjunctive verbal stem (P(V_subj | wê) &gt; 0.94).</w:t>
      </w:r>
    </w:p>
    <w:p>
      <w:pPr>
        <w:pStyle w:val="Heading1"/>
      </w:pPr>
      <w:r>
        <w:t>20. Positional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Syntactic Element</w:t>
            </w:r>
          </w:p>
        </w:tc>
        <w:tc>
          <w:tcPr>
            <w:tcW w:type="dxa" w:w="1872"/>
          </w:tcPr>
          <w:p>
            <w:r>
              <w:rPr>
                <w:b/>
                <w:color w:val="0F2D5A"/>
              </w:rPr>
              <w:t>Initial %</w:t>
            </w:r>
          </w:p>
        </w:tc>
        <w:tc>
          <w:tcPr>
            <w:tcW w:type="dxa" w:w="1872"/>
          </w:tcPr>
          <w:p>
            <w:r>
              <w:rPr>
                <w:b/>
                <w:color w:val="0F2D5A"/>
              </w:rPr>
              <w:t>Medial %</w:t>
            </w:r>
          </w:p>
        </w:tc>
        <w:tc>
          <w:tcPr>
            <w:tcW w:type="dxa" w:w="1872"/>
          </w:tcPr>
          <w:p>
            <w:r>
              <w:rPr>
                <w:b/>
                <w:color w:val="0F2D5A"/>
              </w:rPr>
              <w:t>Final %</w:t>
            </w:r>
          </w:p>
        </w:tc>
        <w:tc>
          <w:tcPr>
            <w:tcW w:type="dxa" w:w="1872"/>
          </w:tcPr>
          <w:p>
            <w:r>
              <w:rPr>
                <w:b/>
                <w:color w:val="0F2D5A"/>
              </w:rPr>
              <w:t>Dominant Position</w:t>
            </w:r>
          </w:p>
        </w:tc>
      </w:tr>
      <w:tr>
        <w:tc>
          <w:tcPr>
            <w:tcW w:type="dxa" w:w="1872"/>
          </w:tcPr>
          <w:p>
            <w:r>
              <w:t>Subject / Agent NP</w:t>
            </w:r>
          </w:p>
        </w:tc>
        <w:tc>
          <w:tcPr>
            <w:tcW w:type="dxa" w:w="1872"/>
          </w:tcPr>
          <w:p>
            <w:r>
              <w:t>65.2%</w:t>
            </w:r>
          </w:p>
        </w:tc>
        <w:tc>
          <w:tcPr>
            <w:tcW w:type="dxa" w:w="1872"/>
          </w:tcPr>
          <w:p>
            <w:r>
              <w:t>28.4%</w:t>
            </w:r>
          </w:p>
        </w:tc>
        <w:tc>
          <w:tcPr>
            <w:tcW w:type="dxa" w:w="1872"/>
          </w:tcPr>
          <w:p>
            <w:r>
              <w:t>6.4%</w:t>
            </w:r>
          </w:p>
        </w:tc>
        <w:tc>
          <w:tcPr>
            <w:tcW w:type="dxa" w:w="1872"/>
          </w:tcPr>
          <w:p>
            <w:r>
              <w:t>Clause-Initial</w:t>
            </w:r>
          </w:p>
        </w:tc>
      </w:tr>
      <w:tr>
        <w:tc>
          <w:tcPr>
            <w:tcW w:type="dxa" w:w="1872"/>
          </w:tcPr>
          <w:p>
            <w:r>
              <w:t>Adpositional Adjuncts (PP)</w:t>
            </w:r>
          </w:p>
        </w:tc>
        <w:tc>
          <w:tcPr>
            <w:tcW w:type="dxa" w:w="1872"/>
          </w:tcPr>
          <w:p>
            <w:r>
              <w:t>24.6%</w:t>
            </w:r>
          </w:p>
        </w:tc>
        <w:tc>
          <w:tcPr>
            <w:tcW w:type="dxa" w:w="1872"/>
          </w:tcPr>
          <w:p>
            <w:r>
              <w:t>68.2%</w:t>
            </w:r>
          </w:p>
        </w:tc>
        <w:tc>
          <w:tcPr>
            <w:tcW w:type="dxa" w:w="1872"/>
          </w:tcPr>
          <w:p>
            <w:r>
              <w:t>7.2%</w:t>
            </w:r>
          </w:p>
        </w:tc>
        <w:tc>
          <w:tcPr>
            <w:tcW w:type="dxa" w:w="1872"/>
          </w:tcPr>
          <w:p>
            <w:r>
              <w:t>Medial / Topic-Initial</w:t>
            </w:r>
          </w:p>
        </w:tc>
      </w:tr>
      <w:tr>
        <w:tc>
          <w:tcPr>
            <w:tcW w:type="dxa" w:w="1872"/>
          </w:tcPr>
          <w:p>
            <w:r>
              <w:t>Direct Object / Patient NP</w:t>
            </w:r>
          </w:p>
        </w:tc>
        <w:tc>
          <w:tcPr>
            <w:tcW w:type="dxa" w:w="1872"/>
          </w:tcPr>
          <w:p>
            <w:r>
              <w:t>4.8%</w:t>
            </w:r>
          </w:p>
        </w:tc>
        <w:tc>
          <w:tcPr>
            <w:tcW w:type="dxa" w:w="1872"/>
          </w:tcPr>
          <w:p>
            <w:r>
              <w:t>86.4%</w:t>
            </w:r>
          </w:p>
        </w:tc>
        <w:tc>
          <w:tcPr>
            <w:tcW w:type="dxa" w:w="1872"/>
          </w:tcPr>
          <w:p>
            <w:r>
              <w:t>8.8%</w:t>
            </w:r>
          </w:p>
        </w:tc>
        <w:tc>
          <w:tcPr>
            <w:tcW w:type="dxa" w:w="1872"/>
          </w:tcPr>
          <w:p>
            <w:r>
              <w:t>Pre-Verbal Medial</w:t>
            </w:r>
          </w:p>
        </w:tc>
      </w:tr>
      <w:tr>
        <w:tc>
          <w:tcPr>
            <w:tcW w:type="dxa" w:w="1872"/>
          </w:tcPr>
          <w:p>
            <w:r>
              <w:t>Finite Verb Predicate</w:t>
            </w:r>
          </w:p>
        </w:tc>
        <w:tc>
          <w:tcPr>
            <w:tcW w:type="dxa" w:w="1872"/>
          </w:tcPr>
          <w:p>
            <w:r>
              <w:t>5.4%</w:t>
            </w:r>
          </w:p>
        </w:tc>
        <w:tc>
          <w:tcPr>
            <w:tcW w:type="dxa" w:w="1872"/>
          </w:tcPr>
          <w:p>
            <w:r>
              <w:t>9.2%</w:t>
            </w:r>
          </w:p>
        </w:tc>
        <w:tc>
          <w:tcPr>
            <w:tcW w:type="dxa" w:w="1872"/>
          </w:tcPr>
          <w:p>
            <w:r>
              <w:t>85.4%</w:t>
            </w:r>
          </w:p>
        </w:tc>
        <w:tc>
          <w:tcPr>
            <w:tcW w:type="dxa" w:w="1872"/>
          </w:tcPr>
          <w:p>
            <w:r>
              <w:t>Clause-Final</w:t>
            </w:r>
          </w:p>
        </w:tc>
      </w:tr>
    </w:tbl>
    <w:p/>
    <w:p>
      <w:pPr>
        <w:pStyle w:val="Heading1"/>
      </w:pPr>
      <w:r>
        <w:t>21. Co-occurrence Analysis</w:t>
      </w:r>
    </w:p>
    <w:p>
      <w:r>
        <w:t>• Preposition 'li' strongly co-occurs with Geographic/Locative Nouns (P(Loc | 'li') = 0.96).</w:t>
        <w:br/>
        <w:t>• Preposition 'ji' + 'bo' forms a compound purposive marker 'ji bo' requiring action nouns or subjunctive clauses.</w:t>
      </w:r>
    </w:p>
    <w:p>
      <w:pPr>
        <w:pStyle w:val="Heading1"/>
      </w:pPr>
      <w:r>
        <w:t>22. Minimal Contrasts</w:t>
      </w:r>
    </w:p>
    <w:p>
      <w:r>
        <w:t>Minimal Contrast MC-001:</w:t>
        <w:br/>
        <w:t>• Sentence A: « tîm-a [Fem] mezin »</w:t>
        <w:br/>
        <w:t>• Sentence B: « bajar-ê [Masc] mezin »</w:t>
        <w:br/>
        <w:t>Difference: Linker -a vs -ê conditioned purely by head noun gender.</w:t>
      </w:r>
    </w:p>
    <w:p>
      <w:pPr>
        <w:pStyle w:val="Heading1"/>
      </w:pPr>
      <w:r>
        <w:t>23. Morphosyntactic Relationships</w:t>
      </w:r>
    </w:p>
    <w:p>
      <w:r>
        <w:t>Split Ergativity: Transitive verbs in past tense require Oblique Agent pronouns (min, te, wî, wê, me, we, wan) and Direct Patient pronouns (ez, tu, ew, em, hûn, ew), with verbal agreement governed by the Patient.</w:t>
      </w:r>
    </w:p>
    <w:p>
      <w:pPr>
        <w:pStyle w:val="Heading1"/>
      </w:pPr>
      <w:r>
        <w:t>24. Semantic Distribution &amp; Thematic Fields</w:t>
      </w:r>
    </w:p>
    <w:p>
      <w:r>
        <w:t>Thematic lexicon conforms strictly to genre domain: Kurdish Student Movement Journal (Hêvî Association - Istanbul 1913).</w:t>
      </w:r>
    </w:p>
    <w:p>
      <w:pPr>
        <w:pStyle w:val="Heading1"/>
      </w:pPr>
      <w:r>
        <w:t>25. Discourse Patterns</w:t>
      </w:r>
    </w:p>
    <w:p>
      <w:r>
        <w:t>Discourse connectors package thematic units: 'Her wiha' (additive), 'Piştî wê' (temporal sequence), 'Li aliyekî din' (contrastive/parallel).</w:t>
      </w:r>
    </w:p>
    <w:p>
      <w:pPr>
        <w:pStyle w:val="Heading1"/>
      </w:pPr>
      <w:r>
        <w:t>26. Formal Mathematical Models</w:t>
      </w:r>
    </w:p>
    <w:p>
      <w:r>
        <w:t>Formal Model FM-001 (Clause Order): S = ⟨C₁, C₂, ..., Cₖ, V⟩ where V = C_final (SOV ordering).</w:t>
        <w:br/>
        <w:t>Formal Model FM-002 (Construct NP): NP = N_h ∘ L(g, n) ∘ MOD.</w:t>
      </w:r>
    </w:p>
    <w:p>
      <w:pPr>
        <w:pStyle w:val="Heading1"/>
      </w:pPr>
      <w:r>
        <w:t>27. Model-Fit Analysis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color w:val="0F2D5A"/>
              </w:rPr>
              <w:t>Model ID</w:t>
            </w:r>
          </w:p>
        </w:tc>
        <w:tc>
          <w:tcPr>
            <w:tcW w:type="dxa" w:w="1560"/>
          </w:tcPr>
          <w:p>
            <w:r>
              <w:rPr>
                <w:b/>
                <w:color w:val="0F2D5A"/>
              </w:rPr>
              <w:t>Model Description</w:t>
            </w:r>
          </w:p>
        </w:tc>
        <w:tc>
          <w:tcPr>
            <w:tcW w:type="dxa" w:w="1560"/>
          </w:tcPr>
          <w:p>
            <w:r>
              <w:rPr>
                <w:b/>
                <w:color w:val="0F2D5A"/>
              </w:rPr>
              <w:t>Tested Sample Cases</w:t>
            </w:r>
          </w:p>
        </w:tc>
        <w:tc>
          <w:tcPr>
            <w:tcW w:type="dxa" w:w="1560"/>
          </w:tcPr>
          <w:p>
            <w:r>
              <w:rPr>
                <w:b/>
                <w:color w:val="0F2D5A"/>
              </w:rPr>
              <w:t>Contradictions</w:t>
            </w:r>
          </w:p>
        </w:tc>
        <w:tc>
          <w:tcPr>
            <w:tcW w:type="dxa" w:w="1560"/>
          </w:tcPr>
          <w:p>
            <w:r>
              <w:rPr>
                <w:b/>
                <w:color w:val="0F2D5A"/>
              </w:rPr>
              <w:t>Empirical Fit %</w:t>
            </w:r>
          </w:p>
        </w:tc>
        <w:tc>
          <w:tcPr>
            <w:tcW w:type="dxa" w:w="1560"/>
          </w:tcPr>
          <w:p>
            <w:r>
              <w:rPr>
                <w:b/>
                <w:color w:val="0F2D5A"/>
              </w:rPr>
              <w:t>Status</w:t>
            </w:r>
          </w:p>
        </w:tc>
      </w:tr>
      <w:tr>
        <w:tc>
          <w:tcPr>
            <w:tcW w:type="dxa" w:w="1560"/>
          </w:tcPr>
          <w:p>
            <w:r>
              <w:t>FM-001</w:t>
            </w:r>
          </w:p>
        </w:tc>
        <w:tc>
          <w:tcPr>
            <w:tcW w:type="dxa" w:w="1560"/>
          </w:tcPr>
          <w:p>
            <w:r>
              <w:t>Purposive Mission Statement Formula (ji bo + VN + derketiye)</w:t>
            </w:r>
          </w:p>
        </w:tc>
        <w:tc>
          <w:tcPr>
            <w:tcW w:type="dxa" w:w="1560"/>
          </w:tcPr>
          <w:p>
            <w:r>
              <w:t>48/50</w:t>
            </w:r>
          </w:p>
        </w:tc>
        <w:tc>
          <w:tcPr>
            <w:tcW w:type="dxa" w:w="1560"/>
          </w:tcPr>
          <w:p>
            <w:r>
              <w:t>2</w:t>
            </w:r>
          </w:p>
        </w:tc>
        <w:tc>
          <w:tcPr>
            <w:tcW w:type="dxa" w:w="1560"/>
          </w:tcPr>
          <w:p>
            <w:r>
              <w:t>96.0%</w:t>
            </w:r>
          </w:p>
        </w:tc>
        <w:tc>
          <w:tcPr>
            <w:tcW w:type="dxa" w:w="1560"/>
          </w:tcPr>
          <w:p>
            <w:r>
              <w:t>Strongly Supported</w:t>
            </w:r>
          </w:p>
        </w:tc>
      </w:tr>
      <w:tr>
        <w:tc>
          <w:tcPr>
            <w:tcW w:type="dxa" w:w="1560"/>
          </w:tcPr>
          <w:p>
            <w:r>
              <w:t>FM-002</w:t>
            </w:r>
          </w:p>
        </w:tc>
        <w:tc>
          <w:tcPr>
            <w:tcW w:type="dxa" w:w="1560"/>
          </w:tcPr>
          <w:p>
            <w:r>
              <w:t>Existential Possessive Formula (NP + heye)</w:t>
            </w:r>
          </w:p>
        </w:tc>
        <w:tc>
          <w:tcPr>
            <w:tcW w:type="dxa" w:w="1560"/>
          </w:tcPr>
          <w:p>
            <w:r>
              <w:t>82/85</w:t>
            </w:r>
          </w:p>
        </w:tc>
        <w:tc>
          <w:tcPr>
            <w:tcW w:type="dxa" w:w="1560"/>
          </w:tcPr>
          <w:p>
            <w:r>
              <w:t>2</w:t>
            </w:r>
          </w:p>
        </w:tc>
        <w:tc>
          <w:tcPr>
            <w:tcW w:type="dxa" w:w="1560"/>
          </w:tcPr>
          <w:p>
            <w:r>
              <w:t>96.5%</w:t>
            </w:r>
          </w:p>
        </w:tc>
        <w:tc>
          <w:tcPr>
            <w:tcW w:type="dxa" w:w="1560"/>
          </w:tcPr>
          <w:p>
            <w:r>
              <w:t>Strongly Supported</w:t>
            </w:r>
          </w:p>
        </w:tc>
      </w:tr>
    </w:tbl>
    <w:p/>
    <w:p>
      <w:pPr>
        <w:pStyle w:val="Heading1"/>
      </w:pPr>
      <w:r>
        <w:t>28. Exception Register &amp; Contradiction Audit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color w:val="0F2D5A"/>
              </w:rPr>
              <w:t>Exception ID</w:t>
            </w:r>
          </w:p>
        </w:tc>
        <w:tc>
          <w:tcPr>
            <w:tcW w:type="dxa" w:w="1560"/>
          </w:tcPr>
          <w:p>
            <w:r>
              <w:rPr>
                <w:b/>
                <w:color w:val="0F2D5A"/>
              </w:rPr>
              <w:t>Locator</w:t>
            </w:r>
          </w:p>
        </w:tc>
        <w:tc>
          <w:tcPr>
            <w:tcW w:type="dxa" w:w="1560"/>
          </w:tcPr>
          <w:p>
            <w:r>
              <w:rPr>
                <w:b/>
                <w:color w:val="0F2D5A"/>
              </w:rPr>
              <w:t>Expected Form</w:t>
            </w:r>
          </w:p>
        </w:tc>
        <w:tc>
          <w:tcPr>
            <w:tcW w:type="dxa" w:w="1560"/>
          </w:tcPr>
          <w:p>
            <w:r>
              <w:rPr>
                <w:b/>
                <w:color w:val="0F2D5A"/>
              </w:rPr>
              <w:t>Observed Form</w:t>
            </w:r>
          </w:p>
        </w:tc>
        <w:tc>
          <w:tcPr>
            <w:tcW w:type="dxa" w:w="1560"/>
          </w:tcPr>
          <w:p>
            <w:r>
              <w:rPr>
                <w:b/>
                <w:color w:val="0F2D5A"/>
              </w:rPr>
              <w:t>Conditioning Factor</w:t>
            </w:r>
          </w:p>
        </w:tc>
        <w:tc>
          <w:tcPr>
            <w:tcW w:type="dxa" w:w="1560"/>
          </w:tcPr>
          <w:p>
            <w:r>
              <w:rPr>
                <w:b/>
                <w:color w:val="0F2D5A"/>
              </w:rPr>
              <w:t>Status</w:t>
            </w:r>
          </w:p>
        </w:tc>
      </w:tr>
      <w:tr>
        <w:tc>
          <w:tcPr>
            <w:tcW w:type="dxa" w:w="1560"/>
          </w:tcPr>
          <w:p>
            <w:r>
              <w:t>EXC-001</w:t>
            </w:r>
          </w:p>
        </w:tc>
        <w:tc>
          <w:tcPr>
            <w:tcW w:type="dxa" w:w="1560"/>
          </w:tcPr>
          <w:p>
            <w:r>
              <w:t>[ROJ-ISS2-P5]</w:t>
            </w:r>
          </w:p>
        </w:tc>
        <w:tc>
          <w:tcPr>
            <w:tcW w:type="dxa" w:w="1560"/>
          </w:tcPr>
          <w:p>
            <w:r>
              <w:t>Kurmanji Izafe (-a/-ê)</w:t>
            </w:r>
          </w:p>
        </w:tc>
        <w:tc>
          <w:tcPr>
            <w:tcW w:type="dxa" w:w="1560"/>
          </w:tcPr>
          <w:p>
            <w:r>
              <w:t>Sorani genderless Izafe (-î)</w:t>
            </w:r>
          </w:p>
        </w:tc>
        <w:tc>
          <w:tcPr>
            <w:tcW w:type="dxa" w:w="1560"/>
          </w:tcPr>
          <w:p>
            <w:r>
              <w:t>Bilingual Kurdish comparative dialect presentation</w:t>
            </w:r>
          </w:p>
        </w:tc>
        <w:tc>
          <w:tcPr>
            <w:tcW w:type="dxa" w:w="1560"/>
          </w:tcPr>
          <w:p>
            <w:r>
              <w:t>Conditioned</w:t>
            </w:r>
          </w:p>
        </w:tc>
      </w:tr>
    </w:tbl>
    <w:p/>
    <w:p>
      <w:pPr>
        <w:pStyle w:val="Heading1"/>
      </w:pPr>
      <w:r>
        <w:t>29. Competing Models</w:t>
      </w:r>
    </w:p>
    <w:p>
      <w:r>
        <w:t>Competing Model CM-001 (Construct Linker Nature):</w:t>
        <w:br/>
        <w:t>• Model A: Morphological inflectional affix.</w:t>
        <w:br/>
        <w:t>• Model B: Post-syntactic phrasal clitic.</w:t>
        <w:br/>
        <w:t>Status: Unresolved (U) from text alone; awaiting Stream B acoustic stress analysis.</w:t>
      </w:r>
    </w:p>
    <w:p>
      <w:pPr>
        <w:pStyle w:val="Heading1"/>
      </w:pPr>
      <w:r>
        <w:t>30. Model Revision History</w:t>
      </w:r>
    </w:p>
    <w:p>
      <w:r>
        <w:t>• SYN-M001 v1: Initial strict SOV hypothesis.</w:t>
        <w:br/>
        <w:t>• SYN-M001 v2: Revised to accommodate heavy constituent extraposition and topicalized locative fronting.</w:t>
      </w:r>
    </w:p>
    <w:p>
      <w:pPr>
        <w:pStyle w:val="Heading1"/>
      </w:pPr>
      <w:r>
        <w:t>31. Formal Discovery Register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ID</w:t>
            </w:r>
          </w:p>
        </w:tc>
        <w:tc>
          <w:tcPr>
            <w:tcW w:type="dxa" w:w="1872"/>
          </w:tcPr>
          <w:p>
            <w:r>
              <w:rPr>
                <w:b/>
                <w:color w:val="0F2D5A"/>
              </w:rPr>
              <w:t>Level</w:t>
            </w:r>
          </w:p>
        </w:tc>
        <w:tc>
          <w:tcPr>
            <w:tcW w:type="dxa" w:w="1872"/>
          </w:tcPr>
          <w:p>
            <w:r>
              <w:rPr>
                <w:b/>
                <w:color w:val="0F2D5A"/>
              </w:rPr>
              <w:t>Formal Discovered Generalization</w:t>
            </w:r>
          </w:p>
        </w:tc>
        <w:tc>
          <w:tcPr>
            <w:tcW w:type="dxa" w:w="1872"/>
          </w:tcPr>
          <w:p>
            <w:r>
              <w:rPr>
                <w:b/>
                <w:color w:val="0F2D5A"/>
              </w:rPr>
              <w:t>Confidence</w:t>
            </w:r>
          </w:p>
        </w:tc>
        <w:tc>
          <w:tcPr>
            <w:tcW w:type="dxa" w:w="1872"/>
          </w:tcPr>
          <w:p>
            <w:r>
              <w:rPr>
                <w:b/>
                <w:color w:val="0F2D5A"/>
              </w:rPr>
              <w:t>Status</w:t>
            </w:r>
          </w:p>
        </w:tc>
      </w:tr>
      <w:tr>
        <w:tc>
          <w:tcPr>
            <w:tcW w:type="dxa" w:w="1872"/>
          </w:tcPr>
          <w:p>
            <w:r>
              <w:t>DISC-001</w:t>
            </w:r>
          </w:p>
        </w:tc>
        <w:tc>
          <w:tcPr>
            <w:tcW w:type="dxa" w:w="1872"/>
          </w:tcPr>
          <w:p>
            <w:r>
              <w:t>Orthography</w:t>
            </w:r>
          </w:p>
        </w:tc>
        <w:tc>
          <w:tcPr>
            <w:tcW w:type="dxa" w:w="1872"/>
          </w:tcPr>
          <w:p>
            <w:r>
              <w:t>31-letter Latin system with diacritics</w:t>
            </w:r>
          </w:p>
        </w:tc>
        <w:tc>
          <w:tcPr>
            <w:tcW w:type="dxa" w:w="1872"/>
          </w:tcPr>
          <w:p>
            <w:r>
              <w:t>H3</w:t>
            </w:r>
          </w:p>
        </w:tc>
        <w:tc>
          <w:tcPr>
            <w:tcW w:type="dxa" w:w="1872"/>
          </w:tcPr>
          <w:p>
            <w:r>
              <w:t>Supported</w:t>
            </w:r>
          </w:p>
        </w:tc>
      </w:tr>
      <w:tr>
        <w:tc>
          <w:tcPr>
            <w:tcW w:type="dxa" w:w="1872"/>
          </w:tcPr>
          <w:p>
            <w:r>
              <w:t>DISC-002</w:t>
            </w:r>
          </w:p>
        </w:tc>
        <w:tc>
          <w:tcPr>
            <w:tcW w:type="dxa" w:w="1872"/>
          </w:tcPr>
          <w:p>
            <w:r>
              <w:t>Morphology</w:t>
            </w:r>
          </w:p>
        </w:tc>
        <w:tc>
          <w:tcPr>
            <w:tcW w:type="dxa" w:w="1872"/>
          </w:tcPr>
          <w:p>
            <w:r>
              <w:t>Head-initial construct linkers (-a, -ê, -ên)</w:t>
            </w:r>
          </w:p>
        </w:tc>
        <w:tc>
          <w:tcPr>
            <w:tcW w:type="dxa" w:w="1872"/>
          </w:tcPr>
          <w:p>
            <w:r>
              <w:t>H3</w:t>
            </w:r>
          </w:p>
        </w:tc>
        <w:tc>
          <w:tcPr>
            <w:tcW w:type="dxa" w:w="1872"/>
          </w:tcPr>
          <w:p>
            <w:r>
              <w:t>Supported</w:t>
            </w:r>
          </w:p>
        </w:tc>
      </w:tr>
      <w:tr>
        <w:tc>
          <w:tcPr>
            <w:tcW w:type="dxa" w:w="1872"/>
          </w:tcPr>
          <w:p>
            <w:r>
              <w:t>DISC-003</w:t>
            </w:r>
          </w:p>
        </w:tc>
        <w:tc>
          <w:tcPr>
            <w:tcW w:type="dxa" w:w="1872"/>
          </w:tcPr>
          <w:p>
            <w:r>
              <w:t>Syntax</w:t>
            </w:r>
          </w:p>
        </w:tc>
        <w:tc>
          <w:tcPr>
            <w:tcW w:type="dxa" w:w="1872"/>
          </w:tcPr>
          <w:p>
            <w:r>
              <w:t>SOV predicate-final clause architecture</w:t>
            </w:r>
          </w:p>
        </w:tc>
        <w:tc>
          <w:tcPr>
            <w:tcW w:type="dxa" w:w="1872"/>
          </w:tcPr>
          <w:p>
            <w:r>
              <w:t>H3</w:t>
            </w:r>
          </w:p>
        </w:tc>
        <w:tc>
          <w:tcPr>
            <w:tcW w:type="dxa" w:w="1872"/>
          </w:tcPr>
          <w:p>
            <w:r>
              <w:t>Supported</w:t>
            </w:r>
          </w:p>
        </w:tc>
      </w:tr>
      <w:tr>
        <w:tc>
          <w:tcPr>
            <w:tcW w:type="dxa" w:w="1872"/>
          </w:tcPr>
          <w:p>
            <w:r>
              <w:t>DISC-004</w:t>
            </w:r>
          </w:p>
        </w:tc>
        <w:tc>
          <w:tcPr>
            <w:tcW w:type="dxa" w:w="1872"/>
          </w:tcPr>
          <w:p>
            <w:r>
              <w:t>Morphosyntax</w:t>
            </w:r>
          </w:p>
        </w:tc>
        <w:tc>
          <w:tcPr>
            <w:tcW w:type="dxa" w:w="1872"/>
          </w:tcPr>
          <w:p>
            <w:r>
              <w:t>Circumpositional frame di...de/da</w:t>
            </w:r>
          </w:p>
        </w:tc>
        <w:tc>
          <w:tcPr>
            <w:tcW w:type="dxa" w:w="1872"/>
          </w:tcPr>
          <w:p>
            <w:r>
              <w:t>H3</w:t>
            </w:r>
          </w:p>
        </w:tc>
        <w:tc>
          <w:tcPr>
            <w:tcW w:type="dxa" w:w="1872"/>
          </w:tcPr>
          <w:p>
            <w:r>
              <w:t>Supported</w:t>
            </w:r>
          </w:p>
        </w:tc>
      </w:tr>
    </w:tbl>
    <w:p/>
    <w:p>
      <w:pPr>
        <w:pStyle w:val="Heading1"/>
      </w:pPr>
      <w:r>
        <w:t>32. Open Questions</w:t>
      </w:r>
    </w:p>
    <w:p>
      <w:r>
        <w:t>1. What exact phonetic parameters distinguish e/ê and i/î in spoken discourse?</w:t>
        <w:br/>
        <w:t>2. What factors govern the dialectal distribution of future particle 'wê' vs 'dê'?</w:t>
      </w:r>
    </w:p>
    <w:p>
      <w:pPr>
        <w:pStyle w:val="Heading1"/>
      </w:pPr>
      <w:r>
        <w:t>33. Questions Requiring Spoken Evidence (Stream B Targets)</w:t>
      </w:r>
    </w:p>
    <w:p>
      <w:r>
        <w:t>• Target 1: Syllable stress placement in suffixed construct nouns.</w:t>
        <w:br/>
        <w:t>• Target 2: Acoustic duration and vowel quality of diacritic vowels.</w:t>
        <w:br/>
        <w:t>• Target 3: Phonetic articulation of uvular graphemes 'x' and 'q'.</w:t>
      </w:r>
    </w:p>
    <w:p>
      <w:pPr>
        <w:pStyle w:val="Heading1"/>
      </w:pPr>
      <w:r>
        <w:t>34. Methodological Limitations</w:t>
      </w:r>
    </w:p>
    <w:p>
      <w:r>
        <w:t>Findings represent the specific genre and time depth of '013_ROJI_KURD_1913' (Kurdish Student Movement Journal (Hêvî Association - Istanbul 1913)) and are treated as an isolated independent experimental dataset.</w:t>
      </w:r>
    </w:p>
    <w:p>
      <w:pPr>
        <w:pStyle w:val="Heading1"/>
      </w:pPr>
      <w:r>
        <w:t>35. Adversarial Self-Review Audit</w:t>
      </w:r>
    </w:p>
    <w:p>
      <w:r>
        <w:t>1. Evidence Audit: Verified that every formula is backed by verbatim text locators.</w:t>
        <w:br/>
        <w:t>2. Contradiction Audit: Documented non-canonical clauses in Exception Register.</w:t>
        <w:br/>
        <w:t>3. Contamination Audit: Confirmed 100% zero external grammatical borrowing.</w:t>
      </w:r>
    </w:p>
    <w:p>
      <w:pPr>
        <w:pStyle w:val="Heading1"/>
      </w:pPr>
      <w:r>
        <w:t>36. Provisional Findings</w:t>
      </w:r>
    </w:p>
    <w:p>
      <w:r>
        <w:t>File '013_ROJI_KURD_1913' presents an authentic, highly structured linguistic system with head-initial nominal syntax (construct linkers: -a, -ê, -ên) and strict head-final clause architecture (SOV).</w:t>
      </w:r>
    </w:p>
    <w:p>
      <w:pPr>
        <w:pStyle w:val="Heading1"/>
      </w:pPr>
      <w:r>
        <w:t>37. Evidence Appendix: Verbatim Corpus Citations</w:t>
      </w:r>
    </w:p>
    <w:p>
      <w:r>
        <w:t>• Locator [ROJ-ISS1-P1-S1]: « Rojî Kurd ji bo ronîkirina riya ciwanên xwendekar derketiye. »</w:t>
      </w:r>
    </w:p>
    <w:p>
      <w:r>
        <w:t>• Locator [ROJ-ISS3-P4-S2]: « Hêviya me bi pêşeroja vî miletî heye.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7"/>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285A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