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08"/>
        <w:gridCol w:w="360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(SD) or median [IQR]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10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Socio-demographic characteristics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10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10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63.98 (14.81)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Personal annual income before tax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500,000-649,999 DKK [300,000-399,999 DKK to 800,000-999,999 DKK]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529 (52.8)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472 (47.1)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(0.1)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469 (46.5)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540 (53.5)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Leadership responsibility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Strategic or financial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 (21.1)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Professional or administrative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185 (49.5)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leadership or decision responsibility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110 (29.4)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10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Social and psychological characteristics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10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10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5.24 (1.31)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5.13 (1.20)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4.23 (1.36)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3.98 (1.23)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(left-right)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3.99 (1.53)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2026-10-16T15:37:40Z</dcterms:modified>
  <cp:category/>
</cp:coreProperties>
</file>