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TRABAJO FINAL — DATA MINING &amp; DATA ANALYSIS</w:t>
      </w:r>
    </w:p>
    <w:p>
      <w:pPr>
        <w:pStyle w:val="Heading2"/>
      </w:pPr>
      <w:r>
        <w:t>Segmentación de Clientes Mayoristas mediante Técnicas de Clustering</w:t>
      </w:r>
    </w:p>
    <w:p>
      <w:pPr>
        <w:pStyle w:val="Heading2"/>
      </w:pPr>
      <w:r>
        <w:t>1. Descripción del caso de uso</w:t>
      </w:r>
    </w:p>
    <w:p>
      <w:r>
        <w:t>El presente proyecto tiene como finalidad aplicar técnicas de aprendizaje no supervisado para segmentar a los clientes de un distribuidor mayorista según su comportamiento de compra. El negocio trabaja con una cartera variada de clientes —minoristas, restaurantes y hoteles— cuyos patrones de consumo difieren ampliamente entre categorías como Fresh, Milk, Grocery, Frozen, Detergents_Paper y Delicassen.</w:t>
        <w:br/>
        <w:br/>
        <w:t>La empresa no cuenta con una estrategia de segmentación formal, lo que genera campañas poco efectivas y una asignación ineficiente de recursos comerciales. A través del uso de algoritmos de clustering, el objetivo es identificar grupos de clientes con comportamientos similares, permitiendo implementar acciones más precisas en marketing, precios, fidelización y logística.</w:t>
        <w:br/>
        <w:br/>
        <w:t>En resumen, este caso de uso busca descubrir patrones ocultos en los datos reales de consumo para generar una segmentación que aporte valor estratégico al negocio.</w:t>
      </w:r>
    </w:p>
    <w:p>
      <w:pPr>
        <w:pStyle w:val="Heading2"/>
      </w:pPr>
      <w:r>
        <w:t>2. Descripción del conjunto de datos</w:t>
      </w:r>
    </w:p>
    <w:p>
      <w:r>
        <w:t>El análisis se desarrolló utilizando el Wholesale Customers Dataset, que contiene 440 registros de clientes y sus montos anuales de gasto en seis categorías de productos. Todas las variables son numéricas y representan consumo real, lo que convierte al dataset en una base adecuada para estudios de clustering.</w:t>
        <w:br/>
        <w:br/>
        <w:t>Las variables presentan rangos muy distintos entre sí —por ejemplo, Fresh tiene valores muy altos respecto a Delicassen—, lo que hace necesario aplicar técnicas de normalización. Por ello, se empleó StandardScaler para estandarizar los datos y asegurar que cada variable contribuyera de manera equitativa al análisis.</w:t>
        <w:br/>
        <w:br/>
        <w:t>El dataset no contiene valores faltantes y posee suficiente variabilidad para permitir la identificación de grupos. Esto facilita el uso de algoritmos como KMeans, DBSCAN, HDBSCAN, OPTICS y Gaussian Mixture Models en el proceso de segmentación.</w:t>
      </w:r>
    </w:p>
    <w:p>
      <w:pPr>
        <w:pStyle w:val="Heading2"/>
      </w:pPr>
      <w:r>
        <w:t>3. Análisis Exploratorio de Datos (EDA)</w:t>
      </w:r>
    </w:p>
    <w:p>
      <w:r>
        <w:t>Se revisaron tipos de datos, distribuciones y estadísticas descriptivas. No se encontraron valores nulos ni duplicados. Se exploraron correlaciones entre variables y se realizó PCA para visualizar la estructura general del dataset. El análisis confirmó la necesidad de escalar los datos debido a la alta variabilidad entre magnitudes de gasto.</w:t>
      </w:r>
    </w:p>
    <w:p>
      <w:pPr>
        <w:pStyle w:val="Heading2"/>
      </w:pPr>
      <w:r>
        <w:t>4. Modelización</w:t>
      </w:r>
    </w:p>
    <w:p>
      <w:r>
        <w:t>Se aplicaron los modelos KMeans, DBSCAN, HDBSCAN, OPTICS y Gaussian Mixture Models. KMeans con k=3 obtuvo el mejor desempeño con un silhouette score cercano a 0.5483. GMM con 2 componentes logró un silhouette de aproximadamente 0.4497. DBSCAN identificó dos clusters pero con baja separación, mientras que HDBSCAN y OPTICS no generaron segmentaciones útiles bajo los parámetros evaluados.</w:t>
      </w:r>
    </w:p>
    <w:p>
      <w:pPr>
        <w:pStyle w:val="Heading2"/>
      </w:pPr>
      <w:r>
        <w:t>5. Resultados</w:t>
      </w:r>
    </w:p>
    <w:p>
      <w:r>
        <w:t>KMeans y GMM fueron los métodos más efectivos. KMeans mostró una separación clara entre los tres clusters formados, mientras que GMM capturó estructuras más flexibles pero con menor claridad. Los algoritmos basados en densidad no fueron adecuados para este dataset, ya que no lograron identificar grupos consistentes.</w:t>
      </w:r>
    </w:p>
    <w:p>
      <w:pPr>
        <w:pStyle w:val="Heading2"/>
      </w:pPr>
      <w:r>
        <w:t>6. Conclusiones</w:t>
      </w:r>
    </w:p>
    <w:p>
      <w:r>
        <w:t>KMeans con 3 clusters fue el modelo más apropiado para segmentar a los clientes del distribuidor. El análisis confirmó que existen diferencias claras en los patrones de consumo y que estos pueden aprovecharse estratégicamente. GMM fue la segunda mejor opción, mientras que los métodos basados en densidad no se ajustaron bien a la estructura del dataset.</w:t>
      </w:r>
    </w:p>
    <w:p>
      <w:pPr>
        <w:pStyle w:val="Heading2"/>
      </w:pPr>
      <w:r>
        <w:t>7. Recomendaciones</w:t>
      </w:r>
    </w:p>
    <w:p>
      <w:r>
        <w:t>Se recomienda emplear KMeans como segmentación oficial debido a su claridad y estabilidad. El negocio puede diseñar acciones específicas para cada cluster, dirigidas a aumentar la retención, optimizar promociones y mejorar la asignación de recursos. También se sugiere analizar los outliers detectados por modelos de densidad, pues podrían representar clientes con comportamientos únicos que requieren atención diferenciada.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