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b/>
          <w:bCs/>
          <w:color w:val="000000"/>
          <w:sz w:val="30"/>
          <w:szCs w:val="30"/>
        </w:rPr>
        <w:t xml:space="preserve">EXTRACARGOS UPS Y DHL — HOJA DE LA OFICINA</w:t>
      </w:r>
    </w:p>
    <w:p>
      <w:pPr>
        <w:spacing w:after="120"/>
        <w:jc w:val="center"/>
      </w:pPr>
      <w:r>
        <w:rPr>
          <w:i/>
          <w:iCs/>
          <w:color w:val="444444"/>
          <w:sz w:val="19"/>
          <w:szCs w:val="19"/>
        </w:rPr>
        <w:t xml:space="preserve">Versión 31/08/2026 · generada desde el sistema · todos los montos en USD · ante cualquier diferencia, manda el sistema</w:t>
      </w:r>
    </w:p>
    <w:p>
      <w:pPr>
        <w:pBdr>
          <w:bottom w:val="single" w:color="000000" w:sz="8"/>
        </w:pBdr>
        <w:spacing w:after="60" w:before="260"/>
      </w:pPr>
      <w:r>
        <w:rPr>
          <w:rFonts w:ascii="Calibri" w:cs="Calibri" w:eastAsia="Calibri" w:hAnsi="Calibri"/>
          <w:b/>
          <w:bCs/>
          <w:color w:val="000000"/>
          <w:sz w:val="26"/>
          <w:szCs w:val="26"/>
        </w:rPr>
        <w:t xml:space="preserve">UPS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Manejo Adicional: </w:t>
      </w: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27,65 por paquete</w:t>
      </w:r>
      <w:r>
        <w:rPr>
          <w:rFonts w:ascii="Calibri" w:cs="Calibri" w:eastAsia="Calibri" w:hAnsi="Calibri"/>
          <w:sz w:val="21"/>
          <w:szCs w:val="21"/>
        </w:rPr>
        <w:t xml:space="preserve"> — si el lado más largo pasa 122 cm, o el segundo lado pasa 76 cm, o el peso real pasa 25 kg.</w:t>
      </w:r>
    </w:p>
    <w:p>
      <w:pPr>
        <w:spacing w:after="60" w:before="20"/>
        <w:ind w:left="360"/>
      </w:pPr>
      <w:r>
        <w:rPr>
          <w:rFonts w:ascii="Calibri" w:cs="Calibri" w:eastAsia="Calibri" w:hAnsi="Calibri"/>
          <w:i/>
          <w:iCs/>
          <w:color w:val="444444"/>
          <w:sz w:val="19"/>
          <w:szCs w:val="19"/>
        </w:rPr>
        <w:t xml:space="preserve">En un envío de VARIOS paquetes cuyo peso promedio pasa los 32 kg, lo pagan TODOS los paquetes (también los livianos). No se cobra en un paquete que ya paga Mayor Tamaño.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Paquete de Mayor Tamaño: </w:t>
      </w: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120,10 por paquete</w:t>
      </w:r>
      <w:r>
        <w:rPr>
          <w:rFonts w:ascii="Calibri" w:cs="Calibri" w:eastAsia="Calibri" w:hAnsi="Calibri"/>
          <w:sz w:val="21"/>
          <w:szCs w:val="21"/>
        </w:rPr>
        <w:t xml:space="preserve"> — contorno (largo + 2×ancho + 2×alto) de más de 300 cm, sin pasar 400 cm.</w:t>
      </w:r>
    </w:p>
    <w:p>
      <w:pPr>
        <w:spacing w:after="60" w:before="20"/>
        <w:ind w:left="360"/>
      </w:pPr>
      <w:r>
        <w:rPr>
          <w:rFonts w:ascii="Calibri" w:cs="Calibri" w:eastAsia="Calibri" w:hAnsi="Calibri"/>
          <w:i/>
          <w:iCs/>
          <w:color w:val="444444"/>
          <w:sz w:val="19"/>
          <w:szCs w:val="19"/>
        </w:rPr>
        <w:t xml:space="preserve">Se factura con un MÍNIMO de 40 kg por paquete: una caja grande y liviana paga flete por 40 kg aunque pese 6.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NO SE ACEPTA: </w:t>
      </w: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(tope, no es cargo)</w:t>
      </w:r>
      <w:r>
        <w:rPr>
          <w:rFonts w:ascii="Calibri" w:cs="Calibri" w:eastAsia="Calibri" w:hAnsi="Calibri"/>
          <w:sz w:val="21"/>
          <w:szCs w:val="21"/>
        </w:rPr>
        <w:t xml:space="preserve"> — contorno de más de 400 cm · lado más largo de más de 274 cm · pieza de más de 70 kg reales.</w:t>
      </w:r>
    </w:p>
    <w:p>
      <w:pPr>
        <w:spacing w:after="60" w:before="20"/>
        <w:ind w:left="360"/>
      </w:pPr>
      <w:r>
        <w:rPr>
          <w:rFonts w:ascii="Calibri" w:cs="Calibri" w:eastAsia="Calibri" w:hAnsi="Calibri"/>
          <w:i/>
          <w:iCs/>
          <w:color w:val="444444"/>
          <w:sz w:val="19"/>
          <w:szCs w:val="19"/>
        </w:rPr>
        <w:t xml:space="preserve">El cotizador lo avisa solo. Si igual viaja, UPS cobra "límites máximos excedidos": 1.010,00.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Surge fee (por kg facturable, vigente desde el 24/05/26): </w:t>
      </w: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0,50/kg</w:t>
      </w:r>
      <w:r>
        <w:rPr>
          <w:rFonts w:ascii="Calibri" w:cs="Calibri" w:eastAsia="Calibri" w:hAnsi="Calibri"/>
          <w:sz w:val="21"/>
          <w:szCs w:val="21"/>
        </w:rPr>
        <w:t xml:space="preserve"> — al resto del mundo. ISMEA 2,95/kg · Israel y EAU 3,30/kg · impo desde India 1,45/kg · impo desde China/HK/Macao 0,70/kg.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Expo a EE.UU. (IPF): </w:t>
      </w: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2,50 por envío</w:t>
      </w:r>
      <w:r>
        <w:rPr>
          <w:rFonts w:ascii="Calibri" w:cs="Calibri" w:eastAsia="Calibri" w:hAnsi="Calibri"/>
          <w:sz w:val="21"/>
          <w:szCs w:val="21"/>
        </w:rPr>
        <w:t xml:space="preserve"> — solo Estados Unidos (Canadá no lo paga).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Entrega residencial: </w:t>
      </w: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6,00 por envío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Área extendida: </w:t>
      </w: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42,15 o 0,92/kg</w:t>
      </w:r>
      <w:r>
        <w:rPr>
          <w:rFonts w:ascii="Calibri" w:cs="Calibri" w:eastAsia="Calibri" w:hAnsi="Calibri"/>
          <w:sz w:val="21"/>
          <w:szCs w:val="21"/>
        </w:rPr>
        <w:t xml:space="preserve"> — (el mayor). Área remota en EE.UU.: 5,86 por envío.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DDP (facturación de derechos al remitente): </w:t>
      </w: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24,05 por envío</w:t>
      </w:r>
    </w:p>
    <w:p>
      <w:pPr>
        <w:pBdr>
          <w:bottom w:val="single" w:color="000000" w:sz="8"/>
        </w:pBdr>
        <w:spacing w:after="60" w:before="260"/>
      </w:pPr>
      <w:r>
        <w:rPr>
          <w:rFonts w:ascii="Calibri" w:cs="Calibri" w:eastAsia="Calibri" w:hAnsi="Calibri"/>
          <w:b/>
          <w:bCs/>
          <w:color w:val="000000"/>
          <w:sz w:val="26"/>
          <w:szCs w:val="26"/>
        </w:rPr>
        <w:t xml:space="preserve">DHL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Pieza con sobrepeso: </w:t>
      </w: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125,00 por pieza</w:t>
      </w:r>
      <w:r>
        <w:rPr>
          <w:rFonts w:ascii="Calibri" w:cs="Calibri" w:eastAsia="Calibri" w:hAnsi="Calibri"/>
          <w:sz w:val="21"/>
          <w:szCs w:val="21"/>
        </w:rPr>
        <w:t xml:space="preserve"> — más de 70 kg (reales o volumétricos).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Pieza excedida de tamaño: </w:t>
      </w: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23,00 por pieza</w:t>
      </w:r>
      <w:r>
        <w:rPr>
          <w:rFonts w:ascii="Calibri" w:cs="Calibri" w:eastAsia="Calibri" w:hAnsi="Calibri"/>
          <w:sz w:val="21"/>
          <w:szCs w:val="21"/>
        </w:rPr>
        <w:t xml:space="preserve"> — algún lado de más de 100 cm, o el segundo lado de más de 80 cm.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Pieza no convencional: </w:t>
      </w: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23,00 por pieza</w:t>
      </w:r>
      <w:r>
        <w:rPr>
          <w:rFonts w:ascii="Calibri" w:cs="Calibri" w:eastAsia="Calibri" w:hAnsi="Calibri"/>
          <w:sz w:val="21"/>
          <w:szCs w:val="21"/>
        </w:rPr>
        <w:t xml:space="preserve"> — entre 25 y 70 kg reales; también embalaje que no sea cartón corrugado, forma cilíndrica, ruedas o asas.</w:t>
      </w:r>
    </w:p>
    <w:p>
      <w:pPr>
        <w:spacing w:after="60" w:before="20"/>
        <w:ind w:left="360"/>
      </w:pPr>
      <w:r>
        <w:rPr>
          <w:rFonts w:ascii="Calibri" w:cs="Calibri" w:eastAsia="Calibri" w:hAnsi="Calibri"/>
          <w:i/>
          <w:iCs/>
          <w:color w:val="444444"/>
          <w:sz w:val="19"/>
          <w:szCs w:val="19"/>
        </w:rPr>
        <w:t xml:space="preserve">Estos tres NO se acumulan: cada pieza paga uno solo (sobrepeso ⟶ exceso ⟶ no convencional).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Pieza de más de 120 × 80 × 80 cm: </w:t>
      </w: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consultar con DHL antes de cerrar precio</w:t>
      </w:r>
      <w:r>
        <w:rPr>
          <w:rFonts w:ascii="Calibri" w:cs="Calibri" w:eastAsia="Calibri" w:hAnsi="Calibri"/>
          <w:sz w:val="21"/>
          <w:szCs w:val="21"/>
        </w:rPr>
        <w:t xml:space="preserve"> — pasa la pieza estándar. El cargo de 71,50 de la hoja vieja ya no figura en la lista vigente de DHL.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GoGreen Plus: </w:t>
      </w: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0,98 × kg facturable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Área remota / extendida: </w:t>
      </w: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40,00 o 0,80/kg</w:t>
      </w:r>
      <w:r>
        <w:rPr>
          <w:rFonts w:ascii="Calibri" w:cs="Calibri" w:eastAsia="Calibri" w:hAnsi="Calibri"/>
          <w:sz w:val="21"/>
          <w:szCs w:val="21"/>
        </w:rPr>
        <w:t xml:space="preserve"> — (el mayor).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Protección de documentos: </w:t>
      </w: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7,50 por envío</w:t>
      </w:r>
      <w:r>
        <w:rPr>
          <w:rFonts w:ascii="Calibri" w:cs="Calibri" w:eastAsia="Calibri" w:hAnsi="Calibri"/>
          <w:sz w:val="21"/>
          <w:szCs w:val="21"/>
        </w:rPr>
        <w:t xml:space="preserve"> — opcional, a pedido del cliente.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Seguro (regla Nova): </w:t>
      </w: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1,5% del FOB, mínimo 17,50</w:t>
      </w:r>
    </w:p>
    <w:p>
      <w:pPr>
        <w:pBdr>
          <w:bottom w:val="single" w:color="000000" w:sz="8"/>
        </w:pBdr>
        <w:spacing w:after="60" w:before="260"/>
      </w:pPr>
      <w:r>
        <w:rPr>
          <w:rFonts w:ascii="Calibri" w:cs="Calibri" w:eastAsia="Calibri" w:hAnsi="Calibri"/>
          <w:b/>
          <w:bCs/>
          <w:color w:val="000000"/>
          <w:sz w:val="26"/>
          <w:szCs w:val="26"/>
        </w:rPr>
        <w:t xml:space="preserve">SEGURO UPS (regla Nova)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FOB menor a 100: </w:t>
      </w: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sin cargo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FOB de 100 a 1.000: </w:t>
      </w: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15,00 fijo</w:t>
      </w:r>
      <w:r>
        <w:rPr>
          <w:rFonts w:ascii="Calibri" w:cs="Calibri" w:eastAsia="Calibri" w:hAnsi="Calibri"/>
          <w:sz w:val="21"/>
          <w:szCs w:val="21"/>
        </w:rPr>
        <w:t xml:space="preserve"> — (desde 100 exacto ya paga).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FOB mayor a 1.000: </w:t>
      </w: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1,5% del FOB</w:t>
      </w:r>
    </w:p>
    <w:p>
      <w:pPr>
        <w:pBdr>
          <w:top w:val="single" w:color="444444" w:sz="4"/>
        </w:pBdr>
        <w:spacing w:before="200"/>
      </w:pPr>
      <w:r>
        <w:rPr>
          <w:i/>
          <w:iCs/>
          <w:color w:val="444444"/>
          <w:sz w:val="18"/>
          <w:szCs w:val="18"/>
        </w:rPr>
        <w:t xml:space="preserve">Salió de la hoja del 17/04/26: el surge a USA ya no es 0,30 (desde mayo es 0,50/kg) y el cargo DHL de 71,50 por pieza &gt;120 cm no está en la lista vigente. FedEx no está en el sistema: esa parte no se pudo verificar y no va acá.</w:t>
      </w:r>
    </w:p>
    <w:p>
      <w:pPr>
        <w:spacing w:before="40"/>
      </w:pPr>
      <w:r>
        <w:rPr>
          <w:i/>
          <w:iCs/>
          <w:color w:val="444444"/>
          <w:sz w:val="18"/>
          <w:szCs w:val="18"/>
        </w:rPr>
        <w:t xml:space="preserve">El cotizador aplica todo esto solo, según las medidas y pesos de cada bulto. Esta hoja es para chequear a mano contra la factura.</w:t>
      </w:r>
    </w:p>
    <w:sectPr>
      <w:pgSz w:w="12240" w:h="15840" w:orient="portrait"/>
      <w:pgMar w:top="700" w:right="900" w:bottom="6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2026-08-31T18:25:59.967Z</dcterms:created>
  <dcterms:modified xsi:type="dcterms:W3CDTF">2026-08-31T18:25:59.968Z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