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png" ContentType="image/png"/>
  <Override PartName="/word/media/rId20.jpg" ContentType="image/jpeg"/>
  <Override PartName="/word/media/rId71.png" ContentType="image/png"/>
  <Override PartName="/word/media/rId270.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50.png" ContentType="image/png"/>
  <Override PartName="/word/media/rId78.png" ContentType="image/png"/>
  <Override PartName="/word/media/rId86.png" ContentType="image/png"/>
  <Override PartName="/word/media/rId100.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4.3.4.2.1</w:t>
        </w:r>
      </w:hyperlink>
      <w:r>
        <w:t xml:space="preserve">)</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An interesting case is</w:t>
      </w:r>
      <w:r>
        <w:t xml:space="preserve"> </w:t>
      </w:r>
      <w:r>
        <w:t xml:space="preserve">ubuweb</w:t>
      </w:r>
      <w:r>
        <w:t xml:space="preserve">, an digital encyclopedia of avant-garde materials, which until 2015 had been archiving electronic music, hence spawning open-source software that implemented</w:t>
      </w:r>
      <w:r>
        <w:t xml:space="preserve"> </w:t>
      </w:r>
      <w:r>
        <w:t xml:space="preserve">mir</w:t>
      </w:r>
      <w:r>
        <w:t xml:space="preserve"> </w:t>
      </w:r>
      <w:r>
        <w:t xml:space="preserve">techniques for navigation, analysis, and classification</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r>
        <w:rPr>
          <w:rStyle w:val="FootnoteReference"/>
        </w:rPr>
        <w:footnoteReference w:id="111"/>
      </w:r>
    </w:p>
    <w:p>
      <w:pPr>
        <w:pStyle w:val="Heading5"/>
      </w:pPr>
      <w:bookmarkStart w:id="112" w:name="selva"/>
      <w:r>
        <w:t xml:space="preserve">Selva</w:t>
      </w:r>
      <w:bookmarkEnd w:id="112"/>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r>
        <w:rPr>
          <w:rStyle w:val="FootnoteReference"/>
        </w:rPr>
        <w:footnoteReference w:id="113"/>
      </w:r>
      <w:r>
        <w:t xml:space="preserve"> </w:t>
      </w:r>
      <w:r>
        <w:t xml:space="preserve">using 14-hour long recordings taken from a forest</w:t>
      </w:r>
      <w:r>
        <w:rPr>
          <w:rStyle w:val="FootnoteReference"/>
        </w:rPr>
        <w:footnoteReference w:id="115"/>
      </w:r>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6" w:name="ocean"/>
      <w:r>
        <w:t xml:space="preserve">Ocean</w:t>
      </w:r>
      <w:bookmarkEnd w:id="116"/>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7" w:name="molecules"/>
      <w:r>
        <w:t xml:space="preserve">Molecules</w:t>
      </w:r>
      <w:bookmarkEnd w:id="117"/>
    </w:p>
    <w:p>
      <w:pPr>
        <w:pStyle w:val="FirstParagraph"/>
      </w:pPr>
      <w:r>
        <w:t xml:space="preserve">Morawitz (2016)</w:t>
      </w:r>
      <w:r>
        <w:t xml:space="preserve"> </w:t>
      </w:r>
      <w:r>
        <w:t xml:space="preserve">(Morawitz 2016)</w:t>
      </w:r>
      <w:r>
        <w:t xml:space="preserve"> </w:t>
      </w:r>
      <w:r>
        <w:t xml:space="preserve">used molecular sonification in his piece</w:t>
      </w:r>
      <w:r>
        <w:t xml:space="preserve"> </w:t>
      </w:r>
      <w:r>
        <w:rPr>
          <w:i/>
        </w:rPr>
        <w:t xml:space="preserve">Spin Dynamics</w:t>
      </w:r>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8" w:name="gender-distribution"/>
      <w:r>
        <w:t xml:space="preserve">Gender Distribution</w:t>
      </w:r>
      <w:bookmarkEnd w:id="118"/>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9" w:name="sonification:installations"/>
      <w:r>
        <w:t xml:space="preserve">Sonification Installations</w:t>
      </w:r>
      <w:bookmarkEnd w:id="119"/>
    </w:p>
    <w:p>
      <w:pPr>
        <w:pStyle w:val="Heading5"/>
      </w:pPr>
      <w:bookmarkStart w:id="120" w:name="ip-based-soundscape"/>
      <w:r>
        <w:t xml:space="preserve">IP-based soundscape</w:t>
      </w:r>
      <w:bookmarkEnd w:id="120"/>
    </w:p>
    <w:p>
      <w:pPr>
        <w:pStyle w:val="FirstParagraph"/>
      </w:pPr>
      <w:r>
        <w:t xml:space="preserve">Ballora et al. (2010)</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21" w:name="earthquakes"/>
      <w:r>
        <w:t xml:space="preserve">Earthquakes</w:t>
      </w:r>
      <w:bookmarkEnd w:id="121"/>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22" w:name="gpu-based-waveforms"/>
      <w:r>
        <w:t xml:space="preserve">GPU-based waveforms</w:t>
      </w:r>
      <w:bookmarkEnd w:id="122"/>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23"/>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5"/>
      </w:r>
      <w:r>
        <w:t xml:space="preserve">, they used the generated waveforms as a database, composing each waveform together with their visual generators as a collage.</w:t>
      </w:r>
    </w:p>
    <w:p>
      <w:pPr>
        <w:pStyle w:val="Heading5"/>
      </w:pPr>
      <w:bookmarkStart w:id="127" w:name="ucanny-faces"/>
      <w:r>
        <w:t xml:space="preserve">Ucanny Faces</w:t>
      </w:r>
      <w:bookmarkEnd w:id="127"/>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8" w:name="sonification:software"/>
      <w:r>
        <w:t xml:space="preserve">Sonification Software</w:t>
      </w:r>
      <w:bookmarkEnd w:id="128"/>
    </w:p>
    <w:p>
      <w:pPr>
        <w:pStyle w:val="Heading5"/>
      </w:pPr>
      <w:bookmarkStart w:id="129" w:name="sonart"/>
      <w:r>
        <w:t xml:space="preserve">SonArt</w:t>
      </w:r>
      <w:bookmarkEnd w:id="129"/>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30" w:name="dataplayer"/>
      <w:r>
        <w:t xml:space="preserve">DataPlayer</w:t>
      </w:r>
      <w:bookmarkEnd w:id="130"/>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31" w:name="madbpm"/>
      <w:r>
        <w:t xml:space="preserve">madBPM</w:t>
      </w:r>
      <w:bookmarkEnd w:id="131"/>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32" w:name="computer_music"/>
      <w:r>
        <w:t xml:space="preserve">Computer Music</w:t>
      </w:r>
      <w:bookmarkEnd w:id="132"/>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4"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33"/>
                    <a:stretch>
                      <a:fillRect/>
                    </a:stretch>
                  </pic:blipFill>
                  <pic:spPr bwMode="auto">
                    <a:xfrm>
                      <a:off x="0" y="0"/>
                      <a:ext cx="1181100" cy="863600"/>
                    </a:xfrm>
                    <a:prstGeom prst="rect">
                      <a:avLst/>
                    </a:prstGeom>
                    <a:noFill/>
                    <a:ln w="9525">
                      <a:noFill/>
                      <a:headEnd/>
                      <a:tailEnd/>
                    </a:ln>
                  </pic:spPr>
                </pic:pic>
              </a:graphicData>
            </a:graphic>
          </wp:inline>
        </w:drawing>
      </w:r>
      <w:bookmarkEnd w:id="134"/>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5" w:name="computer:sssp"/>
      <w:r>
        <w:t xml:space="preserve">Hierarchical environments</w:t>
      </w:r>
      <w:bookmarkEnd w:id="13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6" w:name="reducing-cognitive-burden"/>
      <w:r>
        <w:t xml:space="preserve">Reducing cognitive burden</w:t>
      </w:r>
      <w:bookmarkEnd w:id="136"/>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7"/>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8" w:name="a-hierarchical-representation"/>
      <w:r>
        <w:t xml:space="preserve">A Hierarchical Representation</w:t>
      </w:r>
      <w:bookmarkEnd w:id="13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9" w:name="black-boxing"/>
      <w:r>
        <w:t xml:space="preserve">Black-boxing</w:t>
      </w:r>
      <w:bookmarkEnd w:id="139"/>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40" w:name="computer:free"/>
      <w:r>
        <w:t xml:space="preserve">Generality and Portability</w:t>
      </w:r>
      <w:bookmarkEnd w:id="14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41" w:name="computer:vanilla"/>
      <w:r>
        <w:t xml:space="preserve">Simplification</w:t>
      </w:r>
      <w:bookmarkEnd w:id="14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42" w:name="computer:balance"/>
      <w:r>
        <w:t xml:space="preserve">Balance</w:t>
      </w:r>
      <w:bookmarkEnd w:id="142"/>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4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4" w:name="img:truax_generality_b"/>
      <w:r>
        <w:t xml:space="preserve">[img:truax_generality_b]</w:t>
      </w:r>
      <w:bookmarkEnd w:id="14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5" w:name="applications:notation"/>
      <w:r>
        <w:t xml:space="preserve">Music Notation Software</w:t>
      </w:r>
      <w:bookmarkEnd w:id="145"/>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6" w:name="darms-and-score"/>
      <w:r>
        <w:t xml:space="preserve">DARMS and SCORE</w:t>
      </w:r>
      <w:bookmarkEnd w:id="146"/>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7" w:name="from-staves-to-speakers"/>
      <w:r>
        <w:t xml:space="preserve">From Staves to Speakers</w:t>
      </w:r>
      <w:bookmarkEnd w:id="147"/>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8" w:name="theoretical-performance"/>
      <w:r>
        <w:t xml:space="preserve">Theoretical Performance</w:t>
      </w:r>
      <w:bookmarkEnd w:id="14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9" w:name="enter-objects"/>
      <w:r>
        <w:t xml:space="preserve">Enter Objects</w:t>
      </w:r>
      <w:bookmarkEnd w:id="149"/>
    </w:p>
    <w:p>
      <w:pPr>
        <w:pStyle w:val="CaptionedFigure"/>
      </w:pPr>
      <w:bookmarkStart w:id="151"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50"/>
                    <a:stretch>
                      <a:fillRect/>
                    </a:stretch>
                  </pic:blipFill>
                  <pic:spPr bwMode="auto">
                    <a:xfrm>
                      <a:off x="0" y="0"/>
                      <a:ext cx="5334000" cy="1616153"/>
                    </a:xfrm>
                    <a:prstGeom prst="rect">
                      <a:avLst/>
                    </a:prstGeom>
                    <a:noFill/>
                    <a:ln w="9525">
                      <a:noFill/>
                      <a:headEnd/>
                      <a:tailEnd/>
                    </a:ln>
                  </pic:spPr>
                </pic:pic>
              </a:graphicData>
            </a:graphic>
          </wp:inline>
        </w:drawing>
      </w:r>
      <w:bookmarkEnd w:id="151"/>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52" w:name="computer:real-time"/>
      <w:r>
        <w:t xml:space="preserve">Max</w:t>
      </w:r>
      <w:bookmarkEnd w:id="152"/>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53"/>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4" w:name="computer:kyma"/>
      <w:r>
        <w:t xml:space="preserve">Kyma</w:t>
      </w:r>
      <w:bookmarkEnd w:id="154"/>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5"/>
      </w:r>
    </w:p>
    <w:p>
      <w:pPr>
        <w:pStyle w:val="Heading5"/>
      </w:pPr>
      <w:bookmarkStart w:id="157" w:name="computer:puredata"/>
      <w:r>
        <w:t xml:space="preserve">Pure Data</w:t>
      </w:r>
      <w:bookmarkEnd w:id="157"/>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4.3.4.5.1</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8" w:name="openmusic"/>
      <w:r>
        <w:t xml:space="preserve">OpenMusic</w:t>
      </w:r>
      <w:bookmarkEnd w:id="158"/>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9" w:name="heaps-and-nodes"/>
      <w:r>
        <w:t xml:space="preserve">Heaps and Nodes</w:t>
      </w:r>
      <w:bookmarkEnd w:id="159"/>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60" w:name="applications"/>
      <w:r>
        <w:t xml:space="preserve">Applications</w:t>
      </w:r>
      <w:bookmarkEnd w:id="160"/>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 In this section, I provide a glimpse of the many shapes that this reconfiguration has taken, some in the form of artistic ventures, program extensions, and some as innovative research. In any case, these examples point to moments in which data structure design changed computer music.</w:t>
      </w:r>
    </w:p>
    <w:p>
      <w:pPr>
        <w:pStyle w:val="Heading4"/>
      </w:pPr>
      <w:bookmarkStart w:id="161" w:name="corpus-based"/>
      <w:r>
        <w:t xml:space="preserve">Corpus-based</w:t>
      </w:r>
      <w:bookmarkEnd w:id="161"/>
    </w:p>
    <w:p>
      <w:pPr>
        <w:pStyle w:val="Heading5"/>
      </w:pPr>
      <w:bookmarkStart w:id="162" w:name="concatenative"/>
      <w:r>
        <w:t xml:space="preserve">Concatenative</w:t>
      </w:r>
      <w:bookmarkEnd w:id="162"/>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w:t>
      </w:r>
    </w:p>
    <w:p>
      <w:pPr>
        <w:pStyle w:val="Heading5"/>
      </w:pPr>
      <w:bookmarkStart w:id="163" w:name="alternative-approaches-to-concatenation"/>
      <w:r>
        <w:t xml:space="preserve">Alternative approaches to concatenation</w:t>
      </w:r>
      <w:bookmarkEnd w:id="163"/>
    </w:p>
    <w:p>
      <w:pPr>
        <w:pStyle w:val="FirstParagraph"/>
      </w:pPr>
      <w:r>
        <w:t xml:space="preserve">Kobayashi (2003)</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 very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w:t>
      </w:r>
    </w:p>
    <w:p>
      <w:pPr>
        <w:pStyle w:val="Heading5"/>
      </w:pPr>
      <w:bookmarkStart w:id="164" w:name="orchestration"/>
      <w:r>
        <w:t xml:space="preserve">Orchestration</w:t>
      </w:r>
      <w:bookmarkEnd w:id="164"/>
    </w:p>
    <w:p>
      <w:pPr>
        <w:pStyle w:val="FirstParagraph"/>
      </w:pPr>
      <w:r>
        <w:t xml:space="preserve">“</w:t>
      </w:r>
      <w:r>
        <w:t xml:space="preserve">a new tool for computer-aided orchestration, with which composers can specify a target sound and replicate it with a given, pre-determined orchestra</w:t>
      </w:r>
      <w:r>
        <w:t xml:space="preserve">”</w:t>
      </w:r>
      <w:r>
        <w:t xml:space="preserve"> </w:t>
      </w:r>
      <w:r>
        <w:t xml:space="preserve">(Carpentier et al. 2006)</w:t>
      </w:r>
      <w:r>
        <w:t xml:space="preserve"> </w:t>
      </w:r>
      <w:r>
        <w:t xml:space="preserve">two paradigms:</w:t>
      </w:r>
      <w:r>
        <w:t xml:space="preserve"> </w:t>
      </w:r>
      <w:r>
        <w:t xml:space="preserve">“</w:t>
      </w:r>
      <w:r>
        <w:t xml:space="preserve">must be reasonably small and understandable to a composer.</w:t>
      </w:r>
      <w:r>
        <w:t xml:space="preserve">”</w:t>
      </w:r>
      <w:r>
        <w:t xml:space="preserve"> </w:t>
      </w:r>
      <w:r>
        <w:t xml:space="preserve">“</w:t>
      </w:r>
      <w:r>
        <w:t xml:space="preserve">as interactive as possible, giving the user full control of each step of the orchestration process.</w:t>
      </w:r>
      <w:r>
        <w:t xml:space="preserve">”</w:t>
      </w:r>
    </w:p>
    <w:p>
      <w:pPr>
        <w:pStyle w:val="Heading5"/>
      </w:pPr>
      <w:bookmarkStart w:id="165" w:name="software-libraries"/>
      <w:r>
        <w:t xml:space="preserve">Software Libraries</w:t>
      </w:r>
      <w:bookmarkEnd w:id="165"/>
    </w:p>
    <w:p>
      <w:pPr>
        <w:pStyle w:val="FirstParagraph"/>
      </w:pPr>
      <w:r>
        <w:t xml:space="preserve">Scwharz designed</w:t>
      </w:r>
      <w:r>
        <w:t xml:space="preserve"> </w:t>
      </w:r>
      <w:r>
        <w:t xml:space="preserve">catart</w:t>
      </w:r>
      <w:r>
        <w:t xml:space="preserve"> </w:t>
      </w:r>
      <w:r>
        <w:t xml:space="preserve">as a concatenative synthesis toolkit</w:t>
      </w:r>
      <w:r>
        <w:t xml:space="preserve"> </w:t>
      </w:r>
      <w:r>
        <w:t xml:space="preserve">(Schwarz 2006b)</w:t>
      </w:r>
      <w:r>
        <w:t xml:space="preserve">, and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BodyText"/>
      </w:pP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w:t>
      </w:r>
    </w:p>
    <w:p>
      <w:pPr>
        <w:pStyle w:val="BodyText"/>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w:t>
      </w:r>
      <w:r>
        <w:t xml:space="preserve"> </w:t>
      </w:r>
      <w:r>
        <w:t xml:space="preserve">bfcc</w:t>
      </w:r>
      <w:r>
        <w:t xml:space="preserve"> </w:t>
      </w:r>
      <w:r>
        <w:t xml:space="preserve">performed on multiple successive analysis windows was the most efficient way to do so. Thus, a database of percussive sounds could be navigated by performing this type of analysis, enabling a fast and</w:t>
      </w:r>
      <w:r>
        <w:t xml:space="preserve"> </w:t>
      </w:r>
      <w:r>
        <w:t xml:space="preserve">cpu</w:t>
      </w:r>
      <w:r>
        <w:t xml:space="preserve">-inexpensive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BodyText"/>
      </w:pPr>
      <w:r>
        <w:t xml:space="preserve">essentia</w:t>
      </w:r>
      <w:r>
        <w:t xml:space="preserve"> </w:t>
      </w:r>
      <w:r>
        <w:t xml:space="preserve">(Bogdanov et al. 2013)</w:t>
      </w:r>
    </w:p>
    <w:p>
      <w:pPr>
        <w:pStyle w:val="Heading4"/>
      </w:pPr>
      <w:bookmarkStart w:id="166" w:name="training"/>
      <w:r>
        <w:t xml:space="preserve">Training</w:t>
      </w:r>
      <w:bookmarkEnd w:id="166"/>
    </w:p>
    <w:p>
      <w:pPr>
        <w:pStyle w:val="Heading5"/>
      </w:pPr>
      <w:bookmarkStart w:id="167" w:name="computer:cypher"/>
      <w:r>
        <w:t xml:space="preserve">Interactive Systems</w:t>
      </w:r>
      <w:bookmarkEnd w:id="16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w:t>
      </w:r>
      <w:r>
        <w:t xml:space="preserve"> </w:t>
      </w:r>
      <w:r>
        <w:t xml:space="preserve">“</w:t>
      </w:r>
      <w:r>
        <w:t xml:space="preserve">The feature space representation …tends to treat parameters of the sound-pressure waves carrying musical percepts as central. Register, loudness, and density are all primary components of the representation</w:t>
      </w:r>
      <w:r>
        <w:t xml:space="preserve">”</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w:t>
      </w:r>
      <w:r>
        <w:t xml:space="preserve"> </w:t>
      </w:r>
      <w:r>
        <w:t xml:space="preserve">“</w:t>
      </w:r>
      <w:r>
        <w:t xml:space="preserve">Cypher’s listener and player are organized hierarchically, though these hierarchies tend toward Narmour’s network ideas rather than the more strictly structured trees of Lerdahl and Jackendoff</w:t>
      </w:r>
      <w:r>
        <w:t xml:space="preserve">”</w:t>
      </w:r>
      <w:r>
        <w:t xml:space="preserve"> </w:t>
      </w:r>
      <w:r>
        <w:t xml:space="preserve">(Rowe 1992 Chapter 4.3)</w:t>
      </w:r>
      <w:r>
        <w:t xml:space="preserve">.</w:t>
      </w:r>
    </w:p>
    <w:p>
      <w:pPr>
        <w:pStyle w:val="BodyText"/>
      </w:pPr>
      <w:r>
        <w:t xml:space="preserve">Schöner et al. (1998)</w:t>
      </w:r>
      <w:r>
        <w:t xml:space="preserve"> </w:t>
      </w:r>
      <w:r>
        <w:t xml:space="preserve">(Schöner et al. 1998)</w:t>
      </w:r>
      <w:r>
        <w:t xml:space="preserve"> </w:t>
      </w:r>
      <w:r>
        <w:t xml:space="preserve">proposed an intermediate synthesis technique between sampling and physical modeling, by training a computational model with sensor data of a violin performer paired with its respective sound signal. The resulting data-driven inference was implemented with a technique called</w:t>
      </w:r>
      <w:r>
        <w:t xml:space="preserve"> </w:t>
      </w:r>
      <w:r>
        <w:t xml:space="preserve">cwm</w:t>
      </w:r>
      <w:r>
        <w:t xml:space="preserve">,</w:t>
      </w:r>
      <w:r>
        <w:t xml:space="preserve"> </w:t>
      </w:r>
      <w:r>
        <w:t xml:space="preserve">“</w:t>
      </w:r>
      <w:r>
        <w:t xml:space="preserve">based on probability density estimation of a joint set of feature (control) and target (spectral/audio) data</w:t>
      </w:r>
      <w:r>
        <w:t xml:space="preserve">”</w:t>
      </w:r>
      <w:r>
        <w:t xml:space="preserve"> </w:t>
      </w:r>
      <w:r>
        <w:t xml:space="preserve">(Schöner et al. 1998)</w:t>
      </w:r>
      <w:r>
        <w:t xml:space="preserve">.</w:t>
      </w:r>
    </w:p>
    <w:p>
      <w:pPr>
        <w:pStyle w:val="BodyText"/>
      </w:pPr>
      <w:r>
        <w:t xml:space="preserve">Assayag et al. (1999)</w:t>
      </w:r>
      <w:r>
        <w:t xml:space="preserve">’s</w:t>
      </w:r>
      <w:r>
        <w:t xml:space="preserve"> </w:t>
      </w:r>
      <w:r>
        <w:t xml:space="preserve">omax</w:t>
      </w:r>
      <w:r>
        <w:t xml:space="preserve"> </w:t>
      </w:r>
      <w:r>
        <w:t xml:space="preserve">was an</w:t>
      </w:r>
      <w:r>
        <w:t xml:space="preserve"> </w:t>
      </w:r>
      <w:r>
        <w:t xml:space="preserve">ircam</w:t>
      </w:r>
      <w:r>
        <w:t xml:space="preserve"> </w:t>
      </w:r>
      <w:r>
        <w:t xml:space="preserve">project dedicated to real-time co-improvisation. This project was based on a dictionary</w:t>
      </w:r>
      <w:r>
        <w:t xml:space="preserve"> </w:t>
      </w:r>
      <w:r>
        <w:t xml:space="preserve">“</w:t>
      </w:r>
      <w:r>
        <w:t xml:space="preserve">universal prediction algorithm that provides a very general and flexible approach to machine learning in the domain of musical style</w:t>
      </w:r>
      <w:r>
        <w:t xml:space="preserve">”</w:t>
      </w:r>
      <w:r>
        <w:t xml:space="preserve"> </w:t>
      </w:r>
      <w:r>
        <w:t xml:space="preserve">(Assayag et al. 1999)</w:t>
      </w:r>
      <w:r>
        <w:t xml:space="preserve">.</w:t>
      </w:r>
      <w:r>
        <w:t xml:space="preserve"> </w:t>
      </w:r>
      <w:r>
        <w:t xml:space="preserve">omax</w:t>
      </w:r>
      <w:r>
        <w:t xml:space="preserve"> </w:t>
      </w:r>
      <w:r>
        <w:t xml:space="preserve">later was extended to video and audio features</w:t>
      </w:r>
      <w:r>
        <w:t xml:space="preserve"> </w:t>
      </w:r>
      <w:r>
        <w:t xml:space="preserve">(Bloch &amp; Dubnov 2008)</w:t>
      </w:r>
      <w:r>
        <w:t xml:space="preserve">.</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w:t>
      </w:r>
    </w:p>
    <w:p>
      <w:pPr>
        <w:pStyle w:val="BodyText"/>
      </w:pPr>
      <w:r>
        <w:t xml:space="preserve">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w:t>
      </w:r>
      <w:r>
        <w:t xml:space="preserve"> </w:t>
      </w:r>
      <w:r>
        <w:t xml:space="preserve">edm</w:t>
      </w:r>
      <w:r>
        <w:t xml:space="preserve">.</w:t>
      </w:r>
    </w:p>
    <w:p>
      <w:pPr>
        <w:pStyle w:val="Heading4"/>
      </w:pPr>
      <w:bookmarkStart w:id="168" w:name="querying-methods"/>
      <w:r>
        <w:t xml:space="preserve">Querying Methods</w:t>
      </w:r>
      <w:bookmarkEnd w:id="168"/>
    </w:p>
    <w:p>
      <w:pPr>
        <w:pStyle w:val="Heading5"/>
      </w:pPr>
      <w:bookmarkStart w:id="169" w:name="query-by-content"/>
      <w:r>
        <w:t xml:space="preserve">Query-by-content</w:t>
      </w:r>
      <w:bookmarkEnd w:id="169"/>
    </w:p>
    <w:p>
      <w:pPr>
        <w:pStyle w:val="FirstParagraph"/>
      </w:pPr>
      <w:r>
        <w:t xml:space="preserve">One of the innovations that brought together</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queries, these keywords relating to content enable</w:t>
      </w:r>
      <w:r>
        <w:t xml:space="preserve"> </w:t>
      </w:r>
      <w:r>
        <w:t xml:space="preserve">‘</w:t>
      </w:r>
      <w:r>
        <w:t xml:space="preserve">query-by-content</w:t>
      </w:r>
      <w:r>
        <w:t xml:space="preserve">’</w:t>
      </w:r>
      <w:r>
        <w:t xml:space="preserve"> </w:t>
      </w:r>
      <w:r>
        <w:t xml:space="preserve">database searches. Today, many online databases such as</w:t>
      </w:r>
      <w:r>
        <w:t xml:space="preserve"> </w:t>
      </w:r>
      <w:r>
        <w:t xml:space="preserve">freesound</w:t>
      </w:r>
      <w:r>
        <w:t xml:space="preserve"> </w:t>
      </w:r>
      <w:r>
        <w:t xml:space="preserve">or</w:t>
      </w:r>
      <w:r>
        <w:t xml:space="preserve"> </w:t>
      </w:r>
      <w:r>
        <w:t xml:space="preserve">looperman</w:t>
      </w:r>
      <w:r>
        <w:t xml:space="preserve"> </w:t>
      </w:r>
      <w:r>
        <w:t xml:space="preserve">already enable this type of querying. The</w:t>
      </w:r>
      <w:r>
        <w:t xml:space="preserve"> </w:t>
      </w:r>
      <w:r>
        <w:t xml:space="preserve">cuidado</w:t>
      </w:r>
      <w:r>
        <w:t xml:space="preserve"> </w:t>
      </w:r>
      <w:r>
        <w:t xml:space="preserve">project at</w:t>
      </w:r>
      <w:r>
        <w:t xml:space="preserve"> </w:t>
      </w:r>
      <w:r>
        <w:t xml:space="preserve">ircam</w:t>
      </w:r>
      <w:r>
        <w:t xml:space="preserve"> </w:t>
      </w:r>
      <w:r>
        <w:t xml:space="preserve">(Vinet et al. 2002a,b; Vinet 2005)</w:t>
      </w:r>
      <w:r>
        <w:t xml:space="preserve"> </w:t>
      </w:r>
      <w:r>
        <w:t xml:space="preserve">consisted of a database system aimed at content-based querying of audio files. This project enabled</w:t>
      </w:r>
      <w:r>
        <w:t xml:space="preserve"> </w:t>
      </w:r>
      <w:r>
        <w:t xml:space="preserve">djs</w:t>
      </w:r>
      <w:r>
        <w:t xml:space="preserve"> </w:t>
      </w:r>
      <w:r>
        <w:t xml:space="preserve">to browse through files, apply beat-synchronized transitions between them, and many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 such as</w:t>
      </w:r>
      <w:r>
        <w:t xml:space="preserve"> </w:t>
      </w:r>
      <w:r>
        <w:rPr>
          <w:i/>
        </w:rPr>
        <w:t xml:space="preserve">Data Jockey</w:t>
      </w:r>
      <w:r>
        <w:t xml:space="preserve"> </w:t>
      </w:r>
      <w:r>
        <w:t xml:space="preserve">(Norman &amp; Amatriain 2007)</w:t>
      </w:r>
      <w:r>
        <w:t xml:space="preserve">. Besides other</w:t>
      </w:r>
      <w:r>
        <w:t xml:space="preserve"> </w:t>
      </w:r>
      <w:r>
        <w:t xml:space="preserve">mir</w:t>
      </w:r>
      <w:r>
        <w:t xml:space="preserve"> </w:t>
      </w:r>
      <w:r>
        <w:t xml:space="preserve">techniques such as beat recognition and synchronization, with this software</w:t>
      </w:r>
      <w:r>
        <w:t xml:space="preserve"> </w:t>
      </w:r>
      <w:r>
        <w:t xml:space="preserve">Norman &amp; Amatriain (2007)</w:t>
      </w:r>
      <w:r>
        <w:t xml:space="preserve"> </w:t>
      </w:r>
      <w:r>
        <w:t xml:space="preserve">enabled users generation of personalized audio description databases that could be queried by tags and metadata, but most importantly by content.</w:t>
      </w:r>
    </w:p>
    <w:p>
      <w:pPr>
        <w:pStyle w:val="Heading5"/>
      </w:pPr>
      <w:bookmarkStart w:id="170" w:name="similarities"/>
      <w:r>
        <w:t xml:space="preserve">Similarities</w:t>
      </w:r>
      <w:bookmarkEnd w:id="170"/>
    </w:p>
    <w:p>
      <w:pPr>
        <w:pStyle w:val="FirstParagraph"/>
      </w:pPr>
      <w:r>
        <w:t xml:space="preserve">Real-time uses of content-based querying result in a much different approach. Instead of typing the descriptive keyword, users would be able to input sounds (by singing or by providing any other sample array) in order to obtain a target sound file from an audio database. These systems generally use spectral similarities between the incoming signal from a microphone to obtain matches from a database of audio segments. Concatenative syntesis uses this type of technique but for the single purpose of sample concatenation (at the analysis frame level). In this sense, concatenative synthesis is really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a software system dedicate to real-time matching of audio-visual streams by using audio input as feed for an audio shingling algorithm based on</w:t>
      </w:r>
      <w:r>
        <w:t xml:space="preserve"> </w:t>
      </w:r>
      <w:r>
        <w:t xml:space="preserve">lfccs</w:t>
      </w:r>
      <w:r>
        <w:t xml:space="preserve">.</w:t>
      </w:r>
      <w:r>
        <w:rPr>
          <w:rStyle w:val="FootnoteReference"/>
        </w:rPr>
        <w:footnoteReference w:id="171"/>
      </w:r>
    </w:p>
    <w:p>
      <w:pPr>
        <w:pStyle w:val="BodyText"/>
      </w:pPr>
      <w:r>
        <w:t xml:space="preserve">Navigating a database by way of similarities appeared in contexts other than performance workstations, as is the case with</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 they developed an installation with an interface to a relational database of percussive sounds.</w:t>
      </w:r>
      <w:r>
        <w:rPr>
          <w:rStyle w:val="FootnoteReference"/>
        </w:rPr>
        <w:footnoteReference w:id="172"/>
      </w:r>
      <w:r>
        <w:t xml:space="preserve"> </w:t>
      </w:r>
      <w:r>
        <w:t xml:space="preserve">This database contained information from some audio descriptors such as brightness, noisiness, and loudness of the beginning of each analyzed sound file. The participants were able to navigate a bank of percussion timbres based on basic spectral content. Frisson’s PhD dissertation</w:t>
      </w:r>
      <w:r>
        <w:t xml:space="preserve"> </w:t>
      </w:r>
      <w:r>
        <w:t xml:space="preserve">(Frisson 2015)</w:t>
      </w:r>
      <w:r>
        <w:t xml:space="preserve"> </w:t>
      </w:r>
      <w:r>
        <w:t xml:space="preserve">provides an overview of multimedia browsing by similarity.</w:t>
      </w:r>
    </w:p>
    <w:p>
      <w:pPr>
        <w:pStyle w:val="Heading5"/>
      </w:pPr>
      <w:bookmarkStart w:id="173" w:name="hybrid-queries"/>
      <w:r>
        <w:t xml:space="preserve">Hybrid Queries</w:t>
      </w:r>
      <w:bookmarkEnd w:id="173"/>
    </w:p>
    <w:p>
      <w:pPr>
        <w:pStyle w:val="FirstParagraph"/>
      </w:pPr>
      <w:r>
        <w:t xml:space="preserve">Some authors have managed to conjugate disparate database uses by hybridizing the queries. In this sense,</w:t>
      </w:r>
      <w:r>
        <w:t xml:space="preserve"> </w:t>
      </w:r>
      <w:r>
        <w:t xml:space="preserve">Caramiaux et al. (2011)</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case is</w:t>
      </w:r>
      <w:r>
        <w:t xml:space="preserve"> </w:t>
      </w:r>
      <w:r>
        <w:t xml:space="preserve">Cartwright &amp; Pardo (2014)</w:t>
      </w:r>
      <w:r>
        <w:t xml:space="preserve">’s preset query-by-voice</w:t>
      </w:r>
      <w:r>
        <w:t xml:space="preserve"> </w:t>
      </w:r>
      <w:r>
        <w:t xml:space="preserve">(Cartwright &amp; Pardo 2014)</w:t>
      </w:r>
      <w:r>
        <w:t xml:space="preserve">, where a database of computer synthesis parameters can be queried by vocal input. Thus, they enabled users to mimic sounds with their voices in order to obtain a target parameter that would approach the analyzed vocal sound. These modal translations represent only some of the many examples in the literature.</w:t>
      </w:r>
    </w:p>
    <w:p>
      <w:pPr>
        <w:pStyle w:val="Heading4"/>
      </w:pPr>
      <w:bookmarkStart w:id="174" w:name="traversing"/>
      <w:r>
        <w:t xml:space="preserve">Traversing</w:t>
      </w:r>
      <w:bookmarkEnd w:id="174"/>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5" w:name="sensorial-networks"/>
      <w:r>
        <w:t xml:space="preserve">Sensorial Networks</w:t>
      </w:r>
      <w:bookmarkEnd w:id="175"/>
    </w:p>
    <w:p>
      <w:pPr>
        <w:pStyle w:val="FirstParagraph"/>
      </w:pPr>
      <w:r>
        <w:t xml:space="preserve">Choi et al. (2000)</w:t>
      </w:r>
      <w:r>
        <w:t xml:space="preserve"> </w:t>
      </w:r>
      <w:r>
        <w:t xml:space="preserve">(Choi 2000, Choi et al. 2000)</w:t>
      </w:r>
      <w:r>
        <w:t xml:space="preserve"> </w:t>
      </w:r>
      <w:r>
        <w:t xml:space="preserve">designed the interactive installation at the Dorsky Gallery in NYC where she distributed a</w:t>
      </w:r>
      <w:r>
        <w:t xml:space="preserve"> </w:t>
      </w:r>
      <w:r>
        <w:t xml:space="preserve">‘</w:t>
      </w:r>
      <w:r>
        <w:t xml:space="preserve">sensorial network</w:t>
      </w:r>
      <w:r>
        <w:t xml:space="preserve">’</w:t>
      </w:r>
      <w:r>
        <w:t xml:space="preserve"> </w:t>
      </w:r>
      <w:r>
        <w:t xml:space="preserve">with a sound file database of speeches by famous leaders along the installation space.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w:t>
      </w:r>
      <w:r>
        <w:t xml:space="preserve">. In this sense, participants were able to walk the database itself. 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w:t>
      </w:r>
      <w:r>
        <w:t xml:space="preserve">.</w:t>
      </w:r>
    </w:p>
    <w:p>
      <w:pPr>
        <w:pStyle w:val="Heading5"/>
      </w:pPr>
      <w:bookmarkStart w:id="176" w:name="involuntary-navigation"/>
      <w:r>
        <w:t xml:space="preserve">Involuntary Navigation</w:t>
      </w:r>
      <w:bookmarkEnd w:id="176"/>
    </w:p>
    <w:p>
      <w:pPr>
        <w:pStyle w:val="FirstParagraph"/>
      </w:pPr>
      <w:r>
        <w:t xml:space="preserve">Hamilton (2006)</w:t>
      </w:r>
      <w:r>
        <w:t xml:space="preserve"> </w:t>
      </w:r>
      <w:r>
        <w:t xml:space="preserve">(Hamilton 2006)</w:t>
      </w:r>
      <w:r>
        <w:t xml:space="preserve"> </w:t>
      </w:r>
      <w:r>
        <w:t xml:space="preserve">used bioinformatic data taken from galvanic skin sensors attached to a cellist’s toes within a live performance environment.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7" w:name="networked-collaborations"/>
      <w:r>
        <w:t xml:space="preserve">Networked Collaborations</w:t>
      </w:r>
      <w:bookmarkEnd w:id="177"/>
    </w:p>
    <w:p>
      <w:pPr>
        <w:pStyle w:val="FirstParagraph"/>
      </w:pPr>
      <w:r>
        <w:t xml:space="preserve">Nakamoto &amp; Kuhara (2007)</w:t>
      </w:r>
      <w:r>
        <w:t xml:space="preserve"> </w:t>
      </w:r>
      <w:r>
        <w:t xml:space="preserve">(Nakamoto &amp; Kuhara 2007)</w:t>
      </w:r>
      <w:r>
        <w:t xml:space="preserve"> </w:t>
      </w:r>
      <w:r>
        <w:t xml:space="preserve">devised a networked performance system using a</w:t>
      </w:r>
      <w:r>
        <w:t xml:space="preserve"> </w:t>
      </w:r>
      <w:r>
        <w:t xml:space="preserve">mysql</w:t>
      </w:r>
      <w:r>
        <w:t xml:space="preserve"> </w:t>
      </w:r>
      <w:r>
        <w:t xml:space="preserve">database to store and retrieve vocal parts enabling performers to sing together in canon form from distant locations. Telematic performances have spawned ever since Internet connectivity enabled networked audio and video feeds.</w:t>
      </w:r>
      <w:r>
        <w:t xml:space="preserve"> </w:t>
      </w:r>
      <w:r>
        <w:t xml:space="preserve">Whalley (2014)</w:t>
      </w:r>
      <w:r>
        <w:t xml:space="preserve"> </w:t>
      </w:r>
      <w:r>
        <w:t xml:space="preserve">(Whalley 2014)</w:t>
      </w:r>
      <w:r>
        <w:t xml:space="preserve">, however, 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w:t>
      </w:r>
    </w:p>
    <w:p>
      <w:pPr>
        <w:pStyle w:val="Heading5"/>
      </w:pPr>
      <w:bookmarkStart w:id="178" w:name="mobile-devices"/>
      <w:r>
        <w:t xml:space="preserve">Mobile Devices</w:t>
      </w:r>
      <w:bookmarkEnd w:id="178"/>
    </w:p>
    <w:p>
      <w:pPr>
        <w:pStyle w:val="FirstParagraph"/>
      </w:pPr>
      <w:r>
        <w:t xml:space="preserve">The mobility that networks enabled can be represented in the work of</w:t>
      </w:r>
      <w:r>
        <w:t xml:space="preserve"> </w:t>
      </w:r>
      <w:r>
        <w:t xml:space="preserve">Liu et al. (2013)</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(Taylor et al. 2014)</w:t>
      </w:r>
      <w:r>
        <w:t xml:space="preserve"> </w:t>
      </w:r>
      <w:r>
        <w:t xml:space="preserve">also implemented a centralized database within their platform for mobile-device performance, so that user-created interfaces could be saved and shared.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While the title of the work refers to the potentials and the ubiquity of small transducers, the</w:t>
      </w:r>
      <w:r>
        <w:t xml:space="preserve"> </w:t>
      </w:r>
      <w:r>
        <w:t xml:space="preserve">‘</w:t>
      </w:r>
      <w:r>
        <w:t xml:space="preserve">score</w:t>
      </w:r>
      <w:r>
        <w:t xml:space="preserve">’</w:t>
      </w:r>
      <w:r>
        <w:t xml:space="preserve"> </w:t>
      </w:r>
      <w:r>
        <w:t xml:space="preserve">of the work lives on a server and travels wirelessly to the audience.</w:t>
      </w:r>
    </w:p>
    <w:p>
      <w:pPr>
        <w:pStyle w:val="Heading5"/>
      </w:pPr>
      <w:bookmarkStart w:id="179" w:name="live-coding"/>
      <w:r>
        <w:t xml:space="preserve">Live Coding</w:t>
      </w:r>
      <w:bookmarkEnd w:id="179"/>
    </w:p>
    <w:p>
      <w:pPr>
        <w:pStyle w:val="FirstParagraph"/>
      </w:pPr>
      <w:r>
        <w:t xml:space="preserve">Live coding has now a long history and it can be said that it constitutes a fair portion of the computer music scene today. In terms of database performance, the practice of live coding in audio or in video, constitutes a cutting edge that exposes both computer technology and art performance in simultaneity.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t>
      </w:r>
      <w:r>
        <w:t xml:space="preserve">(Roberts et al. 2014)</w:t>
      </w:r>
      <w:r>
        <w:t xml:space="preserve">, who implemented within Gibber (a real-time live coding web-based environment) 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w:t>
      </w:r>
      <w:r>
        <w:t xml:space="preserve"> </w:t>
      </w:r>
      <w:r>
        <w:t xml:space="preserve">Xambo et al. (2018)</w:t>
      </w:r>
      <w:r>
        <w:t xml:space="preserve">’s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resource-sharing"/>
      <w:r>
        <w:t xml:space="preserve">Resource Sharing</w:t>
      </w:r>
      <w:bookmarkEnd w:id="180"/>
    </w:p>
    <w:p>
      <w:pPr>
        <w:pStyle w:val="Heading5"/>
      </w:pPr>
      <w:bookmarkStart w:id="181" w:name="graphic_scores"/>
      <w:r>
        <w:t xml:space="preserve">Graphic Scores</w:t>
      </w:r>
      <w:bookmarkEnd w:id="181"/>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 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 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Heading5"/>
      </w:pPr>
      <w:bookmarkStart w:id="182" w:name="formats"/>
      <w:r>
        <w:t xml:space="preserve">Formats</w:t>
      </w:r>
      <w:bookmarkEnd w:id="182"/>
    </w:p>
    <w:p>
      <w:pPr>
        <w:pStyle w:val="FirstParagraph"/>
      </w:pPr>
      <w:r>
        <w:t xml:space="preserve">The</w:t>
      </w:r>
      <w:r>
        <w:t xml:space="preserve"> </w:t>
      </w:r>
      <w:r>
        <w:t xml:space="preserve">sdif</w:t>
      </w:r>
      <w:r>
        <w:t xml:space="preserve"> </w:t>
      </w:r>
      <w:r>
        <w:t xml:space="preserve">and the</w:t>
      </w:r>
      <w:r>
        <w:t xml:space="preserve"> </w:t>
      </w:r>
      <w:r>
        <w:t xml:space="preserve">gdif</w:t>
      </w:r>
      <w:r>
        <w:t xml:space="preserve">, widely used in audio analysis software like</w:t>
      </w:r>
      <w:r>
        <w:t xml:space="preserve"> </w:t>
      </w:r>
      <w:r>
        <w:t xml:space="preserve">spear</w:t>
      </w:r>
      <w:r>
        <w:t xml:space="preserve">, OpenMusic</w:t>
      </w:r>
      <w:r>
        <w:t xml:space="preserve"> </w:t>
      </w:r>
      <w:r>
        <w:t xml:space="preserve">(Bresson &amp; Agon 2004, Nymoen &amp; Jensenius 2011)</w:t>
      </w:r>
      <w:r>
        <w:t xml:space="preserve">, among others.</w:t>
      </w:r>
    </w:p>
    <w:p>
      <w:pPr>
        <w:pStyle w:val="BodyText"/>
      </w:pPr>
      <w:r>
        <w:t xml:space="preserve">Bresson &amp; Agon (2004)</w:t>
      </w:r>
      <w:r>
        <w:t xml:space="preserve"> </w:t>
      </w:r>
      <w:r>
        <w:t xml:space="preserve">(Bresson &amp; Agon 2004)</w:t>
      </w:r>
      <w:r>
        <w:t xml:space="preserve"> </w:t>
      </w:r>
      <w:r>
        <w:t xml:space="preserve">used the</w:t>
      </w:r>
      <w:r>
        <w:t xml:space="preserve"> </w:t>
      </w:r>
      <w:r>
        <w:t xml:space="preserve">sdif</w:t>
      </w:r>
      <w:r>
        <w:t xml:space="preserve"> </w:t>
      </w:r>
      <w:r>
        <w:t xml:space="preserve">format for spatialization data.</w:t>
      </w:r>
    </w:p>
    <w:p>
      <w:pPr>
        <w:pStyle w:val="BodyText"/>
      </w:pPr>
      <w:r>
        <w:t xml:space="preserve">Bullock &amp; Frisk (2009)</w:t>
      </w:r>
      <w:r>
        <w:t xml:space="preserve"> </w:t>
      </w:r>
      <w:r>
        <w:t xml:space="preserve">(Bullock &amp; Frisk 2009)</w:t>
      </w:r>
      <w:r>
        <w:t xml:space="preserve"> </w:t>
      </w:r>
      <w:r>
        <w:t xml:space="preserve">implemented within their</w:t>
      </w:r>
      <w:r>
        <w:t xml:space="preserve"> </w:t>
      </w:r>
      <w:r>
        <w:rPr>
          <w:i/>
        </w:rPr>
        <w:t xml:space="preserve">Integra</w:t>
      </w:r>
      <w:r>
        <w:t xml:space="preserve"> </w:t>
      </w:r>
      <w:r>
        <w:t xml:space="preserve">project a data format for sharing between different multimedia environments. Based on previous work on file formats, they developed the</w:t>
      </w:r>
      <w:r>
        <w:t xml:space="preserve"> </w:t>
      </w:r>
      <w:r>
        <w:t xml:space="preserve">ixd</w:t>
      </w:r>
      <w:r>
        <w:t xml:space="preserve"> </w:t>
      </w:r>
      <w:r>
        <w:t xml:space="preserve">format which is capable of containing sequences, tags and meta-data, and presets. Their argument for a semi-structured model resided in the semantic richness that can be allocated in opposition to the binary format only readable by machines. To this end, the implemented their specifications using the</w:t>
      </w:r>
      <w:r>
        <w:t xml:space="preserve"> </w:t>
      </w:r>
      <w:r>
        <w:t xml:space="preserve">xml</w:t>
      </w:r>
      <w:r>
        <w:t xml:space="preserve"> </w:t>
      </w:r>
      <w:r>
        <w:t xml:space="preserve">language. Further formats are</w:t>
      </w:r>
      <w:r>
        <w:t xml:space="preserve"> </w:t>
      </w:r>
      <w:r>
        <w:t xml:space="preserve">metrixml</w:t>
      </w:r>
      <w:r>
        <w:t xml:space="preserve">, developed by Amatriain in</w:t>
      </w:r>
      <w:r>
        <w:t xml:space="preserve"> </w:t>
      </w:r>
      <w:r>
        <w:t xml:space="preserve">(Amatriain 2004)</w:t>
      </w:r>
      <w:r>
        <w:t xml:space="preserve">),</w:t>
      </w:r>
      <w:r>
        <w:t xml:space="preserve"> </w:t>
      </w:r>
      <w:r>
        <w:t xml:space="preserve">smil</w:t>
      </w:r>
      <w:r>
        <w:t xml:space="preserve">, and the</w:t>
      </w:r>
      <w:r>
        <w:t xml:space="preserve"> </w:t>
      </w:r>
      <w:r>
        <w:rPr>
          <w:rStyle w:val="VerbatimChar"/>
        </w:rPr>
        <w:t xml:space="preserve">.timid</w:t>
      </w:r>
      <w:r>
        <w:t xml:space="preserve"> </w:t>
      </w:r>
      <w:r>
        <w:t xml:space="preserve">file used within .</w:t>
      </w:r>
    </w:p>
    <w:p>
      <w:pPr>
        <w:pStyle w:val="Heading5"/>
      </w:pPr>
      <w:bookmarkStart w:id="183" w:name="datasets"/>
      <w:r>
        <w:t xml:space="preserve">Datasets</w:t>
      </w:r>
      <w:bookmarkEnd w:id="183"/>
    </w:p>
    <w:p>
      <w:pPr>
        <w:pStyle w:val="FirstParagraph"/>
      </w:pPr>
      <w:r>
        <w:t xml:space="preserve">Jones et al. (2007)</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w:t>
      </w:r>
    </w:p>
    <w:p>
      <w:pPr>
        <w:pStyle w:val="BodyText"/>
      </w:pPr>
      <w:r>
        <w:t xml:space="preserve">Hochenbaum et al. (2010)</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w:t>
      </w:r>
    </w:p>
    <w:p>
      <w:pPr>
        <w:pStyle w:val="BodyText"/>
      </w:pPr>
      <w:r>
        <w:t xml:space="preserve">Garcı́a et al. (2011)</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w:t>
      </w:r>
      <w:r>
        <w:t xml:space="preserve"> </w:t>
      </w:r>
      <w:r>
        <w:t xml:space="preserve">Visi et al. (2017)</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BodyText"/>
      </w:pPr>
      <w:r>
        <w:t xml:space="preserve">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However, audio description and tagging continued to be an unsolved issue for</w:t>
      </w:r>
      <w:r>
        <w:t xml:space="preserve"> </w:t>
      </w:r>
      <w:r>
        <w:t xml:space="preserve">Xambo et al. (2012)</w:t>
      </w:r>
      <w:r>
        <w:t xml:space="preserve">. Therefore, they analyzed automatic data-clustering techniques and the extent to which they could reshape classification within open access databases</w:t>
      </w:r>
      <w:r>
        <w:t xml:space="preserve"> </w:t>
      </w:r>
      <w:r>
        <w:t xml:space="preserve">(Xambo et al. 2012)</w:t>
      </w:r>
      <w:r>
        <w:t xml:space="preserve">.</w:t>
      </w:r>
    </w:p>
    <w:p>
      <w:pPr>
        <w:pStyle w:val="Heading4"/>
      </w:pPr>
      <w:bookmarkStart w:id="184" w:name="intersections"/>
      <w:r>
        <w:t xml:space="preserve">Intersections</w:t>
      </w:r>
      <w:bookmarkEnd w:id="184"/>
    </w:p>
    <w:p>
      <w:pPr>
        <w:pStyle w:val="FirstParagraph"/>
      </w:pPr>
      <w:r>
        <w:t xml:space="preserve">Katayose &amp; Kawahara (1999)</w:t>
      </w:r>
      <w:r>
        <w:t xml:space="preserve"> </w:t>
      </w:r>
      <w:r>
        <w:t xml:space="preserve">used sensor data such as breath input, head movement, and finger positioning to enhance the sound analysis engine of the</w:t>
      </w:r>
      <w:r>
        <w:t xml:space="preserve"> </w:t>
      </w:r>
      <w:r>
        <w:t xml:space="preserve">straight</w:t>
      </w:r>
      <w:r>
        <w:t xml:space="preserve"> </w:t>
      </w:r>
      <w:r>
        <w:t xml:space="preserve">system, thus achieving more degrees of freedom when carrying out the sound synthesis</w:t>
      </w:r>
      <w:r>
        <w:t xml:space="preserve"> </w:t>
      </w:r>
      <w:r>
        <w:t xml:space="preserve">(Katayose &amp; Kawahara 1999)</w:t>
      </w:r>
      <w:r>
        <w:t xml:space="preserve">.</w:t>
      </w:r>
      <w:r>
        <w:rPr>
          <w:rStyle w:val="FootnoteReference"/>
        </w:rPr>
        <w:footnoteReference w:id="185"/>
      </w:r>
    </w:p>
    <w:p>
      <w:pPr>
        <w:pStyle w:val="BodyText"/>
      </w:pPr>
      <w:r>
        <w:t xml:space="preserve">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86"/>
      </w:r>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1"/>
      </w:pPr>
      <w:bookmarkStart w:id="187" w:name="chapter:Database_Aesthetics"/>
      <w:r>
        <w:t xml:space="preserve">Database Aesthetics</w:t>
      </w:r>
      <w:bookmarkEnd w:id="18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8" w:name="section:Listening_Databases"/>
      <w:r>
        <w:t xml:space="preserve">Listening Databases</w:t>
      </w:r>
      <w:bookmarkEnd w:id="188"/>
    </w:p>
    <w:p>
      <w:pPr>
        <w:pStyle w:val="Heading3"/>
      </w:pPr>
      <w:bookmarkStart w:id="189" w:name="resonance_of_a_return"/>
      <w:r>
        <w:t xml:space="preserve">The Resonance Of A Return</w:t>
      </w:r>
      <w:bookmarkEnd w:id="189"/>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90" w:name="sonorous-presence"/>
      <w:r>
        <w:t xml:space="preserve">Sonorous presence</w:t>
      </w:r>
      <w:bookmarkEnd w:id="190"/>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91" w:name="an-a-priori-filter"/>
      <w:r>
        <w:t xml:space="preserve">An a priori filter</w:t>
      </w:r>
      <w:bookmarkEnd w:id="191"/>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92" w:name="sonorous-presence-in-an-attack"/>
      <w:r>
        <w:t xml:space="preserve">Sonorous presence in an attack</w:t>
      </w:r>
      <w:bookmarkEnd w:id="192"/>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93" w:name="referrals-and-deferrals"/>
      <w:r>
        <w:t xml:space="preserve">Referrals and Deferrals</w:t>
      </w:r>
      <w:bookmarkEnd w:id="193"/>
    </w:p>
    <w:p>
      <w:pPr>
        <w:pStyle w:val="FirstParagraph"/>
      </w:pPr>
      <w:r>
        <w:t xml:space="preserve">The structure of the listening experience is one of infinite referrals and deferrals.</w:t>
      </w:r>
      <w:r>
        <w:rPr>
          <w:rStyle w:val="FootnoteReference"/>
        </w:rPr>
        <w:footnoteReference w:id="194"/>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5" w:name="a-loop"/>
      <w:r>
        <w:t xml:space="preserve">A Loop</w:t>
      </w:r>
      <w:bookmarkEnd w:id="195"/>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6" w:name="an-approach-to-self"/>
      <w:r>
        <w:t xml:space="preserve">An Approach to Self</w:t>
      </w:r>
      <w:bookmarkEnd w:id="196"/>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7"/>
      </w:r>
    </w:p>
    <w:p>
      <w:pPr>
        <w:pStyle w:val="Heading3"/>
      </w:pPr>
      <w:bookmarkStart w:id="198" w:name="network"/>
      <w:r>
        <w:t xml:space="preserve">Resonant Network</w:t>
      </w:r>
      <w:bookmarkEnd w:id="198"/>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9" w:name="an-illusory-violin"/>
      <w:r>
        <w:t xml:space="preserve">An Illusory Violin</w:t>
      </w:r>
      <w:bookmarkEnd w:id="199"/>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200" w:name="virtuality"/>
      <w:r>
        <w:t xml:space="preserve">Virtuality</w:t>
      </w:r>
      <w:bookmarkEnd w:id="200"/>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201" w:name="performativity-of-networks"/>
      <w:r>
        <w:t xml:space="preserve">Performativity of Networks</w:t>
      </w:r>
      <w:bookmarkEnd w:id="201"/>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202" w:name="a-resonant-movement-of-a-thing"/>
      <w:r>
        <w:t xml:space="preserve">A Resonant Movement of a Thing</w:t>
      </w:r>
      <w:bookmarkEnd w:id="202"/>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203" w:name="positive-feedback"/>
      <w:r>
        <w:t xml:space="preserve">Positive Feedback</w:t>
      </w:r>
      <w:bookmarkEnd w:id="203"/>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4" w:name="the-work-of-actors"/>
      <w:r>
        <w:t xml:space="preserve">The Work of Actors</w:t>
      </w:r>
      <w:bookmarkEnd w:id="204"/>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5" w:name="inoperativity"/>
      <w:r>
        <w:t xml:space="preserve">The Unworking Network</w:t>
      </w:r>
      <w:bookmarkEnd w:id="205"/>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6" w:name="community-as-unwork"/>
      <w:r>
        <w:t xml:space="preserve">Community as unwork</w:t>
      </w:r>
      <w:bookmarkEnd w:id="206"/>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7" w:name="resonant-inoperativity"/>
      <w:r>
        <w:t xml:space="preserve">Resonant Inoperativity</w:t>
      </w:r>
      <w:bookmarkEnd w:id="207"/>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8" w:name="space-of-community"/>
      <w:r>
        <w:t xml:space="preserve">Space of Community</w:t>
      </w:r>
      <w:bookmarkEnd w:id="208"/>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9" w:name="at-the-limit"/>
      <w:r>
        <w:t xml:space="preserve">At the Limit</w:t>
      </w:r>
      <w:bookmarkEnd w:id="209"/>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10" w:name="reticulated-skin"/>
      <w:r>
        <w:t xml:space="preserve">Reticulated Skin</w:t>
      </w:r>
      <w:bookmarkEnd w:id="210"/>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11" w:name="resistance-in-database-music"/>
      <w:r>
        <w:t xml:space="preserve">Resistance in Database Music</w:t>
      </w:r>
      <w:bookmarkEnd w:id="211"/>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12" w:name="section:Databases_And_Memory"/>
      <w:r>
        <w:t xml:space="preserve">Databases And Memory</w:t>
      </w:r>
      <w:bookmarkEnd w:id="212"/>
    </w:p>
    <w:p>
      <w:pPr>
        <w:pStyle w:val="Heading3"/>
      </w:pPr>
      <w:bookmarkStart w:id="213" w:name="funeslude"/>
      <w:r>
        <w:t xml:space="preserve">Interlude: Embodied Memory</w:t>
      </w:r>
      <w:bookmarkEnd w:id="213"/>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4"/>
      </w:r>
      <w:r>
        <w:t xml:space="preserve"> </w:t>
      </w:r>
      <w:r>
        <w:t xml:space="preserve">he was secluded in a dark and enclosed space so as not to perceive the world.</w:t>
      </w:r>
      <w:r>
        <w:rPr>
          <w:rStyle w:val="FootnoteReference"/>
        </w:rPr>
        <w:footnoteReference w:id="215"/>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6"/>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7"/>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8"/>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9"/>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21" w:name="human"/>
      <w:r>
        <w:t xml:space="preserve">The Effraction Of The Trace</w:t>
      </w:r>
      <w:bookmarkEnd w:id="221"/>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22"/>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23" w:name="memory-as-breaching"/>
      <w:r>
        <w:t xml:space="preserve">Memory as Breaching</w:t>
      </w:r>
      <w:bookmarkEnd w:id="223"/>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4" w:name="breaching-and-différance"/>
      <w:r>
        <w:t xml:space="preserve">Breaching and</w:t>
      </w:r>
      <w:r>
        <w:t xml:space="preserve"> </w:t>
      </w:r>
      <w:r>
        <w:rPr>
          <w:i/>
        </w:rPr>
        <w:t xml:space="preserve">différance</w:t>
      </w:r>
      <w:bookmarkEnd w:id="224"/>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5" w:name="hypomnesis-and-the-mystic-pad"/>
      <w:r>
        <w:t xml:space="preserve">Hypomnesis and the Mystic Pad</w:t>
      </w:r>
      <w:bookmarkEnd w:id="225"/>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6" w:name="nonhuman-authors"/>
      <w:r>
        <w:t xml:space="preserve">Nonhuman Authors</w:t>
      </w:r>
      <w:bookmarkEnd w:id="226"/>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7" w:name="database-as-agents"/>
      <w:r>
        <w:t xml:space="preserve">Database as Agents</w:t>
      </w:r>
      <w:bookmarkEnd w:id="227"/>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8" w:name="archontic"/>
      <w:r>
        <w:t xml:space="preserve">The Archontic Principle</w:t>
      </w:r>
      <w:bookmarkEnd w:id="228"/>
    </w:p>
    <w:p>
      <w:pPr>
        <w:pStyle w:val="Heading5"/>
      </w:pPr>
      <w:bookmarkStart w:id="229" w:name="archives-and-memory"/>
      <w:r>
        <w:t xml:space="preserve">Archives and Memory</w:t>
      </w:r>
      <w:bookmarkEnd w:id="229"/>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30" w:name="hierarchies"/>
      <w:r>
        <w:t xml:space="preserve">Hierarchies</w:t>
      </w:r>
      <w:bookmarkEnd w:id="230"/>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31" w:name="archontic-principle"/>
      <w:r>
        <w:t xml:space="preserve">Archontic Principle</w:t>
      </w:r>
      <w:bookmarkEnd w:id="231"/>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32" w:name="patriarchy"/>
      <w:r>
        <w:t xml:space="preserve">Patriarchy</w:t>
      </w:r>
      <w:bookmarkEnd w:id="232"/>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33" w:name="institutional-passage"/>
      <w:r>
        <w:t xml:space="preserve">Institutional Passage</w:t>
      </w:r>
      <w:bookmarkEnd w:id="233"/>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4" w:name="authorities"/>
      <w:r>
        <w:t xml:space="preserve">Authorities</w:t>
      </w:r>
      <w:bookmarkEnd w:id="234"/>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5" w:name="anarchic-memory"/>
      <w:r>
        <w:t xml:space="preserve">Anarchic Memory</w:t>
      </w:r>
      <w:bookmarkEnd w:id="235"/>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6" w:name="collective-memory"/>
      <w:r>
        <w:t xml:space="preserve">Collective Memory</w:t>
      </w:r>
      <w:bookmarkEnd w:id="236"/>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7" w:name="writing-code"/>
      <w:r>
        <w:t xml:space="preserve">Writing Code</w:t>
      </w:r>
      <w:bookmarkEnd w:id="237"/>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8"/>
      </w:r>
    </w:p>
    <w:p>
      <w:pPr>
        <w:pStyle w:val="Heading5"/>
      </w:pPr>
      <w:bookmarkStart w:id="240" w:name="anarchic-computer-memory"/>
      <w:r>
        <w:t xml:space="preserve">Anarchic Computer Memory</w:t>
      </w:r>
      <w:bookmarkEnd w:id="240"/>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41" w:name="spectrality"/>
      <w:r>
        <w:t xml:space="preserve">The Spectral Database</w:t>
      </w:r>
      <w:bookmarkEnd w:id="24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42" w:name="computer-memory-and-writing"/>
      <w:r>
        <w:t xml:space="preserve">Computer Memory and Writing</w:t>
      </w:r>
      <w:bookmarkEnd w:id="242"/>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43" w:name="memory-replacement"/>
      <w:r>
        <w:t xml:space="preserve">Memory Replacement</w:t>
      </w:r>
      <w:bookmarkEnd w:id="243"/>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4" w:name="anarchic-records"/>
      <w:r>
        <w:t xml:space="preserve">Anarchic Records</w:t>
      </w:r>
      <w:bookmarkEnd w:id="244"/>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5"/>
      </w:r>
      <w:r>
        <w:t xml:space="preserve"> </w:t>
      </w:r>
      <w:r>
        <w:t xml:space="preserve">becomes an archivization process, that is, a process by which symbolic transcription leads to an ordered archive, i.e., a score.</w:t>
      </w:r>
      <w:r>
        <w:rPr>
          <w:rStyle w:val="FootnoteReference"/>
        </w:rPr>
        <w:footnoteReference w:id="247"/>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8" w:name="memory-and-framing"/>
      <w:r>
        <w:t xml:space="preserve">Memory and Framing</w:t>
      </w:r>
      <w:bookmarkEnd w:id="248"/>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9" w:name="nonhuman-tympans"/>
      <w:r>
        <w:t xml:space="preserve">Nonhuman Tympans</w:t>
      </w:r>
      <w:bookmarkEnd w:id="249"/>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50" w:name="spectrality-of-archives"/>
      <w:r>
        <w:t xml:space="preserve">Spectrality of Archives</w:t>
      </w:r>
      <w:bookmarkEnd w:id="250"/>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51" w:name="spectrality-of-databases"/>
      <w:r>
        <w:t xml:space="preserve">Spectrality of Databases</w:t>
      </w:r>
      <w:bookmarkEnd w:id="251"/>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52" w:name="agency-of-the-uncanny"/>
      <w:r>
        <w:t xml:space="preserve">Agency of the Uncanny</w:t>
      </w:r>
      <w:bookmarkEnd w:id="252"/>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53" w:name="section:Performativity_Of_Databases"/>
      <w:r>
        <w:t xml:space="preserve">Performativity Of Databases</w:t>
      </w:r>
      <w:bookmarkEnd w:id="253"/>
    </w:p>
    <w:p>
      <w:pPr>
        <w:pStyle w:val="Heading3"/>
      </w:pPr>
      <w:bookmarkStart w:id="254" w:name="gender"/>
      <w:r>
        <w:t xml:space="preserve">Gendered Database</w:t>
      </w:r>
      <w:bookmarkEnd w:id="2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5" w:name="skin-of-the-database"/>
      <w:r>
        <w:t xml:space="preserve">Skin of the Database</w:t>
      </w:r>
      <w:bookmarkEnd w:id="255"/>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6" w:name="expressing-nothing"/>
      <w:r>
        <w:t xml:space="preserve">Expressing Nothing</w:t>
      </w:r>
      <w:bookmarkEnd w:id="256"/>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7" w:name="a-historical-situation"/>
      <w:r>
        <w:t xml:space="preserve">A Historical Situation</w:t>
      </w:r>
      <w:bookmarkEnd w:id="257"/>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8" w:name="subversive-repetition"/>
      <w:r>
        <w:t xml:space="preserve">Subversive Repetition</w:t>
      </w:r>
      <w:bookmarkEnd w:id="258"/>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9" w:name="gendered-database"/>
      <w:r>
        <w:t xml:space="preserve">Gendered Database</w:t>
      </w:r>
      <w:bookmarkEnd w:id="259"/>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60" w:name="limits"/>
      <w:r>
        <w:t xml:space="preserve">Towards The Limits</w:t>
      </w:r>
      <w:bookmarkEnd w:id="260"/>
    </w:p>
    <w:p>
      <w:pPr>
        <w:pStyle w:val="Heading5"/>
      </w:pPr>
      <w:bookmarkStart w:id="261" w:name="exposure"/>
      <w:r>
        <w:t xml:space="preserve">Exposure</w:t>
      </w:r>
      <w:bookmarkEnd w:id="261"/>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62" w:name="anarchic-touch"/>
      <w:r>
        <w:t xml:space="preserve">Anarchic Touch</w:t>
      </w:r>
      <w:bookmarkEnd w:id="262"/>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63" w:name="communities-of-skin"/>
      <w:r>
        <w:t xml:space="preserve">Communities of Skin</w:t>
      </w:r>
      <w:bookmarkEnd w:id="263"/>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4" w:name="hybrid-pluralities"/>
      <w:r>
        <w:t xml:space="preserve">Hybrid Pluralities</w:t>
      </w:r>
      <w:bookmarkEnd w:id="264"/>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5" w:name="style"/>
      <w:r>
        <w:t xml:space="preserve">Contingencies Of Style</w:t>
      </w:r>
      <w:bookmarkEnd w:id="26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6" w:name="style-and-timbre"/>
      <w:r>
        <w:t xml:space="preserve">Style and Timbre</w:t>
      </w:r>
      <w:bookmarkEnd w:id="266"/>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7"/>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8" w:name="endless-databases"/>
      <w:r>
        <w:t xml:space="preserve">Endless Databases</w:t>
      </w:r>
      <w:bookmarkEnd w:id="268"/>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9" w:name="database-and-chaos"/>
      <w:r>
        <w:t xml:space="preserve">Database and Chaos</w:t>
      </w:r>
      <w:bookmarkEnd w:id="269"/>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7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71" w:name="img:lorenz_plotter"/>
      <w:r>
        <w:t xml:space="preserve">[img:lorenz_plotter]</w:t>
      </w:r>
      <w:bookmarkEnd w:id="271"/>
    </w:p>
    <w:p>
      <w:pPr>
        <w:pStyle w:val="Heading5"/>
      </w:pPr>
      <w:bookmarkStart w:id="272" w:name="fractality"/>
      <w:r>
        <w:t xml:space="preserve">Fractality</w:t>
      </w:r>
      <w:bookmarkEnd w:id="272"/>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73" w:name="a-music-work-as-a-singularity"/>
      <w:r>
        <w:t xml:space="preserve">A Music Work as a Singularity</w:t>
      </w:r>
      <w:bookmarkEnd w:id="273"/>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4" w:name="arbitrariness"/>
      <w:r>
        <w:t xml:space="preserve">Arbitrariness</w:t>
      </w:r>
      <w:bookmarkEnd w:id="274"/>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5" w:name="inoperative-style"/>
      <w:r>
        <w:t xml:space="preserve">Inoperative Style</w:t>
      </w:r>
      <w:bookmarkEnd w:id="275"/>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6" w:name="authority"/>
      <w:r>
        <w:t xml:space="preserve">A Specter Of Authority</w:t>
      </w:r>
      <w:bookmarkEnd w:id="27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7" w:name="the-name"/>
      <w:r>
        <w:t xml:space="preserve">The Name</w:t>
      </w:r>
      <w:bookmarkEnd w:id="277"/>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8"/>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9" w:name="dictionaries"/>
      <w:r>
        <w:t xml:space="preserve">Dictionaries</w:t>
      </w:r>
      <w:bookmarkEnd w:id="279"/>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80" w:name="artistry"/>
      <w:r>
        <w:t xml:space="preserve">Artistry</w:t>
      </w:r>
      <w:bookmarkEnd w:id="280"/>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81"/>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82"/>
      </w:r>
    </w:p>
    <w:p>
      <w:pPr>
        <w:pStyle w:val="Heading5"/>
      </w:pPr>
      <w:bookmarkStart w:id="283" w:name="the-work-of-mice"/>
      <w:r>
        <w:t xml:space="preserve">The Work of Mice</w:t>
      </w:r>
      <w:bookmarkEnd w:id="283"/>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4" w:name="section:Rethinking_Composition"/>
      <w:r>
        <w:t xml:space="preserve">Rethinking Composition</w:t>
      </w:r>
      <w:bookmarkEnd w:id="284"/>
    </w:p>
    <w:p>
      <w:pPr>
        <w:pStyle w:val="Heading3"/>
      </w:pPr>
      <w:bookmarkStart w:id="285" w:name="performance"/>
      <w:r>
        <w:t xml:space="preserve">Interlude: Hyperbolic Reactions</w:t>
      </w:r>
      <w:bookmarkEnd w:id="285"/>
    </w:p>
    <w:p>
      <w:pPr>
        <w:pStyle w:val="Heading5"/>
      </w:pPr>
      <w:bookmarkStart w:id="286" w:name="imagining-composers"/>
      <w:r>
        <w:t xml:space="preserve">Imagining Composers</w:t>
      </w:r>
      <w:bookmarkEnd w:id="28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7" w:name="composers-and-technology"/>
      <w:r>
        <w:t xml:space="preserve">Composers and Technology</w:t>
      </w:r>
      <w:bookmarkEnd w:id="287"/>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8" w:name="playing-with-shadows"/>
      <w:r>
        <w:t xml:space="preserve">Playing with Shadows</w:t>
      </w:r>
      <w:bookmarkEnd w:id="28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9" w:name="composers-without-computers"/>
      <w:r>
        <w:t xml:space="preserve">Composers Without Computers</w:t>
      </w:r>
      <w:bookmarkEnd w:id="28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90" w:name="databasing-without-computers"/>
      <w:r>
        <w:t xml:space="preserve">Databasing Without Computers</w:t>
      </w:r>
      <w:bookmarkEnd w:id="29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91" w:name="organic"/>
      <w:r>
        <w:t xml:space="preserve">Working Composition</w:t>
      </w:r>
      <w:bookmarkEnd w:id="29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92" w:name="the-work-problem"/>
      <w:r>
        <w:t xml:space="preserve">The Work Problem</w:t>
      </w:r>
      <w:bookmarkEnd w:id="29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93" w:name="working-rules"/>
      <w:r>
        <w:t xml:space="preserve">Working Rules</w:t>
      </w:r>
      <w:bookmarkEnd w:id="29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4" w:name="a-space-of-difference"/>
      <w:r>
        <w:t xml:space="preserve">A Space of Difference</w:t>
      </w:r>
      <w:bookmarkEnd w:id="29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5"/>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6" w:name="a-severed-work"/>
      <w:r>
        <w:t xml:space="preserve">A Severed Work</w:t>
      </w:r>
      <w:bookmarkEnd w:id="296"/>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7" w:name="absorbption"/>
      <w:r>
        <w:t xml:space="preserve">Absorbption</w:t>
      </w:r>
      <w:bookmarkEnd w:id="297"/>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8" w:name="practice"/>
      <w:r>
        <w:t xml:space="preserve">The Composer As Navigator</w:t>
      </w:r>
      <w:bookmarkEnd w:id="298"/>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9" w:name="querying-the-sieves"/>
      <w:r>
        <w:t xml:space="preserve">Querying the Sieves</w:t>
      </w:r>
      <w:bookmarkEnd w:id="299"/>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300"/>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303"/>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4"/>
      </w:r>
    </w:p>
    <w:p>
      <w:pPr>
        <w:pStyle w:val="Heading5"/>
      </w:pPr>
      <w:bookmarkStart w:id="305" w:name="sound-synthesis-parenthesis"/>
      <w:r>
        <w:t xml:space="preserve">Sound Synthesis Parenthesis</w:t>
      </w:r>
      <w:bookmarkEnd w:id="305"/>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6"/>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8" w:name="algebraic-abstractions-for-freedom"/>
      <w:r>
        <w:t xml:space="preserve">Algebraic Abstractions for Freedom</w:t>
      </w:r>
      <w:bookmarkEnd w:id="308"/>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9" w:name="a-cosmic-vessel-and-an-armchair"/>
      <w:r>
        <w:t xml:space="preserve">A Cosmic Vessel and an Armchair</w:t>
      </w:r>
      <w:bookmarkEnd w:id="309"/>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10"/>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11" w:name="improv"/>
      <w:r>
        <w:t xml:space="preserve">The Database As Performer</w:t>
      </w:r>
      <w:bookmarkEnd w:id="31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12" w:name="the-computer-as-a-musical-instrument"/>
      <w:r>
        <w:t xml:space="preserve">The Computer as a Musical Instrument</w:t>
      </w:r>
      <w:bookmarkEnd w:id="312"/>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13" w:name="a-minor-liberty"/>
      <w:r>
        <w:t xml:space="preserve">A Minor Liberty</w:t>
      </w:r>
      <w:bookmarkEnd w:id="313"/>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4" w:name="the-computer-as-a-player"/>
      <w:r>
        <w:t xml:space="preserve">The Computer as a Player</w:t>
      </w:r>
      <w:bookmarkEnd w:id="31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5" w:name="programming-decisions"/>
      <w:r>
        <w:t xml:space="preserve">Programming Decisions</w:t>
      </w:r>
      <w:bookmarkEnd w:id="31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6" w:name="anachronic-composers"/>
      <w:r>
        <w:t xml:space="preserve">Anachronic Composers</w:t>
      </w:r>
      <w:bookmarkEnd w:id="31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7" w:name="section"/>
      <w:bookmarkEnd w:id="317"/>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8"/>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9" w:name="nonhuman-composers"/>
      <w:r>
        <w:t xml:space="preserve">Nonhuman composers</w:t>
      </w:r>
      <w:bookmarkEnd w:id="31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20" w:name="fractured-works"/>
      <w:r>
        <w:t xml:space="preserve">Fractured Works</w:t>
      </w:r>
      <w:bookmarkEnd w:id="32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21" w:name="databasing-vessel"/>
      <w:r>
        <w:t xml:space="preserve">Databasing Vessel</w:t>
      </w:r>
      <w:bookmarkEnd w:id="32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22" w:name="music"/>
      <w:r>
        <w:t xml:space="preserve">The Severed Object Of Music</w:t>
      </w:r>
      <w:bookmarkEnd w:id="32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23" w:name="an-incomplete-object"/>
      <w:r>
        <w:t xml:space="preserve">An Incomplete Object</w:t>
      </w:r>
      <w:bookmarkEnd w:id="32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4"/>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5" w:name="remains-of-listening"/>
      <w:r>
        <w:t xml:space="preserve">Remains of Listening</w:t>
      </w:r>
      <w:bookmarkEnd w:id="325"/>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6" w:name="sources-and-sorcerers"/>
      <w:r>
        <w:t xml:space="preserve">Sources and Sorcerers</w:t>
      </w:r>
      <w:bookmarkEnd w:id="326"/>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7" w:name="naming"/>
      <w:r>
        <w:t xml:space="preserve">Naming</w:t>
      </w:r>
      <w:bookmarkEnd w:id="327"/>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8"/>
      </w:r>
    </w:p>
    <w:p>
      <w:pPr>
        <w:pStyle w:val="Heading5"/>
      </w:pPr>
      <w:bookmarkStart w:id="329" w:name="dynamics"/>
      <w:r>
        <w:t xml:space="preserve">Dynamics</w:t>
      </w:r>
      <w:bookmarkEnd w:id="329"/>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30" w:name="masterwork"/>
      <w:r>
        <w:t xml:space="preserve">Masterwork</w:t>
      </w:r>
      <w:bookmarkEnd w:id="330"/>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31" w:name="architecture-of-obedience"/>
      <w:r>
        <w:t xml:space="preserve">Architecture of Obedience</w:t>
      </w:r>
      <w:bookmarkEnd w:id="331"/>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32" w:name="anarchy"/>
      <w:r>
        <w:t xml:space="preserve">Anarchy And The Unwork</w:t>
      </w:r>
      <w:bookmarkEnd w:id="332"/>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33" w:name="place-in-common"/>
      <w:r>
        <w:t xml:space="preserve">Place in Common</w:t>
      </w:r>
      <w:bookmarkEnd w:id="333"/>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4" w:name="disintegrated-imperative"/>
      <w:r>
        <w:t xml:space="preserve">Disintegrated Imperative</w:t>
      </w:r>
      <w:bookmarkEnd w:id="334"/>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5" w:name="blind-experimentation"/>
      <w:r>
        <w:t xml:space="preserve">Blind Experimentation</w:t>
      </w:r>
      <w:bookmarkEnd w:id="335"/>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6" w:name="doctoring-the-glitch"/>
      <w:r>
        <w:t xml:space="preserve">Doctoring the Glitch</w:t>
      </w:r>
      <w:bookmarkEnd w:id="336"/>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7" w:name="unnecessary-blindfolds"/>
      <w:r>
        <w:t xml:space="preserve">Unnecessary Blindfolds</w:t>
      </w:r>
      <w:bookmarkEnd w:id="337"/>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8" w:name="spectral-remains"/>
      <w:r>
        <w:t xml:space="preserve">Spectral Remains</w:t>
      </w:r>
      <w:bookmarkEnd w:id="338"/>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9" w:name="macroforma"/>
      <w:r>
        <w:t xml:space="preserve">Macroforma</w:t>
      </w:r>
      <w:bookmarkEnd w:id="339"/>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40" w:name="overfitting"/>
      <w:r>
        <w:t xml:space="preserve">Overfitting</w:t>
      </w:r>
      <w:bookmarkEnd w:id="340"/>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41" w:name="worker"/>
      <w:r>
        <w:t xml:space="preserve">[Wip] Work In Progress</w:t>
      </w:r>
      <w:bookmarkEnd w:id="341"/>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42" w:name="chapter:Conclusion"/>
      <w:r>
        <w:t xml:space="preserve">Conclusion</w:t>
      </w:r>
      <w:bookmarkEnd w:id="342"/>
    </w:p>
    <w:p>
      <w:pPr>
        <w:pStyle w:val="FirstParagraph"/>
      </w:pPr>
      <w:r>
        <w:t xml:space="preserve">…</w:t>
      </w:r>
      <w:r>
        <w:t xml:space="preserve"> </w:t>
      </w:r>
      <w:r>
        <w:t xml:space="preserve">placeholder for conclusion abstract</w:t>
      </w:r>
      <w:r>
        <w:t xml:space="preserve"> </w:t>
      </w:r>
      <w:r>
        <w:t xml:space="preserve">…</w:t>
      </w:r>
    </w:p>
    <w:p>
      <w:pPr>
        <w:pStyle w:val="Heading1"/>
      </w:pPr>
      <w:bookmarkStart w:id="343" w:name="chapter:Appendices"/>
      <w:r>
        <w:t xml:space="preserve">Appendices</w:t>
      </w:r>
      <w:bookmarkEnd w:id="343"/>
    </w:p>
    <w:p>
      <w:pPr>
        <w:pStyle w:val="FirstParagraph"/>
      </w:pPr>
      <w:r>
        <w:t xml:space="preserve">abstract of appendices</w:t>
      </w:r>
    </w:p>
    <w:p>
      <w:pPr>
        <w:pStyle w:val="Heading2"/>
      </w:pPr>
      <w:bookmarkStart w:id="344" w:name="X9928d5a4298d9156e673c83842d96a99bfb66d7"/>
      <w:r>
        <w:t xml:space="preserve">DIANA: Database for Image and Audio Navigation</w:t>
      </w:r>
      <w:bookmarkEnd w:id="344"/>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5" w:name="dbmodel"/>
      <w:r>
        <w:t xml:space="preserve">A Database Model</w:t>
      </w:r>
      <w:bookmarkEnd w:id="345"/>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6" w:name="X7616598f194c52ee6f4c09f01c755a7090177ba"/>
      <w:r>
        <w:t xml:space="preserve">ABBY: An Online Environment for Annotated Bibliographies</w:t>
      </w:r>
      <w:bookmarkEnd w:id="346"/>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7" w:name="texdb"/>
      <w:r>
        <w:t xml:space="preserve">A Text Database</w:t>
      </w:r>
      <w:bookmarkEnd w:id="347"/>
    </w:p>
    <w:p>
      <w:pPr>
        <w:pStyle w:val="FirstParagraph"/>
      </w:pPr>
      <w:r>
        <w:t xml:space="preserve">A detailed description of the text database model…</w:t>
      </w:r>
    </w:p>
    <w:bookmarkStart w:id="686" w:name="refs"/>
    <w:bookmarkStart w:id="348"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8"/>
    <w:bookmarkStart w:id="349"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9"/>
    <w:bookmarkStart w:id="350"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50"/>
    <w:bookmarkStart w:id="351"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51"/>
    <w:bookmarkStart w:id="352"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52"/>
    <w:bookmarkStart w:id="354"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53">
        <w:r>
          <w:rPr>
            <w:rStyle w:val="Hyperlink"/>
          </w:rPr>
          <w:t xml:space="preserve">http://www.terasoft.com.tw/conf/ismir2014/proceedings/T014_162_Paper.pdf</w:t>
        </w:r>
      </w:hyperlink>
    </w:p>
    <w:bookmarkEnd w:id="354"/>
    <w:bookmarkStart w:id="355"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5"/>
    <w:bookmarkStart w:id="356"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6"/>
    <w:bookmarkStart w:id="357"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7"/>
    <w:bookmarkStart w:id="35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9"/>
    <w:bookmarkStart w:id="360"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60"/>
    <w:bookmarkStart w:id="361"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61"/>
    <w:bookmarkStart w:id="362"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62"/>
    <w:bookmarkStart w:id="363"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63"/>
    <w:bookmarkStart w:id="364"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4"/>
    <w:bookmarkStart w:id="365" w:name="ref-Bar68:Ele"/>
    <w:p>
      <w:pPr>
        <w:pStyle w:val="Bibliography"/>
      </w:pPr>
      <w:r>
        <w:t xml:space="preserve">Barthes R, Lavers A, Smith C. 1968.</w:t>
      </w:r>
      <w:r>
        <w:t xml:space="preserve"> </w:t>
      </w:r>
      <w:r>
        <w:rPr>
          <w:i/>
        </w:rPr>
        <w:t xml:space="preserve">Elements of Semiology</w:t>
      </w:r>
      <w:r>
        <w:t xml:space="preserve">. Hill; Wang, New York. ed.</w:t>
      </w:r>
    </w:p>
    <w:bookmarkEnd w:id="365"/>
    <w:bookmarkStart w:id="366"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6"/>
    <w:bookmarkStart w:id="367"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7"/>
    <w:bookmarkStart w:id="368"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8"/>
    <w:bookmarkStart w:id="370"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9">
        <w:r>
          <w:rPr>
            <w:rStyle w:val="Hyperlink"/>
          </w:rPr>
          <w:t xml:space="preserve">http://www.terasoft.com.tw/conf/ismir2014/proceedings/T028_322_Paper.pdf</w:t>
        </w:r>
      </w:hyperlink>
    </w:p>
    <w:bookmarkEnd w:id="370"/>
    <w:bookmarkStart w:id="371"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71"/>
    <w:bookmarkStart w:id="373"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72">
        <w:r>
          <w:rPr>
            <w:rStyle w:val="Hyperlink"/>
          </w:rPr>
          <w:t xml:space="preserve">http://www.ppgia.pucpr.br/ismir2013/wp-content/uploads/2013/09/177\_Paper.pdf</w:t>
        </w:r>
      </w:hyperlink>
    </w:p>
    <w:bookmarkEnd w:id="373"/>
    <w:bookmarkStart w:id="374"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4"/>
    <w:bookmarkStart w:id="375" w:name="ref-Bor42:Fun"/>
    <w:p>
      <w:pPr>
        <w:pStyle w:val="Bibliography"/>
      </w:pPr>
      <w:r>
        <w:t xml:space="preserve">Borges JL. 1942. Funes el memorioso.</w:t>
      </w:r>
      <w:r>
        <w:t xml:space="preserve"> </w:t>
      </w:r>
      <w:r>
        <w:rPr>
          <w:i/>
        </w:rPr>
        <w:t xml:space="preserve">Ficciones</w:t>
      </w:r>
    </w:p>
    <w:bookmarkEnd w:id="375"/>
    <w:bookmarkStart w:id="376" w:name="ref-Bor95:Rat"/>
    <w:p>
      <w:pPr>
        <w:pStyle w:val="Bibliography"/>
      </w:pPr>
      <w:r>
        <w:t xml:space="preserve">Born G. 1995.</w:t>
      </w:r>
      <w:r>
        <w:t xml:space="preserve"> </w:t>
      </w:r>
      <w:r>
        <w:rPr>
          <w:i/>
        </w:rPr>
        <w:t xml:space="preserve">Rationalizing Culture</w:t>
      </w:r>
      <w:r>
        <w:t xml:space="preserve">. University of California Press. ed.</w:t>
      </w:r>
    </w:p>
    <w:bookmarkEnd w:id="376"/>
    <w:bookmarkStart w:id="37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7"/>
    <w:bookmarkStart w:id="37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8"/>
    <w:bookmarkStart w:id="37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79"/>
    <w:bookmarkStart w:id="38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80"/>
    <w:bookmarkStart w:id="38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81"/>
    <w:bookmarkStart w:id="38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82"/>
    <w:bookmarkStart w:id="38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83"/>
    <w:bookmarkStart w:id="384" w:name="ref-score11manual"/>
    <w:p>
      <w:pPr>
        <w:pStyle w:val="Bibliography"/>
      </w:pPr>
      <w:r>
        <w:t xml:space="preserve">Brinkman AR. 1982. Original version of the score11 manual.</w:t>
      </w:r>
      <w:r>
        <w:t xml:space="preserve"> </w:t>
      </w:r>
      <w:r>
        <w:rPr>
          <w:i/>
        </w:rPr>
        <w:t xml:space="preserve">Score11 Manual</w:t>
      </w:r>
    </w:p>
    <w:bookmarkEnd w:id="384"/>
    <w:bookmarkStart w:id="38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5"/>
    <w:bookmarkStart w:id="38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6"/>
    <w:bookmarkStart w:id="387"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7"/>
    <w:bookmarkStart w:id="389"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8">
        <w:r>
          <w:rPr>
            <w:rStyle w:val="Hyperlink"/>
          </w:rPr>
          <w:t xml:space="preserve">http://www.nime.org/proceedings/2011/nime2011_387.pdf</w:t>
        </w:r>
      </w:hyperlink>
    </w:p>
    <w:bookmarkEnd w:id="389"/>
    <w:bookmarkStart w:id="391"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90">
        <w:r>
          <w:rPr>
            <w:rStyle w:val="Hyperlink"/>
          </w:rPr>
          <w:t xml:space="preserve">http://www.nime.org/proceedings/2009/nime2009_266.pdf</w:t>
        </w:r>
      </w:hyperlink>
    </w:p>
    <w:bookmarkEnd w:id="391"/>
    <w:bookmarkStart w:id="392"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92"/>
    <w:bookmarkStart w:id="393"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93"/>
    <w:bookmarkStart w:id="394"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4"/>
    <w:bookmarkStart w:id="395" w:name="ref-Bux77:Aco"/>
    <w:p>
      <w:pPr>
        <w:pStyle w:val="Bibliography"/>
      </w:pPr>
      <w:r>
        <w:t xml:space="preserve">Buxton W. 1977. A composer’s introduction to computer music.</w:t>
      </w:r>
      <w:r>
        <w:t xml:space="preserve"> </w:t>
      </w:r>
      <w:r>
        <w:rPr>
          <w:i/>
        </w:rPr>
        <w:t xml:space="preserve">Interface</w:t>
      </w:r>
      <w:r>
        <w:t xml:space="preserve">. 6:57–72</w:t>
      </w:r>
    </w:p>
    <w:bookmarkEnd w:id="395"/>
    <w:bookmarkStart w:id="396" w:name="ref-youtube/buxton10"/>
    <w:p>
      <w:pPr>
        <w:pStyle w:val="Bibliography"/>
      </w:pPr>
      <w:r>
        <w:t xml:space="preserve">Buxton W. 2016a. Objed: The sssp sound editing tool.</w:t>
      </w:r>
      <w:r>
        <w:t xml:space="preserve"> </w:t>
      </w:r>
      <w:r>
        <w:rPr>
          <w:i/>
        </w:rPr>
        <w:t xml:space="preserve">Youtube</w:t>
      </w:r>
    </w:p>
    <w:bookmarkEnd w:id="396"/>
    <w:bookmarkStart w:id="397"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7"/>
    <w:bookmarkStart w:id="398"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8"/>
    <w:bookmarkStart w:id="399"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9"/>
    <w:bookmarkStart w:id="400"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400"/>
    <w:bookmarkStart w:id="402"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401">
        <w:r>
          <w:rPr>
            <w:rStyle w:val="Hyperlink"/>
          </w:rPr>
          <w:t xml:space="preserve">http://www.nime.org/proceedings/2011/nime2011_329.pdf</w:t>
        </w:r>
      </w:hyperlink>
    </w:p>
    <w:bookmarkEnd w:id="402"/>
    <w:bookmarkStart w:id="403"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403"/>
    <w:bookmarkStart w:id="4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404"/>
    <w:bookmarkStart w:id="405"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5"/>
    <w:bookmarkStart w:id="406" w:name="ref-Rya17:OnT"/>
    <w:p>
      <w:pPr>
        <w:pStyle w:val="Bibliography"/>
      </w:pPr>
      <w:r>
        <w:t xml:space="preserve">Carter R. 2017. On the expressive potential of suboptimal speakers</w:t>
      </w:r>
    </w:p>
    <w:bookmarkEnd w:id="406"/>
    <w:bookmarkStart w:id="407"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7"/>
    <w:bookmarkStart w:id="40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8"/>
    <w:bookmarkStart w:id="40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9"/>
    <w:bookmarkStart w:id="41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10"/>
    <w:bookmarkStart w:id="41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11"/>
    <w:bookmarkStart w:id="41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12"/>
    <w:bookmarkStart w:id="41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13"/>
    <w:bookmarkStart w:id="41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14"/>
    <w:bookmarkStart w:id="415" w:name="ref-Cho00:Voi"/>
    <w:p>
      <w:pPr>
        <w:pStyle w:val="Bibliography"/>
      </w:pPr>
      <w:r>
        <w:t xml:space="preserve">Choi I. 2000. Voices in ruins — composition with residuals</w:t>
      </w:r>
    </w:p>
    <w:bookmarkEnd w:id="415"/>
    <w:bookmarkStart w:id="4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6"/>
    <w:bookmarkStart w:id="4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7"/>
    <w:bookmarkStart w:id="4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8"/>
    <w:bookmarkStart w:id="4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9"/>
    <w:bookmarkStart w:id="4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20"/>
    <w:bookmarkStart w:id="421"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21"/>
    <w:bookmarkStart w:id="422"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22"/>
    <w:bookmarkStart w:id="423"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23"/>
    <w:bookmarkStart w:id="424" w:name="ref-connes:shapes"/>
    <w:p>
      <w:pPr>
        <w:pStyle w:val="Bibliography"/>
      </w:pPr>
      <w:r>
        <w:t xml:space="preserve">Connes A. 2012. The music of shapes</w:t>
      </w:r>
    </w:p>
    <w:bookmarkEnd w:id="424"/>
    <w:bookmarkStart w:id="42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5"/>
    <w:bookmarkStart w:id="42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6"/>
    <w:bookmarkStart w:id="427"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7"/>
    <w:bookmarkStart w:id="428"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8"/>
    <w:bookmarkStart w:id="429"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9"/>
    <w:bookmarkStart w:id="431"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30">
        <w:r>
          <w:rPr>
            <w:rStyle w:val="Hyperlink"/>
          </w:rPr>
          <w:t xml:space="preserve">https://ismir2017.smcnus.org/wp-content/uploads/2017/10/235_Paper.pdf</w:t>
        </w:r>
      </w:hyperlink>
    </w:p>
    <w:bookmarkEnd w:id="431"/>
    <w:bookmarkStart w:id="433" w:name="ref-crowley98"/>
    <w:p>
      <w:pPr>
        <w:pStyle w:val="Bibliography"/>
      </w:pPr>
      <w:r>
        <w:t xml:space="preserve">Crowley C. 1998. Data structures for text sequences.</w:t>
      </w:r>
      <w:r>
        <w:t xml:space="preserve"> </w:t>
      </w:r>
      <w:hyperlink r:id="rId432">
        <w:r>
          <w:rPr>
            <w:rStyle w:val="Hyperlink"/>
          </w:rPr>
          <w:t xml:space="preserve">https://www.cs.unm.edu/~crowley/papers/sds.pdf</w:t>
        </w:r>
      </w:hyperlink>
    </w:p>
    <w:bookmarkEnd w:id="433"/>
    <w:bookmarkStart w:id="434"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4"/>
    <w:bookmarkStart w:id="436"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5">
        <w:r>
          <w:rPr>
            <w:rStyle w:val="Hyperlink"/>
          </w:rPr>
          <w:t xml:space="preserve">https://ismir2017.smcnus.org/wp-content/uploads/2017/10/75_Paper.pdf</w:t>
        </w:r>
      </w:hyperlink>
    </w:p>
    <w:bookmarkEnd w:id="436"/>
    <w:bookmarkStart w:id="437"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7"/>
    <w:bookmarkStart w:id="438"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8"/>
    <w:bookmarkStart w:id="43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9"/>
    <w:bookmarkStart w:id="440" w:name="ref-Der78:Wri"/>
    <w:p>
      <w:pPr>
        <w:pStyle w:val="Bibliography"/>
      </w:pPr>
      <w:r>
        <w:t xml:space="preserve">Derrida J. 1978.</w:t>
      </w:r>
      <w:r>
        <w:t xml:space="preserve"> </w:t>
      </w:r>
      <w:r>
        <w:rPr>
          <w:i/>
        </w:rPr>
        <w:t xml:space="preserve">Writing and Difference</w:t>
      </w:r>
      <w:r>
        <w:t xml:space="preserve">. The University of Chicago. ed.</w:t>
      </w:r>
    </w:p>
    <w:bookmarkEnd w:id="440"/>
    <w:bookmarkStart w:id="441" w:name="ref-Der82:Mar"/>
    <w:p>
      <w:pPr>
        <w:pStyle w:val="Bibliography"/>
      </w:pPr>
      <w:r>
        <w:t xml:space="preserve">Derrida J. 1982.</w:t>
      </w:r>
      <w:r>
        <w:t xml:space="preserve"> </w:t>
      </w:r>
      <w:r>
        <w:rPr>
          <w:i/>
        </w:rPr>
        <w:t xml:space="preserve">Margins of Philosophy</w:t>
      </w:r>
      <w:r>
        <w:t xml:space="preserve">. The Harvester Press. ed.</w:t>
      </w:r>
    </w:p>
    <w:bookmarkEnd w:id="441"/>
    <w:bookmarkStart w:id="442" w:name="ref-Der95:Arc"/>
    <w:p>
      <w:pPr>
        <w:pStyle w:val="Bibliography"/>
      </w:pPr>
      <w:r>
        <w:t xml:space="preserve">Derrida J, Prenowitz E. 1995. Archive fever: A freudian impression.</w:t>
      </w:r>
      <w:r>
        <w:t xml:space="preserve"> </w:t>
      </w:r>
      <w:r>
        <w:rPr>
          <w:i/>
        </w:rPr>
        <w:t xml:space="preserve">Diacritics</w:t>
      </w:r>
      <w:r>
        <w:t xml:space="preserve">. 25(2):</w:t>
      </w:r>
    </w:p>
    <w:bookmarkEnd w:id="442"/>
    <w:bookmarkStart w:id="44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43">
        <w:r>
          <w:rPr>
            <w:rStyle w:val="Hyperlink"/>
          </w:rPr>
          <w:t xml:space="preserve">http://ismir2015.uma.es/articles/261_Paper.pdf</w:t>
        </w:r>
      </w:hyperlink>
    </w:p>
    <w:bookmarkEnd w:id="444"/>
    <w:bookmarkStart w:id="445"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5"/>
    <w:bookmarkStart w:id="44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6"/>
    <w:bookmarkStart w:id="44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7"/>
    <w:bookmarkStart w:id="44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8"/>
    <w:bookmarkStart w:id="44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9"/>
    <w:bookmarkStart w:id="450"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50"/>
    <w:bookmarkStart w:id="452"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51">
        <w:r>
          <w:rPr>
            <w:rStyle w:val="Hyperlink"/>
          </w:rPr>
          <w:t xml:space="preserve">http://ismir2018.ircam.fr/doc/pdfs/265_Paper.pdf</w:t>
        </w:r>
      </w:hyperlink>
    </w:p>
    <w:bookmarkEnd w:id="452"/>
    <w:bookmarkStart w:id="453"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53"/>
    <w:bookmarkStart w:id="45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4">
        <w:r>
          <w:rPr>
            <w:rStyle w:val="Hyperlink"/>
          </w:rPr>
          <w:t xml:space="preserve">http://ismir2000.ismir.net/papers/invites/dunn_invite.pdf</w:t>
        </w:r>
      </w:hyperlink>
    </w:p>
    <w:bookmarkEnd w:id="455"/>
    <w:bookmarkStart w:id="45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6"/>
    <w:bookmarkStart w:id="45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7"/>
    <w:bookmarkStart w:id="458" w:name="ref-Eco04:The"/>
    <w:p>
      <w:pPr>
        <w:pStyle w:val="Bibliography"/>
      </w:pPr>
      <w:r>
        <w:t xml:space="preserve">Eco U. 2004. The poetics of the open work.</w:t>
      </w:r>
      <w:r>
        <w:t xml:space="preserve"> </w:t>
      </w:r>
      <w:r>
        <w:rPr>
          <w:i/>
        </w:rPr>
        <w:t xml:space="preserve">Audio Culture: Readings in Modern Music</w:t>
      </w:r>
    </w:p>
    <w:bookmarkEnd w:id="458"/>
    <w:bookmarkStart w:id="459" w:name="ref-Emm86:The"/>
    <w:p>
      <w:pPr>
        <w:pStyle w:val="Bibliography"/>
      </w:pPr>
      <w:r>
        <w:t xml:space="preserve">Emmerson S. 1986.</w:t>
      </w:r>
      <w:r>
        <w:t xml:space="preserve"> </w:t>
      </w:r>
      <w:r>
        <w:rPr>
          <w:i/>
        </w:rPr>
        <w:t xml:space="preserve">The Language of Electroacoustic Music</w:t>
      </w:r>
      <w:r>
        <w:t xml:space="preserve">. ed.</w:t>
      </w:r>
    </w:p>
    <w:bookmarkEnd w:id="459"/>
    <w:bookmarkStart w:id="46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60">
        <w:r>
          <w:rPr>
            <w:rStyle w:val="Hyperlink"/>
          </w:rPr>
          <w:t xml:space="preserve">http://ismir2018.ircam.fr/doc/pdfs/206_Paper.pdf</w:t>
        </w:r>
      </w:hyperlink>
    </w:p>
    <w:bookmarkEnd w:id="461"/>
    <w:bookmarkStart w:id="46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62"/>
    <w:bookmarkStart w:id="463" w:name="ref-Ern13:Dig"/>
    <w:p>
      <w:pPr>
        <w:pStyle w:val="Bibliography"/>
      </w:pPr>
      <w:r>
        <w:t xml:space="preserve">Ernst W. 2013.</w:t>
      </w:r>
      <w:r>
        <w:t xml:space="preserve"> </w:t>
      </w:r>
      <w:r>
        <w:rPr>
          <w:i/>
        </w:rPr>
        <w:t xml:space="preserve">Digital Memory and the Archive</w:t>
      </w:r>
      <w:r>
        <w:t xml:space="preserve">. University of Minnesota Press. ed.</w:t>
      </w:r>
    </w:p>
    <w:bookmarkEnd w:id="463"/>
    <w:bookmarkStart w:id="46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4"/>
    <w:bookmarkStart w:id="46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5"/>
    <w:bookmarkStart w:id="46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6">
        <w:r>
          <w:rPr>
            <w:rStyle w:val="Hyperlink"/>
          </w:rPr>
          <w:t xml:space="preserve">https://ismir2017.smcnus.org/wp-content/uploads/2017/10/161_Paper.pdf</w:t>
        </w:r>
      </w:hyperlink>
    </w:p>
    <w:bookmarkEnd w:id="467"/>
    <w:bookmarkStart w:id="46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8"/>
    <w:bookmarkStart w:id="46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9"/>
    <w:bookmarkStart w:id="47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70"/>
    <w:bookmarkStart w:id="47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71"/>
    <w:bookmarkStart w:id="472"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72"/>
    <w:bookmarkStart w:id="47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73"/>
    <w:bookmarkStart w:id="475"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4">
        <w:r>
          <w:rPr>
            <w:rStyle w:val="Hyperlink"/>
          </w:rPr>
          <w:t xml:space="preserve">http://www.nime.org/proceedings/2011/nime2011_124.pdf</w:t>
        </w:r>
      </w:hyperlink>
    </w:p>
    <w:bookmarkEnd w:id="475"/>
    <w:bookmarkStart w:id="476"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6"/>
    <w:bookmarkStart w:id="478"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7">
        <w:r>
          <w:rPr>
            <w:rStyle w:val="Hyperlink"/>
          </w:rPr>
          <w:t xml:space="preserve">http://ismir2000.ismir.net/posters/good.pdf</w:t>
        </w:r>
      </w:hyperlink>
    </w:p>
    <w:bookmarkEnd w:id="478"/>
    <w:bookmarkStart w:id="480"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9">
        <w:r>
          <w:rPr>
            <w:rStyle w:val="Hyperlink"/>
          </w:rPr>
          <w:t xml:space="preserve">http://ismir2002.ismir.net/proceedings/03-SP04-1.pdf</w:t>
        </w:r>
      </w:hyperlink>
    </w:p>
    <w:bookmarkEnd w:id="480"/>
    <w:bookmarkStart w:id="482"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81">
        <w:r>
          <w:rPr>
            <w:rStyle w:val="Hyperlink"/>
          </w:rPr>
          <w:t xml:space="preserve">http://ismir2003.ismir.net/papers/Goto1.PDF</w:t>
        </w:r>
      </w:hyperlink>
    </w:p>
    <w:bookmarkEnd w:id="482"/>
    <w:bookmarkStart w:id="483" w:name="ref-Gra15:The"/>
    <w:p>
      <w:pPr>
        <w:pStyle w:val="Bibliography"/>
      </w:pPr>
      <w:r>
        <w:t xml:space="preserve">Gratton P, Morin M-E. 2015.</w:t>
      </w:r>
      <w:r>
        <w:t xml:space="preserve"> </w:t>
      </w:r>
      <w:r>
        <w:rPr>
          <w:i/>
        </w:rPr>
        <w:t xml:space="preserve">The Nancy Dictionary</w:t>
      </w:r>
      <w:r>
        <w:t xml:space="preserve">. Edinburgh University Press. ed.</w:t>
      </w:r>
    </w:p>
    <w:bookmarkEnd w:id="483"/>
    <w:bookmarkStart w:id="484"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4"/>
    <w:bookmarkStart w:id="48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5">
        <w:r>
          <w:rPr>
            <w:rStyle w:val="Hyperlink"/>
          </w:rPr>
          <w:t xml:space="preserve">http://www.terasoft.com.tw/conf/ismir2014/proceedings/T059_257_Paper.pdf</w:t>
        </w:r>
      </w:hyperlink>
    </w:p>
    <w:bookmarkEnd w:id="486"/>
    <w:bookmarkStart w:id="48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7"/>
    <w:bookmarkStart w:id="48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8"/>
    <w:bookmarkStart w:id="489" w:name="ref-Han04:New"/>
    <w:p>
      <w:pPr>
        <w:pStyle w:val="Bibliography"/>
      </w:pPr>
      <w:r>
        <w:t xml:space="preserve">Hansen MBN. 2004.</w:t>
      </w:r>
      <w:r>
        <w:t xml:space="preserve"> </w:t>
      </w:r>
      <w:r>
        <w:rPr>
          <w:i/>
        </w:rPr>
        <w:t xml:space="preserve">New Philosophy for New Media</w:t>
      </w:r>
      <w:r>
        <w:t xml:space="preserve">. The MIT Press. ed.</w:t>
      </w:r>
    </w:p>
    <w:bookmarkEnd w:id="489"/>
    <w:bookmarkStart w:id="49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90">
        <w:r>
          <w:rPr>
            <w:rStyle w:val="Hyperlink"/>
          </w:rPr>
          <w:t xml:space="preserve">http://ismir2008.ismir.net/papers/ISMIR2008_173.pdf</w:t>
        </w:r>
      </w:hyperlink>
    </w:p>
    <w:bookmarkEnd w:id="491"/>
    <w:bookmarkStart w:id="492"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92"/>
    <w:bookmarkStart w:id="493"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93"/>
    <w:bookmarkStart w:id="49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4">
        <w:r>
          <w:rPr>
            <w:rStyle w:val="Hyperlink"/>
          </w:rPr>
          <w:t xml:space="preserve">http://www.ppgia.pucpr.br/ismir2013/wp-content/uploads/2013/09/85_Paper.pdf</w:t>
        </w:r>
      </w:hyperlink>
    </w:p>
    <w:bookmarkEnd w:id="495"/>
    <w:bookmarkStart w:id="496"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6"/>
    <w:bookmarkStart w:id="497" w:name="ref-Hay93:The"/>
    <w:p>
      <w:pPr>
        <w:pStyle w:val="Bibliography"/>
      </w:pPr>
      <w:r>
        <w:t xml:space="preserve">Hayles NK. 1993. The materiality of informatics.</w:t>
      </w:r>
      <w:r>
        <w:t xml:space="preserve"> </w:t>
      </w:r>
      <w:r>
        <w:rPr>
          <w:i/>
        </w:rPr>
        <w:t xml:space="preserve">Configurations</w:t>
      </w:r>
      <w:r>
        <w:t xml:space="preserve">. 1(1):</w:t>
      </w:r>
    </w:p>
    <w:bookmarkEnd w:id="497"/>
    <w:bookmarkStart w:id="4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8"/>
    <w:bookmarkStart w:id="499"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9"/>
    <w:bookmarkStart w:id="500"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500"/>
    <w:bookmarkStart w:id="50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501">
        <w:r>
          <w:rPr>
            <w:rStyle w:val="Hyperlink"/>
          </w:rPr>
          <w:t xml:space="preserve">http://www.nime.org/proceedings/2010/nime2010_233.pdf</w:t>
        </w:r>
      </w:hyperlink>
    </w:p>
    <w:bookmarkEnd w:id="502"/>
    <w:bookmarkStart w:id="50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503">
        <w:r>
          <w:rPr>
            <w:rStyle w:val="Hyperlink"/>
          </w:rPr>
          <w:t xml:space="preserve">http://ismir2005.ismir.net/proceedings/2117.pdf</w:t>
        </w:r>
      </w:hyperlink>
    </w:p>
    <w:bookmarkEnd w:id="504"/>
    <w:bookmarkStart w:id="505"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5"/>
    <w:bookmarkStart w:id="50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6">
        <w:r>
          <w:rPr>
            <w:rStyle w:val="Hyperlink"/>
          </w:rPr>
          <w:t xml:space="preserve">http://ismir2018.ircam.fr/doc/pdfs/248_Paper.pdf</w:t>
        </w:r>
      </w:hyperlink>
    </w:p>
    <w:bookmarkEnd w:id="507"/>
    <w:bookmarkStart w:id="508" w:name="ref-Mau99:Abr"/>
    <w:p>
      <w:pPr>
        <w:pStyle w:val="Bibliography"/>
      </w:pPr>
      <w:r>
        <w:t xml:space="preserve">IV JAM. 1999.</w:t>
      </w:r>
      <w:r>
        <w:t xml:space="preserve"> </w:t>
      </w:r>
      <w:r>
        <w:rPr>
          <w:i/>
        </w:rPr>
        <w:t xml:space="preserve">A Brief History of Algorithmic Composition</w:t>
      </w:r>
      <w:r>
        <w:t xml:space="preserve">. Online. ed.</w:t>
      </w:r>
    </w:p>
    <w:bookmarkEnd w:id="508"/>
    <w:bookmarkStart w:id="50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9"/>
    <w:bookmarkStart w:id="51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10"/>
    <w:bookmarkStart w:id="51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11"/>
    <w:bookmarkStart w:id="51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12">
        <w:r>
          <w:rPr>
            <w:rStyle w:val="Hyperlink"/>
          </w:rPr>
          <w:t xml:space="preserve">http://ismir2008.ismir.net/papers/ISMIR2008_106.pdf</w:t>
        </w:r>
      </w:hyperlink>
    </w:p>
    <w:bookmarkEnd w:id="513"/>
    <w:bookmarkStart w:id="514"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4"/>
    <w:bookmarkStart w:id="51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5"/>
    <w:bookmarkStart w:id="516"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6"/>
    <w:bookmarkStart w:id="51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517"/>
    <w:bookmarkStart w:id="51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518">
        <w:r>
          <w:rPr>
            <w:rStyle w:val="Hyperlink"/>
          </w:rPr>
          <w:t xml:space="preserve">http://www.nime.org/proceedings/2004/nime2004_130.pdf</w:t>
        </w:r>
      </w:hyperlink>
    </w:p>
    <w:bookmarkEnd w:id="519"/>
    <w:bookmarkStart w:id="52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20"/>
    <w:bookmarkStart w:id="52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21">
        <w:r>
          <w:rPr>
            <w:rStyle w:val="Hyperlink"/>
          </w:rPr>
          <w:t xml:space="preserve">http://www.terasoft.com.tw/conf/ismir2014/proceedings/T039_344_Paper.pdf</w:t>
        </w:r>
      </w:hyperlink>
    </w:p>
    <w:bookmarkEnd w:id="522"/>
    <w:bookmarkStart w:id="52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23"/>
    <w:bookmarkStart w:id="52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24">
        <w:r>
          <w:rPr>
            <w:rStyle w:val="Hyperlink"/>
          </w:rPr>
          <w:t xml:space="preserve">http://ismir2015.uma.es/articles/246_Paper.pdf</w:t>
        </w:r>
      </w:hyperlink>
    </w:p>
    <w:bookmarkEnd w:id="525"/>
    <w:bookmarkStart w:id="52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6"/>
    <w:bookmarkStart w:id="527"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7"/>
    <w:bookmarkStart w:id="528"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8"/>
    <w:bookmarkStart w:id="52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9"/>
    <w:bookmarkStart w:id="53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30"/>
    <w:bookmarkStart w:id="53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31"/>
    <w:bookmarkStart w:id="53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32"/>
    <w:bookmarkStart w:id="53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33"/>
    <w:bookmarkStart w:id="53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34"/>
    <w:bookmarkStart w:id="53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5"/>
    <w:bookmarkStart w:id="536" w:name="ref-Lod98:MUS"/>
    <w:p>
      <w:pPr>
        <w:pStyle w:val="Bibliography"/>
      </w:pPr>
      <w:r>
        <w:t xml:space="preserve">Lodha S, Beahan J, Joseph A, Zane-ulman B. 1998. MUSE: A musical data sonification toolkit</w:t>
      </w:r>
    </w:p>
    <w:bookmarkEnd w:id="536"/>
    <w:bookmarkStart w:id="53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7"/>
    <w:bookmarkStart w:id="53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8">
        <w:r>
          <w:rPr>
            <w:rStyle w:val="Hyperlink"/>
          </w:rPr>
          <w:t xml:space="preserve">http://www.nime.org/proceedings/2008/nime2008_221.pdf</w:t>
        </w:r>
      </w:hyperlink>
    </w:p>
    <w:bookmarkEnd w:id="539"/>
    <w:bookmarkStart w:id="540"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40"/>
    <w:bookmarkStart w:id="541" w:name="ref-Man01:The"/>
    <w:p>
      <w:pPr>
        <w:pStyle w:val="Bibliography"/>
      </w:pPr>
      <w:r>
        <w:t xml:space="preserve">Manovich L. 2001.</w:t>
      </w:r>
      <w:r>
        <w:t xml:space="preserve"> </w:t>
      </w:r>
      <w:r>
        <w:rPr>
          <w:i/>
        </w:rPr>
        <w:t xml:space="preserve">The Language of New Media</w:t>
      </w:r>
      <w:r>
        <w:t xml:space="preserve">. MIT Press. ed.</w:t>
      </w:r>
    </w:p>
    <w:bookmarkEnd w:id="541"/>
    <w:bookmarkStart w:id="542" w:name="ref-Man02:Old"/>
    <w:p>
      <w:pPr>
        <w:pStyle w:val="Bibliography"/>
      </w:pPr>
      <w:r>
        <w:t xml:space="preserve">Manovich L. 2002. Old media as new media: Cinema.</w:t>
      </w:r>
      <w:r>
        <w:t xml:space="preserve"> </w:t>
      </w:r>
      <w:r>
        <w:rPr>
          <w:i/>
        </w:rPr>
        <w:t xml:space="preserve">The New Media Book</w:t>
      </w:r>
    </w:p>
    <w:bookmarkEnd w:id="542"/>
    <w:bookmarkStart w:id="54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43"/>
    <w:bookmarkStart w:id="54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44">
        <w:r>
          <w:rPr>
            <w:rStyle w:val="Hyperlink"/>
          </w:rPr>
          <w:t xml:space="preserve">http://ismir2008.ismir.net/papers/ISMIR2008_158.pdf</w:t>
        </w:r>
      </w:hyperlink>
    </w:p>
    <w:bookmarkEnd w:id="545"/>
    <w:bookmarkStart w:id="54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6"/>
    <w:bookmarkStart w:id="54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7"/>
    <w:bookmarkStart w:id="54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8"/>
    <w:bookmarkStart w:id="549" w:name="ref-csoundMethods"/>
    <w:p>
      <w:pPr>
        <w:pStyle w:val="Bibliography"/>
      </w:pPr>
      <w:r>
        <w:t xml:space="preserve">McCurdy I, Heintz J, Joaquin J, Knevel M. 2015. Methods of writing csound scores.</w:t>
      </w:r>
      <w:r>
        <w:t xml:space="preserve"> </w:t>
      </w:r>
      <w:r>
        <w:rPr>
          <w:i/>
        </w:rPr>
        <w:t xml:space="preserve">FLOSS Manuals</w:t>
      </w:r>
    </w:p>
    <w:bookmarkEnd w:id="549"/>
    <w:bookmarkStart w:id="55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50"/>
    <w:bookmarkStart w:id="55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51">
        <w:r>
          <w:rPr>
            <w:rStyle w:val="Hyperlink"/>
          </w:rPr>
          <w:t xml:space="preserve">http://ismir2018.ircam.fr/doc/pdfs/35_Paper.pdf</w:t>
        </w:r>
      </w:hyperlink>
    </w:p>
    <w:bookmarkEnd w:id="552"/>
    <w:bookmarkStart w:id="553"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53"/>
    <w:bookmarkStart w:id="55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54"/>
    <w:bookmarkStart w:id="55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5"/>
    <w:bookmarkStart w:id="55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6"/>
    <w:bookmarkStart w:id="557" w:name="ref-ods-cpp"/>
    <w:p>
      <w:pPr>
        <w:pStyle w:val="Bibliography"/>
      </w:pPr>
      <w:r>
        <w:t xml:space="preserve">Morin P. 2019.</w:t>
      </w:r>
      <w:r>
        <w:t xml:space="preserve"> </w:t>
      </w:r>
      <w:r>
        <w:rPr>
          <w:i/>
        </w:rPr>
        <w:t xml:space="preserve">Open Data Structures</w:t>
      </w:r>
      <w:r>
        <w:t xml:space="preserve">. Creative Commons. ed.</w:t>
      </w:r>
    </w:p>
    <w:bookmarkEnd w:id="557"/>
    <w:bookmarkStart w:id="55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8"/>
    <w:bookmarkStart w:id="55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9"/>
    <w:bookmarkStart w:id="56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60"/>
    <w:bookmarkStart w:id="56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61">
        <w:r>
          <w:rPr>
            <w:rStyle w:val="Hyperlink"/>
          </w:rPr>
          <w:t xml:space="preserve">http://www.nime.org/proceedings/2007/nime2007_409.pdf</w:t>
        </w:r>
      </w:hyperlink>
    </w:p>
    <w:bookmarkEnd w:id="562"/>
    <w:bookmarkStart w:id="56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63"/>
    <w:bookmarkStart w:id="564" w:name="ref-Nan07:Lis"/>
    <w:p>
      <w:pPr>
        <w:pStyle w:val="Bibliography"/>
      </w:pPr>
      <w:r>
        <w:t xml:space="preserve">Nancy J-L. 2007.</w:t>
      </w:r>
      <w:r>
        <w:t xml:space="preserve"> </w:t>
      </w:r>
      <w:r>
        <w:rPr>
          <w:i/>
        </w:rPr>
        <w:t xml:space="preserve">Listening</w:t>
      </w:r>
      <w:r>
        <w:t xml:space="preserve">. Fordham University Place. ed.</w:t>
      </w:r>
    </w:p>
    <w:bookmarkEnd w:id="564"/>
    <w:bookmarkStart w:id="56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5"/>
    <w:bookmarkStart w:id="567"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6">
        <w:r>
          <w:rPr>
            <w:rStyle w:val="Hyperlink"/>
          </w:rPr>
          <w:t xml:space="preserve">http://www.nime.org/proceedings/2007/nime2007_112.pdf</w:t>
        </w:r>
      </w:hyperlink>
    </w:p>
    <w:bookmarkEnd w:id="567"/>
    <w:bookmarkStart w:id="568"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8"/>
    <w:bookmarkStart w:id="56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9"/>
    <w:bookmarkStart w:id="57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70"/>
    <w:bookmarkStart w:id="57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71"/>
    <w:bookmarkStart w:id="57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72"/>
    <w:bookmarkStart w:id="573"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73"/>
    <w:bookmarkStart w:id="57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74"/>
    <w:bookmarkStart w:id="57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5"/>
    <w:bookmarkStart w:id="57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6"/>
    <w:bookmarkStart w:id="57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7"/>
    <w:bookmarkStart w:id="57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8"/>
    <w:bookmarkStart w:id="57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9"/>
    <w:bookmarkStart w:id="58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80">
        <w:r>
          <w:rPr>
            <w:rStyle w:val="Hyperlink"/>
          </w:rPr>
          <w:t xml:space="preserve">http://www.terasoft.com.tw/conf/ismir2014/proceedings/T064_307_Paper.pdf</w:t>
        </w:r>
      </w:hyperlink>
    </w:p>
    <w:bookmarkEnd w:id="581"/>
    <w:bookmarkStart w:id="582"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82"/>
    <w:bookmarkStart w:id="583" w:name="ref-Pos11:Int"/>
    <w:p>
      <w:pPr>
        <w:pStyle w:val="Bibliography"/>
      </w:pPr>
      <w:r>
        <w:t xml:space="preserve">Poster M. 2011. Introduction.</w:t>
      </w:r>
      <w:r>
        <w:t xml:space="preserve"> </w:t>
      </w:r>
      <w:r>
        <w:rPr>
          <w:i/>
        </w:rPr>
        <w:t xml:space="preserve">Into the Universe of Technical Images</w:t>
      </w:r>
    </w:p>
    <w:bookmarkEnd w:id="583"/>
    <w:bookmarkStart w:id="585"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84">
        <w:r>
          <w:rPr>
            <w:rStyle w:val="Hyperlink"/>
          </w:rPr>
          <w:t xml:space="preserve">http://www.nime.org/proceedings/2008/nime2008_311.pdf</w:t>
        </w:r>
      </w:hyperlink>
    </w:p>
    <w:bookmarkEnd w:id="585"/>
    <w:bookmarkStart w:id="586"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6"/>
    <w:bookmarkStart w:id="587"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7"/>
    <w:bookmarkStart w:id="588" w:name="ref-Puc91:Som"/>
    <w:p>
      <w:pPr>
        <w:pStyle w:val="Bibliography"/>
      </w:pPr>
      <w:r>
        <w:t xml:space="preserve">Puckette M. 1991. Something digital.</w:t>
      </w:r>
      <w:r>
        <w:t xml:space="preserve"> </w:t>
      </w:r>
      <w:r>
        <w:rPr>
          <w:i/>
        </w:rPr>
        <w:t xml:space="preserve">Computer Music Journal</w:t>
      </w:r>
      <w:r>
        <w:t xml:space="preserve">. 15(4):65–69</w:t>
      </w:r>
    </w:p>
    <w:bookmarkEnd w:id="588"/>
    <w:bookmarkStart w:id="58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9"/>
    <w:bookmarkStart w:id="59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90"/>
    <w:bookmarkStart w:id="59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91"/>
    <w:bookmarkStart w:id="59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92"/>
    <w:bookmarkStart w:id="59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93"/>
    <w:bookmarkStart w:id="594"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94"/>
    <w:bookmarkStart w:id="595" w:name="ref-Roa04:Mic"/>
    <w:p>
      <w:pPr>
        <w:pStyle w:val="Bibliography"/>
      </w:pPr>
      <w:r>
        <w:t xml:space="preserve">Roads C. 2001.</w:t>
      </w:r>
      <w:r>
        <w:t xml:space="preserve"> </w:t>
      </w:r>
      <w:r>
        <w:rPr>
          <w:i/>
        </w:rPr>
        <w:t xml:space="preserve">Microsound</w:t>
      </w:r>
      <w:r>
        <w:t xml:space="preserve">. MIT Press. ed.</w:t>
      </w:r>
    </w:p>
    <w:bookmarkEnd w:id="595"/>
    <w:bookmarkStart w:id="59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6"/>
    <w:bookmarkStart w:id="59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7"/>
    <w:bookmarkStart w:id="598"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8"/>
    <w:bookmarkStart w:id="59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9"/>
    <w:bookmarkStart w:id="60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600"/>
    <w:bookmarkStart w:id="60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601"/>
    <w:bookmarkStart w:id="602"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602"/>
    <w:bookmarkStart w:id="60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603"/>
    <w:bookmarkStart w:id="604"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604"/>
    <w:bookmarkStart w:id="60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5"/>
    <w:bookmarkStart w:id="60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6"/>
    <w:bookmarkStart w:id="608"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7">
        <w:r>
          <w:rPr>
            <w:rStyle w:val="Hyperlink"/>
          </w:rPr>
          <w:t xml:space="preserve">http://ismir2005.ismir.net/proceedings/3123.pdf</w:t>
        </w:r>
      </w:hyperlink>
    </w:p>
    <w:bookmarkEnd w:id="608"/>
    <w:bookmarkStart w:id="60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9"/>
    <w:bookmarkStart w:id="61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10"/>
    <w:bookmarkStart w:id="61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11"/>
    <w:bookmarkStart w:id="61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12"/>
    <w:bookmarkStart w:id="61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13"/>
    <w:bookmarkStart w:id="61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14"/>
    <w:bookmarkStart w:id="61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5"/>
    <w:bookmarkStart w:id="616"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6"/>
    <w:bookmarkStart w:id="617" w:name="ref-Sch06:Rea"/>
    <w:p>
      <w:pPr>
        <w:pStyle w:val="Bibliography"/>
      </w:pPr>
      <w:r>
        <w:t xml:space="preserve">Schwarz D. 2006b. Real-time corpus-based concatenative synthesis with catart., pp. 18–21</w:t>
      </w:r>
    </w:p>
    <w:bookmarkEnd w:id="617"/>
    <w:bookmarkStart w:id="61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8"/>
    <w:bookmarkStart w:id="619"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9"/>
    <w:bookmarkStart w:id="620"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20"/>
    <w:bookmarkStart w:id="621" w:name="ref-scoremus"/>
    <w:p>
      <w:pPr>
        <w:pStyle w:val="Bibliography"/>
      </w:pPr>
      <w:r>
        <w:t xml:space="preserve">Selfridge-Field E. 1997. The score music publishing system.</w:t>
      </w:r>
      <w:r>
        <w:t xml:space="preserve"> </w:t>
      </w:r>
      <w:r>
        <w:rPr>
          <w:i/>
        </w:rPr>
        <w:t xml:space="preserve">SCORE</w:t>
      </w:r>
    </w:p>
    <w:bookmarkEnd w:id="621"/>
    <w:bookmarkStart w:id="62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22"/>
    <w:bookmarkStart w:id="624"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23">
        <w:r>
          <w:rPr>
            <w:rStyle w:val="Hyperlink"/>
          </w:rPr>
          <w:t xml:space="preserve">https://hal.archives-ouvertes.fr/hal-01393959</w:t>
        </w:r>
      </w:hyperlink>
    </w:p>
    <w:bookmarkEnd w:id="624"/>
    <w:bookmarkStart w:id="62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5"/>
    <w:bookmarkStart w:id="62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6"/>
    <w:bookmarkStart w:id="62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7"/>
    <w:bookmarkStart w:id="628" w:name="ref-10.2307/941442"/>
    <w:p>
      <w:pPr>
        <w:pStyle w:val="Bibliography"/>
      </w:pPr>
      <w:r>
        <w:t xml:space="preserve">Skinner R. 1990a. Music software.</w:t>
      </w:r>
      <w:r>
        <w:t xml:space="preserve"> </w:t>
      </w:r>
      <w:r>
        <w:rPr>
          <w:i/>
        </w:rPr>
        <w:t xml:space="preserve">Notes</w:t>
      </w:r>
      <w:r>
        <w:t xml:space="preserve">. 46(3):660–84</w:t>
      </w:r>
    </w:p>
    <w:bookmarkEnd w:id="628"/>
    <w:bookmarkStart w:id="629" w:name="ref-10.2307/940555"/>
    <w:p>
      <w:pPr>
        <w:pStyle w:val="Bibliography"/>
      </w:pPr>
      <w:r>
        <w:t xml:space="preserve">Skinner R. 1990b. Music software.</w:t>
      </w:r>
      <w:r>
        <w:t xml:space="preserve"> </w:t>
      </w:r>
      <w:r>
        <w:rPr>
          <w:i/>
        </w:rPr>
        <w:t xml:space="preserve">Notes</w:t>
      </w:r>
      <w:r>
        <w:t xml:space="preserve">. 47(1):91–101</w:t>
      </w:r>
    </w:p>
    <w:bookmarkEnd w:id="629"/>
    <w:bookmarkStart w:id="63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30"/>
    <w:bookmarkStart w:id="63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31"/>
    <w:bookmarkStart w:id="63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32"/>
    <w:bookmarkStart w:id="633"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33"/>
    <w:bookmarkStart w:id="634"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4"/>
    <w:bookmarkStart w:id="635" w:name="ref-Sze08:Lis"/>
    <w:p>
      <w:pPr>
        <w:pStyle w:val="Bibliography"/>
      </w:pPr>
      <w:r>
        <w:t xml:space="preserve">Szendy P. 2008.</w:t>
      </w:r>
      <w:r>
        <w:t xml:space="preserve"> </w:t>
      </w:r>
      <w:r>
        <w:rPr>
          <w:i/>
        </w:rPr>
        <w:t xml:space="preserve">Listen: A History of Our Ears</w:t>
      </w:r>
      <w:r>
        <w:t xml:space="preserve">. Fordham University. ed.</w:t>
      </w:r>
    </w:p>
    <w:bookmarkEnd w:id="635"/>
    <w:bookmarkStart w:id="636"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6"/>
    <w:bookmarkStart w:id="637" w:name="ref-Sch07:How"/>
    <w:p>
      <w:pPr>
        <w:pStyle w:val="Bibliography"/>
      </w:pPr>
      <w:r>
        <w:t xml:space="preserve">Thiebaut J-B, Bello J, Schwarz D. 2007. How musical are images? From sound representation to image sonification: An eco systemic approach</w:t>
      </w:r>
    </w:p>
    <w:bookmarkEnd w:id="637"/>
    <w:bookmarkStart w:id="638"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8"/>
    <w:bookmarkStart w:id="639"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9"/>
    <w:bookmarkStart w:id="640"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40"/>
    <w:bookmarkStart w:id="641"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41"/>
    <w:bookmarkStart w:id="642"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42"/>
    <w:bookmarkStart w:id="64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3"/>
    <w:bookmarkStart w:id="64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4"/>
    <w:bookmarkStart w:id="645" w:name="ref-Var04:The"/>
    <w:p>
      <w:pPr>
        <w:pStyle w:val="Bibliography"/>
      </w:pPr>
      <w:r>
        <w:t xml:space="preserve">Varese E. 2004. The liberation of sound.</w:t>
      </w:r>
      <w:r>
        <w:t xml:space="preserve"> </w:t>
      </w:r>
      <w:r>
        <w:rPr>
          <w:i/>
        </w:rPr>
        <w:t xml:space="preserve">Audio Culture: Readings in Modern Music</w:t>
      </w:r>
    </w:p>
    <w:bookmarkEnd w:id="645"/>
    <w:bookmarkStart w:id="646" w:name="ref-Ver84:The"/>
    <w:p>
      <w:pPr>
        <w:pStyle w:val="Bibliography"/>
      </w:pPr>
      <w:r>
        <w:t xml:space="preserve">Vercoe B. 1984. The synthetic performer in the context of live performance</w:t>
      </w:r>
    </w:p>
    <w:bookmarkEnd w:id="646"/>
    <w:bookmarkStart w:id="64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7"/>
    <w:bookmarkStart w:id="648"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8"/>
    <w:bookmarkStart w:id="65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9">
        <w:r>
          <w:rPr>
            <w:rStyle w:val="Hyperlink"/>
          </w:rPr>
          <w:t xml:space="preserve">https://ismir2017.smcnus.org/wp-content/uploads/2017/10/180_Paper.pdf</w:t>
        </w:r>
      </w:hyperlink>
    </w:p>
    <w:bookmarkEnd w:id="650"/>
    <w:bookmarkStart w:id="65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51"/>
    <w:bookmarkStart w:id="65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52">
        <w:r>
          <w:rPr>
            <w:rStyle w:val="Hyperlink"/>
          </w:rPr>
          <w:t xml:space="preserve">http://ismir2002.ismir.net/proceedings/02-FP06-3.pdf</w:t>
        </w:r>
      </w:hyperlink>
    </w:p>
    <w:bookmarkEnd w:id="653"/>
    <w:bookmarkStart w:id="65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4"/>
    <w:bookmarkStart w:id="65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5"/>
    <w:bookmarkStart w:id="65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6"/>
    <w:bookmarkStart w:id="65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7"/>
    <w:bookmarkStart w:id="65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8"/>
    <w:bookmarkStart w:id="659"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9"/>
    <w:bookmarkStart w:id="66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60"/>
    <w:bookmarkStart w:id="661"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61"/>
    <w:bookmarkStart w:id="6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62"/>
    <w:bookmarkStart w:id="663" w:name="ref-Wei07:Oce"/>
    <w:p>
      <w:pPr>
        <w:pStyle w:val="Bibliography"/>
      </w:pPr>
      <w:r>
        <w:t xml:space="preserve">Weinbren G. 2007. Ocean, database, recut.</w:t>
      </w:r>
      <w:r>
        <w:t xml:space="preserve"> </w:t>
      </w:r>
      <w:r>
        <w:rPr>
          <w:i/>
        </w:rPr>
        <w:t xml:space="preserve">Database Aesthetics: Art in the Age of Information Overflow</w:t>
      </w:r>
    </w:p>
    <w:bookmarkEnd w:id="663"/>
    <w:bookmarkStart w:id="6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4"/>
    <w:bookmarkStart w:id="6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5"/>
    <w:bookmarkStart w:id="6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6">
        <w:r>
          <w:rPr>
            <w:rStyle w:val="Hyperlink"/>
          </w:rPr>
          <w:t xml:space="preserve">http://ismir2018.ircam.fr/doc/pdfs/114_Paper.pdf</w:t>
        </w:r>
      </w:hyperlink>
    </w:p>
    <w:bookmarkEnd w:id="667"/>
    <w:bookmarkStart w:id="6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8"/>
    <w:bookmarkStart w:id="6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9">
        <w:r>
          <w:rPr>
            <w:rStyle w:val="Hyperlink"/>
          </w:rPr>
          <w:t xml:space="preserve">http://ismir2004.ismir.net/proceedings/p010-page-48-paper227.pdf</w:t>
        </w:r>
      </w:hyperlink>
    </w:p>
    <w:bookmarkEnd w:id="670"/>
    <w:bookmarkStart w:id="671"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71"/>
    <w:bookmarkStart w:id="672"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72"/>
    <w:bookmarkStart w:id="6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3"/>
    <w:bookmarkStart w:id="6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4">
        <w:r>
          <w:rPr>
            <w:rStyle w:val="Hyperlink"/>
          </w:rPr>
          <w:t xml:space="preserve">http://ismir2018.ircam.fr/doc/pdfs/188_Paper.pdf</w:t>
        </w:r>
      </w:hyperlink>
    </w:p>
    <w:bookmarkEnd w:id="675"/>
    <w:bookmarkStart w:id="6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6"/>
    <w:bookmarkStart w:id="6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7"/>
    <w:bookmarkStart w:id="6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8"/>
    <w:bookmarkStart w:id="6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9"/>
    <w:bookmarkStart w:id="6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80"/>
    <w:bookmarkStart w:id="6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81"/>
    <w:bookmarkStart w:id="6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82">
        <w:r>
          <w:rPr>
            <w:rStyle w:val="Hyperlink"/>
          </w:rPr>
          <w:t xml:space="preserve">http://www.nime.org/proceedings/2007/nime2007_352.pdf</w:t>
        </w:r>
      </w:hyperlink>
    </w:p>
    <w:bookmarkEnd w:id="683"/>
    <w:bookmarkStart w:id="6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4"/>
    <w:bookmarkStart w:id="685" w:name="ref-Zmo15:Liv"/>
    <w:p>
      <w:pPr>
        <w:pStyle w:val="Bibliography"/>
      </w:pPr>
      <w:r>
        <w:t xml:space="preserve">zmölnig I m, Eckel G. 2015. LIVE coding: AN overview</w:t>
      </w:r>
    </w:p>
    <w:bookmarkEnd w:id="685"/>
    <w:bookmarkEnd w:id="6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1">
    <w:p>
      <w:pPr>
        <w:pStyle w:val="FootnoteText"/>
      </w:pPr>
      <w:r>
        <w:rPr>
          <w:rStyle w:val="FootnoteReference"/>
        </w:rPr>
        <w:footnoteRef/>
      </w:r>
      <w:r>
        <w:t xml:space="preserve"> </w:t>
      </w:r>
      <w:r>
        <w:t xml:space="preserve">From a lecture given by Judy Klein at New York University’s Waverly Project, on February 2nd, 2017.</w:t>
      </w:r>
    </w:p>
  </w:footnote>
  <w:footnote w:id="113">
    <w:p>
      <w:pPr>
        <w:pStyle w:val="FootnoteText"/>
      </w:pPr>
      <w:r>
        <w:rPr>
          <w:rStyle w:val="FootnoteReference"/>
        </w:rPr>
        <w:footnoteRef/>
      </w:r>
      <w:r>
        <w:t xml:space="preserve"> </w:t>
      </w:r>
      <w:hyperlink r:id="rId114">
        <w:r>
          <w:rPr>
            <w:rStyle w:val="Hyperlink"/>
          </w:rPr>
          <w:t xml:space="preserve">http://www.natashabarrett.org/viva.html</w:t>
        </w:r>
      </w:hyperlink>
    </w:p>
  </w:footnote>
  <w:footnote w:id="115">
    <w:p>
      <w:pPr>
        <w:pStyle w:val="FootnoteText"/>
      </w:pPr>
      <w:r>
        <w:rPr>
          <w:rStyle w:val="FootnoteReference"/>
        </w:rPr>
        <w:footnoteRef/>
      </w:r>
      <w:r>
        <w:t xml:space="preserve"> </w:t>
      </w:r>
      <w:r>
        <w:t xml:space="preserve">A biological field station called</w:t>
      </w:r>
      <w:r>
        <w:t xml:space="preserve"> </w:t>
      </w:r>
      <w:r>
        <w:t xml:space="preserve">‘</w:t>
      </w:r>
      <w:r>
        <w:t xml:space="preserve">La Suerte</w:t>
      </w:r>
      <w:r>
        <w:t xml:space="preserve">’</w:t>
      </w:r>
      <w:r>
        <w:t xml:space="preserve"> </w:t>
      </w:r>
      <w:r>
        <w:t xml:space="preserve">in Costa Rica</w:t>
      </w:r>
    </w:p>
  </w:footnote>
  <w:footnote w:id="123">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4">
        <w:r>
          <w:rPr>
            <w:rStyle w:val="Hyperlink"/>
          </w:rPr>
          <w:t xml:space="preserve">https://developer.apple.com/documentation/metal</w:t>
        </w:r>
      </w:hyperlink>
    </w:p>
  </w:footnote>
  <w:footnote w:id="125">
    <w:p>
      <w:pPr>
        <w:pStyle w:val="FootnoteText"/>
      </w:pPr>
      <w:r>
        <w:rPr>
          <w:rStyle w:val="FootnoteReference"/>
        </w:rPr>
        <w:footnoteRef/>
      </w:r>
      <w:r>
        <w:t xml:space="preserve"> </w:t>
      </w:r>
      <w:hyperlink r:id="rId126">
        <w:r>
          <w:rPr>
            <w:rStyle w:val="Hyperlink"/>
          </w:rPr>
          <w:t xml:space="preserve">https://vimeo.com/167646306</w:t>
        </w:r>
      </w:hyperlink>
    </w:p>
  </w:footnote>
  <w:footnote w:id="137">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53">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5">
    <w:p>
      <w:pPr>
        <w:pStyle w:val="FootnoteText"/>
      </w:pPr>
      <w:r>
        <w:rPr>
          <w:rStyle w:val="FootnoteReference"/>
        </w:rPr>
        <w:footnoteRef/>
      </w:r>
      <w:r>
        <w:t xml:space="preserve"> </w:t>
      </w:r>
      <w:hyperlink r:id="rId156">
        <w:r>
          <w:rPr>
            <w:rStyle w:val="Hyperlink"/>
          </w:rPr>
          <w:t xml:space="preserve">https://kyma.symbolicsound.com/</w:t>
        </w:r>
      </w:hyperlink>
    </w:p>
  </w:footnote>
  <w:footnote w:id="171">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72">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85">
    <w:p>
      <w:pPr>
        <w:pStyle w:val="FootnoteText"/>
      </w:pPr>
      <w:r>
        <w:rPr>
          <w:rStyle w:val="FootnoteReference"/>
        </w:rPr>
        <w:footnoteRef/>
      </w:r>
      <w:r>
        <w:t xml:space="preserve"> </w:t>
      </w:r>
      <w:r>
        <w:t xml:space="preserve">Later,</w:t>
      </w:r>
      <w:r>
        <w:t xml:space="preserve"> </w:t>
      </w:r>
      <w:r>
        <w:t xml:space="preserve">Kawahara et al. (2004)</w:t>
      </w:r>
      <w:r>
        <w:t xml:space="preserve"> </w:t>
      </w:r>
      <w:r>
        <w:t xml:space="preserve">demonstrated the morphing techniques of his software using the</w:t>
      </w:r>
      <w:r>
        <w:t xml:space="preserve"> </w:t>
      </w:r>
      <w:r>
        <w:t xml:space="preserve">rwc</w:t>
      </w:r>
      <w:r>
        <w:t xml:space="preserve"> </w:t>
      </w:r>
      <w:r>
        <w:t xml:space="preserve">dataset</w:t>
      </w:r>
      <w:r>
        <w:t xml:space="preserve"> </w:t>
      </w:r>
      <w:r>
        <w:t xml:space="preserve">(Kawahara et al. 2004)</w:t>
      </w:r>
      <w:r>
        <w:t xml:space="preserve">.</w:t>
      </w:r>
    </w:p>
  </w:footnote>
  <w:footnote w:id="186">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94">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7">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4">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5">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6">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7">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8">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9">
    <w:p>
      <w:pPr>
        <w:pStyle w:val="FootnoteText"/>
      </w:pPr>
      <w:r>
        <w:rPr>
          <w:rStyle w:val="FootnoteReference"/>
        </w:rPr>
        <w:footnoteRef/>
      </w:r>
      <w:r>
        <w:t xml:space="preserve"> </w:t>
      </w:r>
      <w:hyperlink r:id="rId220">
        <w:r>
          <w:rPr>
            <w:rStyle w:val="Hyperlink"/>
          </w:rPr>
          <w:t xml:space="preserve">https://en.wikipedia.org/wiki/Leo_Beranek</w:t>
        </w:r>
      </w:hyperlink>
    </w:p>
  </w:footnote>
  <w:footnote w:id="222">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8">
    <w:p>
      <w:pPr>
        <w:pStyle w:val="FootnoteText"/>
      </w:pPr>
      <w:r>
        <w:rPr>
          <w:rStyle w:val="FootnoteReference"/>
        </w:rPr>
        <w:footnoteRef/>
      </w:r>
      <w:r>
        <w:t xml:space="preserve"> </w:t>
      </w:r>
      <w:hyperlink r:id="rId239">
        <w:r>
          <w:rPr>
            <w:rStyle w:val="Hyperlink"/>
          </w:rPr>
          <w:t xml:space="preserve">https://en.cppreference.com/w/cpp/language/destructor</w:t>
        </w:r>
      </w:hyperlink>
    </w:p>
  </w:footnote>
  <w:footnote w:id="245">
    <w:p>
      <w:pPr>
        <w:pStyle w:val="FootnoteText"/>
      </w:pPr>
      <w:r>
        <w:rPr>
          <w:rStyle w:val="FootnoteReference"/>
        </w:rPr>
        <w:footnoteRef/>
      </w:r>
      <w:r>
        <w:t xml:space="preserve"> </w:t>
      </w:r>
      <w:hyperlink r:id="rId246">
        <w:r>
          <w:rPr>
            <w:rStyle w:val="Hyperlink"/>
          </w:rPr>
          <w:t xml:space="preserve">https://mpc.chs.harvard.edu/</w:t>
        </w:r>
      </w:hyperlink>
    </w:p>
  </w:footnote>
  <w:footnote w:id="247">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7">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8">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81">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82">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5">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300">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301">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302">
        <w:r>
          <w:rPr>
            <w:rStyle w:val="Hyperlink"/>
          </w:rPr>
          <w:t xml:space="preserve">https://en.wikipedia.org/wiki/Dr._Strangelove</w:t>
        </w:r>
      </w:hyperlink>
    </w:p>
  </w:footnote>
  <w:footnote w:id="303">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4">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6">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7">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10">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8">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4">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8">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70" Target="media/rId270.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hyperlink" Id="rId454" Target="http://ismir2000.ismir.net/papers/invites/dunn_invite.pdf" TargetMode="External" /><Relationship Type="http://schemas.openxmlformats.org/officeDocument/2006/relationships/hyperlink" Id="rId477" Target="http://ismir2000.ismir.net/posters/good.pdf" TargetMode="External" /><Relationship Type="http://schemas.openxmlformats.org/officeDocument/2006/relationships/hyperlink" Id="rId652" Target="http://ismir2002.ismir.net/proceedings/02-FP06-3.pdf" TargetMode="External" /><Relationship Type="http://schemas.openxmlformats.org/officeDocument/2006/relationships/hyperlink" Id="rId479" Target="http://ismir2002.ismir.net/proceedings/03-SP04-1.pdf" TargetMode="External" /><Relationship Type="http://schemas.openxmlformats.org/officeDocument/2006/relationships/hyperlink" Id="rId481" Target="http://ismir2003.ismir.net/papers/Goto1.PDF" TargetMode="External" /><Relationship Type="http://schemas.openxmlformats.org/officeDocument/2006/relationships/hyperlink" Id="rId669" Target="http://ismir2004.ismir.net/proceedings/p010-page-48-paper227.pdf" TargetMode="External" /><Relationship Type="http://schemas.openxmlformats.org/officeDocument/2006/relationships/hyperlink" Id="rId503" Target="http://ismir2005.ismir.net/proceedings/2117.pdf" TargetMode="External" /><Relationship Type="http://schemas.openxmlformats.org/officeDocument/2006/relationships/hyperlink" Id="rId607" Target="http://ismir2005.ismir.net/proceedings/3123.pdf" TargetMode="External" /><Relationship Type="http://schemas.openxmlformats.org/officeDocument/2006/relationships/hyperlink" Id="rId512" Target="http://ismir2008.ismir.net/papers/ISMIR2008_106.pdf" TargetMode="External" /><Relationship Type="http://schemas.openxmlformats.org/officeDocument/2006/relationships/hyperlink" Id="rId544" Target="http://ismir2008.ismir.net/papers/ISMIR2008_158.pdf" TargetMode="External" /><Relationship Type="http://schemas.openxmlformats.org/officeDocument/2006/relationships/hyperlink" Id="rId490" Target="http://ismir2008.ismir.net/papers/ISMIR2008_173.pdf" TargetMode="External" /><Relationship Type="http://schemas.openxmlformats.org/officeDocument/2006/relationships/hyperlink" Id="rId524" Target="http://ismir2015.uma.es/articles/246_Paper.pdf" TargetMode="External" /><Relationship Type="http://schemas.openxmlformats.org/officeDocument/2006/relationships/hyperlink" Id="rId443" Target="http://ismir2015.uma.es/articles/261_Paper.pdf" TargetMode="External" /><Relationship Type="http://schemas.openxmlformats.org/officeDocument/2006/relationships/hyperlink" Id="rId666" Target="http://ismir2018.ircam.fr/doc/pdfs/114_Paper.pdf" TargetMode="External" /><Relationship Type="http://schemas.openxmlformats.org/officeDocument/2006/relationships/hyperlink" Id="rId674" Target="http://ismir2018.ircam.fr/doc/pdfs/188_Paper.pdf" TargetMode="External" /><Relationship Type="http://schemas.openxmlformats.org/officeDocument/2006/relationships/hyperlink" Id="rId460" Target="http://ismir2018.ircam.fr/doc/pdfs/206_Paper.pdf" TargetMode="External" /><Relationship Type="http://schemas.openxmlformats.org/officeDocument/2006/relationships/hyperlink" Id="rId506" Target="http://ismir2018.ircam.fr/doc/pdfs/248_Paper.pdf" TargetMode="External" /><Relationship Type="http://schemas.openxmlformats.org/officeDocument/2006/relationships/hyperlink" Id="rId451" Target="http://ismir2018.ircam.fr/doc/pdfs/265_Paper.pdf" TargetMode="External" /><Relationship Type="http://schemas.openxmlformats.org/officeDocument/2006/relationships/hyperlink" Id="rId551"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18" Target="http://www.nime.org/proceedings/2004/nime2004_130.pdf" TargetMode="External" /><Relationship Type="http://schemas.openxmlformats.org/officeDocument/2006/relationships/hyperlink" Id="rId566" Target="http://www.nime.org/proceedings/2007/nime2007_112.pdf" TargetMode="External" /><Relationship Type="http://schemas.openxmlformats.org/officeDocument/2006/relationships/hyperlink" Id="rId682" Target="http://www.nime.org/proceedings/2007/nime2007_352.pdf" TargetMode="External" /><Relationship Type="http://schemas.openxmlformats.org/officeDocument/2006/relationships/hyperlink" Id="rId561" Target="http://www.nime.org/proceedings/2007/nime2007_409.pdf" TargetMode="External" /><Relationship Type="http://schemas.openxmlformats.org/officeDocument/2006/relationships/hyperlink" Id="rId538" Target="http://www.nime.org/proceedings/2008/nime2008_221.pdf" TargetMode="External" /><Relationship Type="http://schemas.openxmlformats.org/officeDocument/2006/relationships/hyperlink" Id="rId584" Target="http://www.nime.org/proceedings/2008/nime2008_311.pdf" TargetMode="External" /><Relationship Type="http://schemas.openxmlformats.org/officeDocument/2006/relationships/hyperlink" Id="rId390" Target="http://www.nime.org/proceedings/2009/nime2009_266.pdf" TargetMode="External" /><Relationship Type="http://schemas.openxmlformats.org/officeDocument/2006/relationships/hyperlink" Id="rId501" Target="http://www.nime.org/proceedings/2010/nime2010_233.pdf" TargetMode="External" /><Relationship Type="http://schemas.openxmlformats.org/officeDocument/2006/relationships/hyperlink" Id="rId474" Target="http://www.nime.org/proceedings/2011/nime2011_124.pdf" TargetMode="External" /><Relationship Type="http://schemas.openxmlformats.org/officeDocument/2006/relationships/hyperlink" Id="rId401" Target="http://www.nime.org/proceedings/2011/nime2011_329.pdf" TargetMode="External" /><Relationship Type="http://schemas.openxmlformats.org/officeDocument/2006/relationships/hyperlink" Id="rId388" Target="http://www.nime.org/proceedings/2011/nime2011_387.pdf" TargetMode="External" /><Relationship Type="http://schemas.openxmlformats.org/officeDocument/2006/relationships/hyperlink" Id="rId372" Target="http://www.ppgia.pucpr.br/ismir2013/wp-content/uploads/2013/09/177\_Paper.pdf" TargetMode="External" /><Relationship Type="http://schemas.openxmlformats.org/officeDocument/2006/relationships/hyperlink" Id="rId494" Target="http://www.ppgia.pucpr.br/ismir2013/wp-content/uploads/2013/09/85_Paper.pdf" TargetMode="External" /><Relationship Type="http://schemas.openxmlformats.org/officeDocument/2006/relationships/hyperlink" Id="rId353" Target="http://www.terasoft.com.tw/conf/ismir2014/proceedings/T014_162_Paper.pdf" TargetMode="External" /><Relationship Type="http://schemas.openxmlformats.org/officeDocument/2006/relationships/hyperlink" Id="rId369" Target="http://www.terasoft.com.tw/conf/ismir2014/proceedings/T028_322_Paper.pdf" TargetMode="External" /><Relationship Type="http://schemas.openxmlformats.org/officeDocument/2006/relationships/hyperlink" Id="rId521" Target="http://www.terasoft.com.tw/conf/ismir2014/proceedings/T039_344_Paper.pdf" TargetMode="External" /><Relationship Type="http://schemas.openxmlformats.org/officeDocument/2006/relationships/hyperlink" Id="rId485" Target="http://www.terasoft.com.tw/conf/ismir2014/proceedings/T059_257_Paper.pdf" TargetMode="External" /><Relationship Type="http://schemas.openxmlformats.org/officeDocument/2006/relationships/hyperlink" Id="rId580"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9" Target="https://en.cppreference.com/w/cpp/language/destructor" TargetMode="External" /><Relationship Type="http://schemas.openxmlformats.org/officeDocument/2006/relationships/hyperlink" Id="rId302"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20"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23" Target="https://hal.archives-ouvertes.fr/hal-01393959" TargetMode="External" /><Relationship Type="http://schemas.openxmlformats.org/officeDocument/2006/relationships/hyperlink" Id="rId466" Target="https://ismir2017.smcnus.org/wp-content/uploads/2017/10/161_Paper.pdf" TargetMode="External" /><Relationship Type="http://schemas.openxmlformats.org/officeDocument/2006/relationships/hyperlink" Id="rId649" Target="https://ismir2017.smcnus.org/wp-content/uploads/2017/10/180_Paper.pdf" TargetMode="External" /><Relationship Type="http://schemas.openxmlformats.org/officeDocument/2006/relationships/hyperlink" Id="rId430" Target="https://ismir2017.smcnus.org/wp-content/uploads/2017/10/235_Paper.pdf" TargetMode="External" /><Relationship Type="http://schemas.openxmlformats.org/officeDocument/2006/relationships/hyperlink" Id="rId435"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6"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32" Target="https://www.cs.unm.edu/~crowley/papers/sds.pdf" TargetMode="External" /><Relationship Type="http://schemas.openxmlformats.org/officeDocument/2006/relationships/hyperlink" Id="rId301" Target="https://www.mersenne.org/primes/" TargetMode="External" /><Relationship Type="http://schemas.openxmlformats.org/officeDocument/2006/relationships/hyperlink" Id="rId30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4" Target="http://ismir2000.ismir.net/papers/invites/dunn_invite.pdf" TargetMode="External" /><Relationship Type="http://schemas.openxmlformats.org/officeDocument/2006/relationships/hyperlink" Id="rId477" Target="http://ismir2000.ismir.net/posters/good.pdf" TargetMode="External" /><Relationship Type="http://schemas.openxmlformats.org/officeDocument/2006/relationships/hyperlink" Id="rId652" Target="http://ismir2002.ismir.net/proceedings/02-FP06-3.pdf" TargetMode="External" /><Relationship Type="http://schemas.openxmlformats.org/officeDocument/2006/relationships/hyperlink" Id="rId479" Target="http://ismir2002.ismir.net/proceedings/03-SP04-1.pdf" TargetMode="External" /><Relationship Type="http://schemas.openxmlformats.org/officeDocument/2006/relationships/hyperlink" Id="rId481" Target="http://ismir2003.ismir.net/papers/Goto1.PDF" TargetMode="External" /><Relationship Type="http://schemas.openxmlformats.org/officeDocument/2006/relationships/hyperlink" Id="rId669" Target="http://ismir2004.ismir.net/proceedings/p010-page-48-paper227.pdf" TargetMode="External" /><Relationship Type="http://schemas.openxmlformats.org/officeDocument/2006/relationships/hyperlink" Id="rId503" Target="http://ismir2005.ismir.net/proceedings/2117.pdf" TargetMode="External" /><Relationship Type="http://schemas.openxmlformats.org/officeDocument/2006/relationships/hyperlink" Id="rId607" Target="http://ismir2005.ismir.net/proceedings/3123.pdf" TargetMode="External" /><Relationship Type="http://schemas.openxmlformats.org/officeDocument/2006/relationships/hyperlink" Id="rId512" Target="http://ismir2008.ismir.net/papers/ISMIR2008_106.pdf" TargetMode="External" /><Relationship Type="http://schemas.openxmlformats.org/officeDocument/2006/relationships/hyperlink" Id="rId544" Target="http://ismir2008.ismir.net/papers/ISMIR2008_158.pdf" TargetMode="External" /><Relationship Type="http://schemas.openxmlformats.org/officeDocument/2006/relationships/hyperlink" Id="rId490" Target="http://ismir2008.ismir.net/papers/ISMIR2008_173.pdf" TargetMode="External" /><Relationship Type="http://schemas.openxmlformats.org/officeDocument/2006/relationships/hyperlink" Id="rId524" Target="http://ismir2015.uma.es/articles/246_Paper.pdf" TargetMode="External" /><Relationship Type="http://schemas.openxmlformats.org/officeDocument/2006/relationships/hyperlink" Id="rId443" Target="http://ismir2015.uma.es/articles/261_Paper.pdf" TargetMode="External" /><Relationship Type="http://schemas.openxmlformats.org/officeDocument/2006/relationships/hyperlink" Id="rId666" Target="http://ismir2018.ircam.fr/doc/pdfs/114_Paper.pdf" TargetMode="External" /><Relationship Type="http://schemas.openxmlformats.org/officeDocument/2006/relationships/hyperlink" Id="rId674" Target="http://ismir2018.ircam.fr/doc/pdfs/188_Paper.pdf" TargetMode="External" /><Relationship Type="http://schemas.openxmlformats.org/officeDocument/2006/relationships/hyperlink" Id="rId460" Target="http://ismir2018.ircam.fr/doc/pdfs/206_Paper.pdf" TargetMode="External" /><Relationship Type="http://schemas.openxmlformats.org/officeDocument/2006/relationships/hyperlink" Id="rId506" Target="http://ismir2018.ircam.fr/doc/pdfs/248_Paper.pdf" TargetMode="External" /><Relationship Type="http://schemas.openxmlformats.org/officeDocument/2006/relationships/hyperlink" Id="rId451" Target="http://ismir2018.ircam.fr/doc/pdfs/265_Paper.pdf" TargetMode="External" /><Relationship Type="http://schemas.openxmlformats.org/officeDocument/2006/relationships/hyperlink" Id="rId551"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18" Target="http://www.nime.org/proceedings/2004/nime2004_130.pdf" TargetMode="External" /><Relationship Type="http://schemas.openxmlformats.org/officeDocument/2006/relationships/hyperlink" Id="rId566" Target="http://www.nime.org/proceedings/2007/nime2007_112.pdf" TargetMode="External" /><Relationship Type="http://schemas.openxmlformats.org/officeDocument/2006/relationships/hyperlink" Id="rId682" Target="http://www.nime.org/proceedings/2007/nime2007_352.pdf" TargetMode="External" /><Relationship Type="http://schemas.openxmlformats.org/officeDocument/2006/relationships/hyperlink" Id="rId561" Target="http://www.nime.org/proceedings/2007/nime2007_409.pdf" TargetMode="External" /><Relationship Type="http://schemas.openxmlformats.org/officeDocument/2006/relationships/hyperlink" Id="rId538" Target="http://www.nime.org/proceedings/2008/nime2008_221.pdf" TargetMode="External" /><Relationship Type="http://schemas.openxmlformats.org/officeDocument/2006/relationships/hyperlink" Id="rId584" Target="http://www.nime.org/proceedings/2008/nime2008_311.pdf" TargetMode="External" /><Relationship Type="http://schemas.openxmlformats.org/officeDocument/2006/relationships/hyperlink" Id="rId390" Target="http://www.nime.org/proceedings/2009/nime2009_266.pdf" TargetMode="External" /><Relationship Type="http://schemas.openxmlformats.org/officeDocument/2006/relationships/hyperlink" Id="rId501" Target="http://www.nime.org/proceedings/2010/nime2010_233.pdf" TargetMode="External" /><Relationship Type="http://schemas.openxmlformats.org/officeDocument/2006/relationships/hyperlink" Id="rId474" Target="http://www.nime.org/proceedings/2011/nime2011_124.pdf" TargetMode="External" /><Relationship Type="http://schemas.openxmlformats.org/officeDocument/2006/relationships/hyperlink" Id="rId401" Target="http://www.nime.org/proceedings/2011/nime2011_329.pdf" TargetMode="External" /><Relationship Type="http://schemas.openxmlformats.org/officeDocument/2006/relationships/hyperlink" Id="rId388" Target="http://www.nime.org/proceedings/2011/nime2011_387.pdf" TargetMode="External" /><Relationship Type="http://schemas.openxmlformats.org/officeDocument/2006/relationships/hyperlink" Id="rId372" Target="http://www.ppgia.pucpr.br/ismir2013/wp-content/uploads/2013/09/177\_Paper.pdf" TargetMode="External" /><Relationship Type="http://schemas.openxmlformats.org/officeDocument/2006/relationships/hyperlink" Id="rId494" Target="http://www.ppgia.pucpr.br/ismir2013/wp-content/uploads/2013/09/85_Paper.pdf" TargetMode="External" /><Relationship Type="http://schemas.openxmlformats.org/officeDocument/2006/relationships/hyperlink" Id="rId353" Target="http://www.terasoft.com.tw/conf/ismir2014/proceedings/T014_162_Paper.pdf" TargetMode="External" /><Relationship Type="http://schemas.openxmlformats.org/officeDocument/2006/relationships/hyperlink" Id="rId369" Target="http://www.terasoft.com.tw/conf/ismir2014/proceedings/T028_322_Paper.pdf" TargetMode="External" /><Relationship Type="http://schemas.openxmlformats.org/officeDocument/2006/relationships/hyperlink" Id="rId521" Target="http://www.terasoft.com.tw/conf/ismir2014/proceedings/T039_344_Paper.pdf" TargetMode="External" /><Relationship Type="http://schemas.openxmlformats.org/officeDocument/2006/relationships/hyperlink" Id="rId485" Target="http://www.terasoft.com.tw/conf/ismir2014/proceedings/T059_257_Paper.pdf" TargetMode="External" /><Relationship Type="http://schemas.openxmlformats.org/officeDocument/2006/relationships/hyperlink" Id="rId580"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9" Target="https://en.cppreference.com/w/cpp/language/destructor" TargetMode="External" /><Relationship Type="http://schemas.openxmlformats.org/officeDocument/2006/relationships/hyperlink" Id="rId302"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20"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23" Target="https://hal.archives-ouvertes.fr/hal-01393959" TargetMode="External" /><Relationship Type="http://schemas.openxmlformats.org/officeDocument/2006/relationships/hyperlink" Id="rId466" Target="https://ismir2017.smcnus.org/wp-content/uploads/2017/10/161_Paper.pdf" TargetMode="External" /><Relationship Type="http://schemas.openxmlformats.org/officeDocument/2006/relationships/hyperlink" Id="rId649" Target="https://ismir2017.smcnus.org/wp-content/uploads/2017/10/180_Paper.pdf" TargetMode="External" /><Relationship Type="http://schemas.openxmlformats.org/officeDocument/2006/relationships/hyperlink" Id="rId430" Target="https://ismir2017.smcnus.org/wp-content/uploads/2017/10/235_Paper.pdf" TargetMode="External" /><Relationship Type="http://schemas.openxmlformats.org/officeDocument/2006/relationships/hyperlink" Id="rId435"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6"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32" Target="https://www.cs.unm.edu/~crowley/papers/sds.pdf" TargetMode="External" /><Relationship Type="http://schemas.openxmlformats.org/officeDocument/2006/relationships/hyperlink" Id="rId301" Target="https://www.mersenne.org/primes/" TargetMode="External" /><Relationship Type="http://schemas.openxmlformats.org/officeDocument/2006/relationships/hyperlink" Id="rId30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2019-04-05T17:41:39Z</dcterms:created>
  <dcterms:modified xsi:type="dcterms:W3CDTF">2019-04-05T17:41:39Z</dcterms:modified>
</cp:coreProperties>
</file>

<file path=docProps/custom.xml><?xml version="1.0" encoding="utf-8"?>
<Properties xmlns="http://schemas.openxmlformats.org/officeDocument/2006/custom-properties" xmlns:vt="http://schemas.openxmlformats.org/officeDocument/2006/docPropsVTypes"/>
</file>