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4.png" ContentType="image/png"/>
  <Override PartName="/word/media/rId20.jpg" ContentType="image/jpeg"/>
  <Override PartName="/word/media/rId66.png" ContentType="image/png"/>
  <Override PartName="/word/media/rId212.png" ContentType="image/png"/>
  <Override PartName="/word/media/rId88.png" ContentType="image/png"/>
  <Override PartName="/word/media/rId85.png" ContentType="image/png"/>
  <Override PartName="/word/media/rId69.png" ContentType="image/png"/>
  <Override PartName="/word/media/rId78.png" ContentType="image/png"/>
  <Override PartName="/word/media/rId32.png" ContentType="image/png"/>
  <Override PartName="/word/media/rId73.png" ContentType="image/png"/>
  <Override PartName="/word/media/rId81.png" ContentType="image/png"/>
  <Override PartName="/word/media/rId91.png" ContentType="image/png"/>
  <Override PartName="/word/media/rId1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dc6db904ad977d5b954cf3c9c455f3f4fa43e5b">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 Structure, Time, Writing, And Architecture</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A Database Tree</w:t>
        </w:r>
      </w:hyperlink>
    </w:p>
    <w:p>
      <w:pPr>
        <w:pStyle w:val="Compact"/>
        <w:numPr>
          <w:numId w:val="1004"/>
          <w:ilvl w:val="2"/>
        </w:numPr>
      </w:pPr>
      <w:hyperlink w:anchor="models">
        <w:r>
          <w:rPr>
            <w:rStyle w:val="Hyperlink"/>
          </w:rPr>
          <w:t xml:space="preserve">The Realm Of Data Structures</w:t>
        </w:r>
      </w:hyperlink>
    </w:p>
    <w:p>
      <w:pPr>
        <w:pStyle w:val="Compact"/>
        <w:numPr>
          <w:numId w:val="1004"/>
          <w:ilvl w:val="2"/>
        </w:numPr>
      </w:pPr>
      <w:hyperlink w:anchor="descriptions">
        <w:r>
          <w:rPr>
            <w:rStyle w:val="Hyperlink"/>
          </w:rPr>
          <w:t xml:space="preserve">A Brief History Of Database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6"/>
          <w:ilvl w:val="3"/>
        </w:numPr>
      </w:pPr>
      <w:hyperlink w:anchor="model:puredata">
        <w:r>
          <w:rPr>
            <w:rStyle w:val="Hyperlink"/>
          </w:rPr>
          <w:t xml:space="preserve">Pure Data as Database System</w:t>
        </w:r>
      </w:hyperlink>
    </w:p>
    <w:p>
      <w:pPr>
        <w:pStyle w:val="Compact"/>
        <w:numPr>
          <w:numId w:val="1002"/>
          <w:ilvl w:val="1"/>
        </w:numPr>
      </w:pPr>
      <w:hyperlink w:anchor="Xec68453c8cc129b4ce436d3f67f46ba702f92a5">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7"/>
          <w:ilvl w:val="2"/>
        </w:numPr>
      </w:pPr>
      <w:hyperlink w:anchor="sonification">
        <w:r>
          <w:rPr>
            <w:rStyle w:val="Hyperlink"/>
          </w:rPr>
          <w:t xml:space="preserve">Sonification</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8"/>
          <w:ilvl w:val="3"/>
        </w:numPr>
      </w:pPr>
      <w:hyperlink w:anchor="sonification:software">
        <w:r>
          <w:rPr>
            <w:rStyle w:val="Hyperlink"/>
          </w:rPr>
          <w:t xml:space="preserve">Sonification Software</w:t>
        </w:r>
      </w:hyperlink>
    </w:p>
    <w:p>
      <w:pPr>
        <w:pStyle w:val="Compact"/>
        <w:numPr>
          <w:numId w:val="1007"/>
          <w:ilvl w:val="2"/>
        </w:numPr>
      </w:pPr>
      <w:hyperlink w:anchor="computer_music">
        <w:r>
          <w:rPr>
            <w:rStyle w:val="Hyperlink"/>
          </w:rPr>
          <w:t xml:space="preserve">Computer Music</w:t>
        </w:r>
      </w:hyperlink>
    </w:p>
    <w:p>
      <w:pPr>
        <w:pStyle w:val="Compact"/>
        <w:numPr>
          <w:numId w:val="1009"/>
          <w:ilvl w:val="3"/>
        </w:numPr>
      </w:pPr>
      <w:hyperlink w:anchor="hierarchical-environments">
        <w:r>
          <w:rPr>
            <w:rStyle w:val="Hyperlink"/>
          </w:rPr>
          <w:t xml:space="preserve">Hierarchical environments</w:t>
        </w:r>
      </w:hyperlink>
    </w:p>
    <w:p>
      <w:pPr>
        <w:pStyle w:val="Compact"/>
        <w:numPr>
          <w:numId w:val="1009"/>
          <w:ilvl w:val="3"/>
        </w:numPr>
      </w:pPr>
      <w:hyperlink w:anchor="music-notation-software">
        <w:r>
          <w:rPr>
            <w:rStyle w:val="Hyperlink"/>
          </w:rPr>
          <w:t xml:space="preserve">Music Notation Software</w:t>
        </w:r>
      </w:hyperlink>
    </w:p>
    <w:p>
      <w:pPr>
        <w:pStyle w:val="Compact"/>
        <w:numPr>
          <w:numId w:val="1009"/>
          <w:ilvl w:val="3"/>
        </w:numPr>
      </w:pPr>
      <w:hyperlink w:anchor="enter-objects">
        <w:r>
          <w:rPr>
            <w:rStyle w:val="Hyperlink"/>
          </w:rPr>
          <w:t xml:space="preserve">Enter Objects</w:t>
        </w:r>
      </w:hyperlink>
    </w:p>
    <w:p>
      <w:pPr>
        <w:pStyle w:val="Compact"/>
        <w:numPr>
          <w:numId w:val="1007"/>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Sound 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s">
        <w:r>
          <w:rPr>
            <w:rStyle w:val="Hyperlink"/>
          </w:rPr>
          <w:t xml:space="preserve">Listening Databases</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Databases_And_Memory">
        <w:r>
          <w:rPr>
            <w:rStyle w:val="Hyperlink"/>
          </w:rPr>
          <w:t xml:space="preserve">Databases And 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tivity_Of_Databases">
        <w:r>
          <w:rPr>
            <w:rStyle w:val="Hyperlink"/>
          </w:rPr>
          <w:t xml:space="preserve">Performativity Of Databases</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11"/>
          <w:ilvl w:val="1"/>
        </w:numPr>
      </w:pPr>
      <w:hyperlink w:anchor="section:Rethinking_Composition">
        <w:r>
          <w:rPr>
            <w:rStyle w:val="Hyperlink"/>
          </w:rPr>
          <w:t xml:space="preserve">Rethinking Composition</w:t>
        </w:r>
      </w:hyperlink>
    </w:p>
    <w:p>
      <w:pPr>
        <w:pStyle w:val="Compact"/>
        <w:numPr>
          <w:numId w:val="1015"/>
          <w:ilvl w:val="2"/>
        </w:numPr>
      </w:pPr>
      <w:hyperlink w:anchor="performance">
        <w:r>
          <w:rPr>
            <w:rStyle w:val="Hyperlink"/>
          </w:rPr>
          <w:t xml:space="preserve">Interlude: Hyperbolic Reactions</w:t>
        </w:r>
      </w:hyperlink>
    </w:p>
    <w:p>
      <w:pPr>
        <w:pStyle w:val="Compact"/>
        <w:numPr>
          <w:numId w:val="1015"/>
          <w:ilvl w:val="2"/>
        </w:numPr>
      </w:pPr>
      <w:hyperlink w:anchor="organic">
        <w:r>
          <w:rPr>
            <w:rStyle w:val="Hyperlink"/>
          </w:rPr>
          <w:t xml:space="preserve">Working Composition</w:t>
        </w:r>
      </w:hyperlink>
    </w:p>
    <w:p>
      <w:pPr>
        <w:pStyle w:val="Compact"/>
        <w:numPr>
          <w:numId w:val="1015"/>
          <w:ilvl w:val="2"/>
        </w:numPr>
      </w:pPr>
      <w:hyperlink w:anchor="practice">
        <w:r>
          <w:rPr>
            <w:rStyle w:val="Hyperlink"/>
          </w:rPr>
          <w:t xml:space="preserve">The Composer As Navigator</w:t>
        </w:r>
      </w:hyperlink>
    </w:p>
    <w:p>
      <w:pPr>
        <w:pStyle w:val="Compact"/>
        <w:numPr>
          <w:numId w:val="1015"/>
          <w:ilvl w:val="2"/>
        </w:numPr>
      </w:pPr>
      <w:hyperlink w:anchor="improv">
        <w:r>
          <w:rPr>
            <w:rStyle w:val="Hyperlink"/>
          </w:rPr>
          <w:t xml:space="preserve">The Database As Performer</w:t>
        </w:r>
      </w:hyperlink>
    </w:p>
    <w:p>
      <w:pPr>
        <w:pStyle w:val="Compact"/>
        <w:numPr>
          <w:numId w:val="1015"/>
          <w:ilvl w:val="2"/>
        </w:numPr>
      </w:pPr>
      <w:hyperlink w:anchor="music">
        <w:r>
          <w:rPr>
            <w:rStyle w:val="Hyperlink"/>
          </w:rPr>
          <w:t xml:space="preserve">The Severed Object Of Music</w:t>
        </w:r>
      </w:hyperlink>
    </w:p>
    <w:p>
      <w:pPr>
        <w:pStyle w:val="Compact"/>
        <w:numPr>
          <w:numId w:val="1015"/>
          <w:ilvl w:val="2"/>
        </w:numPr>
      </w:pPr>
      <w:hyperlink w:anchor="anarchy">
        <w:r>
          <w:rPr>
            <w:rStyle w:val="Hyperlink"/>
          </w:rPr>
          <w:t xml:space="preserve">Anarchy And The Unwork</w:t>
        </w:r>
      </w:hyperlink>
    </w:p>
    <w:p>
      <w:pPr>
        <w:pStyle w:val="Compact"/>
        <w:numPr>
          <w:numId w:val="1015"/>
          <w:ilvl w:val="2"/>
        </w:numPr>
      </w:pPr>
      <w:hyperlink w:anchor="worker">
        <w:r>
          <w:rPr>
            <w:rStyle w:val="Hyperlink"/>
          </w:rPr>
          <w:t xml:space="preserve">[Wip] Work In Progress</w:t>
        </w:r>
      </w:hyperlink>
    </w:p>
    <w:p>
      <w:pPr>
        <w:pStyle w:val="Compact"/>
        <w:numPr>
          <w:numId w:val="1001"/>
          <w:ilvl w:val="0"/>
        </w:numPr>
      </w:pPr>
      <w:hyperlink w:anchor="chapter:Conclusion">
        <w:r>
          <w:rPr>
            <w:rStyle w:val="Hyperlink"/>
          </w:rPr>
          <w:t xml:space="preserve">Conclusion</w:t>
        </w:r>
      </w:hyperlink>
    </w:p>
    <w:p>
      <w:pPr>
        <w:pStyle w:val="Compact"/>
        <w:numPr>
          <w:numId w:val="1001"/>
          <w:ilvl w:val="0"/>
        </w:numPr>
      </w:pPr>
      <w:hyperlink w:anchor="chapter:Appendices">
        <w:r>
          <w:rPr>
            <w:rStyle w:val="Hyperlink"/>
          </w:rPr>
          <w:t xml:space="preserve">Appendices</w:t>
        </w:r>
      </w:hyperlink>
    </w:p>
    <w:p>
      <w:pPr>
        <w:pStyle w:val="Compact"/>
        <w:numPr>
          <w:numId w:val="1016"/>
          <w:ilvl w:val="1"/>
        </w:numPr>
      </w:pPr>
      <w:hyperlink w:anchor="X9928d5a4298d9156e673c83842d96a99bfb66d7">
        <w:r>
          <w:rPr>
            <w:rStyle w:val="Hyperlink"/>
          </w:rPr>
          <w:t xml:space="preserve">DIANA: Database for Image and Audio Navigation</w:t>
        </w:r>
      </w:hyperlink>
    </w:p>
    <w:p>
      <w:pPr>
        <w:pStyle w:val="Compact"/>
        <w:numPr>
          <w:numId w:val="1017"/>
          <w:ilvl w:val="2"/>
        </w:numPr>
      </w:pPr>
      <w:hyperlink w:anchor="dbmodel">
        <w:r>
          <w:rPr>
            <w:rStyle w:val="Hyperlink"/>
          </w:rPr>
          <w:t xml:space="preserve">A Database Model</w:t>
        </w:r>
      </w:hyperlink>
    </w:p>
    <w:p>
      <w:pPr>
        <w:pStyle w:val="Compact"/>
        <w:numPr>
          <w:numId w:val="1016"/>
          <w:ilvl w:val="1"/>
        </w:numPr>
      </w:pPr>
      <w:hyperlink w:anchor="X7616598f194c52ee6f4c09f01c755a7090177ba">
        <w:r>
          <w:rPr>
            <w:rStyle w:val="Hyperlink"/>
          </w:rPr>
          <w:t xml:space="preserve">ABBY: An Online Environment for Annotated Bibliographies</w:t>
        </w:r>
      </w:hyperlink>
    </w:p>
    <w:p>
      <w:pPr>
        <w:pStyle w:val="Compact"/>
        <w:numPr>
          <w:numId w:val="1018"/>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In going below the ‘note’ level, you can also go below the ‘screen’ 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mir_comp_sonif_interaction">
        <w:r>
          <w:rPr>
            <w:rStyle w:val="Hyperlink"/>
          </w:rPr>
          <w:t xml:space="preserve">[img:mir_comp_sonif_interaction]</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 ‘recorded movement,’ 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paradigm, and their relation. 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Understanding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dc6db904ad977d5b954cf3c9c455f3f4fa43e5b"/>
      <w:r>
        <w:t xml:space="preserve">Databasing And The History Of Databases</w:t>
      </w:r>
      <w:bookmarkEnd w:id="41"/>
    </w:p>
    <w:p>
      <w:pPr>
        <w:pStyle w:val="Heading3"/>
      </w:pPr>
      <w:bookmarkStart w:id="42" w:name="databasing"/>
      <w:r>
        <w:t xml:space="preserve">Databasing: Structure, Time, Writing, And Architecture</w:t>
      </w:r>
      <w:bookmarkEnd w:id="42"/>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 “shot material” database. Editing is selecting from the database and sequencing the selections…. To go further: for a filmmaker the term “cutting,” as “editing,” loses its meaning, and “sorting,” “assembling,” and “mapping” 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lst:person">
        <w:r>
          <w:rPr>
            <w:rStyle w:val="Hyperlink"/>
          </w:rPr>
          <w:t xml:space="preserve">[lst:person]</w:t>
        </w:r>
      </w:hyperlink>
      <w:r>
        <w:t xml:space="preserve">).</w:t>
      </w:r>
    </w:p>
    <w:bookmarkStart w:id="44"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4"/>
    <w:p>
      <w:pPr>
        <w:pStyle w:val="Heading4"/>
      </w:pPr>
      <w:bookmarkStart w:id="45" w:name="temporality-of-databasing"/>
      <w:r>
        <w:t xml:space="preserve">Temporality of Databasing</w:t>
      </w:r>
      <w:bookmarkEnd w:id="45"/>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image creation, or world creation, is not necessarily in contact with the reality that surrounds the body (or the reality of the body), but it is a result of the embodiment of a virtuality that is inherent to our senses. The world is a virtuality that is constructed with our senses and our body. The world can only appear if it appears to the body.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6" w:name="databasing-and-writing"/>
      <w:r>
        <w:t xml:space="preserve">Databasing and Writing</w:t>
      </w:r>
      <w:bookmarkEnd w:id="46"/>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7"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7"/>
    <w:p>
      <w:pPr>
        <w:pStyle w:val="Heading4"/>
      </w:pPr>
      <w:bookmarkStart w:id="48" w:name="the-von-neumann-architecture"/>
      <w:r>
        <w:t xml:space="preserve">The Von Neumann Architecture</w:t>
      </w:r>
      <w:bookmarkEnd w:id="48"/>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performance that resonates, grows,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user interaction —as well as programming— as database performance. The main purpose of the following account is to understand how computer-based sound practices have participated as a particularly resonant branch of the database tree.</w:t>
      </w:r>
    </w:p>
    <w:p>
      <w:pPr>
        <w:pStyle w:val="Heading3"/>
      </w:pPr>
      <w:bookmarkStart w:id="49" w:name="programming"/>
      <w:r>
        <w:t xml:space="preserve">A Database Tree</w:t>
      </w:r>
      <w:bookmarkEnd w:id="49"/>
    </w:p>
    <w:p>
      <w:pPr>
        <w:pStyle w:val="FirstParagraph"/>
      </w:pPr>
      <w:r>
        <w:t xml:space="preserve">The common use of the word ‘database’ within computer science came around the 1960s, when computers became available to companies throughout the United States of America. For the purpose of data processing, software developers began designing DBMS , which are still used in great demand by multiple contemporary companies. The computer’s capability for data processing and storage is inherent in the constitution of database systems. In fields such as CAC , working with computers meant being part of a system. The human operator is has been regarded, for example, as a co-operator</w:t>
      </w:r>
      <w:r>
        <w:t xml:space="preserve"> </w:t>
      </w:r>
      <w:r>
        <w:t xml:space="preserve">(Mathews 1963)</w:t>
      </w:r>
      <w:r>
        <w:t xml:space="preserve">. A further approach understands humans operating with computers as another component of complex systems</w:t>
      </w:r>
      <w:r>
        <w:t xml:space="preserve"> </w:t>
      </w:r>
      <w:r>
        <w:t xml:space="preserve">(Vaggione 2001)</w:t>
      </w:r>
      <w:r>
        <w:t xml:space="preserve">. In this section, I describe the different levels of database systems as a tree (See Figure</w:t>
      </w:r>
      <w:r>
        <w:t xml:space="preserve"> </w:t>
      </w:r>
      <w:hyperlink w:anchor="img:dbtree">
        <w:r>
          <w:rPr>
            <w:rStyle w:val="Hyperlink"/>
          </w:rPr>
          <w:t xml:space="preserve">4.2</w:t>
        </w:r>
      </w:hyperlink>
      <w:r>
        <w:t xml:space="preserve">), starting from basic data structures to more elaborate database systems, and then present a brief history of how databases were designed.</w:t>
      </w:r>
    </w:p>
    <w:p>
      <w:pPr>
        <w:pStyle w:val="CaptionedFigure"/>
      </w:pPr>
      <w:bookmarkStart w:id="50" w:name="img:dbtree"/>
      <w:r>
        <w:drawing>
          <wp:inline>
            <wp:extent cx="5334000" cy="5887267"/>
            <wp:effectExtent b="0" l="0" r="0" t="0"/>
            <wp:docPr descr="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0"/>
    </w:p>
    <w:p>
      <w:pPr>
        <w:pStyle w:val="ImageCaption"/>
      </w:pPr>
      <w:r>
        <w:t xml:space="preserve">A very simple sketch of a tree representing the database tree of computer evolution</w:t>
      </w:r>
      <w:r>
        <w:t xml:space="preserve"> </w:t>
      </w:r>
    </w:p>
    <w:p>
      <w:pPr>
        <w:pStyle w:val="Heading5"/>
      </w:pPr>
      <w:bookmarkStart w:id="51" w:name="ground"/>
      <w:r>
        <w:t xml:space="preserve">Ground</w:t>
      </w:r>
      <w:bookmarkEnd w:id="51"/>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2" w:name="roots"/>
      <w:r>
        <w:t xml:space="preserve">Roots</w:t>
      </w:r>
      <w:bookmarkEnd w:id="52"/>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3" w:name="portability"/>
      <w:r>
        <w:t xml:space="preserve">Macros</w:t>
      </w:r>
      <w:bookmarkEnd w:id="53"/>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4" w:name="trunk"/>
      <w:r>
        <w:t xml:space="preserve">Trunk</w:t>
      </w:r>
      <w:bookmarkEnd w:id="54"/>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5" w:name="branches"/>
      <w:r>
        <w:t xml:space="preserve">Branches</w:t>
      </w:r>
      <w:bookmarkEnd w:id="55"/>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56" w:name="twigs"/>
      <w:r>
        <w:t xml:space="preserve">Twigs</w:t>
      </w:r>
      <w:bookmarkEnd w:id="56"/>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57" w:name="leaves"/>
      <w:r>
        <w:t xml:space="preserve">Leaves</w:t>
      </w:r>
      <w:bookmarkEnd w:id="57"/>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 DBMS , generally used in businesses for data processing and editing, for example: MYSQL , POSTGRESQL , NOSQL , COUCHDB and MONGODB .</w:t>
      </w:r>
    </w:p>
    <w:p>
      <w:pPr>
        <w:pStyle w:val="Heading5"/>
      </w:pPr>
      <w:bookmarkStart w:id="58" w:name="networks"/>
      <w:r>
        <w:t xml:space="preserve">Networks</w:t>
      </w:r>
      <w:bookmarkEnd w:id="58"/>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 DBMS s interact with data: the MYSQL database model allows the user to load a data set in working memory, and establishes a connection between the opened memory and the input/output mechanisms. Networks of trees are data streams running by way of an IP 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59" w:name="clouds"/>
      <w:r>
        <w:t xml:space="preserve">Clouds</w:t>
      </w:r>
      <w:bookmarkEnd w:id="59"/>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w:t>
      </w:r>
      <w:r>
        <w:t xml:space="preserve"> </w:t>
      </w:r>
      <w:r>
        <w:t xml:space="preserve">(Kamde &amp; Algur 2011)</w:t>
      </w:r>
      <w:r>
        <w:t xml:space="preserve">, data warehouses, data repositories</w:t>
      </w:r>
      <w:r>
        <w:t xml:space="preserve"> </w:t>
      </w:r>
      <w:r>
        <w:t xml:space="preserve">(Silberschatz et al. 1995)</w:t>
      </w:r>
      <w:r>
        <w:t xml:space="preserve">.</w:t>
      </w:r>
    </w:p>
    <w:p>
      <w:pPr>
        <w:pStyle w:val="Heading3"/>
      </w:pPr>
      <w:bookmarkStart w:id="60" w:name="models"/>
      <w:r>
        <w:t xml:space="preserve">The Realm Of Data Structures</w:t>
      </w:r>
      <w:bookmarkEnd w:id="60"/>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 “the internal representation of the data structure as well as the definitions of the algorithms that implement the operations supported by the data structure”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1" w:name="array-data-structure"/>
      <w:r>
        <w:t xml:space="preserve">Array data structure</w:t>
      </w:r>
      <w:bookmarkEnd w:id="61"/>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2" w:name="computer:linked"/>
      <w:r>
        <w:t xml:space="preserve">Linked Lists</w:t>
      </w:r>
      <w:bookmarkEnd w:id="62"/>
    </w:p>
    <w:p>
      <w:pPr>
        <w:pStyle w:val="FirstParagraph"/>
      </w:pPr>
      <w:r>
        <w:t xml:space="preserve">One important technical shift in the use of data structures came with the concept of linked lists. A linked list is collection of data (usually a symbol table), with pointers to the ‘previous’ and/or ‘next’ 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 ‘previous’ and ‘next’ pointers. In the programs developed during the SSSP and CAMP 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w:t>
      </w:r>
      <w:r>
        <w:t xml:space="preserve"> </w:t>
      </w:r>
      <w:r>
        <w:t xml:space="preserve">Rowe (1992)</w:t>
      </w:r>
      <w:r>
        <w:t xml:space="preserve"> </w:t>
      </w:r>
      <w:r>
        <w:t xml:space="preserve">used linked lists in his</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(See</w:t>
      </w:r>
      <w:r>
        <w:t xml:space="preserve"> </w:t>
      </w:r>
      <w:hyperlink w:anchor="computer:cypher">
        <w:r>
          <w:rPr>
            <w:rStyle w:val="Hyperlink"/>
          </w:rPr>
          <w:t xml:space="preserve">4.3.3.3.7</w:t>
        </w:r>
      </w:hyperlink>
      <w:r>
        <w:t xml:space="preserve">)</w:t>
      </w:r>
      <w:r>
        <w:t xml:space="preserve"> </w:t>
      </w:r>
      <w:r>
        <w:t xml:space="preserve">(Rowe 1992)</w:t>
      </w:r>
      <w:r>
        <w:t xml:space="preserve">.</w:t>
      </w:r>
    </w:p>
    <w:p>
      <w:pPr>
        <w:pStyle w:val="Heading5"/>
      </w:pPr>
      <w:bookmarkStart w:id="63" w:name="computer:audacity"/>
      <w:r>
        <w:t xml:space="preserve">Sequences</w:t>
      </w:r>
      <w:bookmarkEnd w:id="63"/>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 “they provide useful base cases on which to build more complex sequence data structures”</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4" w:name="descriptions"/>
      <w:r>
        <w:t xml:space="preserve">A Brief History Of Database Models</w:t>
      </w:r>
      <w:bookmarkEnd w:id="64"/>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 DBMS 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 DDL for structural specification of data, and a DML 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 “a set of data structure types, a set of operators or inference rules, and a set of integrity rules”</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 “provides the means for specifying particular data structures, for constraining the data sets associated with these structures, and for manipulating the data”</w:t>
      </w:r>
      <w:r>
        <w:t xml:space="preserve"> </w:t>
      </w:r>
      <w:r>
        <w:t xml:space="preserve">(Abiteboul et al. 1995, p. 28)</w:t>
      </w:r>
      <w:r>
        <w:t xml:space="preserve">. However, data manipulation (operators) and constraints (integrity) are built around the data structure, which is why, Angles and Gutierrez continue, “several proposals for [database] models only define the data structures, sometimes omitting operators and/or integrity rules”</w:t>
      </w:r>
      <w:r>
        <w:t xml:space="preserve"> </w:t>
      </w:r>
      <w:r>
        <w:t xml:space="preserve">(Angles &amp; Gutierrez 2008, p. 2)</w:t>
      </w:r>
      <w:r>
        <w:t xml:space="preserve">.</w:t>
      </w:r>
    </w:p>
    <w:p>
      <w:pPr>
        <w:pStyle w:val="BodyText"/>
      </w:pPr>
      <w:r>
        <w:t xml:space="preserve">In essence, all DBMS 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 CAAC software, Christopher Ariza</w:t>
      </w:r>
      <w:r>
        <w:t xml:space="preserve"> </w:t>
      </w:r>
      <w:r>
        <w:t xml:space="preserve">(Ariza 2005a)</w:t>
      </w:r>
      <w:r>
        <w:t xml:space="preserve"> </w:t>
      </w:r>
      <w:r>
        <w:t xml:space="preserve">claims that design choices “determines the interaction of software components and the nature of internal system processing”</w:t>
      </w:r>
      <w:r>
        <w:t xml:space="preserve"> </w:t>
      </w:r>
      <w:r>
        <w:t xml:space="preserve">(Ariza 2005a, p. 18)</w:t>
      </w:r>
      <w:r>
        <w:t xml:space="preserve">. Luckily, a failed database access in music might perhaps come as a minimal performative ‘bump’ 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65" w:name="model:hierarchical"/>
      <w:r>
        <w:t xml:space="preserve">Hierarchical</w:t>
      </w:r>
      <w:bookmarkEnd w:id="65"/>
    </w:p>
    <w:p>
      <w:pPr>
        <w:pStyle w:val="CaptionedFigure"/>
      </w:pPr>
      <w:bookmarkStart w:id="67"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66"/>
                    <a:stretch>
                      <a:fillRect/>
                    </a:stretch>
                  </pic:blipFill>
                  <pic:spPr bwMode="auto">
                    <a:xfrm>
                      <a:off x="0" y="0"/>
                      <a:ext cx="2692400" cy="1866900"/>
                    </a:xfrm>
                    <a:prstGeom prst="rect">
                      <a:avLst/>
                    </a:prstGeom>
                    <a:noFill/>
                    <a:ln w="9525">
                      <a:noFill/>
                      <a:headEnd/>
                      <a:tailEnd/>
                    </a:ln>
                  </pic:spPr>
                </pic:pic>
              </a:graphicData>
            </a:graphic>
          </wp:inline>
        </w:drawing>
      </w:r>
      <w:bookmarkEnd w:id="67"/>
    </w:p>
    <w:p>
      <w:pPr>
        <w:pStyle w:val="ImageCaption"/>
      </w:pPr>
      <w:r>
        <w:t xml:space="preserve">Diagram of the hierarchical model</w:t>
      </w:r>
    </w:p>
    <w:p>
      <w:pPr>
        <w:pStyle w:val="BodyText"/>
      </w:pPr>
      <w:r>
        <w:t xml:space="preserve">The hierarchical model was developed at IBM during the early 1960s, in conjunction with other American manufacturing conglomerates for NASA ’s Project Apollo, resulting in 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 ‘root’ 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68" w:name="model:network"/>
      <w:r>
        <w:t xml:space="preserve">Network</w:t>
      </w:r>
      <w:bookmarkEnd w:id="68"/>
    </w:p>
    <w:p>
      <w:pPr>
        <w:pStyle w:val="CaptionedFigure"/>
      </w:pPr>
      <w:bookmarkStart w:id="70"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9"/>
                    <a:stretch>
                      <a:fillRect/>
                    </a:stretch>
                  </pic:blipFill>
                  <pic:spPr bwMode="auto">
                    <a:xfrm>
                      <a:off x="0" y="0"/>
                      <a:ext cx="2298700" cy="2552700"/>
                    </a:xfrm>
                    <a:prstGeom prst="rect">
                      <a:avLst/>
                    </a:prstGeom>
                    <a:noFill/>
                    <a:ln w="9525">
                      <a:noFill/>
                      <a:headEnd/>
                      <a:tailEnd/>
                    </a:ln>
                  </pic:spPr>
                </pic:pic>
              </a:graphicData>
            </a:graphic>
          </wp:inline>
        </w:drawing>
      </w:r>
      <w:bookmarkEnd w:id="70"/>
    </w:p>
    <w:p>
      <w:pPr>
        <w:pStyle w:val="ImageCaption"/>
      </w:pPr>
      <w:r>
        <w:t xml:space="preserve">Diagram of the network model</w:t>
      </w:r>
    </w:p>
    <w:p>
      <w:pPr>
        <w:pStyle w:val="BodyText"/>
      </w:pPr>
      <w:r>
        <w:t xml:space="preserve">Invented by Charles Bachman in 1959 and published at the CODASYL , the network model is a way of representing objects as nodes in a graph whose relationships can be represented as arcs. The programming language COBOL was designed for the implementation of network databases. The nodes in these networks are known as ‘records,’ and their relationships form ‘sets’ that have one-to-many relationships in between records, that is, one ‘owner’ and multiple ‘members.’ The main feature of a network model is that these relationships are not bounded to any hierarchical or lattice-like structures, providing a more natural way of record relation. Structurally, each node has an identity called a database ‘key’ 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1" w:name="navigational-paradigm"/>
      <w:r>
        <w:t xml:space="preserve">Navigational Paradigm</w:t>
      </w:r>
      <w:bookmarkEnd w:id="71"/>
    </w:p>
    <w:p>
      <w:pPr>
        <w:pStyle w:val="FirstParagraph"/>
      </w:pPr>
      <w:r>
        <w:t xml:space="preserve">The advent of disk-based database systems, in contrast to magnetic tape or punched card systems, enabled a different way of thinking database navigation. Working for General Electric’s IDS , Bachman</w:t>
      </w:r>
      <w:r>
        <w:t xml:space="preserve"> </w:t>
      </w:r>
      <w:r>
        <w:t xml:space="preserve">(Bachman 1973)</w:t>
      </w:r>
      <w:r>
        <w:t xml:space="preserve"> </w:t>
      </w:r>
      <w:r>
        <w:t xml:space="preserve">later conceptualized and implemented a navigational paradigm within the networked model. Abandoning the “memory-centered view” of database system development, Bachman called for programmers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 ‘next’ 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 DOM websites contains a hierarchicalstructure, they can be accessed using this navigational paradigm.</w:t>
      </w:r>
    </w:p>
    <w:p>
      <w:pPr>
        <w:pStyle w:val="Heading4"/>
      </w:pPr>
      <w:bookmarkStart w:id="72" w:name="model:relational"/>
      <w:r>
        <w:t xml:space="preserve">Relational</w:t>
      </w:r>
      <w:bookmarkEnd w:id="72"/>
    </w:p>
    <w:p>
      <w:pPr>
        <w:pStyle w:val="CaptionedFigure"/>
      </w:pPr>
      <w:bookmarkStart w:id="74"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3"/>
                    <a:stretch>
                      <a:fillRect/>
                    </a:stretch>
                  </pic:blipFill>
                  <pic:spPr bwMode="auto">
                    <a:xfrm>
                      <a:off x="0" y="0"/>
                      <a:ext cx="2540000" cy="1676400"/>
                    </a:xfrm>
                    <a:prstGeom prst="rect">
                      <a:avLst/>
                    </a:prstGeom>
                    <a:noFill/>
                    <a:ln w="9525">
                      <a:noFill/>
                      <a:headEnd/>
                      <a:tailEnd/>
                    </a:ln>
                  </pic:spPr>
                </pic:pic>
              </a:graphicData>
            </a:graphic>
          </wp:inline>
        </w:drawing>
      </w:r>
      <w:bookmarkEnd w:id="74"/>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 SQL . In recent years, object relational database have emerged such as SQLOBJECT , intepreting relations as classes in the object-oriented programming paradigm.</w:t>
      </w:r>
    </w:p>
    <w:p>
      <w:pPr>
        <w:pStyle w:val="Heading4"/>
      </w:pPr>
      <w:bookmarkStart w:id="75" w:name="model:nonrelational"/>
      <w:r>
        <w:t xml:space="preserve">Non-Relational</w:t>
      </w:r>
      <w:bookmarkEnd w:id="75"/>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 NOSQL .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 XML , YAML , and JSON ; graph databases and mixed graph models such as the way in which the World Wide Web convention (W3C) structures websites, with a URL as a ‘name’ and their content as a ‘graph’ (See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76" w:name="model:graph"/>
      <w:r>
        <w:t xml:space="preserve">Graph</w:t>
      </w:r>
      <w:bookmarkEnd w:id="76"/>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 ‘nodes’ and connections as ‘edges.’ 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 MAX/MSP , Kyma, among others, present their objects as a directed graph on a canvas.</w:t>
      </w:r>
    </w:p>
    <w:p>
      <w:pPr>
        <w:pStyle w:val="Heading4"/>
      </w:pPr>
      <w:bookmarkStart w:id="77" w:name="model:object"/>
      <w:r>
        <w:t xml:space="preserve">Object</w:t>
      </w:r>
      <w:bookmarkEnd w:id="77"/>
    </w:p>
    <w:p>
      <w:pPr>
        <w:pStyle w:val="CaptionedFigure"/>
      </w:pPr>
      <w:bookmarkStart w:id="79"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8"/>
                    <a:stretch>
                      <a:fillRect/>
                    </a:stretch>
                  </pic:blipFill>
                  <pic:spPr bwMode="auto">
                    <a:xfrm>
                      <a:off x="0" y="0"/>
                      <a:ext cx="3073400" cy="3111500"/>
                    </a:xfrm>
                    <a:prstGeom prst="rect">
                      <a:avLst/>
                    </a:prstGeom>
                    <a:noFill/>
                    <a:ln w="9525">
                      <a:noFill/>
                      <a:headEnd/>
                      <a:tailEnd/>
                    </a:ln>
                  </pic:spPr>
                </pic:pic>
              </a:graphicData>
            </a:graphic>
          </wp:inline>
        </w:drawing>
      </w:r>
      <w:bookmarkEnd w:id="79"/>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0" w:name="model:semistructured"/>
      <w:r>
        <w:t xml:space="preserve">Semi-structured</w:t>
      </w:r>
      <w:bookmarkEnd w:id="80"/>
    </w:p>
    <w:p>
      <w:pPr>
        <w:pStyle w:val="CaptionedFigure"/>
      </w:pPr>
      <w:bookmarkStart w:id="82"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1"/>
                    <a:stretch>
                      <a:fillRect/>
                    </a:stretch>
                  </pic:blipFill>
                  <pic:spPr bwMode="auto">
                    <a:xfrm>
                      <a:off x="0" y="0"/>
                      <a:ext cx="5334000" cy="2873505"/>
                    </a:xfrm>
                    <a:prstGeom prst="rect">
                      <a:avLst/>
                    </a:prstGeom>
                    <a:noFill/>
                    <a:ln w="9525">
                      <a:noFill/>
                      <a:headEnd/>
                      <a:tailEnd/>
                    </a:ln>
                  </pic:spPr>
                </pic:pic>
              </a:graphicData>
            </a:graphic>
          </wp:inline>
        </w:drawing>
      </w:r>
      <w:bookmarkEnd w:id="82"/>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r>
        <w:t xml:space="preserve"> </w:t>
      </w:r>
      <w:r>
        <w:t xml:space="preserve">(Buneman 1997)</w:t>
      </w:r>
      <w:r>
        <w:t xml:space="preserve">. A well known database of this kind is the IMDB .</w:t>
      </w:r>
    </w:p>
    <w:p>
      <w:pPr>
        <w:pStyle w:val="Heading4"/>
      </w:pPr>
      <w:bookmarkStart w:id="83" w:name="model:puredata"/>
      <w:r>
        <w:t xml:space="preserve">Pure Data as Database System</w:t>
      </w:r>
      <w:bookmarkEnd w:id="83"/>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 ‘root’, and multiple ‘subcanvases’ that can be (almost) infinitely nested. These canvases, while being hierarchic, are traversed as in the navigational model, either for a specific keyword (a query from the ‘find’ menu), or, most importantly, for signal processing. Besides this hierarchical structure, another important aspect of the GUI 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 ‘patch’ 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 TCP/IP 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hyperlink w:anchor="fn5">
        <w:r>
          <w:rPr>
            <w:vertAlign w:val="superscript"/>
            <w:rStyle w:val="Hyperlink"/>
          </w:rPr>
          <w:t xml:space="preserve">5</w:t>
        </w:r>
      </w:hyperlink>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 ; General Electric; HP ; UNISYS  </w:t>
            </w:r>
          </w:p>
        </w:tc>
        <w:tc>
          <w:p>
            <w:pPr>
              <w:pStyle w:val="Compact"/>
              <w:jc w:val="left"/>
            </w:pPr>
            <w:r>
              <w:t xml:space="preserve">IDS ; IDMS ; RDM ; TURBOIMAGE ;</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 ; SPARSITY ;  </w:t>
            </w:r>
          </w:p>
        </w:tc>
        <w:tc>
          <w:p>
            <w:pPr>
              <w:pStyle w:val="Compact"/>
              <w:jc w:val="left"/>
            </w:pPr>
            <w:r>
              <w:t xml:space="preserve">MONGODB ; REDIS ; CASSANDRA ; SPARKSEE ; 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 ; ORACLE ; POSTGRESQL ; ACCESS ; 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 ; APACHE ; Amazon  </w:t>
            </w:r>
          </w:p>
        </w:tc>
        <w:tc>
          <w:p>
            <w:pPr>
              <w:pStyle w:val="Compact"/>
              <w:jc w:val="left"/>
            </w:pPr>
            <w:r>
              <w:t xml:space="preserve">NEO4J ; Oracle Spatial and Graph; ARANGODB ; Amazon Neptune; BOOST ; 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 APACHE  </w:t>
            </w:r>
          </w:p>
        </w:tc>
        <w:tc>
          <w:p>
            <w:pPr>
              <w:pStyle w:val="Compact"/>
              <w:jc w:val="left"/>
            </w:pPr>
            <w:r>
              <w:t xml:space="preserve">GemStone ( SMALLTALK ); Gbase ( LISP ); COUCHDB ; SQLOBJECT</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 ; 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Exasol AG; VMWare  </w:t>
            </w:r>
          </w:p>
        </w:tc>
        <w:tc>
          <w:p>
            <w:pPr>
              <w:pStyle w:val="Compact"/>
              <w:jc w:val="left"/>
            </w:pPr>
            <w:r>
              <w:t xml:space="preserve">TimesTen; ASE ;</w:t>
            </w:r>
          </w:p>
        </w:tc>
      </w:tr>
    </w:tbl>
    <w:p>
      <w:pPr>
        <w:pStyle w:val="Heading2"/>
      </w:pPr>
      <w:bookmarkStart w:id="84" w:name="Xec68453c8cc129b4ce436d3f67f46ba702f92a5"/>
      <w:r>
        <w:t xml:space="preserve">Databasing Sound: Applications Of Databases In Sound</w:t>
      </w:r>
      <w:bookmarkEnd w:id="84"/>
    </w:p>
    <w:p>
      <w:pPr>
        <w:pStyle w:val="CaptionedFigure"/>
      </w:pPr>
      <w:r>
        <w:drawing>
          <wp:inline>
            <wp:extent cx="5334000" cy="1046259"/>
            <wp:effectExtent b="0" l="0" r="0" t="0"/>
            <wp:docPr descr="Database performance in relation to computer music practices and their interdisciplinary feedback. The arrows between databases (cylinders) and computers (squares) represent data flow. Left: the database is ‘visibly next’ to the computer, as is the case with MIR ;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85"/>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in relation to computer music practices and their interdisciplinary feedback. The arrows between databases (cylinders) and computers (squares) represent data flow. Left: the database is ‘visibly next’ to the computer, as is the case with MIR ;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w:t>
      </w:r>
    </w:p>
    <w:p>
      <w:pPr>
        <w:pStyle w:val="BodyText"/>
      </w:pPr>
      <w:bookmarkStart w:id="86" w:name="img:mir_comp_sonif_interaction"/>
      <w:r>
        <w:t xml:space="preserve">[img:mir_comp_sonif_interaction]</w:t>
      </w:r>
      <w:bookmarkEnd w:id="86"/>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 ‘database’ and ‘computer’ 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in all computer practices (See Figure</w:t>
      </w:r>
      <w:r>
        <w:t xml:space="preserve"> </w:t>
      </w:r>
      <w:hyperlink w:anchor="img:mir_comp_sonif_interaction">
        <w:r>
          <w:rPr>
            <w:rStyle w:val="Hyperlink"/>
          </w:rPr>
          <w:t xml:space="preserve">[img:mir_comp_sonif_interaction]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 MIR , sonification, and computer music.</w:t>
      </w:r>
    </w:p>
    <w:p>
      <w:pPr>
        <w:pStyle w:val="Heading3"/>
      </w:pPr>
      <w:bookmarkStart w:id="87" w:name="mir"/>
      <w:r>
        <w:t xml:space="preserve">Music Information Retrieval</w:t>
      </w:r>
      <w:bookmarkEnd w:id="87"/>
    </w:p>
    <w:p>
      <w:pPr>
        <w:pStyle w:val="FirstParagraph"/>
      </w:pPr>
      <w:r>
        <w:t xml:space="preserve">In MIR ,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 IR with Music Theory, and it has been present in academia for a while, most generally within Electrical Engineering departments. The objective of MIR is to obtain useful information from the analysis of sound signals. That is, MIR seeks to represent a complex signal with a small number of data points, thus defining a a navigable ‘information space,’ which is, quite literally, the discretized space of the database.</w:t>
      </w:r>
    </w:p>
    <w:p>
      <w:pPr>
        <w:pStyle w:val="CaptionedFigure"/>
      </w:pPr>
      <w:bookmarkStart w:id="89" w:name="img:mir"/>
      <w:r>
        <w:drawing>
          <wp:inline>
            <wp:extent cx="2743200" cy="1435100"/>
            <wp:effectExtent b="0" l="0" r="0" t="0"/>
            <wp:docPr descr="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88"/>
                    <a:stretch>
                      <a:fillRect/>
                    </a:stretch>
                  </pic:blipFill>
                  <pic:spPr bwMode="auto">
                    <a:xfrm>
                      <a:off x="0" y="0"/>
                      <a:ext cx="2743200" cy="1435100"/>
                    </a:xfrm>
                    <a:prstGeom prst="rect">
                      <a:avLst/>
                    </a:prstGeom>
                    <a:noFill/>
                    <a:ln w="9525">
                      <a:noFill/>
                      <a:headEnd/>
                      <a:tailEnd/>
                    </a:ln>
                  </pic:spPr>
                </pic:pic>
              </a:graphicData>
            </a:graphic>
          </wp:inline>
        </w:drawing>
      </w:r>
      <w:bookmarkEnd w:id="89"/>
    </w:p>
    <w:p>
      <w:pPr>
        <w:pStyle w:val="ImageCaption"/>
      </w:pPr>
      <w:r>
        <w:t xml:space="preserve">Diagram of database performance in MIR practices. The database is visibly next to the computer, and the two bottom arrows indicate the intervention of the human operator.</w:t>
      </w:r>
      <w:r>
        <w:t xml:space="preserve"> </w:t>
      </w:r>
    </w:p>
    <w:p>
      <w:pPr>
        <w:pStyle w:val="BodyText"/>
      </w:pPr>
      <w:r>
        <w:t xml:space="preserve">For instance, out of sound file containing millions of samples, information space reduces these points to a database of few ‘descriptors’ that point to certain ‘features’ of the sound file. A descriptor is, in essence, a small amount of data that identifies other larger data. In this case, a feature descriptor relates to the values of a certain characteristics of the analyzed audio file, such as spectral centroid, brightness, flatness, etc.</w:t>
      </w:r>
    </w:p>
    <w:p>
      <w:pPr>
        <w:pStyle w:val="BodyText"/>
      </w:pPr>
      <w:r>
        <w:t xml:space="preserve">Over the 18 years of the ISMIR conference, more than thirty databases of this sort have been publicly created and released, as a means to classify millions of songs and musical genres. This type of database navigation has been used to perform automatic tasks such as categorization for recommendation systems</w:t>
      </w:r>
      <w:r>
        <w:t xml:space="preserve"> </w:t>
      </w:r>
      <w:r>
        <w:t xml:space="preserve">(Dinuzzo et al. 2008)</w:t>
      </w:r>
      <w:r>
        <w:t xml:space="preserve">, track separation or instrument recognition, and score transcriptions, among other uses (see below). A recent emphasis in open source database creation has gained momentum</w:t>
      </w:r>
      <w:r>
        <w:t xml:space="preserve"> </w:t>
      </w:r>
      <w:r>
        <w:t xml:space="preserve">(Fonseca et al. 2017)</w:t>
      </w:r>
      <w:r>
        <w:t xml:space="preserve">, such as the FREESOUND database, or CMAM ’s TELEMETA , both collaborative database systems: the former for general use, the latter for ethno-musicological pursposes. Before sound and audio descriptor databases, however, music notation databases have been developed with a variety of file formats, such as MIDI , MUSICXML , the Humdrum</w:t>
      </w:r>
      <w:r>
        <w:t xml:space="preserve"> </w:t>
      </w:r>
      <w:r>
        <w:rPr>
          <w:rStyle w:val="VerbatimChar"/>
        </w:rPr>
        <w:t xml:space="preserve">**kern</w:t>
      </w:r>
      <w:r>
        <w:t xml:space="preserve"> </w:t>
      </w:r>
      <w:r>
        <w:t xml:space="preserve">data format</w:t>
      </w:r>
      <w:r>
        <w:t xml:space="preserve"> </w:t>
      </w:r>
      <w:r>
        <w:t xml:space="preserve">(Sapp 2005)</w:t>
      </w:r>
      <w:r>
        <w:t xml:space="preserve">, GUIDO , to name a few. For an extensive guide on musical representations, see</w:t>
      </w:r>
      <w:r>
        <w:t xml:space="preserve"> </w:t>
      </w:r>
      <w:r>
        <w:t xml:space="preserve">(Selfridge-Field 1997)</w:t>
      </w:r>
      <w:r>
        <w:t xml:space="preserve">. Some examples of these notation databases can be the Polish folksong database in the ESAC format, the electronic library for musical scores MUSEDATA , the RISM database, the Kern Scores database,</w:t>
      </w:r>
      <w:hyperlink w:anchor="fn6">
        <w:r>
          <w:rPr>
            <w:vertAlign w:val="superscript"/>
            <w:rStyle w:val="Hyperlink"/>
          </w:rPr>
          <w:t xml:space="preserve">6</w:t>
        </w:r>
      </w:hyperlink>
      <w:r>
        <w:t xml:space="preserve"> </w:t>
      </w:r>
      <w:r>
        <w:t xml:space="preserve">among others. In turn, these databases have been a fruitful area of exploration in Computational Musicology</w:t>
      </w:r>
      <w:r>
        <w:t xml:space="preserve"> </w:t>
      </w:r>
      <w:r>
        <w:t xml:space="preserve">(Yolk et al. 2011)</w:t>
      </w:r>
      <w:r>
        <w:t xml:space="preserve">, for which toolkits such as MIT ’s MUSIC21 have been developed. The MARSYAS library and the ESSENTIA libraries are some examples of programs written with MIR techniques for a variety of purposes rooted in audio analysis and synthesis. There different applications of databases are endless and so varied that would extend the scope of this study.</w:t>
      </w:r>
      <w:hyperlink w:anchor="fn7">
        <w:r>
          <w:rPr>
            <w:vertAlign w:val="superscript"/>
            <w:rStyle w:val="Hyperlink"/>
          </w:rPr>
          <w:t xml:space="preserve">7</w:t>
        </w:r>
      </w:hyperlink>
    </w:p>
    <w:p>
      <w:pPr>
        <w:pStyle w:val="BodyText"/>
      </w:pPr>
      <w:r>
        <w:t xml:space="preserve">In the following section, more specific uses of these and other audio databases will be mentioned. Some of the uses that MIR has given to the database have been:</w:t>
      </w:r>
    </w:p>
    <w:p>
      <w:pPr>
        <w:numPr>
          <w:numId w:val="1019"/>
          <w:ilvl w:val="0"/>
        </w:numPr>
      </w:pPr>
      <w:r>
        <w:t xml:space="preserve">to create digital libraries</w:t>
      </w:r>
      <w:r>
        <w:t xml:space="preserve"> </w:t>
      </w:r>
      <w:r>
        <w:t xml:space="preserve">(Dunn 2000)</w:t>
      </w:r>
    </w:p>
    <w:p>
      <w:pPr>
        <w:numPr>
          <w:numId w:val="1019"/>
          <w:ilvl w:val="0"/>
        </w:numPr>
      </w:pPr>
      <w:r>
        <w:t xml:space="preserve">to store actual music notation</w:t>
      </w:r>
      <w:r>
        <w:t xml:space="preserve"> </w:t>
      </w:r>
      <w:r>
        <w:t xml:space="preserve">(Good 2000)</w:t>
      </w:r>
    </w:p>
    <w:p>
      <w:pPr>
        <w:numPr>
          <w:numId w:val="1019"/>
          <w:ilvl w:val="0"/>
        </w:numPr>
      </w:pPr>
      <w:r>
        <w:t xml:space="preserve">for audio classification and clustering</w:t>
      </w:r>
      <w:r>
        <w:t xml:space="preserve"> </w:t>
      </w:r>
      <w:r>
        <w:t xml:space="preserve">(Homburg et al. 2005, Yang 2001)</w:t>
      </w:r>
    </w:p>
    <w:p>
      <w:pPr>
        <w:numPr>
          <w:numId w:val="1019"/>
          <w:ilvl w:val="0"/>
        </w:numPr>
      </w:pPr>
      <w:r>
        <w:t xml:space="preserve">for the evaluation of multiple-source, fundamental frequency estimation algorithms</w:t>
      </w:r>
      <w:r>
        <w:t xml:space="preserve"> </w:t>
      </w:r>
      <w:r>
        <w:t xml:space="preserve">(Yeh et al. 2007)</w:t>
      </w:r>
    </w:p>
    <w:p>
      <w:pPr>
        <w:numPr>
          <w:numId w:val="1019"/>
          <w:ilvl w:val="0"/>
        </w:numPr>
      </w:pPr>
      <w:r>
        <w:t xml:space="preserve">to describe performance expression</w:t>
      </w:r>
      <w:r>
        <w:t xml:space="preserve"> </w:t>
      </w:r>
      <w:r>
        <w:t xml:space="preserve">(Hashida et al. 2008)</w:t>
      </w:r>
    </w:p>
    <w:p>
      <w:pPr>
        <w:numPr>
          <w:numId w:val="1019"/>
          <w:ilvl w:val="0"/>
        </w:numPr>
      </w:pPr>
      <w:r>
        <w:t xml:space="preserve">for genre recognition and classification</w:t>
      </w:r>
      <w:r>
        <w:t xml:space="preserve"> </w:t>
      </w:r>
      <w:r>
        <w:t xml:space="preserve">(Correa et al. 2010, Dehkordi &amp; Banitalebi-Dehkordi 2018, Dinuzzo et al. 2008, Jr. et al. 2008, Mitra &amp; Saha 2014, Sanden et al. 2010, Tzanetakis &amp; Cook 2002, Wang &amp; Haque 2017, Xu et al. 2005)</w:t>
      </w:r>
    </w:p>
    <w:p>
      <w:pPr>
        <w:numPr>
          <w:numId w:val="1019"/>
          <w:ilvl w:val="0"/>
        </w:numPr>
      </w:pPr>
      <w:r>
        <w:t xml:space="preserve">for structural analysis</w:t>
      </w:r>
      <w:r>
        <w:t xml:space="preserve"> </w:t>
      </w:r>
      <w:r>
        <w:t xml:space="preserve">(Smith et al. 2011)</w:t>
      </w:r>
    </w:p>
    <w:p>
      <w:pPr>
        <w:numPr>
          <w:numId w:val="1019"/>
          <w:ilvl w:val="0"/>
        </w:numPr>
      </w:pPr>
      <w:r>
        <w:t xml:space="preserve">for contextual music listening pattern detection using social media</w:t>
      </w:r>
      <w:r>
        <w:t xml:space="preserve"> </w:t>
      </w:r>
      <w:r>
        <w:t xml:space="preserve">(Hauger et al. 2013)</w:t>
      </w:r>
    </w:p>
    <w:p>
      <w:pPr>
        <w:numPr>
          <w:numId w:val="1019"/>
          <w:ilvl w:val="0"/>
        </w:numPr>
      </w:pPr>
      <w:r>
        <w:t xml:space="preserve">to train models for phoneme detection</w:t>
      </w:r>
      <w:r>
        <w:t xml:space="preserve"> </w:t>
      </w:r>
      <w:r>
        <w:t xml:space="preserve">(Proutskova et al. 2012)</w:t>
      </w:r>
    </w:p>
    <w:p>
      <w:pPr>
        <w:numPr>
          <w:numId w:val="1019"/>
          <w:ilvl w:val="0"/>
        </w:numPr>
      </w:pPr>
      <w:r>
        <w:t xml:space="preserve">for schenkerian analysis</w:t>
      </w:r>
      <w:r>
        <w:t xml:space="preserve"> </w:t>
      </w:r>
      <w:r>
        <w:t xml:space="preserve">(Kirlin 2014)</w:t>
      </w:r>
    </w:p>
    <w:p>
      <w:pPr>
        <w:numPr>
          <w:numId w:val="1019"/>
          <w:ilvl w:val="0"/>
        </w:numPr>
      </w:pPr>
      <w:r>
        <w:t xml:space="preserve">for tonal music analysis using GTTM</w:t>
      </w:r>
      <w:r>
        <w:t xml:space="preserve"> </w:t>
      </w:r>
      <w:r>
        <w:t xml:space="preserve">(Hamanaka et al. 2014)</w:t>
      </w:r>
    </w:p>
    <w:p>
      <w:pPr>
        <w:numPr>
          <w:numId w:val="1019"/>
          <w:ilvl w:val="0"/>
        </w:numPr>
      </w:pPr>
      <w:r>
        <w:t xml:space="preserve">for counterpoint analysis</w:t>
      </w:r>
      <w:r>
        <w:t xml:space="preserve"> </w:t>
      </w:r>
      <w:r>
        <w:t xml:space="preserve">(Antila &amp; Cumming 2014)</w:t>
      </w:r>
    </w:p>
    <w:p>
      <w:pPr>
        <w:numPr>
          <w:numId w:val="1019"/>
          <w:ilvl w:val="0"/>
        </w:numPr>
      </w:pPr>
      <w:r>
        <w:t xml:space="preserve">for emotion recognition and color associations in the listener</w:t>
      </w:r>
      <w:r>
        <w:t xml:space="preserve"> </w:t>
      </w:r>
      <w:r>
        <w:t xml:space="preserve">(Pesek et al. 2014)</w:t>
      </w:r>
    </w:p>
    <w:p>
      <w:pPr>
        <w:numPr>
          <w:numId w:val="1019"/>
          <w:ilvl w:val="0"/>
        </w:numPr>
      </w:pPr>
      <w:r>
        <w:t xml:space="preserve">for multimodal mood prediction</w:t>
      </w:r>
      <w:r>
        <w:t xml:space="preserve"> </w:t>
      </w:r>
      <w:r>
        <w:t xml:space="preserve">(Delbouys et al. 2018)</w:t>
      </w:r>
    </w:p>
    <w:p>
      <w:pPr>
        <w:numPr>
          <w:numId w:val="1019"/>
          <w:ilvl w:val="0"/>
        </w:numPr>
      </w:pPr>
      <w:r>
        <w:t xml:space="preserve">for melody</w:t>
      </w:r>
      <w:r>
        <w:t xml:space="preserve"> </w:t>
      </w:r>
      <w:r>
        <w:t xml:space="preserve">(Bittner et al. 2014)</w:t>
      </w:r>
      <w:r>
        <w:t xml:space="preserve"> </w:t>
      </w:r>
      <w:r>
        <w:t xml:space="preserve">and singing voice</w:t>
      </w:r>
      <w:r>
        <w:t xml:space="preserve"> </w:t>
      </w:r>
      <w:r>
        <w:t xml:space="preserve">(Stoller et al. 2017)</w:t>
      </w:r>
      <w:r>
        <w:t xml:space="preserve"> </w:t>
      </w:r>
      <w:r>
        <w:t xml:space="preserve">extraction</w:t>
      </w:r>
    </w:p>
    <w:p>
      <w:pPr>
        <w:numPr>
          <w:numId w:val="1019"/>
          <w:ilvl w:val="0"/>
        </w:numPr>
      </w:pPr>
      <w:r>
        <w:t xml:space="preserve">for harmonic analysis</w:t>
      </w:r>
      <w:r>
        <w:t xml:space="preserve"> </w:t>
      </w:r>
      <w:r>
        <w:t xml:space="preserve">(Devaney et al. 2015)</w:t>
      </w:r>
    </w:p>
    <w:p>
      <w:pPr>
        <w:numPr>
          <w:numId w:val="1019"/>
          <w:ilvl w:val="0"/>
        </w:numPr>
      </w:pPr>
      <w:r>
        <w:t xml:space="preserve">for the evaluation of tempo estimation and key detection algorithms</w:t>
      </w:r>
      <w:r>
        <w:t xml:space="preserve"> </w:t>
      </w:r>
      <w:r>
        <w:t xml:space="preserve">(Knees et al. 2015)</w:t>
      </w:r>
    </w:p>
    <w:p>
      <w:pPr>
        <w:numPr>
          <w:numId w:val="1019"/>
          <w:ilvl w:val="0"/>
        </w:numPr>
      </w:pPr>
      <w:r>
        <w:t xml:space="preserve">for orchestration</w:t>
      </w:r>
      <w:r>
        <w:t xml:space="preserve"> </w:t>
      </w:r>
      <w:r>
        <w:t xml:space="preserve">(Crestel et al. 2017)</w:t>
      </w:r>
    </w:p>
    <w:p>
      <w:pPr>
        <w:numPr>
          <w:numId w:val="1019"/>
          <w:ilvl w:val="0"/>
        </w:numPr>
      </w:pPr>
      <w:r>
        <w:t xml:space="preserve">for computational musicology</w:t>
      </w:r>
      <w:hyperlink w:anchor="fn8">
        <w:r>
          <w:rPr>
            <w:vertAlign w:val="superscript"/>
            <w:rStyle w:val="Hyperlink"/>
          </w:rPr>
          <w:t xml:space="preserve">8</w:t>
        </w:r>
      </w:hyperlink>
      <w:r>
        <w:t xml:space="preserve"> </w:t>
      </w:r>
      <w:r>
        <w:t xml:space="preserve">(Parada-Cabaleiro et al. 2017)</w:t>
      </w:r>
    </w:p>
    <w:p>
      <w:pPr>
        <w:numPr>
          <w:numId w:val="1019"/>
          <w:ilvl w:val="0"/>
        </w:numPr>
      </w:pPr>
      <w:r>
        <w:t xml:space="preserve">for forensic analysis as a complement of video analysis</w:t>
      </w:r>
      <w:r>
        <w:t xml:space="preserve"> </w:t>
      </w:r>
      <w:r>
        <w:t xml:space="preserve">(Serizel et al. 2016)</w:t>
      </w:r>
    </w:p>
    <w:p>
      <w:pPr>
        <w:numPr>
          <w:numId w:val="1019"/>
          <w:ilvl w:val="0"/>
        </w:numPr>
      </w:pPr>
      <w:r>
        <w:t xml:space="preserve">for training and evaluating chord transcription algorithms</w:t>
      </w:r>
      <w:r>
        <w:t xml:space="preserve"> </w:t>
      </w:r>
      <w:r>
        <w:t xml:space="preserve">(Eremenko et al. 2018)</w:t>
      </w:r>
    </w:p>
    <w:p>
      <w:pPr>
        <w:numPr>
          <w:numId w:val="1019"/>
          <w:ilvl w:val="0"/>
        </w:numPr>
      </w:pPr>
      <w:r>
        <w:t xml:space="preserve">for training querying methods such as humming</w:t>
      </w:r>
      <w:r>
        <w:t xml:space="preserve"> </w:t>
      </w:r>
      <w:r>
        <w:t xml:space="preserve">(Brzezinski-Spiczak et al. 2013, Nagavi &amp; Bhajantri 2013, 2014)</w:t>
      </w:r>
    </w:p>
    <w:p>
      <w:pPr>
        <w:numPr>
          <w:numId w:val="1019"/>
          <w:ilvl w:val="0"/>
        </w:numPr>
      </w:pPr>
      <w:r>
        <w:t xml:space="preserve">for multi-instrument recognition</w:t>
      </w:r>
      <w:r>
        <w:t xml:space="preserve"> </w:t>
      </w:r>
      <w:r>
        <w:t xml:space="preserve">(Humphrey et al. 2018)</w:t>
      </w:r>
    </w:p>
    <w:p>
      <w:pPr>
        <w:numPr>
          <w:numId w:val="1019"/>
          <w:ilvl w:val="0"/>
        </w:numPr>
      </w:pPr>
      <w:r>
        <w:t xml:space="preserve">for adversarial audio synthesis</w:t>
      </w:r>
      <w:r>
        <w:t xml:space="preserve"> </w:t>
      </w:r>
      <w:r>
        <w:t xml:space="preserve">(Donahue et al. 2018)</w:t>
      </w:r>
    </w:p>
    <w:p>
      <w:pPr>
        <w:pStyle w:val="FirstParagraph"/>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p>
    <w:p>
      <w:pPr>
        <w:pStyle w:val="Heading3"/>
      </w:pPr>
      <w:bookmarkStart w:id="90" w:name="sonification"/>
      <w:r>
        <w:t xml:space="preserve">Sonification</w:t>
      </w:r>
      <w:bookmarkEnd w:id="90"/>
    </w:p>
    <w:p>
      <w:pPr>
        <w:pStyle w:val="CaptionedFigure"/>
      </w:pPr>
      <w:bookmarkStart w:id="92" w:name="img:sonif"/>
      <w:r>
        <w:drawing>
          <wp:inline>
            <wp:extent cx="2019300" cy="1879600"/>
            <wp:effectExtent b="0" l="0" r="0" t="0"/>
            <wp:docPr descr="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91"/>
                    <a:stretch>
                      <a:fillRect/>
                    </a:stretch>
                  </pic:blipFill>
                  <pic:spPr bwMode="auto">
                    <a:xfrm>
                      <a:off x="0" y="0"/>
                      <a:ext cx="2019300" cy="1879600"/>
                    </a:xfrm>
                    <a:prstGeom prst="rect">
                      <a:avLst/>
                    </a:prstGeom>
                    <a:noFill/>
                    <a:ln w="9525">
                      <a:noFill/>
                      <a:headEnd/>
                      <a:tailEnd/>
                    </a:ln>
                  </pic:spPr>
                </pic:pic>
              </a:graphicData>
            </a:graphic>
          </wp:inline>
        </w:drawing>
      </w:r>
      <w:bookmarkEnd w:id="92"/>
    </w:p>
    <w:p>
      <w:pPr>
        <w:pStyle w:val="ImageCaption"/>
      </w:pP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The database is the ground floor of sonification. The sonified data is very likely to be digital,</w:t>
      </w:r>
      <w:hyperlink w:anchor="fn9">
        <w:r>
          <w:rPr>
            <w:vertAlign w:val="superscript"/>
            <w:rStyle w:val="Hyperlink"/>
          </w:rPr>
          <w:t xml:space="preserve">9</w:t>
        </w:r>
      </w:hyperlink>
      <w:r>
        <w:t xml:space="preserve"> </w:t>
      </w:r>
      <w:r>
        <w:t xml:space="preserve">which means that data needs to be stored in a structured way for fast access by computers, and the role of the sonifier is to acoustically translate the database’s inner relationships</w:t>
      </w:r>
      <w:r>
        <w:t xml:space="preserve"> </w:t>
      </w:r>
      <w:r>
        <w:t xml:space="preserve">(Walker &amp; Nees 2011, p. 9)</w:t>
      </w:r>
      <w:r>
        <w:t xml:space="preserve">.</w:t>
      </w:r>
    </w:p>
    <w:p>
      <w:pPr>
        <w:pStyle w:val="BodyText"/>
      </w:pPr>
      <w:r>
        <w:t xml:space="preserve">According to</w:t>
      </w:r>
      <w:r>
        <w:t xml:space="preserve"> </w:t>
      </w:r>
      <w:r>
        <w:t xml:space="preserve">Walker &amp; Nees (2011)</w:t>
      </w:r>
      <w:r>
        <w:t xml:space="preserve"> </w:t>
      </w:r>
      <w:r>
        <w:t xml:space="preserve">there are three types of sonification: event-based, model-based, and continuous. I see these types of sonification as ways of performing a database. Continuous sonification (audification) consists of directly translating waveforms of periodic data into sound, that is, reading non-audio data as if it were audio data</w:t>
      </w:r>
      <w:r>
        <w:t xml:space="preserve"> </w:t>
      </w:r>
      <w:r>
        <w:t xml:space="preserve">(Walker &amp; Nees 2011, p. 17)</w:t>
      </w:r>
      <w:r>
        <w:t xml:space="preserve">. Model-based sonification consists of distributing data points in such a way that enables data exploration. Generally, these models are interactive interfaces with which users navigate the database to find relationships</w:t>
      </w:r>
      <w:r>
        <w:t xml:space="preserve"> </w:t>
      </w:r>
      <w:r>
        <w:t xml:space="preserve">(Walker &amp; Nees 2011, p. 17)</w:t>
      </w:r>
      <w:r>
        <w:t xml:space="preserve">. Event-based (parameter mapping) sonification is aimed at representing changes in a database as acoustic saliences or tendencies. In this sense, dimensions of the data need to be translated (mapped) into acoustic parameters (frequency, periodicity, density, etc.), so as to listen how the generated sound behaves over time and interpret these changes within the database</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sonification, the data comes first, and it needs to be pre-processed so that it can be adapted to the sound synthesis engines of choice. Sonification is a subset of auditory display techniques, and it belongs to the broader scope of information systems and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the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w:t>
      </w:r>
      <w:r>
        <w:rPr>
          <w:i/>
        </w:rPr>
        <w:t xml:space="preserve">in</w:t>
      </w:r>
      <w:r>
        <w:t xml:space="preserve">-formed) by the listener.</w:t>
      </w:r>
    </w:p>
    <w:p>
      <w:pPr>
        <w:pStyle w:val="BodyText"/>
      </w:pPr>
      <w:r>
        <w:t xml:space="preserve">In what follows, I present some instances of sonification practices as described by their authors.</w:t>
      </w:r>
    </w:p>
    <w:p>
      <w:pPr>
        <w:pStyle w:val="Heading4"/>
      </w:pPr>
      <w:bookmarkStart w:id="93" w:name="sonification:parametermapping"/>
      <w:r>
        <w:t xml:space="preserve">Parameter mapping</w:t>
      </w:r>
      <w:bookmarkEnd w:id="93"/>
    </w:p>
    <w:p>
      <w:pPr>
        <w:pStyle w:val="Heading5"/>
      </w:pPr>
      <w:bookmarkStart w:id="94" w:name="dow"/>
      <w:r>
        <w:t xml:space="preserve">DOW</w:t>
      </w:r>
      <w:bookmarkEnd w:id="94"/>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10">
        <w:r>
          <w:rPr>
            <w:vertAlign w:val="superscript"/>
            <w:rStyle w:val="Hyperlink"/>
          </w:rPr>
          <w:t xml:space="preserve">10</w:t>
        </w:r>
      </w:hyperlink>
    </w:p>
    <w:p>
      <w:pPr>
        <w:pStyle w:val="Heading5"/>
      </w:pPr>
      <w:bookmarkStart w:id="95" w:name="medical-images"/>
      <w:r>
        <w:t xml:space="preserve">Medical Images</w:t>
      </w:r>
      <w:bookmarkEnd w:id="95"/>
    </w:p>
    <w:p>
      <w:pPr>
        <w:pStyle w:val="FirstParagraph"/>
      </w:pPr>
      <w:r>
        <w:t xml:space="preserve">Cadiz et al</w:t>
      </w:r>
      <w:r>
        <w:t xml:space="preserve"> </w:t>
      </w:r>
      <w:r>
        <w:t xml:space="preserve">(Cádiz et al. 2015)</w:t>
      </w:r>
      <w:r>
        <w:t xml:space="preserve"> </w:t>
      </w:r>
      <w:r>
        <w:t xml:space="preserve">proposed a sonification approach based on statistical descriptors of ROI 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96" w:name="sonification:model"/>
      <w:r>
        <w:t xml:space="preserve">Model-based sonification</w:t>
      </w:r>
      <w:bookmarkEnd w:id="96"/>
    </w:p>
    <w:p>
      <w:pPr>
        <w:pStyle w:val="Heading5"/>
      </w:pPr>
      <w:bookmarkStart w:id="97" w:name="space"/>
      <w:r>
        <w:t xml:space="preserve">Space</w:t>
      </w:r>
      <w:bookmarkEnd w:id="97"/>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 project</w:t>
      </w:r>
      <w:r>
        <w:t xml:space="preserve"> </w:t>
      </w:r>
      <w:r>
        <w:t xml:space="preserve">(Vogt et al. 2012)</w:t>
      </w:r>
      <w:r>
        <w:t xml:space="preserve"> </w:t>
      </w:r>
      <w:r>
        <w:t xml:space="preserve">at the IEM of the University of Music and Performing Arts in Graz. Within this installation, they proposed a three dimensional, navigable space holding a Monte Carlo simulation of the theory of QED . Within this QED</w:t>
      </w:r>
      <w:r>
        <w:t xml:space="preserve"> </w:t>
      </w:r>
      <w:r>
        <w:rPr>
          <w:i/>
        </w:rPr>
        <w:t xml:space="preserve">lattice</w:t>
      </w:r>
      <w:r>
        <w:t xml:space="preserve">,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8" w:name="sonification:artistic"/>
      <w:r>
        <w:t xml:space="preserve">Artistic sonification</w:t>
      </w:r>
      <w:bookmarkEnd w:id="98"/>
    </w:p>
    <w:p>
      <w:pPr>
        <w:pStyle w:val="Heading5"/>
      </w:pPr>
      <w:bookmarkStart w:id="99" w:name="wolves"/>
      <w:r>
        <w:t xml:space="preserve">Wolves</w:t>
      </w:r>
      <w:bookmarkEnd w:id="99"/>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11">
        <w:r>
          <w:rPr>
            <w:vertAlign w:val="superscript"/>
            <w:rStyle w:val="Hyperlink"/>
          </w:rPr>
          <w:t xml:space="preserve">11</w:t>
        </w:r>
      </w:hyperlink>
    </w:p>
    <w:p>
      <w:pPr>
        <w:pStyle w:val="Heading5"/>
      </w:pPr>
      <w:bookmarkStart w:id="100" w:name="selva"/>
      <w:r>
        <w:t xml:space="preserve">Selva</w:t>
      </w:r>
      <w:bookmarkEnd w:id="100"/>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hyperlink w:anchor="fn12">
        <w:r>
          <w:rPr>
            <w:vertAlign w:val="superscript"/>
            <w:rStyle w:val="Hyperlink"/>
          </w:rPr>
          <w:t xml:space="preserve">12</w:t>
        </w:r>
      </w:hyperlink>
      <w:r>
        <w:t xml:space="preserve"> </w:t>
      </w:r>
      <w:r>
        <w:t xml:space="preserve">using 14-hour long recordings taken from a forest</w:t>
      </w:r>
      <w:hyperlink w:anchor="fn13">
        <w:r>
          <w:rPr>
            <w:vertAlign w:val="superscript"/>
            <w:rStyle w:val="Hyperlink"/>
          </w:rPr>
          <w:t xml:space="preserve">13</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01" w:name="ocean"/>
      <w:r>
        <w:t xml:space="preserve">Ocean</w:t>
      </w:r>
      <w:bookmarkEnd w:id="101"/>
    </w:p>
    <w:p>
      <w:pPr>
        <w:pStyle w:val="FirstParagraph"/>
      </w:pPr>
      <w:r>
        <w:t xml:space="preserve">Bob L. Sturm</w:t>
      </w:r>
      <w:r>
        <w:t xml:space="preserve"> </w:t>
      </w:r>
      <w:r>
        <w:t xml:space="preserve">(Sturm 2002)</w:t>
      </w:r>
      <w:r>
        <w:t xml:space="preserve"> </w:t>
      </w:r>
      <w:r>
        <w:t xml:space="preserve">sonified ocean wave conditions of the USA Pacific coast obtained by the CDIP since 1975. The database until 2002 contained over 50 GB of spectral and directional content of the wave-driven motions at the location of the sensing buoys. By scaling to hearable range and then performing an IFT of the data, Sturm composed a piece called</w:t>
      </w:r>
      <w:r>
        <w:t xml:space="preserve"> </w:t>
      </w:r>
      <w:r>
        <w:rPr>
          <w:i/>
        </w:rPr>
        <w:t xml:space="preserve">Pacific Pulse</w:t>
      </w:r>
      <w:r>
        <w:t xml:space="preserve">, on which frequency sweeps indicate storms beginnings (rising) and endings (falling).</w:t>
      </w:r>
    </w:p>
    <w:p>
      <w:pPr>
        <w:pStyle w:val="Heading5"/>
      </w:pPr>
      <w:bookmarkStart w:id="102" w:name="rivers-and-molecules"/>
      <w:r>
        <w:t xml:space="preserve">Rivers and Molecules</w:t>
      </w:r>
      <w:bookmarkEnd w:id="102"/>
    </w:p>
    <w:p>
      <w:pPr>
        <w:pStyle w:val="FirstParagraph"/>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w:t>
      </w:r>
      <w:r>
        <w:t xml:space="preserve"> </w:t>
      </w:r>
      <w:r>
        <w:rPr>
          <w:i/>
        </w:rPr>
        <w:t xml:space="preserve">Spin Dynamics</w:t>
      </w:r>
      <w:hyperlink w:anchor="fn14">
        <w:r>
          <w:rPr>
            <w:vertAlign w:val="superscript"/>
            <w:rStyle w:val="Hyperlink"/>
          </w:rPr>
          <w:t xml:space="preserve">14</w:t>
        </w:r>
      </w:hyperlink>
      <w:r>
        <w:t xml:space="preserve">, by two audification processes (direct audification and via a straightforward additive synthesis process) applied to the HMDB , a database holding NMR spectroscopies of molecules.</w:t>
      </w:r>
    </w:p>
    <w:p>
      <w:pPr>
        <w:pStyle w:val="Heading5"/>
      </w:pPr>
      <w:bookmarkStart w:id="103" w:name="gender-distribution"/>
      <w:r>
        <w:t xml:space="preserve">Gender Distribution</w:t>
      </w:r>
      <w:bookmarkEnd w:id="103"/>
    </w:p>
    <w:p>
      <w:pPr>
        <w:pStyle w:val="FirstParagraph"/>
      </w:pPr>
      <w:r>
        <w:t xml:space="preserve">Emma Frid</w:t>
      </w:r>
      <w:r>
        <w:t xml:space="preserve"> </w:t>
      </w:r>
      <w:r>
        <w:t xml:space="preserve">(Frid 2017)</w:t>
      </w:r>
      <w:r>
        <w:t xml:space="preserve"> </w:t>
      </w:r>
      <w:r>
        <w:t xml:space="preserve">derived a database of gender distribution by applying the python module</w:t>
      </w:r>
      <w:r>
        <w:t xml:space="preserve"> </w:t>
      </w:r>
      <w:r>
        <w:rPr>
          <w:rStyle w:val="VerbatimChar"/>
        </w:rPr>
        <w:t xml:space="preserve">genderize</w:t>
      </w:r>
      <w:r>
        <w:t xml:space="preserve"> </w:t>
      </w:r>
      <w:r>
        <w:t xml:space="preserve">to author names in three main computer music conference proceedings databases: ICMC , NIME , and SMC . By assigning polar frequency ranges for each group (male and female), her sonification emphasizes the significant inequality of gender in the resulting acoustic stream segregation into male backround (continuous drone-like sound) and female foreground (fewer and sparser sounds). Her conclusion, therefore, is that “there is a need for analysis of the existing environments and social relations that surround music technology and computer music. If we identify the challenges that women are facing in our research community, we will be able to create more initiatives towards changing practices”</w:t>
      </w:r>
      <w:r>
        <w:t xml:space="preserve"> </w:t>
      </w:r>
      <w:r>
        <w:t xml:space="preserve">(Frid 2017, p. 238)</w:t>
      </w:r>
      <w:r>
        <w:t xml:space="preserve">.</w:t>
      </w:r>
    </w:p>
    <w:p>
      <w:pPr>
        <w:pStyle w:val="Heading4"/>
      </w:pPr>
      <w:bookmarkStart w:id="104" w:name="sonification:installations"/>
      <w:r>
        <w:t xml:space="preserve">Sonification Installations</w:t>
      </w:r>
      <w:bookmarkEnd w:id="104"/>
    </w:p>
    <w:p>
      <w:pPr>
        <w:pStyle w:val="Heading5"/>
      </w:pPr>
      <w:bookmarkStart w:id="105" w:name="ip-based-soundscape"/>
      <w:r>
        <w:t xml:space="preserve">IP-based soundscape</w:t>
      </w:r>
      <w:bookmarkEnd w:id="105"/>
    </w:p>
    <w:p>
      <w:pPr>
        <w:pStyle w:val="FirstParagraph"/>
      </w:pPr>
      <w:r>
        <w:t xml:space="preserve">Mark Ballora et al</w:t>
      </w:r>
      <w:r>
        <w:t xml:space="preserve"> </w:t>
      </w:r>
      <w:r>
        <w:t xml:space="preserve">(Ballora et al. 2010)</w:t>
      </w:r>
      <w:r>
        <w:t xml:space="preserve"> </w:t>
      </w:r>
      <w:r>
        <w:t xml:space="preserve">sonified a database of HTTP requests at Penn State’s NC2IF . This database contained entries with four fields such as timestamp, location (latitude-longitude), IP address, and response type. Using parameter mapping, Ballora controlled rhythm and spatialization with the first two, and pitch and timbre with IP data. However, the latter ranged from the more concrete ( IP to frequency) to the more abstract ( IP as formant and highpass filters for brown noise), thus resulting in a soundscape with different but simultaneous sonifications of the data. This multi-layered approach to sonification stems from his PhD dissertation on cardiac rate sonification</w:t>
      </w:r>
      <w:r>
        <w:t xml:space="preserve"> </w:t>
      </w:r>
      <w:r>
        <w:t xml:space="preserve">(Ballora 2000)</w:t>
      </w:r>
      <w:r>
        <w:t xml:space="preserve">.</w:t>
      </w:r>
    </w:p>
    <w:p>
      <w:pPr>
        <w:pStyle w:val="Heading5"/>
      </w:pPr>
      <w:bookmarkStart w:id="106" w:name="earthquakes"/>
      <w:r>
        <w:t xml:space="preserve">Earthquakes</w:t>
      </w:r>
      <w:bookmarkEnd w:id="106"/>
    </w:p>
    <w:p>
      <w:pPr>
        <w:pStyle w:val="FirstParagraph"/>
      </w:pPr>
      <w:r>
        <w:t xml:space="preserve">Lindborg (2017)</w:t>
      </w:r>
      <w:r>
        <w:t xml:space="preserve"> </w:t>
      </w:r>
      <w:r>
        <w:t xml:space="preserve">sonified real-time earthquake data as a sound sculpture</w:t>
      </w:r>
      <w:r>
        <w:t xml:space="preserve"> </w:t>
      </w:r>
      <w:r>
        <w:t xml:space="preserve">(Lindborg 2017)</w:t>
      </w:r>
      <w:r>
        <w:t xml:space="preserve">. Within , he used data from the IRIS Data Services, which transmits seismographic data packets updated every thirty minutes from multiple observation sites. He spatialized this data using coordinates of the events and using a four-speaker array located at the center of the gallery space, and mapped the rest of the data to FM synthesis parameters.</w:t>
      </w:r>
    </w:p>
    <w:p>
      <w:pPr>
        <w:pStyle w:val="Heading5"/>
      </w:pPr>
      <w:bookmarkStart w:id="107" w:name="gpu-based-waveforms"/>
      <w:r>
        <w:t xml:space="preserve">GPU-based waveforms</w:t>
      </w:r>
      <w:bookmarkEnd w:id="107"/>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 In order to carry this out, they used the Metal API</w:t>
      </w:r>
      <w:hyperlink w:anchor="fn15">
        <w:r>
          <w:rPr>
            <w:vertAlign w:val="superscript"/>
            <w:rStyle w:val="Hyperlink"/>
          </w:rPr>
          <w:t xml:space="preserve">15</w:t>
        </w:r>
      </w:hyperlink>
      <w:r>
        <w:t xml:space="preserve">, and intervened on the processing pipeline to output CPU accessible data. The audio engine running on the CPU 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hyperlink w:anchor="fn16">
        <w:r>
          <w:rPr>
            <w:vertAlign w:val="superscript"/>
            <w:rStyle w:val="Hyperlink"/>
          </w:rPr>
          <w:t xml:space="preserve">16</w:t>
        </w:r>
      </w:hyperlink>
      <w:r>
        <w:t xml:space="preserve">, they used the generated waveforms as a database, composing each waveform together with their visual generators as a collage.</w:t>
      </w:r>
    </w:p>
    <w:p>
      <w:pPr>
        <w:pStyle w:val="Heading5"/>
      </w:pPr>
      <w:bookmarkStart w:id="108" w:name="ucanny-faces"/>
      <w:r>
        <w:t xml:space="preserve">Ucanny Faces</w:t>
      </w:r>
      <w:bookmarkEnd w:id="108"/>
    </w:p>
    <w:p>
      <w:pPr>
        <w:pStyle w:val="FirstParagraph"/>
      </w:pPr>
      <w:r>
        <w:t xml:space="preserve">Simonelli et al</w:t>
      </w:r>
      <w:r>
        <w:t xml:space="preserve"> </w:t>
      </w:r>
      <w:r>
        <w:t xml:space="preserve">(Simonelli et al. 2017)</w:t>
      </w:r>
      <w:r>
        <w:t xml:space="preserve"> </w:t>
      </w:r>
      <w:r>
        <w:t xml:space="preserve">designed</w:t>
      </w:r>
      <w:r>
        <w:t xml:space="preserve"> </w:t>
      </w:r>
      <w:r>
        <w:rPr>
          <w:i/>
        </w:rPr>
        <w:t xml:space="preserve">Hally</w:t>
      </w:r>
      <w:r>
        <w:t xml:space="preserve">,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 Furthermore, by video-based audio convolution,</w:t>
      </w:r>
      <w:r>
        <w:t xml:space="preserve"> </w:t>
      </w:r>
      <w:r>
        <w:rPr>
          <w:i/>
        </w:rPr>
        <w:t xml:space="preserve">Hally</w:t>
      </w:r>
      <w:r>
        <w:t xml:space="preserve"> </w:t>
      </w:r>
      <w:r>
        <w:t xml:space="preserve">aims to simulat a theory of perception based on IFT</w:t>
      </w:r>
      <w:r>
        <w:t xml:space="preserve"> </w:t>
      </w:r>
      <w:r>
        <w:t xml:space="preserve">(Connes 2012)</w:t>
      </w:r>
      <w:r>
        <w:t xml:space="preserve">. Parting from previous work by</w:t>
      </w:r>
      <w:r>
        <w:t xml:space="preserve"> </w:t>
      </w:r>
      <w:r>
        <w:t xml:space="preserve">Thiebaut et al. (2007)</w:t>
      </w:r>
      <w:r>
        <w:t xml:space="preserve"> </w:t>
      </w:r>
      <w:r>
        <w:t xml:space="preserve">on simultaneous sonification and visualization</w:t>
      </w:r>
      <w:r>
        <w:t xml:space="preserve"> </w:t>
      </w:r>
      <w:r>
        <w:t xml:space="preserve">(Thiebaut et al. 2007)</w:t>
      </w:r>
      <w:r>
        <w:t xml:space="preserve">,</w:t>
      </w:r>
      <w:r>
        <w:t xml:space="preserve"> </w:t>
      </w:r>
      <w:r>
        <w:rPr>
          <w:i/>
        </w:rPr>
        <w:t xml:space="preserve">Hally</w:t>
      </w:r>
      <w:r>
        <w:t xml:space="preserve"> </w:t>
      </w:r>
      <w:r>
        <w:t xml:space="preserve">explores the role of both sound and image in the definition of the self, by immersing the participant in an uncanny spectrality</w:t>
      </w:r>
      <w:r>
        <w:t xml:space="preserve"> </w:t>
      </w:r>
      <w:r>
        <w:t xml:space="preserve">(Cámara Halac 2018a)</w:t>
      </w:r>
      <w:r>
        <w:t xml:space="preserve">.</w:t>
      </w:r>
    </w:p>
    <w:p>
      <w:pPr>
        <w:pStyle w:val="Heading4"/>
      </w:pPr>
      <w:bookmarkStart w:id="109" w:name="sonification:software"/>
      <w:r>
        <w:t xml:space="preserve">Sonification Software</w:t>
      </w:r>
      <w:bookmarkEnd w:id="109"/>
    </w:p>
    <w:p>
      <w:pPr>
        <w:pStyle w:val="Heading5"/>
      </w:pPr>
      <w:bookmarkStart w:id="110" w:name="sonart"/>
      <w:r>
        <w:t xml:space="preserve">SonArt</w:t>
      </w:r>
      <w:bookmarkEnd w:id="110"/>
    </w:p>
    <w:p>
      <w:pPr>
        <w:pStyle w:val="FirstParagraph"/>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11" w:name="dataplayer"/>
      <w:r>
        <w:t xml:space="preserve">DataPlayer</w:t>
      </w:r>
      <w:bookmarkEnd w:id="111"/>
    </w:p>
    <w:p>
      <w:pPr>
        <w:pStyle w:val="FirstParagraph"/>
      </w:pPr>
      <w:r>
        <w:t xml:space="preserve">In his CADDC environment called</w:t>
      </w:r>
      <w:r>
        <w:t xml:space="preserve"> </w:t>
      </w:r>
      <w:r>
        <w:rPr>
          <w:i/>
        </w:rPr>
        <w:t xml:space="preserve">DataPlayer</w:t>
      </w:r>
      <w:r>
        <w:t xml:space="preserve"> </w:t>
      </w:r>
      <w:r>
        <w:t xml:space="preserve">programmed as a standalone MAX/MSP application, Nardelli</w:t>
      </w:r>
      <w:r>
        <w:t xml:space="preserve"> </w:t>
      </w:r>
      <w:r>
        <w:t xml:space="preserve">(Nardelli 2015)</w:t>
      </w:r>
      <w:r>
        <w:t xml:space="preserve"> </w:t>
      </w:r>
      <w:r>
        <w:t xml:space="preserve">sonified data from the AFLOWLIB .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12" w:name="madbpm"/>
      <w:r>
        <w:t xml:space="preserve">madBPM</w:t>
      </w:r>
      <w:bookmarkEnd w:id="112"/>
    </w:p>
    <w:p>
      <w:pPr>
        <w:pStyle w:val="FirstParagraph"/>
      </w:pPr>
      <w:r>
        <w:t xml:space="preserve">Hamilton et al</w:t>
      </w:r>
      <w:r>
        <w:t xml:space="preserve"> </w:t>
      </w:r>
      <w:r>
        <w:t xml:space="preserve">(Fox et al. 2017)</w:t>
      </w:r>
      <w:r>
        <w:t xml:space="preserve"> </w:t>
      </w:r>
      <w:r>
        <w:t xml:space="preserve">devised MADBPM , a data-ingestion engine suitable for database perceptualization, that is, sonification and visualization. This modular C++ software platform enables data loading from CSV files, multiple mapping via tagging, several traversing algorithms and units, and networked connectivity to SuperCollider for sound and OFX 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 DSL that would enable extending the functionality of these behaviors in real-time.</w:t>
      </w:r>
    </w:p>
    <w:p>
      <w:pPr>
        <w:pStyle w:val="BodyText"/>
      </w:pPr>
      <w:r>
        <w:t xml:space="preserve">For further sonification software, see SONDATA and the following references:</w:t>
      </w:r>
      <w:r>
        <w:t xml:space="preserve"> </w:t>
      </w:r>
      <w:r>
        <w:t xml:space="preserve">(Beilharz &amp; Ferguson 2009, Hildebrandt et al. 2014, Lodha et al. 1998, Pauletto &amp; Hunt 2004a,b; Walker &amp; Cothran 2003, Worrall et al. 2007)</w:t>
      </w:r>
    </w:p>
    <w:p>
      <w:pPr>
        <w:pStyle w:val="Heading3"/>
      </w:pPr>
      <w:bookmarkStart w:id="113" w:name="computer_music"/>
      <w:r>
        <w:t xml:space="preserve">Computer Music</w:t>
      </w:r>
      <w:bookmarkEnd w:id="113"/>
    </w:p>
    <w:p>
      <w:pPr>
        <w:pStyle w:val="FirstParagraph"/>
      </w:pPr>
      <w:r>
        <w:t xml:space="preserve">Delimiting constraints to data structures is one of the key aspects of software design. The first choice is generally the programming language, after which the database tree unfolds its way up to the leaves. Among these leaves is where computer music programs reside. At this level of ‘leaves’ software users are certainly aware that there is a ‘tree’ in front of them. However, their awareness does not necessarily extend to the branches, trunk, or the roots of the tree. There is endless music that can be made with leaves just as it can with paper. However, neither music quanitity nor music quality are the point here. My argument is that working with data structures changes how we think and perform music making. I claim that composers using these leaves of computer music software are working indirectly with data structures, and unless they engage with programming, they remain unaware of data structures and their constraints. ‘Indirectly,’ because there exist the twigs and the branches that connect the leaf to the trunk. These links become invisible to the non-programmer composer</w:t>
      </w:r>
      <w:r>
        <w:t xml:space="preserve"> </w:t>
      </w:r>
      <w:r>
        <w:rPr>
          <w:i/>
        </w:rPr>
        <w:t xml:space="preserve">by design</w:t>
      </w:r>
      <w:r>
        <w:t xml:space="preserve">. Like a phantom limb of the tree, the database remains invibibly</w:t>
      </w:r>
      <w:r>
        <w:t xml:space="preserve"> </w:t>
      </w:r>
      <w:r>
        <w:rPr>
          <w:i/>
        </w:rPr>
        <w:t xml:space="preserve">behind</w:t>
      </w:r>
      <w:r>
        <w:t xml:space="preserve">. Therefore, in this section I present ideas from composers and programmers that show different approaches on how music concepts change with the presence of the database.</w:t>
      </w:r>
    </w:p>
    <w:p>
      <w:pPr>
        <w:pStyle w:val="CaptionedFigure"/>
      </w:pPr>
      <w:bookmarkStart w:id="115" w:name="img:comp"/>
      <w:r>
        <w:drawing>
          <wp:inline>
            <wp:extent cx="1181100" cy="863600"/>
            <wp:effectExtent b="0" l="0" r="0" t="0"/>
            <wp:docPr descr="Diagram of database performance in computer music practices. The database is invisibly behind the computer, within the softwares used for (and as) music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14"/>
                    <a:stretch>
                      <a:fillRect/>
                    </a:stretch>
                  </pic:blipFill>
                  <pic:spPr bwMode="auto">
                    <a:xfrm>
                      <a:off x="0" y="0"/>
                      <a:ext cx="1181100" cy="863600"/>
                    </a:xfrm>
                    <a:prstGeom prst="rect">
                      <a:avLst/>
                    </a:prstGeom>
                    <a:noFill/>
                    <a:ln w="9525">
                      <a:noFill/>
                      <a:headEnd/>
                      <a:tailEnd/>
                    </a:ln>
                  </pic:spPr>
                </pic:pic>
              </a:graphicData>
            </a:graphic>
          </wp:inline>
        </w:drawing>
      </w:r>
      <w:bookmarkEnd w:id="115"/>
    </w:p>
    <w:p>
      <w:pPr>
        <w:pStyle w:val="ImageCaption"/>
      </w:pPr>
      <w:r>
        <w:t xml:space="preserve">Diagram of database performance in computer music practices. The database is invisibly behind the computer, within the softwares used for (and as) music works.</w:t>
      </w:r>
      <w:r>
        <w:t xml:space="preserve"> </w:t>
      </w:r>
    </w:p>
    <w:p>
      <w:pPr>
        <w:pStyle w:val="Heading4"/>
      </w:pPr>
      <w:bookmarkStart w:id="116" w:name="hierarchical-environments"/>
      <w:r>
        <w:t xml:space="preserve">Hierarchical environments</w:t>
      </w:r>
      <w:bookmarkEnd w:id="116"/>
    </w:p>
    <w:p>
      <w:pPr>
        <w:pStyle w:val="Heading5"/>
      </w:pPr>
      <w:bookmarkStart w:id="117" w:name="computer:sssp"/>
      <w:r>
        <w:t xml:space="preserve">Reducing cognitive burden</w:t>
      </w:r>
      <w:bookmarkEnd w:id="117"/>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FirstParagraph"/>
      </w:pPr>
      <w:r>
        <w:t xml:space="preserve">In William Buxton’s survey of computer music practices</w:t>
      </w:r>
      <w:r>
        <w:t xml:space="preserve"> </w:t>
      </w:r>
      <w:r>
        <w:t xml:space="preserve">(Buxton 1977, Buxton et al. 1978b, 1980)</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 SSSP , he focused on HCI —a field in its very early stages in 1978—</w:t>
      </w:r>
      <w:hyperlink w:anchor="fn17">
        <w:r>
          <w:rPr>
            <w:vertAlign w:val="superscript"/>
            <w:rStyle w:val="Hyperlink"/>
          </w:rPr>
          <w:t xml:space="preserve">17</w:t>
        </w:r>
      </w:hyperlink>
      <w:r>
        <w:t xml:space="preserve">. Buxton’s concern throughout SSSP was to address the“problems and benefits arising from the use of computers in musical composition”</w:t>
      </w:r>
      <w:r>
        <w:t xml:space="preserve"> </w:t>
      </w:r>
      <w:r>
        <w:t xml:space="preserve">(Buxton et al. 1978a, p. 472)</w:t>
      </w:r>
      <w:r>
        <w:t xml:space="preserve">. His solution was to reduce the cognitive burden of the composer, who “should simply not have to memorize a large number of commands, the sequence in which they may be called, or the order in which their arguments must be specified”</w:t>
      </w:r>
      <w:r>
        <w:t xml:space="preserve"> </w:t>
      </w:r>
      <w:r>
        <w:t xml:space="preserve">(Buxton et al. 1978a, p. 474)</w:t>
      </w:r>
      <w:r>
        <w:t xml:space="preserve">. He argued that reducing the amount of information given to composers helped them focus on music making. Therefore, in SSSP , the composer’s action was reduced to four main selection tasks: timbres, pitch-time structure, orchestration, and playback. Timbres were assigned by defining waveforms for the table lookup oscillators, and pitch-time structure consisted on pitches and rhythms on a score-like GUI program called 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Heading5"/>
      </w:pPr>
      <w:bookmarkStart w:id="118" w:name="a-hierarchical-representation"/>
      <w:r>
        <w:t xml:space="preserve">A Hierarchical Representation</w:t>
      </w:r>
      <w:bookmarkEnd w:id="118"/>
    </w:p>
    <w:p>
      <w:pPr>
        <w:pStyle w:val="FirstParagraph"/>
      </w:pPr>
      <w:r>
        <w:t xml:space="preserve">Buxton based his research on differing approaches to composition: Iannis Xenakis’s score-as-entity approach</w:t>
      </w:r>
      <w:r>
        <w:t xml:space="preserve"> </w:t>
      </w:r>
      <w:r>
        <w:t xml:space="preserve">(Xenakis 1992)</w:t>
      </w:r>
      <w:r>
        <w:t xml:space="preserve"> </w:t>
      </w:r>
      <w:r>
        <w:t xml:space="preserve">(the 1971 publication of ), an unpublished 1975 manuscript by Barry Vercoe at MIT 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 “the problem of dealing with the different structural levels of composition —from note to score—”</w:t>
      </w:r>
      <w:r>
        <w:t xml:space="preserve"> </w:t>
      </w:r>
      <w:r>
        <w:t xml:space="preserve">(Buxton et al. 1978b, p. 120)</w:t>
      </w:r>
      <w:r>
        <w:t xml:space="preserve"> </w:t>
      </w:r>
      <w:r>
        <w:t xml:space="preserve">(See</w:t>
      </w:r>
      <w:r>
        <w:t xml:space="preserve"> </w:t>
      </w:r>
      <w:hyperlink w:anchor="computer:balance">
        <w:r>
          <w:rPr>
            <w:rStyle w:val="Hyperlink"/>
          </w:rPr>
          <w:t xml:space="preserve">4.3.3.1.6</w:t>
        </w:r>
      </w:hyperlink>
      <w:r>
        <w:t xml:space="preserve">). Buxton, however, condensed these different approaches into what he called a “chunk-by-chunk” composition, where ‘chunk’ represented anything from notes to entire scores, and thus it became a scalability issue. Furthermore, he writes, “the key to allowing this ‘chunk-by-chunk’ addressing lies in our second observation: that the discussion of structural ‘levels’ immediately suggest a hierarchical internal representation of scores”</w:t>
      </w:r>
      <w:r>
        <w:t xml:space="preserve"> </w:t>
      </w:r>
      <w:r>
        <w:t xml:space="preserve">(Buxton et al. 1978b, p. 120)</w:t>
      </w:r>
      <w:r>
        <w:t xml:space="preserve">. That is to say, his solution for the scalability problem came with a hierarchical representation of scores.</w:t>
      </w:r>
    </w:p>
    <w:p>
      <w:pPr>
        <w:pStyle w:val="BodyText"/>
      </w:pPr>
      <w:r>
        <w:t xml:space="preserve">In Buxton’s SSSP , the hierarchical design depended on a data structure called</w:t>
      </w:r>
      <w:r>
        <w:t xml:space="preserve"> </w:t>
      </w:r>
      <w:r>
        <w:rPr>
          <w:i/>
        </w:rPr>
        <w:t xml:space="preserve">symbol table</w:t>
      </w:r>
      <w:r>
        <w:t xml:space="preserve">, which he subsequently divided in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 ‘leaves’ 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 paper</w:t>
      </w:r>
      <w:r>
        <w:t xml:space="preserve"> </w:t>
      </w:r>
      <w:r>
        <w:t xml:space="preserve">(Buxton et al. 1978b)</w:t>
      </w:r>
      <w:r>
        <w:t xml:space="preserve"> </w:t>
      </w:r>
      <w:r>
        <w:t xml:space="preserve">. In light of this transparency (and, perhaps, because of it), however, Buxton’s general purpose in his HCI philosophy is to make the software work in such a way that it becomes invisible to the user. This is also known as a black-box approach. His innovations in this and other projects, however, have had enormous resonances in computer science, and the concept of reducing cognitive burden of the user developed as a standard of HCI</w:t>
      </w:r>
      <w:r>
        <w:t xml:space="preserve"> </w:t>
      </w:r>
      <w:r>
        <w:t xml:space="preserve">(Buxton 2016b)</w:t>
      </w:r>
      <w:r>
        <w:t xml:space="preserve">.</w:t>
      </w:r>
    </w:p>
    <w:p>
      <w:pPr>
        <w:pStyle w:val="Heading5"/>
      </w:pPr>
      <w:bookmarkStart w:id="119" w:name="black-boxing"/>
      <w:r>
        <w:t xml:space="preserve">Black-boxing</w:t>
      </w:r>
      <w:bookmarkEnd w:id="119"/>
    </w:p>
    <w:p>
      <w:pPr>
        <w:pStyle w:val="FirstParagraph"/>
      </w:pPr>
      <w:r>
        <w:t xml:space="preserve">Vílem Flusser</w:t>
      </w:r>
      <w:r>
        <w:t xml:space="preserve"> </w:t>
      </w:r>
      <w:r>
        <w:t xml:space="preserve">(Flusser 2011)</w:t>
      </w:r>
      <w:r>
        <w:t xml:space="preserve"> </w:t>
      </w:r>
      <w:r>
        <w:t xml:space="preserve">described our ability to envision as the power to visualize beyond the surface of the image, and to bring the technical image into a concrete state of experience. The ‘image,’ in Flusser’s case is the television screen in its abstract state of “electrons in a cathode ray tube.” Therefore, he argues, “if we are asking about the power to envision, we must let the black box remain —cybernetically— black”</w:t>
      </w:r>
      <w:r>
        <w:t xml:space="preserve"> </w:t>
      </w:r>
      <w:r>
        <w:t xml:space="preserve">(Flusser 2011, p. 35)</w:t>
      </w:r>
      <w:r>
        <w:t xml:space="preserve">. By seeing past the abstract quality of media we bring an image into experience. The black box is the possibility condition for envisioning to take place. Thus, by seeing past the hidden complexities of the software, composers are able to create music with unrestrained imagination. However, as I have shown before, Hansen makes a divergent point claiming that virtuality inherent in the body is the creative potential of image in-formation (See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 “The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 [emphasis added]</w:t>
      </w:r>
      <w:r>
        <w:t xml:space="preserve"> </w:t>
      </w:r>
      <w:r>
        <w:t xml:space="preserve">(Flusser 2011, p. 37)</w:t>
      </w:r>
      <w:r>
        <w:t xml:space="preserve">. Therefore, the black-box is what condemns and frees the envisioner to a state of superficiality. However, Flusser continues,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 Composers, therefore, are given these possibilities to create, at the cost of a limited performance of the database.</w:t>
      </w:r>
    </w:p>
    <w:p>
      <w:pPr>
        <w:pStyle w:val="Heading5"/>
      </w:pPr>
      <w:bookmarkStart w:id="120" w:name="computer:free"/>
      <w:r>
        <w:t xml:space="preserve">Generality and Portability</w:t>
      </w:r>
      <w:bookmarkEnd w:id="120"/>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 SSSP lasted until 1982 due to lack of funding, and in the mid-1980s its research re-emerged with John Free</w:t>
      </w:r>
      <w:r>
        <w:t xml:space="preserve"> </w:t>
      </w:r>
      <w:r>
        <w:t xml:space="preserve">(Free 1987)</w:t>
      </w:r>
      <w:r>
        <w:t xml:space="preserve">, under Helicon Systems’ CAMP . Free’s programming philosophy thus called for generality, portability, and simplicity. Due to SSSP ’s many hardware dependencies, the code had to be completely re-written</w:t>
      </w:r>
      <w:r>
        <w:t xml:space="preserve"> </w:t>
      </w:r>
      <w:r>
        <w:t xml:space="preserve">(Free &amp; Vytas 1986)</w:t>
      </w:r>
      <w:r>
        <w:t xml:space="preserve">. Hardware development would demand higher levels of software abstractions, so that software continued to live on in newer hardware. This issue refers to the portability of software (See</w:t>
      </w:r>
      <w:r>
        <w:t xml:space="preserve"> </w:t>
      </w:r>
      <w:hyperlink w:anchor="portability">
        <w:r>
          <w:rPr>
            <w:rStyle w:val="Hyperlink"/>
          </w:rPr>
          <w:t xml:space="preserve">4.2.2.0.3</w:t>
        </w:r>
      </w:hyperlink>
      <w:r>
        <w:t xml:space="preserve">), which became a crucial aspect of Free’s programming concerns. Besides portability, Free developed SCRIVA into extensible data structures for music notation arguing for generality. Software had to be general enough so that composers could work in multiple styles. The larger implication in the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However, the programming philosophy here is that of reducing the burden of the user by taking care of the more tedious task. The cost of this, nonetheless, is that by working for the composer, the database guides and hides: it guides the composer through certain paths and hides the composer from other paths. That is to say, if composers take the paths given by the database as givens, then those become the only possible paths.</w:t>
      </w:r>
    </w:p>
    <w:p>
      <w:pPr>
        <w:pStyle w:val="Heading5"/>
      </w:pPr>
      <w:bookmarkStart w:id="121" w:name="computer:vanilla"/>
      <w:r>
        <w:t xml:space="preserve">Simplification</w:t>
      </w:r>
      <w:bookmarkEnd w:id="121"/>
    </w:p>
    <w:p>
      <w:pPr>
        <w:pStyle w:val="FirstParagraph"/>
      </w:pPr>
      <w:r>
        <w:t xml:space="preserve">Hardware-independence led Free to also imagine a</w:t>
      </w:r>
      <w:r>
        <w:t xml:space="preserve"> </w:t>
      </w:r>
      <w:r>
        <w:rPr>
          <w:i/>
        </w:rPr>
        <w:t xml:space="preserve">vanilla</w:t>
      </w:r>
      <w:r>
        <w:t xml:space="preserve"> </w:t>
      </w:r>
      <w:r>
        <w:t xml:space="preserve">synthesizer, with which students in “a music lab with multiple users on a networked computer system”</w:t>
      </w:r>
      <w:r>
        <w:t xml:space="preserve"> </w:t>
      </w:r>
      <w:r>
        <w:t xml:space="preserve">(Free &amp; Vytas 1988, p. 127)</w:t>
      </w:r>
      <w:r>
        <w:t xml:space="preserve"> </w:t>
      </w:r>
      <w:r>
        <w:t xml:space="preserve">could seamlessly use the timbre world offered by various synthesizers made by different manufacturers. Software needed to interact simultaneously with different types of hardware. Free achieved this type of interaction with the</w:t>
      </w:r>
      <w:r>
        <w:t xml:space="preserve"> </w:t>
      </w:r>
      <w:r>
        <w:rPr>
          <w:i/>
        </w:rPr>
        <w:t xml:space="preserve">Music Configuration Database</w:t>
      </w:r>
      <w:r>
        <w:t xml:space="preserve">. It consisted of an intermediate program between the physical MIDI input devices (such as the Yamaha DX7 or Casio CZ101), and the computers in the network, so that “rather than have the user tediously specify the MIDI device properties for each synthesizer”</w:t>
      </w:r>
      <w:r>
        <w:t xml:space="preserve"> </w:t>
      </w:r>
      <w:r>
        <w:t xml:space="preserve">(Free &amp; Vytas 1988, p. 133)</w:t>
      </w:r>
      <w:r>
        <w:t xml:space="preserve"> </w:t>
      </w:r>
      <w:r>
        <w:t xml:space="preserve">(channel management, control mapping, etc), these processes were handled by an intermediary database. Free’s approach, in comparison to Buxton’s, is not entirely black-boxed, since the database is open to modification by a specific set of commands provided to the user. The user can edit the database with a library of database access subroutines such as open/close, create/delete items, querying fields/keys, and loading/storing property items. With this library, Free simultaneously simplified user’s interaction and reduced the “chance of corrupting the database”</w:t>
      </w:r>
      <w:r>
        <w:t xml:space="preserve"> </w:t>
      </w:r>
      <w:r>
        <w:t xml:space="preserve">(Free &amp; Vytas 1988, p. 137)</w:t>
      </w:r>
      <w:r>
        <w:t xml:space="preserve">.</w:t>
      </w:r>
    </w:p>
    <w:p>
      <w:pPr>
        <w:pStyle w:val="Heading5"/>
      </w:pPr>
      <w:bookmarkStart w:id="122" w:name="computer:balance"/>
      <w:r>
        <w:t xml:space="preserve">Balance</w:t>
      </w:r>
      <w:bookmarkEnd w:id="122"/>
    </w:p>
    <w:p>
      <w:pPr>
        <w:pStyle w:val="CaptionedFigure"/>
      </w:pPr>
      <w:r>
        <w:drawing>
          <wp:inline>
            <wp:extent cx="5334000" cy="3492272"/>
            <wp:effectExtent b="0" l="0" r="0" t="0"/>
            <wp:docPr descr="Barry Truax’ “Inverse Relation Between Generality and Strength” (Truax 1980, p. 51). Another version of this graph can be found in (Laske &amp; Tabor 1999, p. 38)."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23"/>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Barry Truax’ “Inverse Relation Between Generality and Strength”</w:t>
      </w:r>
      <w:r>
        <w:t xml:space="preserve"> </w:t>
      </w:r>
      <w:r>
        <w:t xml:space="preserve">(Truax 1980, p. 51)</w:t>
      </w:r>
      <w:r>
        <w:t xml:space="preserve">. Another version of this graph can be found in</w:t>
      </w:r>
      <w:r>
        <w:t xml:space="preserve"> </w:t>
      </w:r>
      <w:r>
        <w:t xml:space="preserve">(Laske &amp; Tabor 1999, p. 38)</w:t>
      </w:r>
      <w:r>
        <w:t xml:space="preserve">.</w:t>
      </w:r>
    </w:p>
    <w:p>
      <w:pPr>
        <w:pStyle w:val="BodyText"/>
      </w:pPr>
      <w:bookmarkStart w:id="124" w:name="img:truax_generality_b"/>
      <w:r>
        <w:t xml:space="preserve">[img:truax_generality_b]</w:t>
      </w:r>
      <w:bookmarkEnd w:id="124"/>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img:truax_generality_b">
        <w:r>
          <w:rPr>
            <w:rStyle w:val="Hyperlink"/>
          </w:rPr>
          <w:t xml:space="preserve">[img:truax_generality_b]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 ‘meeting halfway’ between the system and the user on account of the programmer’s capability to embed a more complex conception of hierarchy in the system. Balance refers precisely to flexibility among data structures. Since data structures can embody models of musical processes, they have an effect on the composer’s overall</w:t>
      </w:r>
      <w:r>
        <w:t xml:space="preserve"> </w:t>
      </w:r>
      <w:r>
        <w:rPr>
          <w:i/>
        </w:rPr>
        <w:t xml:space="preserve">performance</w:t>
      </w:r>
      <w:r>
        <w:t xml:space="preserve"> </w:t>
      </w:r>
      <w:r>
        <w:t xml:space="preserve">of the database in music composition. By ‘database performance’ I do not mean the quality of musical output, or the dexterity of the composer’s programming activity. By database performance I refer to the behavioral activity that comprises the scope and quality of the composer’s actions, together with the agency of this behavior within the results.</w:t>
      </w:r>
    </w:p>
    <w:p>
      <w:pPr>
        <w:pStyle w:val="Heading4"/>
      </w:pPr>
      <w:bookmarkStart w:id="125" w:name="music-notation-software"/>
      <w:r>
        <w:t xml:space="preserve">Music Notation Software</w:t>
      </w:r>
      <w:bookmarkEnd w:id="125"/>
    </w:p>
    <w:p>
      <w:pPr>
        <w:pStyle w:val="Heading5"/>
      </w:pPr>
      <w:bookmarkStart w:id="126" w:name="computer:notation"/>
      <w:r>
        <w:t xml:space="preserve">DARMS</w:t>
      </w:r>
      <w:bookmarkEnd w:id="126"/>
    </w:p>
    <w:p>
      <w:pPr>
        <w:pStyle w:val="FirstParagraph"/>
      </w:pPr>
      <w:r>
        <w:t xml:space="preserve">Other programming approaches for music notation software were developed during the 1980s, specifically using the DARMS 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in a first attempt to obtain sonic feedback out of a notation system. However, Clements’ attempt was not as successful as Leeland Smith’s famous SCORE</w:t>
      </w:r>
      <w:r>
        <w:t xml:space="preserve"> </w:t>
      </w:r>
      <w:r>
        <w:t xml:space="preserve">(Smith 1972)</w:t>
      </w:r>
      <w:r>
        <w:t xml:space="preserve">. Smith’s program consisted of a character scanner interpreting rhythmically complex musical input into MUSIC V output. Thus, it was an intermediary between music notation and computer music synthesis. With the appearance of vector graphics in the 1970s, however, SCORE shifted solely to music printing and later became commercially available with the appearance of the PostScript format in the 1980s.</w:t>
      </w:r>
      <w:hyperlink w:anchor="fn18">
        <w:r>
          <w:rPr>
            <w:vertAlign w:val="superscript"/>
            <w:rStyle w:val="Hyperlink"/>
          </w:rPr>
          <w:t xml:space="preserve">18</w:t>
        </w:r>
      </w:hyperlink>
    </w:p>
    <w:p>
      <w:pPr>
        <w:pStyle w:val="Heading5"/>
      </w:pPr>
      <w:bookmarkStart w:id="127" w:name="computer:computer"/>
      <w:r>
        <w:t xml:space="preserve">Computer Scores</w:t>
      </w:r>
      <w:bookmarkEnd w:id="127"/>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Barry Vercoe’s MUSIC-11 . Written in Pascal,</w:t>
      </w:r>
      <w:r>
        <w:t xml:space="preserve"> </w:t>
      </w:r>
      <w:r>
        <w:rPr>
          <w:i/>
        </w:rPr>
        <w:t xml:space="preserve">Score-11</w:t>
      </w:r>
      <w:r>
        <w:t xml:space="preserve"> </w:t>
      </w:r>
      <w:r>
        <w:t xml:space="preserve">used circular linked lists traversed by an interpreter, and it results in MUSIC-11 -formatted output. Thus, the user creates a text file with blocks dedicated to individual instruments, and specifies parameters such as rhythm, pitch, movement (glissandi, crescendo), amplitude, etc., that are then re-formatted to fit the less musically-oriented notation of the MUSIC-N programs. Brinkman argues that such a software would result in faster and less arduous performance on the composer’s end:</w:t>
      </w:r>
    </w:p>
    <w:p>
      <w:pPr>
        <w:pStyle w:val="BlockText"/>
      </w:pP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 This is the type of job that a note list preprocessor is designed to accomplish. [emphasis added]</w:t>
      </w:r>
      <w:r>
        <w:t xml:space="preserve"> </w:t>
      </w:r>
      <w:r>
        <w:t xml:space="preserve">(Brinkman 1982)</w:t>
      </w:r>
    </w:p>
    <w:p>
      <w:pPr>
        <w:pStyle w:val="FirstParagraph"/>
      </w:pPr>
      <w:r>
        <w:t xml:space="preserve">Brinkman emphasized, as well, on the program’s extensibility by users, and it inspired Mikel Kuehn’s recent</w:t>
      </w:r>
      <w:r>
        <w:t xml:space="preserve"> </w:t>
      </w:r>
      <w:r>
        <w:rPr>
          <w:i/>
        </w:rPr>
        <w:t xml:space="preserve">nGen</w:t>
      </w:r>
      <w:r>
        <w:t xml:space="preserve"> </w:t>
      </w:r>
      <w:r>
        <w:t xml:space="preserve">program which is a version of Brinkman’s program for the currently available Csound</w:t>
      </w:r>
      <w:r>
        <w:t xml:space="preserve"> </w:t>
      </w:r>
      <w:r>
        <w:t xml:space="preserve">(McCurdy et al. 2015)</w:t>
      </w:r>
      <w:r>
        <w:t xml:space="preserve">. Brinkman, however, designed an interpreter for the DARMS 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w:t>
      </w:r>
    </w:p>
    <w:p>
      <w:pPr>
        <w:pStyle w:val="BodyText"/>
      </w:pPr>
      <w:r>
        <w:t xml:space="preserve">J. Stephen Dydo</w:t>
      </w:r>
      <w:r>
        <w:t xml:space="preserve"> </w:t>
      </w:r>
      <w:r>
        <w:t xml:space="preserve">(Dydo 1987)</w:t>
      </w:r>
      <w:r>
        <w:t xml:space="preserve"> </w:t>
      </w:r>
      <w:r>
        <w:t xml:space="preserve">worked on an interface to the DARMS 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 ICMC in 1987. He later released it commercially in the early 1990s at a significantly lower price than other notation software, namely</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p>
    <w:p>
      <w:pPr>
        <w:pStyle w:val="Heading5"/>
      </w:pPr>
      <w:bookmarkStart w:id="128" w:name="computer:nutation"/>
      <w:r>
        <w:t xml:space="preserve">N</w:t>
      </w:r>
      <w:r>
        <w:rPr>
          <w:i/>
        </w:rPr>
        <w:t xml:space="preserve">u</w:t>
      </w:r>
      <w:r>
        <w:t xml:space="preserve">tation</w:t>
      </w:r>
      <w:bookmarkEnd w:id="128"/>
    </w:p>
    <w:p>
      <w:pPr>
        <w:pStyle w:val="FirstParagraph"/>
      </w:pPr>
      <w:r>
        <w:t xml:space="preserve">Another approach to music notation was carried out at CCRMA , when Glendon Diener</w:t>
      </w:r>
      <w:r>
        <w:t xml:space="preserve"> </w:t>
      </w:r>
      <w:r>
        <w:t xml:space="preserve">(Diener 1988, 1989)</w:t>
      </w:r>
      <w:r>
        <w:t xml:space="preserve"> </w:t>
      </w:r>
      <w:r>
        <w:t xml:space="preserve">deviced a “pure structure” devoted to the “hierarchical organization of musical objects into musical scores:” 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w:t>
      </w:r>
    </w:p>
    <w:p>
      <w:pPr>
        <w:pStyle w:val="BodyText"/>
      </w:pPr>
      <w:r>
        <w:t xml:space="preserve">While Diener implemented this data structure in the object-oriented programming language SMALLTALK ,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 ,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 NEXT computer provided. This resulted in an extremely malleable CAC environment, which enabled fast manipulation and sonic feedback at the cost of limiting timbre to a predefined, hardware-specific set of digital instruments.</w:t>
      </w:r>
    </w:p>
    <w:p>
      <w:pPr>
        <w:pStyle w:val="Heading5"/>
      </w:pPr>
      <w:bookmarkStart w:id="129" w:name="computer:theoretical"/>
      <w:r>
        <w:t xml:space="preserve">Theoretical Performance</w:t>
      </w:r>
      <w:bookmarkEnd w:id="129"/>
    </w:p>
    <w:p>
      <w:pPr>
        <w:pStyle w:val="FirstParagraph"/>
      </w:pPr>
      <w:r>
        <w:t xml:space="preserve">What notation software is most often criticised for is the way in which sonic feedback often comes to be equiparated to (human) music performance. When Leeland Smith presented SCORE as “not a ‘performer’s’ instrument, but rather a ‘musician’s’ instrument,” for example, he claimed that ”theoretically, any performance, clearly conceived in the mind, can be realized on [the computer]”</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w:t>
      </w:r>
    </w:p>
    <w:p>
      <w:pPr>
        <w:pStyle w:val="Heading4"/>
      </w:pPr>
      <w:bookmarkStart w:id="130" w:name="enter-objects"/>
      <w:r>
        <w:t xml:space="preserve">Enter Objects</w:t>
      </w:r>
      <w:bookmarkEnd w:id="130"/>
    </w:p>
    <w:p>
      <w:pPr>
        <w:pStyle w:val="Heading5"/>
      </w:pPr>
      <w:bookmarkStart w:id="131" w:name="computer:realtime"/>
      <w:r>
        <w:t xml:space="preserve">Max and data structures for realtime</w:t>
      </w:r>
      <w:bookmarkEnd w:id="131"/>
    </w:p>
    <w:p>
      <w:pPr>
        <w:pStyle w:val="FirstParagraph"/>
      </w:pPr>
      <w:r>
        <w:t xml:space="preserve">Composers and programmers in the 1980s began focusing, however, on real-time performance of computer music.</w:t>
      </w:r>
      <w:hyperlink w:anchor="fn19">
        <w:r>
          <w:rPr>
            <w:vertAlign w:val="superscript"/>
            <w:rStyle w:val="Hyperlink"/>
          </w:rPr>
          <w:t xml:space="preserve">19</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light-weight, on-the-spot programming practice based on discontinuous processes. The structure of the database was placed</w:t>
      </w:r>
      <w:r>
        <w:t xml:space="preserve"> </w:t>
      </w:r>
      <w:r>
        <w:rPr>
          <w:i/>
        </w:rPr>
        <w:t xml:space="preserve">horizontally</w:t>
      </w:r>
      <w:r>
        <w:t xml:space="preserve">, that is, along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 “…rather than a programming environment, MAX is fundamentally a system for scheduling real-time tasks and managing intercommunication between them”</w:t>
      </w:r>
      <w:r>
        <w:t xml:space="preserve"> </w:t>
      </w:r>
      <w:r>
        <w:t xml:space="preserve">(Puckette 2002a)</w:t>
      </w:r>
      <w:r>
        <w:t xml:space="preserve">.</w:t>
      </w:r>
    </w:p>
    <w:p>
      <w:pPr>
        <w:pStyle w:val="Heading5"/>
      </w:pPr>
      <w:bookmarkStart w:id="132" w:name="computer:puredata"/>
      <w:r>
        <w:t xml:space="preserve">Pure Data</w:t>
      </w:r>
      <w:bookmarkEnd w:id="132"/>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5"/>
      </w:pPr>
      <w:bookmarkStart w:id="133" w:name="computer:datastructures"/>
      <w:r>
        <w:t xml:space="preserve">Data structures for graphic scores</w:t>
      </w:r>
      <w:bookmarkEnd w:id="133"/>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w:t>
      </w:r>
      <w:r>
        <w:t xml:space="preserve"> </w:t>
      </w:r>
      <w:r>
        <w:rPr>
          <w:i/>
        </w:rPr>
        <w:t xml:space="preserve">Animal</w:t>
      </w:r>
      <w:r>
        <w:t xml:space="preserve"> </w:t>
      </w:r>
      <w:r>
        <w:t xml:space="preserve">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5"/>
      </w:pPr>
      <w:bookmarkStart w:id="134" w:name="computer:rtcmix"/>
      <w:r>
        <w:t xml:space="preserve">RtCMIX and the heap</w:t>
      </w:r>
      <w:bookmarkEnd w:id="134"/>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w:t>
      </w:r>
      <w:hyperlink w:anchor="fn20">
        <w:r>
          <w:rPr>
            <w:vertAlign w:val="superscript"/>
            <w:rStyle w:val="Hyperlink"/>
          </w:rPr>
          <w:t xml:space="preserve">20</w:t>
        </w:r>
      </w:hyperlink>
      <w:r>
        <w:t xml:space="preserve"> </w:t>
      </w:r>
      <w:r>
        <w:t xml:space="preserve">The heap 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 in order to allow for networked access to the individual synthesizers</w:t>
      </w:r>
      <w:r>
        <w:t xml:space="preserve"> </w:t>
      </w:r>
      <w:r>
        <w:t xml:space="preserve">(Garton &amp; Topper 1997)</w:t>
      </w:r>
      <w:r>
        <w:t xml:space="preserve">.</w:t>
      </w:r>
    </w:p>
    <w:p>
      <w:pPr>
        <w:pStyle w:val="Heading5"/>
      </w:pPr>
      <w:bookmarkStart w:id="135" w:name="computer:openmusic"/>
      <w:r>
        <w:t xml:space="preserve">OpenMusic</w:t>
      </w:r>
      <w:bookmarkEnd w:id="135"/>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p>
    <w:p>
      <w:pPr>
        <w:pStyle w:val="Heading5"/>
      </w:pPr>
      <w:bookmarkStart w:id="136" w:name="computer:kyma"/>
      <w:r>
        <w:t xml:space="preserve">Kyma</w:t>
      </w:r>
      <w:bookmarkEnd w:id="136"/>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 “…the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 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5"/>
      </w:pPr>
      <w:bookmarkStart w:id="137" w:name="computer:cypher"/>
      <w:r>
        <w:t xml:space="preserve">Cypher</w:t>
      </w:r>
      <w:bookmarkEnd w:id="137"/>
    </w:p>
    <w:p>
      <w:pPr>
        <w:pStyle w:val="FirstParagraph"/>
      </w:pPr>
      <w:r>
        <w:t xml:space="preserve">Rowe (1992)</w:t>
      </w:r>
      <w:r>
        <w:t xml:space="preserve">’s interactive music system</w:t>
      </w:r>
      <w:r>
        <w:t xml:space="preserve"> </w:t>
      </w:r>
      <w:r>
        <w:rPr>
          <w:i/>
        </w:rPr>
        <w:t xml:space="preserve">Cypher</w:t>
      </w:r>
      <w:r>
        <w:t xml:space="preserve"> </w:t>
      </w:r>
      <w:r>
        <w:t xml:space="preserve">is an object-oriented program aimed at machine listening and composition in real-time</w:t>
      </w:r>
      <w:r>
        <w:t xml:space="preserve"> </w:t>
      </w:r>
      <w:r>
        <w:t xml:space="preserve">(Rowe 1992)</w:t>
      </w:r>
      <w:r>
        <w:t xml:space="preserve">. It is constituted by two MIDI -based interconnected agents, a</w:t>
      </w:r>
      <w:r>
        <w:t xml:space="preserve"> </w:t>
      </w:r>
      <w:r>
        <w:rPr>
          <w:i/>
        </w:rPr>
        <w:t xml:space="preserve">listener</w:t>
      </w:r>
      <w:r>
        <w:t xml:space="preserve"> </w:t>
      </w:r>
      <w:r>
        <w:t xml:space="preserve">and a</w:t>
      </w:r>
      <w:r>
        <w:t xml:space="preserve"> </w:t>
      </w:r>
      <w:r>
        <w:rPr>
          <w:i/>
        </w:rPr>
        <w:t xml:space="preserve">player</w:t>
      </w:r>
      <w:r>
        <w:t xml:space="preserve">. The player outputs musical material that results from generative or transforming processes on the (machine) listened input. The listener interprets incoming streams of MIDI data with MIR techniques (central pitch detection, beat tracking, among others) grouping</w:t>
      </w:r>
      <w:r>
        <w:t xml:space="preserve"> </w:t>
      </w:r>
      <w:r>
        <w:rPr>
          <w:rStyle w:val="VerbatimChar"/>
        </w:rPr>
        <w:t xml:space="preserve">Note</w:t>
      </w:r>
      <w:r>
        <w:t xml:space="preserve">s into larger</w:t>
      </w:r>
      <w:r>
        <w:t xml:space="preserve"> </w:t>
      </w:r>
      <w:r>
        <w:rPr>
          <w:rStyle w:val="VerbatimChar"/>
        </w:rPr>
        <w:t xml:space="preserve">Event</w:t>
      </w:r>
      <w:r>
        <w:t xml:space="preserve">s, and then into larger musical phrases. Both</w:t>
      </w:r>
      <w:r>
        <w:t xml:space="preserve"> </w:t>
      </w:r>
      <w:r>
        <w:rPr>
          <w:rStyle w:val="VerbatimChar"/>
        </w:rPr>
        <w:t xml:space="preserve">Note</w:t>
      </w:r>
      <w:r>
        <w:t xml:space="preserve"> </w:t>
      </w:r>
      <w:r>
        <w:t xml:space="preserve">and</w:t>
      </w:r>
      <w:r>
        <w:t xml:space="preserve"> </w:t>
      </w:r>
      <w:r>
        <w:rPr>
          <w:rStyle w:val="VerbatimChar"/>
        </w:rPr>
        <w:t xml:space="preserve">Event</w:t>
      </w:r>
      <w:r>
        <w:t xml:space="preserve"> </w:t>
      </w:r>
      <w:r>
        <w:t xml:space="preserve">are objects with specific data structure: the former closely linked to the MIDI message, the latter forming a circular linked list that enables traversing between neighbouring</w:t>
      </w:r>
      <w:r>
        <w:t xml:space="preserve"> </w:t>
      </w:r>
      <w:r>
        <w:rPr>
          <w:rStyle w:val="VerbatimChar"/>
        </w:rPr>
        <w:t xml:space="preserve">Event</w:t>
      </w:r>
      <w:r>
        <w:t xml:space="preserve">s. Attached to these</w:t>
      </w:r>
      <w:r>
        <w:t xml:space="preserve"> </w:t>
      </w:r>
      <w:r>
        <w:rPr>
          <w:rStyle w:val="VerbatimChar"/>
        </w:rPr>
        <w:t xml:space="preserve">Event</w:t>
      </w:r>
      <w:r>
        <w:t xml:space="preserve">s, however, reside intermediary agents that each store musical information that is locally relevant to the parent</w:t>
      </w:r>
      <w:r>
        <w:t xml:space="preserve"> </w:t>
      </w:r>
      <w:r>
        <w:rPr>
          <w:rStyle w:val="VerbatimChar"/>
        </w:rPr>
        <w:t xml:space="preserve">Event</w:t>
      </w:r>
      <w:r>
        <w:t xml:space="preserve">. The attached information, therefore, is fundamental to the system: “The feature space representation …tends to treat parameters of the sound-pressure waves carrying musical percepts as central. Register, loudness, and density are all primary components of the representation”</w:t>
      </w:r>
      <w:r>
        <w:t xml:space="preserve"> </w:t>
      </w:r>
      <w:r>
        <w:t xml:space="preserve">(Rowe 1992 Chapter 7)</w:t>
      </w:r>
      <w:r>
        <w:t xml:space="preserve">. This constitutes Rowe’s implementation of the object-oriented model. Upon deciding which analytical model to apply to the</w:t>
      </w:r>
      <w:r>
        <w:t xml:space="preserve"> </w:t>
      </w:r>
      <w:r>
        <w:rPr>
          <w:i/>
        </w:rPr>
        <w:t xml:space="preserve">listener</w:t>
      </w:r>
      <w:r>
        <w:t xml:space="preserve"> </w:t>
      </w:r>
      <w:r>
        <w:t xml:space="preserve">agent, however, Rowe finds a coexistence of two virtually opposing models for music analysis: a hierarchical one (Shenker, Forte, Lerdahl) and a networked one (Narmour). While extending an analysis of database models to music theory is beyond the scope of this study, it is interesting to note how the versatility of the object model can integrate two very different ways of thinking musical relationships: “Cypher’s listener and player are organized hierarchically, though these hierarchies tend toward Narmour’s network ideas rather than the more strictly structured trees of Lerdahl and Jackendoff”</w:t>
      </w:r>
      <w:r>
        <w:t xml:space="preserve"> </w:t>
      </w:r>
      <w:r>
        <w:t xml:space="preserve">(Rowe 1992 Chapter 4.3)</w:t>
      </w:r>
      <w:r>
        <w:t xml:space="preserve">.</w:t>
      </w:r>
    </w:p>
    <w:p>
      <w:pPr>
        <w:pStyle w:val="Heading5"/>
      </w:pPr>
      <w:bookmarkStart w:id="138" w:name="computer:supercollider"/>
      <w:r>
        <w:t xml:space="preserve">SuperCollider and nodes</w:t>
      </w:r>
      <w:bookmarkEnd w:id="138"/>
    </w:p>
    <w:p>
      <w:pPr>
        <w:pStyle w:val="FirstParagraph"/>
      </w:pPr>
      <w:r>
        <w:t xml:space="preserve">The literature on computer music software for composition alone would extend beyond the scope of this dissertation. 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 SuperCollider only consumes CPU resources whenever it needs to. This economy of resources that is enabled by the data structure of the language, together with its high-level quality, make it quite remarkable.</w:t>
      </w:r>
    </w:p>
    <w:p>
      <w:pPr>
        <w:pStyle w:val="BodyText"/>
      </w:pPr>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Ariza’s work on python’s data structures</w:t>
      </w:r>
      <w:r>
        <w:t xml:space="preserve"> </w:t>
      </w:r>
      <w:r>
        <w:t xml:space="preserve">(Ariza 2005a)</w:t>
      </w:r>
      <w:r>
        <w:t xml:space="preserve">, and Rowe’s</w:t>
      </w:r>
      <w:r>
        <w:t xml:space="preserve"> </w:t>
      </w:r>
      <w:r>
        <w:t xml:space="preserve">(Rowe 1992, 2001)</w:t>
      </w:r>
    </w:p>
    <w:p>
      <w:pPr>
        <w:pStyle w:val="Heading3"/>
      </w:pPr>
      <w:bookmarkStart w:id="139" w:name="applications"/>
      <w:r>
        <w:t xml:space="preserve">Applications</w:t>
      </w:r>
      <w:bookmarkEnd w:id="139"/>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of the artistic possibilities that the type of data structure access that is provided to composers by means of computer music software sets forth. The following examples provide a glimpse of the major trends.</w:t>
      </w:r>
    </w:p>
    <w:p>
      <w:pPr>
        <w:pStyle w:val="Heading4"/>
      </w:pPr>
      <w:bookmarkStart w:id="140" w:name="applications:synthesis"/>
      <w:r>
        <w:t xml:space="preserve">Sound Synthesis</w:t>
      </w:r>
      <w:bookmarkEnd w:id="140"/>
    </w:p>
    <w:p>
      <w:pPr>
        <w:pStyle w:val="FirstParagraph"/>
      </w:pPr>
      <w:r>
        <w:t xml:space="preserve">Diemo Schwarz developed the concept of data-driven concatenative sound synthesis in his PhD thesis at IRCAM</w:t>
      </w:r>
      <w:r>
        <w:t xml:space="preserve"> </w:t>
      </w:r>
      <w:r>
        <w:t xml:space="preserve">(Schwarz 2000, 2003, 2006a)</w:t>
      </w:r>
      <w:r>
        <w:t xml:space="preserve">: “Concatenative sound synthesis methods use a large database of source sounds, segmented into units, and a unit selection algorithm that finds the units that match best the sound or musical phrase to be synthesised, called the target”</w:t>
      </w:r>
      <w:r>
        <w:t xml:space="preserve"> </w:t>
      </w:r>
      <w:r>
        <w:t xml:space="preserve">(Schwarz 2006a)</w:t>
      </w:r>
      <w:r>
        <w:t xml:space="preserve">. In contrast to rule-based approaches in which sound synthesis is arrived at by models of the sound signal, concatenative synthesis joins together recorded samples thus preserving even the smallest details of the signal. Scwharz designed CATART as a concatenative synthesis toolkit</w:t>
      </w:r>
      <w:r>
        <w:t xml:space="preserve"> </w:t>
      </w:r>
      <w:r>
        <w:t xml:space="preserve">(Schwarz 2006b)</w:t>
      </w:r>
      <w:r>
        <w:t xml:space="preserve">, and later contextualized information space as a musical instrument</w:t>
      </w:r>
      <w:r>
        <w:t xml:space="preserve"> </w:t>
      </w:r>
      <w:r>
        <w:t xml:space="preserve">(Schwarz 2012)</w:t>
      </w:r>
    </w:p>
    <w:p>
      <w:pPr>
        <w:pStyle w:val="BodyText"/>
      </w:pPr>
      <w:r>
        <w:t xml:space="preserve">Ryoho Kobayashi</w:t>
      </w:r>
      <w:r>
        <w:t xml:space="preserve"> </w:t>
      </w:r>
      <w:r>
        <w:t xml:space="preserve">(Kobayashi 2003)</w:t>
      </w:r>
      <w:r>
        <w:t xml:space="preserve"> </w:t>
      </w:r>
      <w:r>
        <w:t xml:space="preserve">used a database of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21">
        <w:r>
          <w:rPr>
            <w:vertAlign w:val="superscript"/>
            <w:rStyle w:val="Hyperlink"/>
          </w:rPr>
          <w:t xml:space="preserve">21</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41" w:name="applications:navigation"/>
      <w:r>
        <w:t xml:space="preserve">Navigation</w:t>
      </w:r>
      <w:bookmarkEnd w:id="141"/>
    </w:p>
    <w:p>
      <w:pPr>
        <w:pStyle w:val="FirstParagraph"/>
      </w:pPr>
      <w:r>
        <w:t xml:space="preserve">Insook Choi</w:t>
      </w:r>
      <w:r>
        <w:t xml:space="preserve"> </w:t>
      </w:r>
      <w:r>
        <w:t xml:space="preserve">(Choi et al. 2000)</w:t>
      </w:r>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w:t>
      </w:r>
      <w:hyperlink w:anchor="fn22">
        <w:r>
          <w:rPr>
            <w:vertAlign w:val="superscript"/>
            <w:rStyle w:val="Hyperlink"/>
          </w:rPr>
          <w:t xml:space="preserve">22</w:t>
        </w:r>
      </w:hyperlink>
      <w:r>
        <w:t xml:space="preserve"> </w:t>
      </w:r>
      <w:r>
        <w:t xml:space="preserve">By creating what she termed a</w:t>
      </w:r>
      <w:r>
        <w:t xml:space="preserve"> </w:t>
      </w:r>
      <w:r>
        <w:rPr>
          <w:i/>
        </w:rPr>
        <w:t xml:space="preserve">sensorial network</w:t>
      </w:r>
      <w:r>
        <w:t xml:space="preserve"> </w:t>
      </w:r>
      <w:r>
        <w:t xml:space="preserve">made out of a database of semantic units describing speeches by famous leaders, she enabled participants of the installation to explore the information space of the database of audio recordings by walking. A motion tracking system using computer vision enabled the users to traverse the database, not in an event-triggering fashion (interpreting space as a boolean switch for each audio file), but in such a way that the sound was modulated as a function of the different ‘clouds’ of pixel data where gradually changing values as participants moved across the sensing area: “pixels do not switch on and off, they fade in and out forming clusters in the 2D camera plane according to the degree of movement projected from the corresponding floor positions”</w:t>
      </w:r>
      <w:r>
        <w:t xml:space="preserve"> </w:t>
      </w:r>
      <w:r>
        <w:t xml:space="preserve">(Choi et al. 2000)</w:t>
      </w:r>
      <w:r>
        <w:t xml:space="preserve">. Furthermore, she included hysteresis, that is, the recorded history of the observer’s interaction with a system within the system, thus enabling condition-dependent events to occur as participants’ interaction lasted longer.</w:t>
      </w:r>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23">
        <w:r>
          <w:rPr>
            <w:vertAlign w:val="superscript"/>
            <w:rStyle w:val="Hyperlink"/>
          </w:rPr>
          <w:t xml:space="preserve">23</w:t>
        </w:r>
      </w:hyperlink>
      <w:r>
        <w:t xml:space="preserve"> </w:t>
      </w:r>
      <w:r>
        <w:t xml:space="preserve">(Composition Path) which enabled users to draw paths on a map, sonifying data points which represented information (e.g., traffic, weather, culture events) along the points of the path. They used major commercial web services (e.g, Amazon, Google, and Yahoo) offering public</w:t>
      </w:r>
      <w:r>
        <w:t xml:space="preserve"> </w:t>
      </w:r>
      <w:r>
        <w:t xml:space="preserve">apis</w:t>
      </w:r>
      <w:r>
        <w:t xml:space="preserve"> </w:t>
      </w:r>
      <w:r>
        <w:t xml:space="preserve">so that each geo-location inputted on the path acted as queries. The returned data from these services was then mixed together (</w:t>
      </w:r>
      <w:r>
        <w:rPr>
          <w:i/>
        </w:rPr>
        <w:t xml:space="preserve">data mashup</w:t>
      </w:r>
      <w:r>
        <w:t xml:space="preserve">) and mapped with a virtual synthesized via MIDI .</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BFCC performed on multiple successive analysis windows was the most efficient way to do so. Thus, a database of percussive sounds could be navigated by performing this type of analysis, enabling a fast and CPU -inexpensive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w:t>
      </w:r>
    </w:p>
    <w:p>
      <w:pPr>
        <w:pStyle w:val="Heading4"/>
      </w:pPr>
      <w:bookmarkStart w:id="142" w:name="application:performance"/>
      <w:r>
        <w:t xml:space="preserve">Performance</w:t>
      </w:r>
      <w:bookmarkEnd w:id="142"/>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Hugues Vinet’s CUIDADO project, which developed into the</w:t>
      </w:r>
      <w:r>
        <w:t xml:space="preserve"> </w:t>
      </w:r>
      <w:r>
        <w:rPr>
          <w:i/>
        </w:rPr>
        <w:t xml:space="preserve">Semantic Hi-Fi</w:t>
      </w:r>
      <w:r>
        <w:t xml:space="preserve"> </w:t>
      </w:r>
      <w:r>
        <w:t xml:space="preserve">system at IRCAM</w:t>
      </w:r>
      <w:r>
        <w:t xml:space="preserve"> </w:t>
      </w:r>
      <w:r>
        <w:t xml:space="preserve">(Vinet et al. 2002a,b; Vinet 2005)</w:t>
      </w:r>
      <w:r>
        <w:t xml:space="preserve">, consists of a database system aimed at content-based querying of audio files. Vinet’s project enabled</w:t>
      </w:r>
      <w:r>
        <w:t xml:space="preserve"> </w:t>
      </w:r>
      <w:r>
        <w:t xml:space="preserve">djs</w:t>
      </w:r>
      <w:r>
        <w:t xml:space="preserve"> </w:t>
      </w:r>
      <w:r>
        <w:t xml:space="preserve">to browse through files, apply beat-synchronized transitions between them, and many other automated tasks during performance. Gerard Assayag and Shlomo Dubnov’s OMAX was another IRCAM project dedicated to realtime co-improvisation. This project was based on a dictionary “universal prediction algorithm that provides a very general and flexible approach to machine learning in the domain of musical style”</w:t>
      </w:r>
      <w:r>
        <w:t xml:space="preserve"> </w:t>
      </w:r>
      <w:r>
        <w:t xml:space="preserve">(Assayag et al. 1999)</w:t>
      </w:r>
      <w:r>
        <w:t xml:space="preserve">. OMAX later was extended to video and audio features</w:t>
      </w:r>
      <w:r>
        <w:t xml:space="preserve"> </w:t>
      </w:r>
      <w:r>
        <w:t xml:space="preserve">(Bloch &amp; Dubnov 2008)</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24">
        <w:r>
          <w:rPr>
            <w:vertAlign w:val="superscript"/>
            <w:rStyle w:val="Hyperlink"/>
          </w:rPr>
          <w:t xml:space="preserve">24</w:t>
        </w:r>
      </w:hyperlink>
      <w:r>
        <w:t xml:space="preserve"> </w:t>
      </w:r>
      <w:r>
        <w:t xml:space="preserve">with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EDM .</w:t>
      </w:r>
    </w:p>
    <w:p>
      <w:pPr>
        <w:pStyle w:val="Heading4"/>
      </w:pPr>
      <w:bookmarkStart w:id="143" w:name="application:gesture"/>
      <w:r>
        <w:t xml:space="preserve">Gesture</w:t>
      </w:r>
      <w:bookmarkEnd w:id="143"/>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CWM ,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 Serafin et al</w:t>
      </w:r>
      <w:r>
        <w:t xml:space="preserve"> </w:t>
      </w:r>
      <w:r>
        <w:t xml:space="preserve">(Serafin et al. 2001)</w:t>
      </w:r>
      <w:r>
        <w:t xml:space="preserve"> </w:t>
      </w:r>
      <w:r>
        <w:t xml:space="preserve">managed to invert the concept of physical modeling by estimating violin bow position, pressure, and speed using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25">
        <w:r>
          <w:rPr>
            <w:vertAlign w:val="superscript"/>
            <w:rStyle w:val="Hyperlink"/>
          </w:rPr>
          <w:t xml:space="preserve">25</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26">
        <w:r>
          <w:rPr>
            <w:vertAlign w:val="superscript"/>
            <w:rStyle w:val="Hyperlink"/>
          </w:rPr>
          <w:t xml:space="preserve">26</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 on the OSC format, proposed a POSTGRESQL database for efficient storage and retrieval of gestural data aimed for real-time application. Schmeder’s paper presents a technical overview of database practices, focusing on relational databases.</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44" w:name="application:sharing"/>
      <w:r>
        <w:t xml:space="preserve">Resource Sharing</w:t>
      </w:r>
      <w:bookmarkEnd w:id="144"/>
    </w:p>
    <w:p>
      <w:pPr>
        <w:pStyle w:val="FirstParagraph"/>
      </w:pPr>
      <w:r>
        <w:t xml:space="preserve">Important research has been done in file formats suitable for data interchange. For example, the SDIF and the GDIF , widely used in audio analysis software like SPEAR ,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 project a data format for sharing between different multimedia environments. Based on previous work on file formats</w:t>
      </w:r>
      <w:hyperlink w:anchor="fn27">
        <w:r>
          <w:rPr>
            <w:vertAlign w:val="superscript"/>
            <w:rStyle w:val="Hyperlink"/>
          </w:rPr>
          <w:t xml:space="preserve">27</w:t>
        </w:r>
      </w:hyperlink>
      <w:r>
        <w:t xml:space="preserve">, they developed the IXD format which is capable of containing sequences, tags and meta-data, and presets. Their argument for an XML 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CC sound databases, such as FREESOUND or user-made databases, enabling content-based querying by pitch or tapping.</w:t>
      </w:r>
    </w:p>
    <w:p>
      <w:pPr>
        <w:pStyle w:val="Heading1"/>
      </w:pPr>
      <w:bookmarkStart w:id="145" w:name="chapter:Database_Aesthetics"/>
      <w:r>
        <w:t xml:space="preserve">Database Aesthetics</w:t>
      </w:r>
      <w:bookmarkEnd w:id="145"/>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46" w:name="section:Listening_Databases"/>
      <w:r>
        <w:t xml:space="preserve">Listening Databases</w:t>
      </w:r>
      <w:bookmarkEnd w:id="146"/>
    </w:p>
    <w:p>
      <w:pPr>
        <w:pStyle w:val="Heading3"/>
      </w:pPr>
      <w:bookmarkStart w:id="147" w:name="resonance_of_a_return"/>
      <w:r>
        <w:t xml:space="preserve">The Resonance Of A Return</w:t>
      </w:r>
      <w:bookmarkEnd w:id="147"/>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Consequently,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Heading5"/>
      </w:pPr>
      <w:bookmarkStart w:id="148" w:name="sonorous-presence"/>
      <w:r>
        <w:t xml:space="preserve">Sonorous presence</w:t>
      </w:r>
      <w:bookmarkEnd w:id="148"/>
    </w:p>
    <w:p>
      <w:pPr>
        <w:pStyle w:val="FirstParagraph"/>
      </w:pPr>
      <w:r>
        <w:t xml:space="preserve">Jean-Luc Nancy</w:t>
      </w:r>
      <w:r>
        <w:t xml:space="preserve"> </w:t>
      </w:r>
      <w:r>
        <w:t xml:space="preserve">(Nancy 2007)</w:t>
      </w:r>
      <w:r>
        <w:t xml:space="preserve"> </w:t>
      </w:r>
      <w:r>
        <w:t xml:space="preserve">brings forth an ontology of sound that is based on the performativity of listening. Linking an embodied theory of listening with a phenomenology of the self, this ontology begins by defining the ‘sonorous presence.’ For Brian Kane</w:t>
      </w:r>
      <w:r>
        <w:t xml:space="preserve"> </w:t>
      </w:r>
      <w:r>
        <w:t xml:space="preserve">(Gratton &amp; Morin 2015)</w:t>
      </w:r>
      <w:r>
        <w:t xml:space="preserve">, Nancy’s ‘sonorous presence’ is given by the combination of both the listening body as being part of the medium and the body’s sense perception linked to that medium. I understand medium here as the transmission medium upon which sound propagates, such as a space filled with gas, liquid, or solid particles of matter. Under this definition, all bodies are part of media, that is, both human and nonhuman bodies. Sound reaches, enters, and traverses bodies within media. Thus, for Nancy, sound immerses all bodies within itself. This means that sound includes all bodies within its oscillation, making listeners vibrate. Therefore, the listening subject, understood as the one that is listening (a singular listener) is always already part of sound.</w:t>
      </w:r>
    </w:p>
    <w:p>
      <w:pPr>
        <w:pStyle w:val="Heading5"/>
      </w:pPr>
      <w:bookmarkStart w:id="149" w:name="an-a-priori-filter"/>
      <w:r>
        <w:t xml:space="preserve">An a priori filter</w:t>
      </w:r>
      <w:bookmarkEnd w:id="149"/>
    </w:p>
    <w:p>
      <w:pPr>
        <w:pStyle w:val="FirstParagraph"/>
      </w:pPr>
      <w:r>
        <w:t xml:space="preserve">In being already part of sound, bodies change sound even before listening. On a mechanical level, the body is an a priori physical filter. Sound is filtered differently and uniquely within each body: my body changes the incoming sound for me, just as well it does for others. For instance, a longitudinal wave passing through a body affects how it will arrive at other points in space. Sound propagation is conditioned by the qualities of the medium. That is to say, while the combination of density, pressure, temperature, and motion affect its speed, viscosity within media affects its attenuation rate. This means that within hot and humid climates sound will move slower, and if there is wind blowing in the same direction of a sound it will travel faster. What is important here, is that this also means the listening body changes how sound moves both inside and outside of itself. On the one hand, bodies filter sounds towards one another. On the other, even before longitudinal waves reach the tympan, the same body already affects their movement. Waves change direction by way of reflection or refraction, and they fade out by way of attenuation. This means that waves are affected in different ways according to different media, some being more (concert halls) or less reflective (anechoic chambers). Since the listener’s body itself refracts, reflects, and attenuates waves, the singular filter that is the body changes wave propagation not only for itself and its own listening experience, also for the listening experience of other subjects in different places in space. This explains why empty concert halls sound more reverberant than filled concert halls.</w:t>
      </w:r>
    </w:p>
    <w:p>
      <w:pPr>
        <w:pStyle w:val="Heading5"/>
      </w:pPr>
      <w:bookmarkStart w:id="150" w:name="sonorous-presence-in-an-attack"/>
      <w:r>
        <w:t xml:space="preserve">Sonorous presence in an attack</w:t>
      </w:r>
      <w:bookmarkEnd w:id="150"/>
    </w:p>
    <w:p>
      <w:pPr>
        <w:pStyle w:val="FirstParagraph"/>
      </w:pPr>
      <w:r>
        <w:t xml:space="preserve">Sonorous presence, therefore, can be understood as follows. Since listeners are singularities in the presence of sound, and since sound itself is the singularly exposed presence, the sonorous presence is an exposition of an in-between-ness, or a resonant state of a self being exposed to itself and to one another. The experience of this exposure, however, points to the presence of sound as a sensing experience in itself (the body listening to itself listen), and not to what a given sound might signify. As Kane writes, to be listening in the sonorous present constitutes “a mode of listening that exposes itself to sense”</w:t>
      </w:r>
      <w:r>
        <w:t xml:space="preserve"> </w:t>
      </w:r>
      <w:r>
        <w:t xml:space="preserve">(Gratton &amp; Morin 2015, pp. 143–44)</w:t>
      </w:r>
      <w:r>
        <w:t xml:space="preserve">. This means that in the sonorous present, the listening body emerges as a creation of itself as sense. Therefore, in the sonorous present the first image is that of the body. In this sense, the body is given form by itself: it is self-in-formed during the sonorous present. Furthermore, the duration of this sonorous presence is none other than an instant, or what Nancy refers to as an ‘attack.’ All mechanical waves require an initial energy input. In the case of sound, particularly in musical contexts, this input is generally referred to as attack. Nancy, however, takes this notion of the attack to another plane. He refers to it as the exact moment when a sound arrives and simultaneously leaves the body: the instantaneous appearance of sound within the body. An attack therefore instantiates the sonorous presence.</w:t>
      </w:r>
    </w:p>
    <w:p>
      <w:pPr>
        <w:pStyle w:val="Heading5"/>
      </w:pPr>
      <w:bookmarkStart w:id="151" w:name="referrals-and-deferrals"/>
      <w:r>
        <w:t xml:space="preserve">Referrals and Deferrals</w:t>
      </w:r>
      <w:bookmarkEnd w:id="151"/>
    </w:p>
    <w:p>
      <w:pPr>
        <w:pStyle w:val="FirstParagraph"/>
      </w:pPr>
      <w:r>
        <w:t xml:space="preserve">The structure of the listening experience is one of infinite referrals and deferrals.</w:t>
      </w:r>
      <w:hyperlink w:anchor="fn28">
        <w:r>
          <w:rPr>
            <w:vertAlign w:val="superscript"/>
            <w:rStyle w:val="Hyperlink"/>
          </w:rPr>
          <w:t xml:space="preserve">28</w:t>
        </w:r>
      </w:hyperlink>
      <w:r>
        <w:t xml:space="preserve"> </w:t>
      </w:r>
      <w:r>
        <w:t xml:space="preserve">Inasmuch as the sensing body is aware of its own multiplicity of sense, this multiplicity is itself dislocated spatially and temporally. Thus, the distances in both time and space, between all points of the listening experience, of the singular listener and the plurality of listeners, create a web of references that is instantiated in the attack of the sonorous presence. By way of listening, Nancy approaches the notion of meaning. That is to say, for him, meaning “is made of a totality of referrals: from sign to a thing, from a state of things to a quality, from a subject to another subject or to itself, all simultaneously”</w:t>
      </w:r>
      <w:r>
        <w:t xml:space="preserve"> </w:t>
      </w:r>
      <w:r>
        <w:t xml:space="preserve">(Nancy 2007, pp. 4–9)</w:t>
      </w:r>
      <w:r>
        <w:t xml:space="preserve">. Therefore, since sound “is also made of referrals: it spreads in space, where it resounds while still resounding ‘in me’’</w:t>
      </w:r>
      <w:r>
        <w:t xml:space="preserve"> </w:t>
      </w:r>
      <w:r>
        <w:t xml:space="preserve">(Nancy 2007, pp. 4–9)</w:t>
      </w:r>
      <w:r>
        <w:t xml:space="preserve">, the result is an understanding of listening as a process that intertwines sense and signification. As a consequence of meaning within the listening experience, the self comes along resounding, emerging out of a resonating plurality.</w:t>
      </w:r>
    </w:p>
    <w:p>
      <w:pPr>
        <w:pStyle w:val="Heading5"/>
      </w:pPr>
      <w:bookmarkStart w:id="152" w:name="a-loop"/>
      <w:r>
        <w:t xml:space="preserve">A Loop</w:t>
      </w:r>
      <w:bookmarkEnd w:id="152"/>
    </w:p>
    <w:p>
      <w:pPr>
        <w:pStyle w:val="FirstParagraph"/>
      </w:pPr>
      <w:r>
        <w:t xml:space="preserve">The condition of repetition, oscillation, or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 do this in simultaneity with another subject, who is also creating itself while giving meaning to other sound waves. In listening, the vibrating link in between ourselves is also simultaneously changing the way we are listening. Thus, every singularity is in a state of being exposed to one other, that is, in resonance or in touch with on other. Within this loop, not only sound enters and leaves the body, also the sensing body and the resonant self emerge and re-emerge infinitely. Therefore, this infinitude becomes the presence of the self, in the sense that the self becomes present to itself.</w:t>
      </w:r>
    </w:p>
    <w:p>
      <w:pPr>
        <w:pStyle w:val="Heading5"/>
      </w:pPr>
      <w:bookmarkStart w:id="153" w:name="an-approach-to-self"/>
      <w:r>
        <w:t xml:space="preserve">An Approach to Self</w:t>
      </w:r>
      <w:bookmarkEnd w:id="153"/>
    </w:p>
    <w:p>
      <w:pPr>
        <w:pStyle w:val="FirstParagraph"/>
      </w:pPr>
      <w:r>
        <w:t xml:space="preserve">It is important to note that the self resonates to itself coming</w:t>
      </w:r>
      <w:r>
        <w:t xml:space="preserve"> </w:t>
      </w:r>
      <w:r>
        <w:rPr>
          <w:i/>
        </w:rPr>
        <w:t xml:space="preserve">in</w:t>
      </w:r>
      <w:r>
        <w:t xml:space="preserve">. This must be distinguished from the self understood as an expressive substance inherent to bodies, or already</w:t>
      </w:r>
      <w:r>
        <w:t xml:space="preserve"> </w:t>
      </w:r>
      <w:r>
        <w:rPr>
          <w:i/>
        </w:rPr>
        <w:t xml:space="preserve">in</w:t>
      </w:r>
      <w:r>
        <w:t xml:space="preserve"> </w:t>
      </w:r>
      <w:r>
        <w:t xml:space="preserve">the body, as if it were some originary essence that appears out of resonance. Quite the contrary, for Nancy, the phenomenality of the self comes as a result of the resonance, in the form of a return. In other words, the self is something that appears to itself, at the limit of itself, very much like sound does. This is why, for Nancy, to be listening [</w:t>
      </w:r>
      <w:r>
        <w:rPr>
          <w:i/>
        </w:rPr>
        <w:t xml:space="preserve">être à l’écoute</w:t>
      </w:r>
      <w:r>
        <w:t xml:space="preserve">] engages resonant subjects with an approach to self. This approach, however, is neither to the self, not to the self of another, but to the structure of resonance as understood in terms of a</w:t>
      </w:r>
      <w:r>
        <w:t xml:space="preserve"> </w:t>
      </w:r>
      <w:r>
        <w:rPr>
          <w:i/>
        </w:rPr>
        <w:t xml:space="preserve">relationship in self</w:t>
      </w:r>
      <w:r>
        <w:t xml:space="preserve"> </w:t>
      </w:r>
      <w:r>
        <w:t xml:space="preserve">from itself. The quote at the beginning of this section (“if something like that ever does reach the end of its formation”) points precisely to the infinite resonant process with which Nancy builds his concept of listening, but specifically, it is how he sets forth an image of a self coming from this ontology of sound.</w:t>
      </w:r>
      <w:hyperlink w:anchor="fn29">
        <w:r>
          <w:rPr>
            <w:vertAlign w:val="superscript"/>
            <w:rStyle w:val="Hyperlink"/>
          </w:rPr>
          <w:t xml:space="preserve">29</w:t>
        </w:r>
      </w:hyperlink>
    </w:p>
    <w:p>
      <w:pPr>
        <w:pStyle w:val="Heading3"/>
      </w:pPr>
      <w:bookmarkStart w:id="154" w:name="network"/>
      <w:r>
        <w:t xml:space="preserve">Resonant Network</w:t>
      </w:r>
      <w:bookmarkEnd w:id="154"/>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Nancy’s resonance points to instrumental music listening, specially because of his references to composers like Wagner or Berlioz. However, the case of listening to music with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r>
        <w:t xml:space="preserve"> </w:t>
      </w:r>
      <w:r>
        <w:t xml:space="preserve">(Latour 1990, 1993)</w:t>
      </w:r>
      <w:r>
        <w:t xml:space="preserve">.</w:t>
      </w:r>
    </w:p>
    <w:p>
      <w:pPr>
        <w:pStyle w:val="Heading5"/>
      </w:pPr>
      <w:bookmarkStart w:id="155" w:name="an-illusory-violin"/>
      <w:r>
        <w:t xml:space="preserve">An Illusory Violin</w:t>
      </w:r>
      <w:bookmarkEnd w:id="155"/>
    </w:p>
    <w:p>
      <w:pPr>
        <w:pStyle w:val="FirstParagraph"/>
      </w:pPr>
      <w:r>
        <w:t xml:space="preserve">Consider, for example, an acousmatic concert in which one of the music works is made with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a network of interconnected objects that refer to each other.</w:t>
      </w:r>
    </w:p>
    <w:p>
      <w:pPr>
        <w:pStyle w:val="Heading5"/>
      </w:pPr>
      <w:bookmarkStart w:id="156" w:name="virtuality"/>
      <w:r>
        <w:t xml:space="preserve">Virtuality</w:t>
      </w:r>
      <w:bookmarkEnd w:id="156"/>
    </w:p>
    <w:p>
      <w:pPr>
        <w:pStyle w:val="FirstParagraph"/>
      </w:pPr>
      <w:r>
        <w:t xml:space="preserve">As I described in earlier sections, virtuality is our brain’s capacity to create images from the world. In listening, the virtuality of the human mind engages with the attack of the sonorous presence, and with the relationship in self. Therefore, the body listening to itself listening results not only in the self-image of the body, it also creates an image of the listened to the point of embodying a violin player altogether. That is to say, the illusory violin, however imaginary, can be listened to and, thus, it can enter into the infinite game of resonance. In this listening process, therefore, the listening subject exposes itself to itself and to the ‘virtual’ self of the violin. The ‘virtual’ in this context does not mean in opposition to the real. Quite the contrary, the virtual comes as the affective presence of the real, and it becomes the possibility condition for the reality of images. From this, it follows that the self is already an image of itself and, as such, it is a virtuality that comes out of the process of listening.</w:t>
      </w:r>
    </w:p>
    <w:p>
      <w:pPr>
        <w:pStyle w:val="Heading5"/>
      </w:pPr>
      <w:bookmarkStart w:id="157" w:name="performativity-of-networks"/>
      <w:r>
        <w:t xml:space="preserve">Performativity of Networks</w:t>
      </w:r>
      <w:bookmarkEnd w:id="157"/>
    </w:p>
    <w:p>
      <w:pPr>
        <w:pStyle w:val="FirstParagraph"/>
      </w:pPr>
      <w:r>
        <w:t xml:space="preserve">Latour understands ‘networks’ as made of interconnected frames of reference. He refers to these frames as ‘semiotic actors’ as well as their accounts of each other. In this sense, the network is comprised entirely of motion and activity. The performativity of semiotic actors is the network’s very own movement reflected back onto itself. That is to say, the network itself is the set of links that are being established as nodes, and these nodes are in constant reference to each other. Within a universe of actors, or what Latour calls ‘ontological hybrids’, or world-making</w:t>
      </w:r>
      <w:r>
        <w:t xml:space="preserve"> </w:t>
      </w:r>
      <w:r>
        <w:rPr>
          <w:i/>
        </w:rPr>
        <w:t xml:space="preserve">etceteras</w:t>
      </w:r>
      <w:r>
        <w:t xml:space="preserve">, only meaning and connectivity is present, and there is nothing that falls outside the network. The network encompasses its own actors and its own performance. Thus, performance is the defining gesture of networks. 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w:t>
      </w:r>
    </w:p>
    <w:p>
      <w:pPr>
        <w:pStyle w:val="Heading5"/>
      </w:pPr>
      <w:bookmarkStart w:id="158" w:name="a-resonant-movement-of-a-thing"/>
      <w:r>
        <w:t xml:space="preserve">A Resonant Movement of a Thing</w:t>
      </w:r>
      <w:bookmarkEnd w:id="158"/>
    </w:p>
    <w:p>
      <w:pPr>
        <w:pStyle w:val="FirstParagraph"/>
      </w:pPr>
      <w:r>
        <w:t xml:space="preserve">Considering this concept of the network as one grounded on movement, and, precisely, on the movement of meaning, there exists the possibility of thinking this movement under the scope of Nancy’s ontology of sound. That is to say, given that sound is also composed of the oscillatory motion of particles in space, and, given that this structure of infinite referral and deferrals, then Latour’s phrase can be reformulated as follows:</w:t>
      </w:r>
      <w:r>
        <w:t xml:space="preserve"> </w:t>
      </w:r>
      <w:r>
        <w:rPr>
          <w:i/>
        </w:rPr>
        <w:t xml:space="preserve">the network is not a thing, but resonant movement of a thing</w:t>
      </w:r>
      <w:r>
        <w:t xml:space="preserve">. Considering the concept of a resonating network of humans and nonhumans, the database not only enters as a node (semiotic actor) in the network, it enters as a resonating subject in its own right. If semiotic actors in Latour’s network are in constant reference to each other, it can be argued that they are in infinite resonance with each other, in a permanent state of vibration, or simply,</w:t>
      </w:r>
      <w:r>
        <w:t xml:space="preserve"> </w:t>
      </w:r>
      <w:r>
        <w:rPr>
          <w:i/>
        </w:rPr>
        <w:t xml:space="preserve">listening</w:t>
      </w:r>
      <w:r>
        <w:t xml:space="preserve">. Therefore, these listening actors may be not only human,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In other words, when the database of samples used by our virtual violin begins to sound, it is not only being listened to by the audience in the hall, it also begins to listen to itself listening. When considering the database as a resonant subject in itself, the database is granted with creative agency. In other words, the database engages within an emergent (hybrid) community of the human and the nonhuman. Our virtual violin, made of samples in RAM , makes the network resonate while resonating itself to itself. The hierarchical links between the human and the non begin to disappear in favor of a multiplicity of edges in a networked condition of resonance.</w:t>
      </w:r>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Heading5"/>
      </w:pPr>
      <w:bookmarkStart w:id="159" w:name="positive-feedback"/>
      <w:r>
        <w:t xml:space="preserve">Positive Feedback</w:t>
      </w:r>
      <w:bookmarkEnd w:id="159"/>
    </w:p>
    <w:p>
      <w:pPr>
        <w:pStyle w:val="FirstParagraph"/>
      </w:pPr>
      <w:r>
        <w:t xml:space="preserve">Connection and expansion are the mode of being of what I am calling resonant networks. Networks exist by the constant growth of their nodes and edges. Therefore, given the self-propagating quality of networks, the notion of a network unlinking itself until extinction is utterly impossible. Although it would be rational to think this way, the case of the network would imply that once a connection is disconnected, another new connection must refer to the unlinked status of the affected nodes. This new connection would, in turn, unfold a new set of connections into newer and yet unexpected directions. Therefore, a sharp distinction with sound arises: while the network is expanding in redundancy and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perceptual nothingness. In other words, coupling ‘resonant’ and ‘network’ results in a sort of positive feedback, that unless intentionally built into an electronic circuit serving that purpose, simply falls out of the mechanical aspect of waves. Thus, sonic entropy plays against network expansion.</w:t>
      </w:r>
    </w:p>
    <w:p>
      <w:pPr>
        <w:pStyle w:val="Heading5"/>
      </w:pPr>
      <w:bookmarkStart w:id="160" w:name="the-work-of-actors"/>
      <w:r>
        <w:t xml:space="preserve">The Work of Actors</w:t>
      </w:r>
      <w:bookmarkEnd w:id="160"/>
    </w:p>
    <w:p>
      <w:pPr>
        <w:pStyle w:val="FirstParagraph"/>
      </w:pPr>
      <w:r>
        <w:t xml:space="preserve">The notion of network is to a certain extent mathematical. The spatial metaphors that are generally used, such as “close and far, up and down, local and global, inside and outside,” come to be replaced by “associations and connections”</w:t>
      </w:r>
      <w:r>
        <w:t xml:space="preserve"> </w:t>
      </w:r>
      <w:r>
        <w:t xml:space="preserve">(Latour 1990, p. 6)</w:t>
      </w:r>
      <w:r>
        <w:t xml:space="preserve">. For example, consider the case of a person writing on a laptop computer. The two actors (user, computer) have to perform what Latour calls “enormous supplementary work”</w:t>
      </w:r>
      <w:r>
        <w:t xml:space="preserve"> </w:t>
      </w:r>
      <w:r>
        <w:t xml:space="preserve">(Latour 1990, p. 6)</w:t>
      </w:r>
      <w:r>
        <w:t xml:space="preserve">. While the computer has to display characters correlating glyphs to keys, the user has to visualize letters out of pixel data on screen. Therefore, the conjunction of the keyboard-to-character database with the user’s ability to create images out of a flickering lights results in an inverted proximity: letters on screen appear closer to the eyes than they are to the fingers. Distance and proximity are two concepts based on geography, a concept that within networks tends to give way to connectivity.</w:t>
      </w:r>
    </w:p>
    <w:p>
      <w:pPr>
        <w:pStyle w:val="Heading3"/>
      </w:pPr>
      <w:bookmarkStart w:id="161" w:name="inoperativity"/>
      <w:r>
        <w:t xml:space="preserve">The Unworking Network</w:t>
      </w:r>
      <w:bookmarkEnd w:id="161"/>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relates to</w:t>
      </w:r>
      <w:r>
        <w:t xml:space="preserve"> </w:t>
      </w:r>
      <w:r>
        <w:t xml:space="preserve">Nancy (1991)</w:t>
      </w:r>
      <w:r>
        <w:t xml:space="preserve">’s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Inoperativity and community are intertwined, and I will describe them in the following paragraphs.</w:t>
      </w:r>
    </w:p>
    <w:p>
      <w:pPr>
        <w:pStyle w:val="Heading5"/>
      </w:pPr>
      <w:bookmarkStart w:id="162" w:name="community-as-unwork"/>
      <w:r>
        <w:t xml:space="preserve">Community as unwork</w:t>
      </w:r>
      <w:bookmarkEnd w:id="162"/>
    </w:p>
    <w:p>
      <w:pPr>
        <w:pStyle w:val="FirstParagraph"/>
      </w:pPr>
      <w:r>
        <w:t xml:space="preserve">Referring to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That is to say,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and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Heading5"/>
      </w:pPr>
      <w:bookmarkStart w:id="163" w:name="resonant-inoperativity"/>
      <w:r>
        <w:t xml:space="preserve">Resonant Inoperativity</w:t>
      </w:r>
      <w:bookmarkEnd w:id="163"/>
    </w:p>
    <w:p>
      <w:pPr>
        <w:pStyle w:val="FirstParagraph"/>
      </w:pPr>
      <w:r>
        <w:t xml:space="preserve">Given that Nancy thinks of community as an exposure of selves towards one another, we can understand this movement of unworking as the movement of resonant networks. Furthermore, the exposure that occurs in listening can, in turn, allow a comparison between resonance and inoperativity. In this sense, the distance between the resonant subject and the sonorous presence becomes a limit upon which community is suspended. Nancy’s concept of resonance has two dimensions, one relating the body sensing itself and the other to the structure of infinite referrals and deferrals. On the one hand, the sonic medium encompasses the concept of resonance with those of exposure, immersion, and openness. Listeners are exposed to one another and in contact with themselves through the medium. Resonance exposes thus a liminality. This is also understood in terms of the reaching of the limits of the listening body. The listening subject exposing itself to a limit which comes as a form of sharing, exchange, and ultimately community.</w:t>
      </w:r>
    </w:p>
    <w:p>
      <w:pPr>
        <w:pStyle w:val="Heading5"/>
      </w:pPr>
      <w:bookmarkStart w:id="164" w:name="space-of-community"/>
      <w:r>
        <w:t xml:space="preserve">Space of Community</w:t>
      </w:r>
      <w:bookmarkEnd w:id="164"/>
    </w:p>
    <w:p>
      <w:pPr>
        <w:pStyle w:val="FirstParagraph"/>
      </w:pPr>
      <w:r>
        <w:t xml:space="preserve">This space of community is an exposure to fragmentation. Fragmentation, in this sense, means the inability for a thing to complete itself. The opening of a wound that precludes the unity. As the fragile, liminal state of fracture that this fragmentation points to, however, it maintains itself in suspension. That is to say, the contact that exists between selves is not conclusive. Therefore, if this touch, in the sense that touching permits being in common with the other, is the mark of community, it follows that it is impossible to arrive at it by means of a work. The concept of work comes from the necessity to finish things, to close objects, to sever a beginning and an ending out of a temporal and spatial continuum. The activity of work is aimed at effectively arriving at a result, applying certain effort for the purpose of a given task. Labor itself is both related to the application of forces and to creation itself, to giving birth. Art traditionally comes in the form of work. Community comes from the form of unwork.</w:t>
      </w:r>
    </w:p>
    <w:p>
      <w:pPr>
        <w:pStyle w:val="Heading5"/>
      </w:pPr>
      <w:bookmarkStart w:id="165" w:name="at-the-limit"/>
      <w:r>
        <w:t xml:space="preserve">At the Limit</w:t>
      </w:r>
      <w:bookmarkEnd w:id="165"/>
    </w:p>
    <w:p>
      <w:pPr>
        <w:pStyle w:val="FirstParagraph"/>
      </w:pPr>
      <w:r>
        <w:t xml:space="preserve">Nancy’s concept of community is exemplified by resonance and his later ontology of sound. Given the fact that the ontology of sound points to the distance between sense and signification, and, thus, to the emergence of a resonant subject during the sonorous presence, this distance can be thought of as suspended at the limit. A limit, in the sense that it constitutes an edge between two objects (actors).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Within this quality of incompleteness, which relates to suspension, but also to fracture, fragility, instability, and unpredictability, is how the notion of community as product can never be realized.</w:t>
      </w:r>
    </w:p>
    <w:p>
      <w:pPr>
        <w:pStyle w:val="Heading5"/>
      </w:pPr>
      <w:bookmarkStart w:id="166" w:name="reticulated-skin"/>
      <w:r>
        <w:t xml:space="preserve">Reticulated Skin</w:t>
      </w:r>
      <w:bookmarkEnd w:id="166"/>
    </w:p>
    <w:p>
      <w:pPr>
        <w:pStyle w:val="FirstParagraph"/>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The human and the nonhuman unfold their relations towards each other, suspending themselves in between one another. This in-between-ness is not to mean a gap between selves, but their connectedness and the same network of associations and referrals that exists between them.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reticulated,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Heading5"/>
      </w:pPr>
      <w:bookmarkStart w:id="167" w:name="resistance-in-database-music"/>
      <w:r>
        <w:t xml:space="preserve">Resistance in Database Music</w:t>
      </w:r>
      <w:bookmarkEnd w:id="167"/>
    </w:p>
    <w:p>
      <w:pPr>
        <w:pStyle w:val="FirstParagraph"/>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68" w:name="section:Databases_And_Memory"/>
      <w:r>
        <w:t xml:space="preserve">Databases And Memory</w:t>
      </w:r>
      <w:bookmarkEnd w:id="168"/>
    </w:p>
    <w:p>
      <w:pPr>
        <w:pStyle w:val="Heading3"/>
      </w:pPr>
      <w:bookmarkStart w:id="169" w:name="funeslude"/>
      <w:r>
        <w:t xml:space="preserve">Interlude: Embodied Memory</w:t>
      </w:r>
      <w:bookmarkEnd w:id="169"/>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hyperlink w:anchor="fn30">
        <w:r>
          <w:rPr>
            <w:vertAlign w:val="superscript"/>
            <w:rStyle w:val="Hyperlink"/>
          </w:rPr>
          <w:t xml:space="preserve">30</w:t>
        </w:r>
      </w:hyperlink>
      <w:r>
        <w:t xml:space="preserve"> </w:t>
      </w:r>
      <w:r>
        <w:t xml:space="preserve">he was secluded in a dark and enclosed space so as not to perceive the world.</w:t>
      </w:r>
      <w:hyperlink w:anchor="fn31">
        <w:r>
          <w:rPr>
            <w:vertAlign w:val="superscript"/>
            <w:rStyle w:val="Hyperlink"/>
          </w:rPr>
          <w:t xml:space="preserve">31</w:t>
        </w:r>
      </w:hyperlink>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32">
        <w:r>
          <w:rPr>
            <w:vertAlign w:val="superscript"/>
            <w:rStyle w:val="Hyperlink"/>
          </w:rPr>
          <w:t xml:space="preserve">32</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33">
        <w:r>
          <w:rPr>
            <w:vertAlign w:val="superscript"/>
            <w:rStyle w:val="Hyperlink"/>
          </w:rPr>
          <w:t xml:space="preserve">33</w:t>
        </w:r>
      </w:hyperlink>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hyperlink w:anchor="fn34">
        <w:r>
          <w:rPr>
            <w:vertAlign w:val="superscript"/>
            <w:rStyle w:val="Hyperlink"/>
          </w:rPr>
          <w:t xml:space="preserve">34</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hyperlink w:anchor="fn35">
        <w:r>
          <w:rPr>
            <w:vertAlign w:val="superscript"/>
            <w:rStyle w:val="Hyperlink"/>
          </w:rPr>
          <w:t xml:space="preserve">35</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70" w:name="human"/>
      <w:r>
        <w:t xml:space="preserve">The Effraction Of The Trace</w:t>
      </w:r>
      <w:bookmarkEnd w:id="170"/>
    </w:p>
    <w:p>
      <w:pPr>
        <w:pStyle w:val="BlockText"/>
      </w:pPr>
      <w:r>
        <w:t xml:space="preserve">Lo cierto es que vivimos postergando todo lo postergable; tal vez todos sabemos profundamente que somos inmortales y que tarde o temprano, todo hombre hará todas las cosas y sabrá todo.</w:t>
      </w:r>
      <w:hyperlink w:anchor="fn36">
        <w:r>
          <w:rPr>
            <w:vertAlign w:val="superscript"/>
            <w:rStyle w:val="Hyperlink"/>
          </w:rPr>
          <w:t xml:space="preserve">36</w:t>
        </w:r>
      </w:hyperlink>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Heading5"/>
      </w:pPr>
      <w:bookmarkStart w:id="171" w:name="memory-as-breaching"/>
      <w:r>
        <w:t xml:space="preserve">Memory as Breaching</w:t>
      </w:r>
      <w:bookmarkEnd w:id="171"/>
    </w:p>
    <w:p>
      <w:pPr>
        <w:pStyle w:val="FirstParagraph"/>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(unclosing) state of being innocently ready for the next perception.</w:t>
      </w:r>
    </w:p>
    <w:p>
      <w:pPr>
        <w:pStyle w:val="Heading5"/>
      </w:pPr>
      <w:bookmarkStart w:id="172" w:name="breaching-and-différance"/>
      <w:r>
        <w:t xml:space="preserve">Breaching and</w:t>
      </w:r>
      <w:r>
        <w:t xml:space="preserve"> </w:t>
      </w:r>
      <w:r>
        <w:rPr>
          <w:i/>
        </w:rPr>
        <w:t xml:space="preserve">différance</w:t>
      </w:r>
      <w:bookmarkEnd w:id="172"/>
    </w:p>
    <w:p>
      <w:pPr>
        <w:pStyle w:val="FirstParagraph"/>
      </w:pPr>
      <w:r>
        <w:t xml:space="preserve">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that is, a structure of infinite referrals and deferrals: “trace as memory is not a pure breaching that might be reappropriated at any time as simple presence; it is rather the ungraspable and invisible difference between breaches”</w:t>
      </w:r>
      <w:r>
        <w:t xml:space="preserve"> </w:t>
      </w:r>
      <w:r>
        <w:t xml:space="preserve">(Derrida 1978, p. 201)</w:t>
      </w:r>
      <w:r>
        <w:t xml:space="preserve"> </w:t>
      </w:r>
      <w:r>
        <w:t xml:space="preserve">Therefore, since the essence of the psyche (memory) is breaching (tracing) and the space and temporal dislocation of traces (</w:t>
      </w:r>
      <w:r>
        <w:rPr>
          <w:i/>
        </w:rPr>
        <w:t xml:space="preserve">différance</w:t>
      </w:r>
      <w:r>
        <w:t xml:space="preserve">), a link between human and nonhuman can be established: writing.</w:t>
      </w:r>
    </w:p>
    <w:p>
      <w:pPr>
        <w:pStyle w:val="Heading5"/>
      </w:pPr>
      <w:bookmarkStart w:id="173" w:name="hypomnesis-and-the-mystic-pad"/>
      <w:r>
        <w:t xml:space="preserve">Hypomnesis and the Mystic Pad</w:t>
      </w:r>
      <w:bookmarkEnd w:id="173"/>
    </w:p>
    <w:p>
      <w:pPr>
        <w:pStyle w:val="FirstParagraph"/>
      </w:pPr>
      <w:r>
        <w:t xml:space="preserve">As Derrida points out, writing as</w:t>
      </w:r>
      <w:r>
        <w:t xml:space="preserve"> </w:t>
      </w:r>
      <w:r>
        <w:rPr>
          <w:i/>
        </w:rPr>
        <w:t xml:space="preserve">hypomnesis</w:t>
      </w:r>
      <w:r>
        <w:t xml:space="preserve"> </w:t>
      </w:r>
      <w:r>
        <w:t xml:space="preserve">(as an externalization of memory) has been considered since Plato</w:t>
      </w:r>
      <w:r>
        <w:t xml:space="preserve"> </w:t>
      </w:r>
      <w:r>
        <w:t xml:space="preserve">(Derrida 1978, p. 221)</w:t>
      </w:r>
      <w:r>
        <w:t xml:space="preserve">. However,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(1925) hypomnesic device allowed Freud to shift from considering regular writable surfaces (paper), to a combination of resisting textures in a device which allowed for “a perpetually available innocence and an infinite reserve of traces”</w:t>
      </w:r>
      <w:r>
        <w:t xml:space="preserve"> </w:t>
      </w:r>
      <w:r>
        <w:t xml:space="preserve">(Derrida 1978, p. 223)</w:t>
      </w:r>
      <w:r>
        <w:t xml:space="preserve">. 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 “work of memory” itself</w:t>
      </w:r>
      <w:r>
        <w:t xml:space="preserve"> </w:t>
      </w:r>
      <w:r>
        <w:t xml:space="preserve">(Derrida 1978, p. 226)</w:t>
      </w:r>
      <w:r>
        <w:t xml:space="preserve">.</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 </w:t>
      </w:r>
      <w:r>
        <w:t xml:space="preserve">(Derrida 1978, p. 227)</w:t>
      </w:r>
    </w:p>
    <w:p>
      <w:pPr>
        <w:pStyle w:val="Heading5"/>
      </w:pPr>
      <w:bookmarkStart w:id="174" w:name="nonhuman-authors"/>
      <w:r>
        <w:t xml:space="preserve">Nonhuman Authors</w:t>
      </w:r>
      <w:bookmarkEnd w:id="174"/>
    </w:p>
    <w:p>
      <w:pPr>
        <w:pStyle w:val="FirstParagraph"/>
      </w:pPr>
      <w:r>
        <w:t xml:space="preserve">Since the structure of memory, as I outlined above, can be comprehended as path breaking and</w:t>
      </w:r>
      <w:r>
        <w:t xml:space="preserve"> </w:t>
      </w:r>
      <w:r>
        <w:rPr>
          <w:i/>
        </w:rPr>
        <w:t xml:space="preserve">différance</w:t>
      </w:r>
      <w:r>
        <w:t xml:space="preserve">, the concepts of resistance, referrals, and deferrals play an important role in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 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 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Heading5"/>
      </w:pPr>
      <w:bookmarkStart w:id="175" w:name="database-as-agents"/>
      <w:r>
        <w:t xml:space="preserve">Database as Agents</w:t>
      </w:r>
      <w:bookmarkEnd w:id="175"/>
    </w:p>
    <w:p>
      <w:pPr>
        <w:pStyle w:val="FirstParagraph"/>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Heading3"/>
      </w:pPr>
      <w:bookmarkStart w:id="176" w:name="archontic"/>
      <w:r>
        <w:t xml:space="preserve">The Archontic Principle</w:t>
      </w:r>
      <w:bookmarkEnd w:id="176"/>
    </w:p>
    <w:p>
      <w:pPr>
        <w:pStyle w:val="Heading5"/>
      </w:pPr>
      <w:bookmarkStart w:id="177" w:name="archives-and-memory"/>
      <w:r>
        <w:t xml:space="preserve">Archives and Memory</w:t>
      </w:r>
      <w:bookmarkEnd w:id="177"/>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Heading5"/>
      </w:pPr>
      <w:bookmarkStart w:id="178" w:name="hierarchies"/>
      <w:r>
        <w:t xml:space="preserve">Hierarchies</w:t>
      </w:r>
      <w:bookmarkEnd w:id="178"/>
    </w:p>
    <w:p>
      <w:pPr>
        <w:pStyle w:val="FirstParagraph"/>
      </w:pPr>
      <w:r>
        <w:t xml:space="preserve">From this definition of the archive, what is alluded is the hierarchical structure of civilization itself, that is, of government and legislation. Going further into this aspect of the concept of the archive would extend the limits of this text. Derrida, with this conceptualization of the archive, focused on the exponential growth of archives that spawned during the 20th century, defining it as an impulse, or better, as a ‘fever’ 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 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Heading5"/>
      </w:pPr>
      <w:bookmarkStart w:id="179" w:name="archontic-principle"/>
      <w:r>
        <w:t xml:space="preserve">Archontic Principle</w:t>
      </w:r>
      <w:bookmarkEnd w:id="179"/>
    </w:p>
    <w:p>
      <w:pPr>
        <w:pStyle w:val="FirstParagraph"/>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Heading5"/>
      </w:pPr>
      <w:bookmarkStart w:id="180" w:name="patriarchy"/>
      <w:r>
        <w:t xml:space="preserve">Patriarchy</w:t>
      </w:r>
      <w:bookmarkEnd w:id="180"/>
    </w:p>
    <w:p>
      <w:pPr>
        <w:pStyle w:val="FirstParagraph"/>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Heading5"/>
      </w:pPr>
      <w:bookmarkStart w:id="181" w:name="institutional-passage"/>
      <w:r>
        <w:t xml:space="preserve">Institutional Passage</w:t>
      </w:r>
      <w:bookmarkEnd w:id="181"/>
    </w:p>
    <w:p>
      <w:pPr>
        <w:pStyle w:val="FirstParagraph"/>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Heading5"/>
      </w:pPr>
      <w:bookmarkStart w:id="182" w:name="authorities"/>
      <w:r>
        <w:t xml:space="preserve">Authorities</w:t>
      </w:r>
      <w:bookmarkEnd w:id="182"/>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Heading5"/>
      </w:pPr>
      <w:bookmarkStart w:id="183" w:name="anarchic-memory"/>
      <w:r>
        <w:t xml:space="preserve">Anarchic Memory</w:t>
      </w:r>
      <w:bookmarkEnd w:id="183"/>
    </w:p>
    <w:p>
      <w:pPr>
        <w:pStyle w:val="FirstParagraph"/>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 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(filtering and fracture), their resemblance to memory can be drawn. However, while the archive is indeed patriarchic, memory, on the other hand, in terms of the archontic principle, it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Heading5"/>
      </w:pPr>
      <w:bookmarkStart w:id="184" w:name="collective-memory"/>
      <w:r>
        <w:t xml:space="preserve">Collective Memory</w:t>
      </w:r>
      <w:bookmarkEnd w:id="184"/>
    </w:p>
    <w:p>
      <w:pPr>
        <w:pStyle w:val="FirstParagraph"/>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 “in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Heading5"/>
      </w:pPr>
      <w:bookmarkStart w:id="185" w:name="writing-code"/>
      <w:r>
        <w:t xml:space="preserve">Writing Code</w:t>
      </w:r>
      <w:bookmarkEnd w:id="185"/>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(words and characters), also data structures appropriate the concepts of writing and erasing. Furthermore, in resonance to the Derridean trace, erasure is embedded in the structure of writing. This is to say, that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 This self-destruction means, precisely, releasing the object’s resources, that is, to free the physical memory space that it has occupied throughout its lifetime.</w:t>
      </w:r>
      <w:hyperlink w:anchor="fn37">
        <w:r>
          <w:rPr>
            <w:vertAlign w:val="superscript"/>
            <w:rStyle w:val="Hyperlink"/>
          </w:rPr>
          <w:t xml:space="preserve">37</w:t>
        </w:r>
      </w:hyperlink>
    </w:p>
    <w:p>
      <w:pPr>
        <w:pStyle w:val="Heading5"/>
      </w:pPr>
      <w:bookmarkStart w:id="186" w:name="anarchic-computer-memory"/>
      <w:r>
        <w:t xml:space="preserve">Anarchic Computer Memory</w:t>
      </w:r>
      <w:bookmarkEnd w:id="186"/>
    </w:p>
    <w:p>
      <w:pPr>
        <w:pStyle w:val="FirstParagraph"/>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 In what follows, I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to a different dimension.</w:t>
      </w:r>
    </w:p>
    <w:p>
      <w:pPr>
        <w:pStyle w:val="Heading3"/>
      </w:pPr>
      <w:bookmarkStart w:id="187" w:name="spectrality"/>
      <w:r>
        <w:t xml:space="preserve">The Spectral Database</w:t>
      </w:r>
      <w:bookmarkEnd w:id="187"/>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Heading5"/>
      </w:pPr>
      <w:bookmarkStart w:id="188" w:name="computer-memory-and-writing"/>
      <w:r>
        <w:t xml:space="preserve">Computer Memory and Writing</w:t>
      </w:r>
      <w:bookmarkEnd w:id="188"/>
    </w:p>
    <w:p>
      <w:pPr>
        <w:pStyle w:val="FirstParagraph"/>
      </w:pPr>
      <w:r>
        <w:t xml:space="preserve">Despite the multiplicity of elements that constitute software programming, such as compiler instructions, hardware 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Von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w:t>
      </w:r>
      <w:r>
        <w:t xml:space="preserve"> </w:t>
      </w:r>
      <w:r>
        <w:rPr>
          <w:rStyle w:val="VerbatimChar"/>
        </w:rPr>
        <w:t xml:space="preserve">READ</w:t>
      </w:r>
      <w:r>
        <w:t xml:space="preserve"> </w:t>
      </w:r>
      <w:r>
        <w:t xml:space="preserve">and</w:t>
      </w:r>
      <w:r>
        <w:t xml:space="preserve"> </w:t>
      </w:r>
      <w:r>
        <w:rPr>
          <w:rStyle w:val="VerbatimChar"/>
        </w:rPr>
        <w:t xml:space="preserve">WRITE</w:t>
      </w:r>
      <w:r>
        <w:t xml:space="preserve">”</w:t>
      </w:r>
      <w:r>
        <w:t xml:space="preserve"> </w:t>
      </w:r>
      <w:r>
        <w:t xml:space="preserve">(Ernst 2013, p. 131)</w:t>
      </w:r>
      <w:r>
        <w:t xml:space="preserve">.</w:t>
      </w:r>
    </w:p>
    <w:p>
      <w:pPr>
        <w:pStyle w:val="Heading5"/>
      </w:pPr>
      <w:bookmarkStart w:id="189" w:name="memory-replacement"/>
      <w:r>
        <w:t xml:space="preserve">Memory Replacement</w:t>
      </w:r>
      <w:bookmarkEnd w:id="189"/>
    </w:p>
    <w:p>
      <w:pPr>
        <w:pStyle w:val="FirstParagraph"/>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Heading5"/>
      </w:pPr>
      <w:bookmarkStart w:id="190" w:name="anarchic-records"/>
      <w:r>
        <w:t xml:space="preserve">Anarchic Records</w:t>
      </w:r>
      <w:bookmarkEnd w:id="190"/>
    </w:p>
    <w:p>
      <w:pPr>
        <w:pStyle w:val="FirstParagraph"/>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38">
        <w:r>
          <w:rPr>
            <w:vertAlign w:val="superscript"/>
            <w:rStyle w:val="Hyperlink"/>
          </w:rPr>
          <w:t xml:space="preserve">38</w:t>
        </w:r>
      </w:hyperlink>
      <w:r>
        <w:t xml:space="preserve"> </w:t>
      </w:r>
      <w:r>
        <w:t xml:space="preserve">becomes an archivization process, that is, a process by which symbolic transcription leads to an ordered archive, i.e., a score.</w:t>
      </w:r>
      <w:hyperlink w:anchor="fn39">
        <w:r>
          <w:rPr>
            <w:vertAlign w:val="superscript"/>
            <w:rStyle w:val="Hyperlink"/>
          </w:rPr>
          <w:t xml:space="preserve">39</w:t>
        </w:r>
      </w:hyperlink>
      <w:r>
        <w:t xml:space="preserve"> </w:t>
      </w:r>
      <w:r>
        <w:t xml:space="preserve">In Ernst’s sense, a sound file storing samples of the recorded world is anarchic because of the unfiltered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Heading5"/>
      </w:pPr>
      <w:bookmarkStart w:id="191" w:name="memory-and-framing"/>
      <w:r>
        <w:t xml:space="preserve">Memory and Framing</w:t>
      </w:r>
      <w:bookmarkEnd w:id="191"/>
    </w:p>
    <w:p>
      <w:pPr>
        <w:pStyle w:val="FirstParagraph"/>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Heading5"/>
      </w:pPr>
      <w:bookmarkStart w:id="192" w:name="nonhuman-tympans"/>
      <w:r>
        <w:t xml:space="preserve">Nonhuman Tympans</w:t>
      </w:r>
      <w:bookmarkEnd w:id="192"/>
    </w:p>
    <w:p>
      <w:pPr>
        <w:pStyle w:val="FirstParagraph"/>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 ‘tympanic’ function of transducers, as quoted by Cathy Van Eyck in her PhD dissertation on microphones and loudspeakers: “every apparatus of sound reproduction has a tympanic function at precisely the point where it turns sound into something else…and when it turns something else into sound”</w:t>
      </w:r>
      <w:r>
        <w:t xml:space="preserve"> </w:t>
      </w:r>
      <w:r>
        <w:t xml:space="preserve">(Eck 2013, p. 107)</w:t>
      </w:r>
      <w:r>
        <w:t xml:space="preserve">. 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Heading5"/>
      </w:pPr>
      <w:bookmarkStart w:id="193" w:name="spectrality-of-archives"/>
      <w:r>
        <w:t xml:space="preserve">Spectrality of Archives</w:t>
      </w:r>
      <w:bookmarkEnd w:id="193"/>
    </w:p>
    <w:p>
      <w:pPr>
        <w:pStyle w:val="FirstParagraph"/>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Heading5"/>
      </w:pPr>
      <w:bookmarkStart w:id="194" w:name="spectrality-of-databases"/>
      <w:r>
        <w:t xml:space="preserve">Spectrality of Databases</w:t>
      </w:r>
      <w:bookmarkEnd w:id="194"/>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Heading5"/>
      </w:pPr>
      <w:bookmarkStart w:id="195" w:name="agency-of-the-uncanny"/>
      <w:r>
        <w:t xml:space="preserve">Agency of the Uncanny</w:t>
      </w:r>
      <w:bookmarkEnd w:id="195"/>
    </w:p>
    <w:p>
      <w:pPr>
        <w:pStyle w:val="FirstParagraph"/>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96" w:name="section:Performativity_Of_Databases"/>
      <w:r>
        <w:t xml:space="preserve">Performativity Of Databases</w:t>
      </w:r>
      <w:bookmarkEnd w:id="196"/>
    </w:p>
    <w:p>
      <w:pPr>
        <w:pStyle w:val="Heading3"/>
      </w:pPr>
      <w:bookmarkStart w:id="197" w:name="gender"/>
      <w:r>
        <w:t xml:space="preserve">Gendered Database</w:t>
      </w:r>
      <w:bookmarkEnd w:id="197"/>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Judith Butler</w:t>
      </w:r>
      <w:r>
        <w:t xml:space="preserve"> </w:t>
      </w:r>
      <w:r>
        <w:t xml:space="preserve">(Butler 1988)</w:t>
      </w:r>
      <w:r>
        <w:t xml:space="preserve"> </w:t>
      </w:r>
      <w:r>
        <w:t xml:space="preserve">distinguishes between an expressive and performative self. The former comes from an essentialist view from the self as being ‘inside’ and displaying itself on the outside. The latter is an illusory self, strictly outside and unrelated to the “natural or linguistic given.” She understands gender within this performativity of the self. Like the self, gender emerges temporally, at the surface level of the skin of the body. This notion of gender relates with Jean-Luc Nancy’s notion of resonance and the self (See</w:t>
      </w:r>
      <w:r>
        <w:t xml:space="preserve"> </w:t>
      </w:r>
      <w:hyperlink w:anchor="section:Listening_Databases">
        <w:r>
          <w:rPr>
            <w:rStyle w:val="Hyperlink"/>
          </w:rPr>
          <w:t xml:space="preserve">5.1</w:t>
        </w:r>
      </w:hyperlink>
      <w:r>
        <w:t xml:space="preserve">).</w:t>
      </w:r>
    </w:p>
    <w:p>
      <w:pPr>
        <w:pStyle w:val="Heading5"/>
      </w:pPr>
      <w:bookmarkStart w:id="198" w:name="skin-of-the-database"/>
      <w:r>
        <w:t xml:space="preserve">Skin of the Database</w:t>
      </w:r>
      <w:bookmarkEnd w:id="198"/>
    </w:p>
    <w:p>
      <w:pPr>
        <w:pStyle w:val="FirstParagraph"/>
      </w:pPr>
      <w:r>
        <w:t xml:space="preserve">In the performativity of databasing resides the possibility for the skin of the database to emerge. On the one hand, this skin is the spectral surface of the database’s illusory self. On the other, it is the limit towards which the human and the nonhuman engage in resonance. The skin of the database carries the mark of a style. That is to say, in defining style as a repetition of acts, it is a form of embodiment that is ascribed to databases. Because the self of the database is inscribed on its skin, we can assign yet another quality of the database: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Heading5"/>
      </w:pPr>
      <w:bookmarkStart w:id="199" w:name="expressing-nothing"/>
      <w:r>
        <w:t xml:space="preserve">Expressing Nothing</w:t>
      </w:r>
      <w:bookmarkEnd w:id="199"/>
    </w:p>
    <w:p>
      <w:pPr>
        <w:pStyle w:val="FirstParagraph"/>
      </w:pPr>
      <w:r>
        <w:t xml:space="preserve">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Heading5"/>
      </w:pPr>
      <w:bookmarkStart w:id="200" w:name="a-historical-situation"/>
      <w:r>
        <w:t xml:space="preserve">A Historical Situation</w:t>
      </w:r>
      <w:bookmarkEnd w:id="200"/>
    </w:p>
    <w:p>
      <w:pPr>
        <w:pStyle w:val="FirstParagraph"/>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Furthermore, what this structure of embodiment entails is the constitution of not only gender, but also style. Since gender is constituted temporally, it is necessarily historical:</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Heading5"/>
      </w:pPr>
      <w:bookmarkStart w:id="201" w:name="subversive-repetition"/>
      <w:r>
        <w:t xml:space="preserve">Subversive Repetition</w:t>
      </w:r>
      <w:bookmarkEnd w:id="201"/>
    </w:p>
    <w:p>
      <w:pPr>
        <w:pStyle w:val="FirstParagraph"/>
      </w:pPr>
      <w:r>
        <w:t xml:space="preserve">Far from being a prescribed given, the constitution of gender on the body is itself a result of mediated history. In other words, gender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gender constitutes an “illusion” of a gendered self. These acts take place</w:t>
      </w:r>
      <w:r>
        <w:t xml:space="preserve"> </w:t>
      </w:r>
      <w:r>
        <w:rPr>
          <w:i/>
        </w:rPr>
        <w:t xml:space="preserve">on</w:t>
      </w:r>
      <w:r>
        <w:t xml:space="preserve"> </w:t>
      </w:r>
      <w:r>
        <w:t xml:space="preserve">the body, by the mundane instantiation of bodily gestures, movements, and enactments. Furthermore, the these acts are necessarily discontinuous, and it is because of this discontinuity that exists the possibility of gender transformation. In this sense, gender performance is neither linear nor nonlinear. It resides along an anarachic temporality that replaces teleology with the multiplicity of resonant nows. It is an inline iterative function with random breaks.</w:t>
      </w:r>
    </w:p>
    <w:p>
      <w:pPr>
        <w:pStyle w:val="Heading5"/>
      </w:pPr>
      <w:bookmarkStart w:id="202" w:name="gendered-database"/>
      <w:r>
        <w:t xml:space="preserve">Gendered Database</w:t>
      </w:r>
      <w:bookmarkEnd w:id="202"/>
    </w:p>
    <w:p>
      <w:pPr>
        <w:pStyle w:val="FirstParagraph"/>
      </w:pPr>
      <w:r>
        <w:t xml:space="preserve">The database is a collection of facts. It is facticity itself. This is what Butler’s gendered self can teach about databases: in performing the database, the database appears like gender, as a historical situation. Its body is felt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That is to say,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203" w:name="limits"/>
      <w:r>
        <w:t xml:space="preserve">Towards The Limits</w:t>
      </w:r>
      <w:bookmarkEnd w:id="203"/>
    </w:p>
    <w:p>
      <w:pPr>
        <w:pStyle w:val="Heading5"/>
      </w:pPr>
      <w:bookmarkStart w:id="204" w:name="exposure"/>
      <w:r>
        <w:t xml:space="preserve">Exposure</w:t>
      </w:r>
      <w:bookmarkEnd w:id="204"/>
    </w:p>
    <w:p>
      <w:pPr>
        <w:pStyle w:val="FirstParagraph"/>
      </w:pPr>
      <w:r>
        <w:t xml:space="preserve">The performativity of databasing can be understood in terms of what Nancy calls exposure</w:t>
      </w:r>
      <w:r>
        <w:t xml:space="preserve"> </w:t>
      </w:r>
      <w:r>
        <w:t xml:space="preserve">(Nancy 1991)</w:t>
      </w:r>
      <w:r>
        <w:t xml:space="preserve">. Exposure is the appearance of a limit and the finitud of a singularity. With this limit instantiated in the (public) moment of the performative act, is how communication emerges as that which is in common among singularities. That is to say, because it is itself nothing (“neither a ground, nor an essence, nor a substance”</w:t>
      </w:r>
      <w:r>
        <w:t xml:space="preserve"> </w:t>
      </w:r>
      <w:r>
        <w:t xml:space="preserve">(Nancy 1991, p. 31)</w:t>
      </w:r>
      <w:r>
        <w:t xml:space="preserve">) Nancy considers finitud to just appear in the form of communication: “it presents itself, it exposes itself, and thus it exists as communication”</w:t>
      </w:r>
      <w:r>
        <w:t xml:space="preserve"> </w:t>
      </w:r>
      <w:r>
        <w:t xml:space="preserve">(Nancy 1991, p. 31)</w:t>
      </w:r>
      <w:r>
        <w:t xml:space="preserve">. His emphasis on communication as exposure marks a crucial distinction on the concept of community. For Nancy, as I have described above (See</w:t>
      </w:r>
      <w:r>
        <w:t xml:space="preserve"> </w:t>
      </w:r>
      <w:hyperlink w:anchor="inoperativity">
        <w:r>
          <w:rPr>
            <w:rStyle w:val="Hyperlink"/>
          </w:rPr>
          <w:t xml:space="preserve">5.1.3</w:t>
        </w:r>
      </w:hyperlink>
      <w:r>
        <w:t xml:space="preserve">), community cannot come from an instance of work: it emerges as an instance of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Heading5"/>
      </w:pPr>
      <w:bookmarkStart w:id="205" w:name="anarchic-touch"/>
      <w:r>
        <w:t xml:space="preserve">Anarchic Touch</w:t>
      </w:r>
      <w:bookmarkEnd w:id="205"/>
    </w:p>
    <w:p>
      <w:pPr>
        <w:pStyle w:val="FirstParagraph"/>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archives. Further, the limit of the database is not instantiated out of the one, a “unitary assumption”</w:t>
      </w:r>
      <w:r>
        <w:t xml:space="preserve"> </w:t>
      </w:r>
      <w:r>
        <w:t xml:space="preserve">(Nancy 1991, p. 28)</w:t>
      </w:r>
      <w:r>
        <w:t xml:space="preserve">, or the wholeness of a single one. This finitud does not come from intentionality or any essentialist notions: it simply appears, for Nancy, in the form of touch: “…as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 [emphasis added]</w:t>
      </w:r>
      <w:r>
        <w:t xml:space="preserve"> </w:t>
      </w:r>
      <w:r>
        <w:t xml:space="preserve">(Nancy 1991, p. 28)</w:t>
      </w:r>
      <w:r>
        <w:t xml:space="preserve">. The temporality of this touch, like that of gender, is anarchic.</w:t>
      </w:r>
    </w:p>
    <w:p>
      <w:pPr>
        <w:pStyle w:val="Heading5"/>
      </w:pPr>
      <w:bookmarkStart w:id="206" w:name="communities-of-skin"/>
      <w:r>
        <w:t xml:space="preserve">Communities of Skin</w:t>
      </w:r>
      <w:bookmarkEnd w:id="206"/>
    </w:p>
    <w:p>
      <w:pPr>
        <w:pStyle w:val="FirstParagraph"/>
      </w:pPr>
      <w:r>
        <w:t xml:space="preserve">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 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with which community exposes itself.</w:t>
      </w:r>
    </w:p>
    <w:p>
      <w:pPr>
        <w:pStyle w:val="Heading5"/>
      </w:pPr>
      <w:bookmarkStart w:id="207" w:name="hybrid-pluralities"/>
      <w:r>
        <w:t xml:space="preserve">Hybrid Pluralities</w:t>
      </w:r>
      <w:bookmarkEnd w:id="207"/>
    </w:p>
    <w:p>
      <w:pPr>
        <w:pStyle w:val="FirstParagraph"/>
      </w:pPr>
      <w:r>
        <w:t xml:space="preserve">Database models tend to reside next to each other, either within a single database system or within an interconnected networked system. With this plurality of the model, databasers have access to the many features that each model offers, focusing on those features that are suitable for their needs. The skin of the database is as fluid as the constitution of gender, and if this is true, then the fluidity of databasing itself comes to represent the constitution of gender through the performativity of databasers. By resonating in such performativity, databasers approach (but do not reach) the limit of the database. This approach to the skin of the database exposes simultaneously the skin of the databaser to the database. What this exposure amounts to is not, however, an opposition of forces. It results in the fragmented state of community that resides in the different degrees of this exposure. In other words, this exposure is of a hybrid plurality that resonates at the limit. Engaging with the touch of the spectral database means reconfiguring, resounding, and remembering our own sense of touch, just as well as our own sense of self.</w:t>
      </w:r>
    </w:p>
    <w:p>
      <w:pPr>
        <w:pStyle w:val="Heading3"/>
      </w:pPr>
      <w:bookmarkStart w:id="208" w:name="style"/>
      <w:r>
        <w:t xml:space="preserve">Contingencies Of Style</w:t>
      </w:r>
      <w:bookmarkEnd w:id="208"/>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A database without performance represents a disembodied ‘base’, that is, the spatially ordered set of computer hardware together with the software routines that it embeds. It is its most basic level, a foundation upon which the database tree can be performed. This ‘base’ in database comes as a stage for databasing itself: a stage without performance is an empty stage, extension of space itself. Databasing projects its own style as a result of its performance, and through this projection comes the exposure of its skin. The “stylistic repetition of acts” in the dramatic case of the gendered database is now revealed as style itself. Like skin and voice, singularity emerges as style and timbre.</w:t>
      </w:r>
    </w:p>
    <w:p>
      <w:pPr>
        <w:pStyle w:val="Heading5"/>
      </w:pPr>
      <w:bookmarkStart w:id="209" w:name="style-and-timbre"/>
      <w:r>
        <w:t xml:space="preserve">Style and Timbre</w:t>
      </w:r>
      <w:bookmarkEnd w:id="209"/>
    </w:p>
    <w:p>
      <w:pPr>
        <w:pStyle w:val="FirstParagraph"/>
      </w:pPr>
      <w:r>
        <w:t xml:space="preserve">‘Style’ 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style is a manifestation of the singular. In the sense that style does not lend itself to duplication, and provided that it happens as the apparition of an event, it exposes singularity as such. Style is thus comparable to the voice of a certain author, and also to the sound of the voice itself: timbre. That is to say, style and timbre can be understood equally as the presence of the singular: the signature that comes with the unique and irreproducible timbral quality:</w:t>
      </w:r>
      <w:hyperlink w:anchor="fn40">
        <w:r>
          <w:rPr>
            <w:vertAlign w:val="superscript"/>
            <w:rStyle w:val="Hyperlink"/>
          </w:rPr>
          <w:t xml:space="preserve">40</w:t>
        </w:r>
      </w:hyperlink>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Heading5"/>
      </w:pPr>
      <w:bookmarkStart w:id="210" w:name="endless-databases"/>
      <w:r>
        <w:t xml:space="preserve">Endless Databases</w:t>
      </w:r>
      <w:bookmarkEnd w:id="210"/>
    </w:p>
    <w:p>
      <w:pPr>
        <w:pStyle w:val="FirstParagraph"/>
      </w:pPr>
      <w:r>
        <w:t xml:space="preserve">The skin of the database unfolds in the duration of the performative act. What is exposed as its singularity is the ruggedness of the traces of which it is composed. That is to say, the discontinuities of its reticulated constitution of style. The length of this skin can only be estimated: there is no possibility of rendering it complete. In this fractured state it points to infinity. In this sense, databasing means participating in the infinite, taking a small part of the infinite: performing the infinite within the limits of our own embodiment. Furthermore, the contingent situation of resonance within the frayed spatio-temporal configuration of networks relates to the concept of chaos. I have mentioned earlier the relation between computers and users as understood in terms of complex systems (See</w:t>
      </w:r>
      <w:r>
        <w:t xml:space="preserve"> </w:t>
      </w:r>
      <w:hyperlink w:anchor="programming">
        <w:r>
          <w:rPr>
            <w:rStyle w:val="Hyperlink"/>
          </w:rPr>
          <w:t xml:space="preserve">4.2.2</w:t>
        </w:r>
      </w:hyperlink>
      <w:r>
        <w:t xml:space="preserve">). Considering databasing as chaotic systems brings yet another aspect to the contingency of style.</w:t>
      </w:r>
    </w:p>
    <w:p>
      <w:pPr>
        <w:pStyle w:val="Heading5"/>
      </w:pPr>
      <w:bookmarkStart w:id="211" w:name="database-and-chaos"/>
      <w:r>
        <w:t xml:space="preserve">Database and Chaos</w:t>
      </w:r>
      <w:bookmarkEnd w:id="211"/>
    </w:p>
    <w:p>
      <w:pPr>
        <w:pStyle w:val="FirstParagraph"/>
      </w:pPr>
      <w:r>
        <w:t xml:space="preserve">Given that this style can be considered as an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 Figure</w:t>
      </w:r>
      <w:r>
        <w:t xml:space="preserve"> </w:t>
      </w:r>
      <w:hyperlink w:anchor="img:lorenz_plotter">
        <w:r>
          <w:rPr>
            <w:rStyle w:val="Hyperlink"/>
          </w:rPr>
          <w:t xml:space="preserve">[img:lorenz_plotter]</w:t>
        </w:r>
      </w:hyperlink>
      <w:r>
        <w:t xml:space="preserve">). The Lorenz attractor is a dynamic system, which means that it can render very different and quite unpredictable results by minimal changes on their initial conditions, despite the fact that it is indeed a deterministic system. Furthermore, a graph of a dynamic systems presents fractal properties.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w:t>
      </w:r>
    </w:p>
    <w:p>
      <w:pPr>
        <w:pStyle w:val="CaptionedFigure"/>
      </w:pPr>
      <w:r>
        <w:drawing>
          <wp:inline>
            <wp:extent cx="5334000" cy="3333750"/>
            <wp:effectExtent b="0" l="0" r="0" t="0"/>
            <wp:docPr descr="Plotting of the Lorenz system in Pure Data." title="" id="1" name="Picture"/>
            <a:graphic>
              <a:graphicData uri="http://schemas.openxmlformats.org/drawingml/2006/picture">
                <pic:pic>
                  <pic:nvPicPr>
                    <pic:cNvPr descr="/Users/federicocamarahalac/Documents/fd_work/text/waves/bin/img/lorenz_plotter.png" id="0" name="Picture"/>
                    <pic:cNvPicPr>
                      <a:picLocks noChangeArrowheads="1" noChangeAspect="1"/>
                    </pic:cNvPicPr>
                  </pic:nvPicPr>
                  <pic:blipFill>
                    <a:blip r:embed="rId212"/>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Plotting of the Lorenz system in Pure Data.</w:t>
      </w:r>
    </w:p>
    <w:p>
      <w:pPr>
        <w:pStyle w:val="BodyText"/>
      </w:pPr>
      <w:bookmarkStart w:id="213" w:name="img:lorenz_plotter"/>
      <w:r>
        <w:t xml:space="preserve">[img:lorenz_plotter]</w:t>
      </w:r>
      <w:bookmarkEnd w:id="213"/>
    </w:p>
    <w:p>
      <w:pPr>
        <w:pStyle w:val="Heading5"/>
      </w:pPr>
      <w:bookmarkStart w:id="214" w:name="fractality"/>
      <w:r>
        <w:t xml:space="preserve">Fractality</w:t>
      </w:r>
      <w:bookmarkEnd w:id="214"/>
    </w:p>
    <w:p>
      <w:pPr>
        <w:pStyle w:val="FirstParagraph"/>
      </w:pPr>
      <w:r>
        <w:t xml:space="preserve">However, identifying predictability in this way means falling in a cybernetic trap, of which Hayles already warned about when considering Turing’s Test. Hayles reads Turing’s test as a game which, in order to play you are already part of its outcome because you accept its predicates as a condition for playing. In Turing’s case, the moment you enter into the disembodied place where the screen is the only thing you see, you are already a cyborg, and the definition of the human and the nonhuman is already laid out in principle. On the one hand, by equating fidelity of data storage with fidelity of performance, one is already removing the human out of the concert stage, and the question of performance altogether, leaving only the idealist and romantic notion of the work of art in its pure and objective state. On the other, in order to allow for the style of databasing (skin) to emerge, one has to consider not only the actual staging of performance, also the staging of listening itself, which is the possibility condition for the resonating subject of the database to emerge as the communicative apparition of a skin. Therefore, the contingency of style (as chaotic state) can only emerge out of the unpredictable agency of the unfolding. This is how I consider databasing and the contingency of style: the unpredictability of databasing has the qualities of a fractal. On the one hand, because of the fractal dimension, it expands the definition of geometric figures to the infinite. On the other, it presents an unfolding symmetry (self-similarity), which relates to their shapes being replicated nearly exactly in different scales.</w:t>
      </w:r>
    </w:p>
    <w:p>
      <w:pPr>
        <w:pStyle w:val="Heading5"/>
      </w:pPr>
      <w:bookmarkStart w:id="215" w:name="a-music-work-as-a-singularity"/>
      <w:r>
        <w:t xml:space="preserve">A Music Work as a Singularity</w:t>
      </w:r>
      <w:bookmarkEnd w:id="215"/>
    </w:p>
    <w:p>
      <w:pPr>
        <w:pStyle w:val="FirstParagraph"/>
      </w:pPr>
      <w:r>
        <w:t xml:space="preserve">This aesthetic experience, it must be noted, is of a nature that slips through the cracks of traditional conceptualizations of the work of music as a result of stylistic, or stipulated constraints on the part of the composer, or stochastic procedures. For example, composer Horacio Vaggione goes to great lengths to prove that the musical work affirms itself as singularity, in the particular sense that its rules are only prescribed from within, and always in an “action-perception loop” with the composer</w:t>
      </w:r>
      <w:r>
        <w:t xml:space="preserve"> </w:t>
      </w:r>
      <w:r>
        <w:t xml:space="preserve">(Vaggione 2001)</w:t>
      </w:r>
      <w:r>
        <w:t xml:space="preserve">. What Vaggione is arguing against, is the tendency of formalized musical processes that had reshaped the black-boxed approach towards composition in CAC : “a composer [unlike a scientist] knows how to generate singular events, and how to articulate them in bigger and bigger chunks without losing the control of the singularities”</w:t>
      </w:r>
      <w:r>
        <w:t xml:space="preserve"> </w:t>
      </w:r>
      <w:r>
        <w:t xml:space="preserve">(Vaggione 1993, p. 97)</w:t>
      </w:r>
      <w:r>
        <w:t xml:space="preserve">. However, there is a fundamental concern that needs to be addressed in relation to the contingency of style. For Vaggione, style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 </w:t>
      </w:r>
      <w:r>
        <w:t xml:space="preserve">(Vaggione 2001, p. 59)</w:t>
      </w:r>
    </w:p>
    <w:p>
      <w:pPr>
        <w:pStyle w:val="Heading5"/>
      </w:pPr>
      <w:bookmarkStart w:id="216" w:name="arbitrariness"/>
      <w:r>
        <w:t xml:space="preserve">Arbitrariness</w:t>
      </w:r>
      <w:bookmarkEnd w:id="216"/>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 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which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Heading5"/>
      </w:pPr>
      <w:bookmarkStart w:id="217" w:name="inoperative-style"/>
      <w:r>
        <w:t xml:space="preserve">Inoperative Style</w:t>
      </w:r>
      <w:bookmarkEnd w:id="217"/>
    </w:p>
    <w:p>
      <w:pPr>
        <w:pStyle w:val="FirstParagraph"/>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as communication. This is what connects aesthetic experience of style with forensic (musical) analysis as well as with an encounter with the spectral. Furthermore, this is how the spectral itself cannot be but a result of the inoperative, of that which escapes the limits of the work,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Heading3"/>
      </w:pPr>
      <w:bookmarkStart w:id="218" w:name="authority"/>
      <w:r>
        <w:t xml:space="preserve">A Specter Of Authority</w:t>
      </w:r>
      <w:bookmarkEnd w:id="218"/>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The figure of the author (composer/databaser) is, to a certain extent, exploded as network by the complexity of the system. However, authority is reified into the name because of the interplay among work, productivity, and product. In this section I attempt an approach to the name of the composer not by its work, but from the illusory perspective of authority. However composable all Vaggonian primitives can be, the structure of the database tree is so vast that any attempt to comprehend it as a whole would extend it even further (See</w:t>
      </w:r>
      <w:r>
        <w:t xml:space="preserve"> </w:t>
      </w:r>
      <w:hyperlink w:anchor="network">
        <w:r>
          <w:rPr>
            <w:rStyle w:val="Hyperlink"/>
          </w:rPr>
          <w:t xml:space="preserve">5.1.2</w:t>
        </w:r>
      </w:hyperlink>
      <w:r>
        <w:t xml:space="preserve">). However, this determines neither the extent of the performativity of databasing, nor the agency of the human. Quite the contrary, expansion through the network can be considered as the trace of the author, or better, the elongation of the spectral shape of an author. Further, with the performativity of databasing, the databaser too becomes incomplete.</w:t>
      </w:r>
    </w:p>
    <w:p>
      <w:pPr>
        <w:pStyle w:val="Heading5"/>
      </w:pPr>
      <w:bookmarkStart w:id="219" w:name="the-name"/>
      <w:r>
        <w:t xml:space="preserve">The Name</w:t>
      </w:r>
      <w:bookmarkEnd w:id="219"/>
    </w:p>
    <w:p>
      <w:pPr>
        <w:pStyle w:val="FirstParagraph"/>
      </w:pPr>
      <w:r>
        <w:t xml:space="preserve">The infinitude in the fractality of databasing, however, is at some point reified in a figure or a name. This figure is the place where authority is condensed, and it responds to traditionally essentialist conceptualizations of the romantic author which, despite the many attempts during 20th century,</w:t>
      </w:r>
      <w:hyperlink w:anchor="fn41">
        <w:r>
          <w:rPr>
            <w:vertAlign w:val="superscript"/>
            <w:rStyle w:val="Hyperlink"/>
          </w:rPr>
          <w:t xml:space="preserve">41</w:t>
        </w:r>
      </w:hyperlink>
      <w:r>
        <w:t xml:space="preserve"> </w:t>
      </w:r>
      <w:r>
        <w:t xml:space="preserve">are still in effect today, specifically in the field of music composition. It is not the purpose of this section to criticize this tradition, namely because I don’t consider it relevant for the purposes of databasing. Focusing on it would be missing the point. That is to say, in the case of databasing, such figure of an essential author is simply dislocated and forced upon the structure of the network, and it is anachronic because it constitutes a temporality set against the temporality of networks. Databasing, as resonant performativity already exists beyond this traditional figure of the author. However, in its spectrality that stems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Heading5"/>
      </w:pPr>
      <w:bookmarkStart w:id="220" w:name="dictionaries"/>
      <w:r>
        <w:t xml:space="preserve">Dictionaries</w:t>
      </w:r>
      <w:bookmarkEnd w:id="220"/>
    </w:p>
    <w:p>
      <w:pPr>
        <w:pStyle w:val="FirstParagraph"/>
      </w:pPr>
      <w:r>
        <w:t xml:space="preserve">Consider how style is used in some cases of CAC . David Cope’s EMI</w:t>
      </w:r>
      <w:r>
        <w:t xml:space="preserve"> </w:t>
      </w:r>
      <w:r>
        <w:t xml:space="preserve">(Cope 1987a)</w:t>
      </w:r>
      <w:r>
        <w:t xml:space="preserve">, for example, can be considered a formalization of compositional authority. That is to say, intentional stylization “based on a large database of style descriptions, or rules, of different compositional strategies”</w:t>
      </w:r>
      <w:r>
        <w:t xml:space="preserve"> </w:t>
      </w:r>
      <w:r>
        <w:t xml:space="preserve">(IV 1999, p. 3)</w:t>
      </w:r>
      <w:r>
        <w:t xml:space="preserve">. Written in the functional programming language LISP , EMI ’s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1987b, p. 38)</w:t>
      </w:r>
      <w:r>
        <w:t xml:space="preserve">. Cope’s approach is inherently hirearchical, and thus based on the premise that music is a language. Therefore, Cope designed dictionaries (databases) of MIDI scores representing the internal relations between composed elements. From items in the dictionary, logically correct inferrences are drawn (predicate calculus)</w:t>
      </w:r>
      <w:r>
        <w:t xml:space="preserve"> </w:t>
      </w:r>
      <w:r>
        <w:t xml:space="preserve">(Cope 1987a, p. 1)</w:t>
      </w:r>
      <w:r>
        <w:t xml:space="preserve">. Thus, EMI is aimed at generalizations that reify the authority of the composer as style:</w:t>
      </w:r>
    </w:p>
    <w:p>
      <w:pPr>
        <w:pStyle w:val="BlockText"/>
      </w:pPr>
      <w:r>
        <w:t xml:space="preserve">Years of consistent interactive use have resulted in dictionaries which so complement the author’s own style that compositions show little evidence of the origins (man/machine) of the music.</w:t>
      </w:r>
      <w:r>
        <w:t xml:space="preserve"> </w:t>
      </w:r>
      <w:r>
        <w:t xml:space="preserve">(Cope 1987a, p. 179)</w:t>
      </w:r>
    </w:p>
    <w:p>
      <w:pPr>
        <w:pStyle w:val="Heading5"/>
      </w:pPr>
      <w:bookmarkStart w:id="221" w:name="artistry"/>
      <w:r>
        <w:t xml:space="preserve">Artistry</w:t>
      </w:r>
      <w:bookmarkEnd w:id="221"/>
    </w:p>
    <w:p>
      <w:pPr>
        <w:pStyle w:val="FirstParagraph"/>
      </w:pPr>
      <w:r>
        <w:t xml:space="preserve">Vaggione, in response to a formalized approach to music —among many that exist in the literature</w:t>
      </w:r>
      <w:r>
        <w:t xml:space="preserve"> </w:t>
      </w:r>
      <w:r>
        <w:t xml:space="preserve">(Ariza 2005a, Hiller &amp; Isaacson 1959, Truax 1976, Xenakis 1992)</w:t>
      </w:r>
      <w:r>
        <w:t xml:space="preserve">—, proposes the equal role of the informal (or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42">
        <w:r>
          <w:rPr>
            <w:vertAlign w:val="superscript"/>
            <w:rStyle w:val="Hyperlink"/>
          </w:rPr>
          <w:t xml:space="preserve">42</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Craftsmanship refers to the manual and direct action of the hand of the composer. The hand, as Makis Solomos very well points out, is not to be understood as being without the tool (mouse) that it needs to use in order to precisely locate sounds on the timeline interface</w:t>
      </w:r>
      <w:r>
        <w:t xml:space="preserve"> </w:t>
      </w:r>
      <w:r>
        <w:t xml:space="preserve">(Solomos 2005, p. 4)</w:t>
      </w:r>
      <w:r>
        <w:t xml:space="preserve">. Craftsmanship might be better understood, however, as ‘artistry,’ thus keeping its relation to hand-made crafts, while maintaining a link with articulation, one of Vaggione’s crucial concepts. While articulation relates to the composer’s operativity on multiple time scales, artistry relates to the arbitrariness of choice. It is thus a reaction to the abundandy of radical formalism and automation in CAC</w:t>
      </w:r>
      <w:r>
        <w:t xml:space="preserve"> </w:t>
      </w:r>
      <w:r>
        <w:t xml:space="preserve">(Solomos 2005, p. 3)</w:t>
      </w:r>
      <w:r>
        <w:t xml:space="preserve">. Therefore, Vaggione writes, “to write music ‘manually’, note by note, partial by partial, or grain by grain, is an approach proper to a composer, and he should not be embarrassed about using this aspect of his craftsmanship”’</w:t>
      </w:r>
      <w:r>
        <w:t xml:space="preserve"> </w:t>
      </w:r>
      <w:r>
        <w:t xml:space="preserve">(Solomos 2005, p. 3)</w:t>
      </w:r>
      <w:r>
        <w:t xml:space="preserve">. Vaggione built his terminology not in opposition, but in the spirit of reconfiguring CAC from an embodied stance coming from outside information theory. This stance is not only evident in Vaggione’s writings and music. To a debatable extent, it is a point of departure to think of a branch of Argentinian electroacoustic identity that developed in France.</w:t>
      </w:r>
      <w:hyperlink w:anchor="fn43">
        <w:r>
          <w:rPr>
            <w:vertAlign w:val="superscript"/>
            <w:rStyle w:val="Hyperlink"/>
          </w:rPr>
          <w:t xml:space="preserve">43</w:t>
        </w:r>
      </w:hyperlink>
    </w:p>
    <w:p>
      <w:pPr>
        <w:pStyle w:val="Heading5"/>
      </w:pPr>
      <w:bookmarkStart w:id="222" w:name="the-work-of-mice"/>
      <w:r>
        <w:t xml:space="preserve">The Work of Mice</w:t>
      </w:r>
      <w:bookmarkEnd w:id="222"/>
    </w:p>
    <w:p>
      <w:pPr>
        <w:pStyle w:val="FirstParagraph"/>
      </w:pPr>
      <w:r>
        <w:t xml:space="preserve">Instead of being on the rule-based programming of formalization processes alone (keyboard-based input), the artistry of the composer resides in the use of the mouse. The timeline (sequence interface) workflow depends on the pointer. If the presence of the hand of the composer is evidenced by the trajectory (the course of the cursor), it shapes together with the historial of clicks, drag-n-drop motions, etc., the spectral presence of the author. This mouse, as the point of the pointer, the writing device, the ’stilus’, becomes that with which we resonate as listeners. Therefore, we perceive the marks of an authorial skin in the database music of pointers. The Vaggionian singularity-based approach to authority embeds composers and computers in a complex system, allowing for the world of music with computers to be a hybrid one. This is how the specter of the author coexists with the specter of the database, and thus, how databasing and composition reveal themselves to be instances of a performativity that resonates aesthetically through the work of music.</w:t>
      </w:r>
    </w:p>
    <w:p>
      <w:pPr>
        <w:pStyle w:val="Heading2"/>
      </w:pPr>
      <w:bookmarkStart w:id="223" w:name="section:Rethinking_Composition"/>
      <w:r>
        <w:t xml:space="preserve">Rethinking Composition</w:t>
      </w:r>
      <w:bookmarkEnd w:id="223"/>
    </w:p>
    <w:p>
      <w:pPr>
        <w:pStyle w:val="Heading3"/>
      </w:pPr>
      <w:bookmarkStart w:id="224" w:name="performance"/>
      <w:r>
        <w:t xml:space="preserve">Interlude: Hyperbolic Reactions</w:t>
      </w:r>
      <w:bookmarkEnd w:id="224"/>
    </w:p>
    <w:p>
      <w:pPr>
        <w:pStyle w:val="Heading5"/>
      </w:pPr>
      <w:bookmarkStart w:id="225" w:name="imagining-composers"/>
      <w:r>
        <w:t xml:space="preserve">Imagining Composers</w:t>
      </w:r>
      <w:bookmarkEnd w:id="225"/>
    </w:p>
    <w:p>
      <w:pPr>
        <w:pStyle w:val="FirstParagraph"/>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 This reification of the composer already precludes not only the digital, also the many technological devices that have entered music composition over the years, such as tape recorders, or electronics in general. These technological devices have redefined the composer in many ways.</w:t>
      </w:r>
    </w:p>
    <w:p>
      <w:pPr>
        <w:pStyle w:val="Heading5"/>
      </w:pPr>
      <w:bookmarkStart w:id="226" w:name="composers-and-technology"/>
      <w:r>
        <w:t xml:space="preserve">Composers and Technology</w:t>
      </w:r>
      <w:bookmarkEnd w:id="226"/>
    </w:p>
    <w:p>
      <w:pPr>
        <w:pStyle w:val="FirstParagraph"/>
      </w:pPr>
      <w:r>
        <w:t xml:space="preserve">Georgina Born’s ethnography of IRCAM</w:t>
      </w:r>
      <w:r>
        <w:t xml:space="preserve"> </w:t>
      </w:r>
      <w:r>
        <w:t xml:space="preserve">(Born 1995)</w:t>
      </w:r>
      <w:r>
        <w:t xml:space="preserve">, captured how the institutionalization of music composition and technology resulted in hierarchical structures of work dynamics, and how these were coated with false notions of collaboration. Inequalities of social, economical, and political status among technicians and composers within IRCAM became privately evident. Knowing how to use computers and knowing how to compose comprised two irreconcilable poles in the institutional structure. For example, Born describes internal hierarchies such as ‘superuser’ password knowledge, source code access, software licences, and, in some cases, she showed how these hierarchies reflected on internal privacy issues: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p>
    <w:p>
      <w:pPr>
        <w:pStyle w:val="Heading5"/>
      </w:pPr>
      <w:bookmarkStart w:id="227" w:name="playing-with-shadows"/>
      <w:r>
        <w:t xml:space="preserve">Playing with Shadows</w:t>
      </w:r>
      <w:bookmarkEnd w:id="227"/>
    </w:p>
    <w:p>
      <w:pPr>
        <w:pStyle w:val="FirstParagraph"/>
      </w:pPr>
      <w:r>
        <w:t xml:space="preserve">On the one hand, it is tempting to link this irreconciliation to the extreme reification of the name Pierre Boulez. The obscure dynamics behind this reification, however privately and secretly they were kept within the institution, can be nonetheless seen as the shadow of the more general specter of the music maker. Born’s mysterious but telling anonymization of anyone but Boulez on her transcriptions might attest to this shadow. The music maker has been traditionally considered an outsider, marginalized by society, but simultaneously an integrator of society itself</w:t>
      </w:r>
      <w:r>
        <w:t xml:space="preserve"> </w:t>
      </w:r>
      <w:r>
        <w:t xml:space="preserve">(Attali 2009, p. 12)</w:t>
      </w:r>
      <w:r>
        <w:t xml:space="preserve">. On the other hand,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(perhaps) the end of music. This hyperbolic reaction would explain the need for privacy and secrecy of information, the undocumented “oral culture” of Born’s IRCAM , as well as the reversal of the human-computer subordination evidenced in the social strata of the institution. In any case, a composer without computers cannot be imagined today,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w:t>
      </w:r>
    </w:p>
    <w:p>
      <w:pPr>
        <w:pStyle w:val="Heading5"/>
      </w:pPr>
      <w:bookmarkStart w:id="228" w:name="composers-without-computers"/>
      <w:r>
        <w:t xml:space="preserve">Composers Without Computers</w:t>
      </w:r>
      <w:bookmarkEnd w:id="228"/>
    </w:p>
    <w:p>
      <w:pPr>
        <w:pStyle w:val="FirstParagraph"/>
      </w:pPr>
      <w:r>
        <w:t xml:space="preserve">Composing with or without computers cannot be seen as poles on a continuum upon which the name of the composer writes and rewrites itself. Composing cannot be separated from computers, because the human cannot be separated from the non.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lengths to do so: going to instrumental performances, getting a vinyl record or a tape player, etc. To have a concert, therefore, a composer without computers today would need to whisper the score to the performers who would, in turn, play by ear. (‘By ear’, in the sense that they would need to play from memory, since no printed score would exist, for even if the composer wrote the parts, the score would have to be inscribed on a paper, and somewhere along paper networks there is at least one computer.) The composer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 AUTOCAD ; before the sun sets, to avoid electricity networks altogether while we are at it; away from cities, a car driving by would be unforgivable; so far away that we would, in fact, need to bring non-perishables for the pilgrimage, and even then, packaging networks or agriculture networks would be almost impossible to avoid. 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w:t>
      </w:r>
    </w:p>
    <w:p>
      <w:pPr>
        <w:pStyle w:val="Heading5"/>
      </w:pPr>
      <w:bookmarkStart w:id="229" w:name="databasing-without-computers"/>
      <w:r>
        <w:t xml:space="preserve">Databasing Without Computers</w:t>
      </w:r>
      <w:bookmarkEnd w:id="229"/>
    </w:p>
    <w:p>
      <w:pPr>
        <w:pStyle w:val="FirstParagraph"/>
      </w:pPr>
      <w:r>
        <w:t xml:space="preserve">The same applies to databasing itself.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Heading3"/>
      </w:pPr>
      <w:bookmarkStart w:id="230" w:name="organic"/>
      <w:r>
        <w:t xml:space="preserve">Working Composition</w:t>
      </w:r>
      <w:bookmarkEnd w:id="230"/>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In Peter Szendy’s discussion on Schoenberg’s modern organicism and what he calls “the modernist regime of listening”</w:t>
      </w:r>
      <w:r>
        <w:t xml:space="preserve"> </w:t>
      </w:r>
      <w:r>
        <w:t xml:space="preserve">(Szendy 2008)</w:t>
      </w:r>
      <w:r>
        <w:t xml:space="preserve">, ‘listening’ and ‘work’ collapse into each other, and the problem of the music work can be articulated. The image of the composer and the practice of composition can be understood differently, and by extension, databasing will be reconfigured as well, and the database as that which is a product (or work) of databasing will in turn be seen differently.</w:t>
      </w:r>
    </w:p>
    <w:p>
      <w:pPr>
        <w:pStyle w:val="Heading5"/>
      </w:pPr>
      <w:bookmarkStart w:id="231" w:name="the-work-problem"/>
      <w:r>
        <w:t xml:space="preserve">The Work Problem</w:t>
      </w:r>
      <w:bookmarkEnd w:id="231"/>
    </w:p>
    <w:p>
      <w:pPr>
        <w:pStyle w:val="FirstParagraph"/>
      </w:pPr>
      <w:r>
        <w:t xml:space="preserve">In what does this articulation of the problem of the music work consist of? First of all, why is it a problem? As Szendy suggests with the metaphor of the the self-amputation of the listener, we as the body of listeners (the listening body) would be severed. Put differently, listening itself would be delineated from outside itself. That is to say, with the presence of an object (music work) which, in its interest of perfecting, polishing, and thus giving itself a ‘finish,’ would shape and reshape listening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In this sense, this listener displays a measured listening, tailored, developed into different degrees of listening like a</w:t>
      </w:r>
      <w:r>
        <w:t xml:space="preserve"> </w:t>
      </w:r>
      <w:r>
        <w:rPr>
          <w:i/>
        </w:rPr>
        <w:t xml:space="preserve">gradus ad auscultare</w:t>
      </w:r>
      <w:r>
        <w:t xml:space="preserve">, one existing beyond any psychoacoustic measuring.</w:t>
      </w:r>
    </w:p>
    <w:p>
      <w:pPr>
        <w:pStyle w:val="Heading5"/>
      </w:pPr>
      <w:bookmarkStart w:id="232" w:name="working-rules"/>
      <w:r>
        <w:t xml:space="preserve">Working Rules</w:t>
      </w:r>
      <w:bookmarkEnd w:id="232"/>
    </w:p>
    <w:p>
      <w:pPr>
        <w:pStyle w:val="FirstParagraph"/>
      </w:pPr>
      <w:r>
        <w:t xml:space="preserve">From the shaping of listening by the work, and from the working activity that is performed by the work itself, the presence of the work as an object can be thus traced. In other words, the work of the music work can be considered as the work of an agent in the composition network: the music-work-as-object and the listening-as-object become nodes. In the modernist regime, the hierarchy priorizes the ruler (work-node), and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The only exception is, of course, the extremely cultivated case of composers, which revert the arrow. This exception, however, is not so much an exception, as it is the prescription of the rule and of ruling itself, since it is this reversal what enables the structure in the first place: the ruling of the exception. 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because “…what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 As I have explained before using Nancy’s concept of the resonance of a return (See</w:t>
      </w:r>
      <w:r>
        <w:t xml:space="preserve"> </w:t>
      </w:r>
      <w:hyperlink w:anchor="resonance_of_a_return">
        <w:r>
          <w:rPr>
            <w:rStyle w:val="Hyperlink"/>
          </w:rPr>
          <w:t xml:space="preserve">5.1.1</w:t>
        </w:r>
      </w:hyperlink>
      <w:r>
        <w:t xml:space="preserve">), listening is an approach to the relationship in self. Implementing this relationship within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w:t>
      </w:r>
    </w:p>
    <w:p>
      <w:pPr>
        <w:pStyle w:val="Heading5"/>
      </w:pPr>
      <w:bookmarkStart w:id="233" w:name="a-space-of-difference"/>
      <w:r>
        <w:t xml:space="preserve">A Space of Difference</w:t>
      </w:r>
      <w:bookmarkEnd w:id="233"/>
    </w:p>
    <w:p>
      <w:pPr>
        <w:pStyle w:val="FirstParagraph"/>
      </w:pPr>
      <w:r>
        <w:t xml:space="preserve">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5.1.3</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44">
        <w:r>
          <w:rPr>
            <w:vertAlign w:val="superscript"/>
            <w:rStyle w:val="Hyperlink"/>
          </w:rPr>
          <w:t xml:space="preserve">44</w:t>
        </w:r>
      </w:hyperlink>
      <w:r>
        <w:t xml:space="preserve"> </w:t>
      </w:r>
      <w:r>
        <w:t xml:space="preserve">One would be tempted, equally, to place this inoperativity outside temporality itself, but then one would forget forgetfulness itself. Inoperativity is within the resonating space of an always.</w:t>
      </w:r>
    </w:p>
    <w:p>
      <w:pPr>
        <w:pStyle w:val="Heading5"/>
      </w:pPr>
      <w:bookmarkStart w:id="234" w:name="a-severed-work"/>
      <w:r>
        <w:t xml:space="preserve">A Severed Work</w:t>
      </w:r>
      <w:bookmarkEnd w:id="234"/>
    </w:p>
    <w:p>
      <w:pPr>
        <w:pStyle w:val="FirstParagraph"/>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inattentive listener falls in the uselessness of its excess, sound ‘outside’ 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Heading5"/>
      </w:pPr>
      <w:bookmarkStart w:id="235" w:name="absorbption"/>
      <w:r>
        <w:t xml:space="preserve">Absorbption</w:t>
      </w:r>
      <w:bookmarkEnd w:id="235"/>
    </w:p>
    <w:p>
      <w:pPr>
        <w:pStyle w:val="FirstParagraph"/>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fours stages of degradation of Western Music’s “outside-time structures,” article</w:t>
      </w:r>
      <w:r>
        <w:t xml:space="preserve"> </w:t>
      </w:r>
      <w:r>
        <w:rPr>
          <w:i/>
        </w:rPr>
        <w:t xml:space="preserve">Towards a Metamusic</w:t>
      </w:r>
      <w:r>
        <w:t xml:space="preserve"> </w:t>
      </w:r>
      <w:r>
        <w:t xml:space="preserve">(1967): “we can see a phenomenon of absorption of the ancient enharmonic by the diatonic. This must have taken place during the first centuries of Christianity, as part of the Church fathers’ struggle against paganism and certain of its manifestations in the arts…” Later, referring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 However, Xenakis’ narrative contextualizes his sieve theory, devised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r>
        <w:t xml:space="preserve"> </w:t>
      </w:r>
      <w:r>
        <w:t xml:space="preserve">(Xenakis 1992, p. 200)</w:t>
      </w:r>
      <w:r>
        <w:t xml:space="preserve">. 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and composer, was identifying with ‘industrialized’ music? Is it not a product of modernity itself, as the working that listened to itself to the point of working out a Xenakis-listener-node to the extreme?</w:t>
      </w:r>
    </w:p>
    <w:p>
      <w:pPr>
        <w:pStyle w:val="Heading3"/>
      </w:pPr>
      <w:bookmarkStart w:id="236" w:name="practice"/>
      <w:r>
        <w:t xml:space="preserve">The Composer As Navigator</w:t>
      </w:r>
      <w:bookmarkEnd w:id="236"/>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Heading5"/>
      </w:pPr>
      <w:bookmarkStart w:id="237" w:name="querying-the-sieves"/>
      <w:r>
        <w:t xml:space="preserve">Querying the Sieves</w:t>
      </w:r>
      <w:bookmarkEnd w:id="237"/>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t>
      </w:r>
      <w:hyperlink w:anchor="fn45">
        <w:r>
          <w:rPr>
            <w:vertAlign w:val="superscript"/>
            <w:rStyle w:val="Hyperlink"/>
          </w:rPr>
          <w:t xml:space="preserve">45</w:t>
        </w:r>
      </w:hyperlink>
      <w:r>
        <w:t xml:space="preserve"> </w:t>
      </w:r>
      <w:r>
        <w:t xml:space="preserve">While Xenakis’ experiments were carried out on the IBM-7090 mainframe computer located at IBM-France in Paris, Codd himself worked at the IBM Research Laboratory in San Jose, California. Furthermore, this same computer was used by Hiller and Baker in their realization of MUSICOMP , a pioneering language for algorithmic composition</w:t>
      </w:r>
      <w:r>
        <w:t xml:space="preserve"> </w:t>
      </w:r>
      <w:r>
        <w:t xml:space="preserve">(Ariza 2005a, p. 44)</w:t>
      </w:r>
      <w:r>
        <w:t xml:space="preserve">. Most important, the IBM-7090 used the programming language FORTRAN IV, as can be seen by the printed FORTRAN routines for Xenakis’ 1962 work</w:t>
      </w:r>
      <w:r>
        <w:t xml:space="preserve"> </w:t>
      </w:r>
      <w:r>
        <w:rPr>
          <w:i/>
        </w:rPr>
        <w:t xml:space="preserve">Atrées (ST/10-3 060962)</w:t>
      </w:r>
      <w:r>
        <w:t xml:space="preserve"> </w:t>
      </w:r>
      <w:r>
        <w:t xml:space="preserve">(Xenakis 1992, p. 145)</w:t>
      </w:r>
      <w:r>
        <w:t xml:space="preserve">.</w:t>
      </w:r>
      <w:hyperlink w:anchor="fn46">
        <w:r>
          <w:rPr>
            <w:vertAlign w:val="superscript"/>
            <w:rStyle w:val="Hyperlink"/>
          </w:rPr>
          <w:t xml:space="preserve">46</w:t>
        </w:r>
      </w:hyperlink>
      <w:r>
        <w:t xml:space="preserve"> </w:t>
      </w:r>
      <w:r>
        <w:t xml:space="preserve">Xenakis’s work on sieves came a few years after his experiments on the IBM-7090 , and his sieves program was written in Basic and then in C. However, the experience with FORTRAN IV at the IBM-7090 serves nonetheless as a common ancestor to both Xenakis and Codd. For example, Xenakis’ transcriptions in early CAC systems were performed with tables of outputted computer data. Further,</w:t>
      </w:r>
      <w:r>
        <w:t xml:space="preserve"> </w:t>
      </w:r>
      <w:r>
        <w:t xml:space="preserve">Ariza (2005a)</w:t>
      </w:r>
      <w:r>
        <w:t xml:space="preserve"> </w:t>
      </w:r>
      <w:r>
        <w:t xml:space="preserve">(Ariza 2005a)</w:t>
      </w:r>
      <w:r>
        <w:t xml:space="preserve"> </w:t>
      </w:r>
      <w:r>
        <w:t xml:space="preserve">writes how “the early systems of Hiller, Xenakis, and Koenig all required manual transcription of computer output into Western notation. The computer output of these early systems was in the form of</w:t>
      </w:r>
      <w:r>
        <w:t xml:space="preserve"> </w:t>
      </w:r>
      <w:r>
        <w:rPr>
          <w:i/>
        </w:rPr>
        <w:t xml:space="preserve">alpha-numeric data tables</w:t>
      </w:r>
      <w:r>
        <w:t xml:space="preserve">: each row represents an event, each column represents an event parameter value” [emphasis added]</w:t>
      </w:r>
      <w:r>
        <w:t xml:space="preserve"> </w:t>
      </w:r>
      <w:r>
        <w:t xml:space="preserve">(Ariza 2005a, p. 94)</w:t>
      </w:r>
      <w:r>
        <w:t xml:space="preserve">. In this sense, performance in CAC meant interpreting results out of a database.</w:t>
      </w:r>
      <w:hyperlink w:anchor="fn47">
        <w:r>
          <w:rPr>
            <w:vertAlign w:val="superscript"/>
            <w:rStyle w:val="Hyperlink"/>
          </w:rPr>
          <w:t xml:space="preserve">47</w:t>
        </w:r>
      </w:hyperlink>
    </w:p>
    <w:p>
      <w:pPr>
        <w:pStyle w:val="Heading5"/>
      </w:pPr>
      <w:bookmarkStart w:id="238" w:name="sound-synthesis-parenthesis"/>
      <w:r>
        <w:t xml:space="preserve">Sound Synthesis Parenthesis</w:t>
      </w:r>
      <w:bookmarkEnd w:id="238"/>
    </w:p>
    <w:p>
      <w:pPr>
        <w:pStyle w:val="FirstParagraph"/>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at Bell Telephone Laboratories, wrote:</w:t>
      </w:r>
    </w:p>
    <w:p>
      <w:pPr>
        <w:pStyle w:val="BlockText"/>
      </w:pPr>
      <w:r>
        <w:t xml:space="preserve">A high-speed machine such as the IBM-7090 ,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48">
        <w:r>
          <w:rPr>
            <w:vertAlign w:val="superscript"/>
            <w:rStyle w:val="Hyperlink"/>
          </w:rPr>
          <w:t xml:space="preserve">48</w:t>
        </w:r>
      </w:hyperlink>
      <w:r>
        <w:t xml:space="preserve"> </w:t>
      </w:r>
      <w:r>
        <w:t xml:space="preserve">I will close this parenthesis, not without returning to this discussion in the following section (See</w:t>
      </w:r>
      <w:r>
        <w:t xml:space="preserve"> </w:t>
      </w:r>
      <w:hyperlink w:anchor="improv">
        <w:r>
          <w:rPr>
            <w:rStyle w:val="Hyperlink"/>
          </w:rPr>
          <w:t xml:space="preserve">5.4.4</w:t>
        </w:r>
      </w:hyperlink>
      <w:r>
        <w:t xml:space="preserve">))</w:t>
      </w:r>
    </w:p>
    <w:p>
      <w:pPr>
        <w:pStyle w:val="Heading5"/>
      </w:pPr>
      <w:bookmarkStart w:id="239" w:name="algebraic-abstractions-for-freedom"/>
      <w:r>
        <w:t xml:space="preserve">Algebraic Abstractions for Freedom</w:t>
      </w:r>
      <w:bookmarkEnd w:id="239"/>
    </w:p>
    <w:p>
      <w:pPr>
        <w:pStyle w:val="FirstParagraph"/>
      </w:pPr>
      <w:r>
        <w:t xml:space="preserve">Xenakis’ and Codd’s papers came out around the same time: Xenakis’ english publication of</w:t>
      </w:r>
      <w:r>
        <w:t xml:space="preserve"> </w:t>
      </w:r>
      <w:r>
        <w:rPr>
          <w:i/>
        </w:rPr>
        <w:t xml:space="preserve">Towards a Metamusic</w:t>
      </w:r>
      <w:r>
        <w:t xml:space="preserve"> </w:t>
      </w:r>
      <w:r>
        <w:t xml:space="preserve">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devise any kind of algebraic queries, thus operating at a higher level of abstraction, enabling a less problematic kind of envisioning. Conversely, Xenakis writes: “freed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 [emphasis added]</w:t>
      </w:r>
      <w:r>
        <w:t xml:space="preserve"> </w:t>
      </w:r>
      <w:r>
        <w:t xml:space="preserve">(Xenakis 1992, p. 144)</w:t>
      </w:r>
      <w:r>
        <w:t xml:space="preserve">.</w:t>
      </w:r>
    </w:p>
    <w:p>
      <w:pPr>
        <w:pStyle w:val="Heading5"/>
      </w:pPr>
      <w:bookmarkStart w:id="240" w:name="a-cosmic-vessel-and-an-armchair"/>
      <w:r>
        <w:t xml:space="preserve">A Cosmic Vessel and an Armchair</w:t>
      </w:r>
      <w:bookmarkEnd w:id="240"/>
    </w:p>
    <w:p>
      <w:pPr>
        <w:pStyle w:val="FirstParagraph"/>
      </w:pPr>
      <w:r>
        <w:t xml:space="preserve">Therefore, the composer delegates to the computer the minutiae of arduous iterative computations: precisely what the computer is better at than the human. As a result, in Xenakis’ view, and in resonance with programmer Charles Bachman’s claim for the</w:t>
      </w:r>
      <w:r>
        <w:t xml:space="preserve"> </w:t>
      </w:r>
      <w:r>
        <w:rPr>
          <w:i/>
        </w:rPr>
        <w:t xml:space="preserve">The Programmer as Navigator</w:t>
      </w:r>
      <w:r>
        <w:t xml:space="preserve"> </w:t>
      </w:r>
      <w:r>
        <w:t xml:space="preserve">(Bachman 1973)</w:t>
      </w:r>
      <w:r>
        <w:t xml:space="preserve">, the composer became a pilot:</w:t>
      </w:r>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hierarchical and network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and economically expensive process combining punch cards and magnetic tapes, the composer and the databaser could change the input several times, achieving different outputs in a matter of hours.</w:t>
      </w:r>
      <w:hyperlink w:anchor="fn49">
        <w:r>
          <w:rPr>
            <w:vertAlign w:val="superscript"/>
            <w:rStyle w:val="Hyperlink"/>
          </w:rPr>
          <w:t xml:space="preserve">49</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 but recalling these limitations places composition and databasing in perspective.</w:t>
      </w:r>
    </w:p>
    <w:p>
      <w:pPr>
        <w:pStyle w:val="Heading3"/>
      </w:pPr>
      <w:bookmarkStart w:id="241" w:name="improv"/>
      <w:r>
        <w:t xml:space="preserve">The Database As Performer</w:t>
      </w:r>
      <w:bookmarkEnd w:id="241"/>
    </w:p>
    <w:p>
      <w:pPr>
        <w:pStyle w:val="FirstParagraph"/>
      </w:pPr>
      <w:r>
        <w:t xml:space="preserve">I would like to take an improvisational turn that would make Xenakis fall off his armchair. Xenakis’ fall would be contemplated against the spirit of the later discussions on interaction that came with George Lewis and</w:t>
      </w:r>
      <w:r>
        <w:t xml:space="preserve"> </w:t>
      </w:r>
      <w:r>
        <w:rPr>
          <w:i/>
        </w:rPr>
        <w:t xml:space="preserve">Voyager</w:t>
      </w:r>
      <w:r>
        <w:t xml:space="preserve"> </w:t>
      </w:r>
      <w:r>
        <w:t xml:space="preserve">(Lewis 1999, 2000; Rowe et al. 1993)</w:t>
      </w:r>
      <w:r>
        <w:t xml:space="preserve">. Lewis called his approach “a improvisational, nonhierarchical, subject-subject model of discourse, rather than a stimulus/response setup”</w:t>
      </w:r>
      <w:r>
        <w:t xml:space="preserve"> </w:t>
      </w:r>
      <w:r>
        <w:t xml:space="preserve">(Lewis 1999, p. 104)</w:t>
      </w:r>
      <w:r>
        <w:t xml:space="preserve">. Thus, the activity of the composer was reconfigured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itself.</w:t>
      </w:r>
    </w:p>
    <w:p>
      <w:pPr>
        <w:pStyle w:val="Heading5"/>
      </w:pPr>
      <w:bookmarkStart w:id="242" w:name="the-computer-as-a-musical-instrument"/>
      <w:r>
        <w:t xml:space="preserve">The Computer as a Musical Instrument</w:t>
      </w:r>
      <w:bookmarkEnd w:id="242"/>
    </w:p>
    <w:p>
      <w:pPr>
        <w:pStyle w:val="FirstParagraph"/>
      </w:pPr>
      <w:r>
        <w:t xml:space="preserve">It is now pertintent to bring back Max Mathews “computer as musical instrument”</w:t>
      </w:r>
      <w:r>
        <w:t xml:space="preserve"> </w:t>
      </w:r>
      <w:r>
        <w:t xml:space="preserve">(Mathews 1963)</w:t>
      </w:r>
      <w:r>
        <w:t xml:space="preserve">. The architecture of MUSIC-V is buit on concept of the computer as an instrument that the composer performs by providing it a score. The three stages of data flow (reading, sorting, and executing) are modeled from three music concepts: score, metronome, and instrument. It is significant that two (human) elements of (european) music tradition (composer and performer) are missing from this triad, as well as the programmer. (A fourth missing element, the improviser, will appear further down this text.) On the one hand, the hybrid musical instrument that the computer represented already collapsed three concepts into one, resulting in a hybrid score/metronome/instrument. On the other hand, it can be argued that by this ellision, the three missing human terms have collapsed into one another, forming a new hybrid definition of composer, performer, and programmer. In any case, this hybridity became evident in the music work itself, as can be read from a rethorics of control in favor of the composer:</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[emphasis added]</w:t>
      </w:r>
      <w:r>
        <w:t xml:space="preserve"> </w:t>
      </w:r>
      <w:r>
        <w:t xml:space="preserve">(Mathews 1963, p. 557)</w:t>
      </w:r>
    </w:p>
    <w:p>
      <w:pPr>
        <w:pStyle w:val="Heading5"/>
      </w:pPr>
      <w:bookmarkStart w:id="243" w:name="a-minor-liberty"/>
      <w:r>
        <w:t xml:space="preserve">A Minor Liberty</w:t>
      </w:r>
      <w:bookmarkEnd w:id="243"/>
    </w:p>
    <w:p>
      <w:pPr>
        <w:pStyle w:val="FirstParagraph"/>
      </w:pPr>
      <w:r>
        <w:t xml:space="preserve">As can be read at the end of the introduction to MUSIC-V</w:t>
      </w:r>
      <w:r>
        <w:t xml:space="preserve"> </w:t>
      </w:r>
      <w:r>
        <w:t xml:space="preserve">(Mathews 1963)</w:t>
      </w:r>
      <w:r>
        <w:t xml:space="preserve">, the extent of this “minor liberty” was measured against Hiller and Isaacson’s previous work</w:t>
      </w:r>
      <w:r>
        <w:t xml:space="preserve"> </w:t>
      </w:r>
      <w:r>
        <w:t xml:space="preserve">(Hiller &amp; Isaacson 1959)</w:t>
      </w:r>
      <w:r>
        <w:t xml:space="preserve">, which Mathews describes as an extreme case of the computer as composer: “the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 </w:t>
      </w:r>
      <w:r>
        <w:t xml:space="preserve">(Mathews 1963, p. 557)</w:t>
      </w:r>
      <w:r>
        <w:t xml:space="preserve">. On the one hand, Mathews’ argument is based on the “omnipotence” of the composer in front of the computer. Control of the music work is not something that can be delegated to the computer, unless it comprises lengthy calculations of pseudorandomness. On the other hand, as Ariza has shown, the computer output of early CAC has been often misconceived in the literature as directly musical output, disregarding the extensive transcription work on the part of composers</w:t>
      </w:r>
      <w:r>
        <w:t xml:space="preserve"> </w:t>
      </w:r>
      <w:r>
        <w:t xml:space="preserve">(Ariza 2005a)</w:t>
      </w:r>
      <w:r>
        <w:t xml:space="preserve">. Nonetheless, Mathews’ “minor liberty” can be considered as a reassurment for the reader that computers would not take control over music, let alone over the world. As I see it, arguing for control while granting some liberty relates to a negotiation between composer’s work and computer time. Because of the correlation between sonic complexity and parameter input, “the composer must make his own compromise between interest, cost, and work”</w:t>
      </w:r>
      <w:r>
        <w:t xml:space="preserve"> </w:t>
      </w:r>
      <w:r>
        <w:t xml:space="preserve">(Mathews 1963, p. 555)</w:t>
      </w:r>
      <w:r>
        <w:t xml:space="preserve">. Pseudorandom generators introduced complexity in an efficient way</w:t>
      </w:r>
      <w:r>
        <w:t xml:space="preserve"> </w:t>
      </w:r>
      <w:r>
        <w:t xml:space="preserve">(Cámara Halac 2018a)</w:t>
      </w:r>
      <w:r>
        <w:t xml:space="preserve">. Therefore, in an economical choice, arguing for omnipotence allowed for some aesthetics agency to come from computers.</w:t>
      </w:r>
    </w:p>
    <w:p>
      <w:pPr>
        <w:pStyle w:val="Heading5"/>
      </w:pPr>
      <w:bookmarkStart w:id="244" w:name="the-computer-as-a-player"/>
      <w:r>
        <w:t xml:space="preserve">The Computer as a Player</w:t>
      </w:r>
      <w:bookmarkEnd w:id="244"/>
    </w:p>
    <w:p>
      <w:pPr>
        <w:pStyle w:val="FirstParagraph"/>
      </w:pPr>
      <w:r>
        <w:t xml:space="preserve">Rowe (1992)</w:t>
      </w:r>
      <w:r>
        <w:t xml:space="preserve"> </w:t>
      </w:r>
      <w:r>
        <w:t xml:space="preserve">(Rowe 1992)</w:t>
      </w:r>
      <w:r>
        <w:t xml:space="preserve"> </w:t>
      </w:r>
      <w:r>
        <w:t xml:space="preserve">identified two paradimgs within interactive systems:</w:t>
      </w:r>
      <w:r>
        <w:t xml:space="preserve"> </w:t>
      </w:r>
      <w:r>
        <w:rPr>
          <w:i/>
        </w:rPr>
        <w:t xml:space="preserve">instrument</w:t>
      </w:r>
      <w:r>
        <w:t xml:space="preserve"> </w:t>
      </w:r>
      <w:r>
        <w:t xml:space="preserve">and</w:t>
      </w:r>
      <w:r>
        <w:t xml:space="preserve"> </w:t>
      </w:r>
      <w:r>
        <w:rPr>
          <w:i/>
        </w:rPr>
        <w:t xml:space="preserve">player</w:t>
      </w:r>
      <w:r>
        <w:t xml:space="preserve">. The instrument paradigm comprises systems in which performance gestures are sensed (collecting gestural data), processed (reading and interpreting data), and a response (sonic output) is elaborated. The player paradigm comprises the creation of “an artificial player, a musical presence with a personality and behavior of its own…”</w:t>
      </w:r>
      <w:r>
        <w:t xml:space="preserve"> </w:t>
      </w:r>
      <w:r>
        <w:t xml:space="preserve">(Rowe 1992 Chapter 1)</w:t>
      </w:r>
      <w:r>
        <w:t xml:space="preserve">. Therefore, the instrument itself contains embedded processes that grant some level of independence. This means that the composer intentionally relinquishes control of the artwork’s structure to the system itself. Like Vaggione’s concept of the computer as a complex system in which the composer “is imbedded in a network within which he or she can act, design, and experience concrete tools and (meaningful) musical situations”</w:t>
      </w:r>
      <w:r>
        <w:t xml:space="preserve"> </w:t>
      </w:r>
      <w:r>
        <w:t xml:space="preserve">(Vaggione 2001)</w:t>
      </w:r>
      <w:r>
        <w:t xml:space="preserve">, the human node breaks the traditionally hierarchical structure of composer-work. What this amount to is a distributed authority of the work among the elements of the system. For example, in</w:t>
      </w:r>
      <w:r>
        <w:t xml:space="preserve"> </w:t>
      </w:r>
      <w:r>
        <w:rPr>
          <w:i/>
        </w:rPr>
        <w:t xml:space="preserve">Voyager</w:t>
      </w:r>
      <w:r>
        <w:t xml:space="preserve">, “the computer system is not an instrument, and therefore cannot be controlled by a performer. Rather, the system is a multi-instrumental player with its own instrument”</w:t>
      </w:r>
      <w:r>
        <w:t xml:space="preserve"> </w:t>
      </w:r>
      <w:r>
        <w:t xml:space="preserve">(Lewis 1999, p. 103)</w:t>
      </w:r>
      <w:r>
        <w:t xml:space="preserve">. The computer becomes an improvisation partner. While the limitations of computer capabilities precluded more complex conceptualizations of the type of interactivity between computer and composer in MUSIC-V , as personal computers became affordable the type of negotiations no longer depeded on economic decisions. For Lewis, this negotiation existed sonically between computer and improviser:</w:t>
      </w:r>
    </w:p>
    <w:p>
      <w:pPr>
        <w:pStyle w:val="BlockText"/>
      </w:pPr>
      <w:r>
        <w:t xml:space="preserve">There is no built-in hierarchy of human leader/computer follower, no ‘veto’ 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p>
    <w:p>
      <w:pPr>
        <w:pStyle w:val="Heading5"/>
      </w:pPr>
      <w:bookmarkStart w:id="245" w:name="programming-decisions"/>
      <w:r>
        <w:t xml:space="preserve">Programming Decisions</w:t>
      </w:r>
      <w:bookmarkEnd w:id="245"/>
    </w:p>
    <w:p>
      <w:pPr>
        <w:pStyle w:val="FirstParagraph"/>
      </w:pPr>
      <w:r>
        <w:t xml:space="preserve">However, in order to implement concepts coming from artificial intelligence such as machine listening and learning, the complexity of the program itself increases exponentially. In light of these difficulties arising from programming, in response to Lewis’ criticism of the MAX patching paradigm rooted on trigger-based interactivity, Miller Puckette responds: “If you wish your computer to be more than just a musical instrument —if you want it to be an improvisation partner, for instance— you need a programming language. One thing people in this situation might want to do is write MAX external C procedure”</w:t>
      </w:r>
      <w:r>
        <w:t xml:space="preserve"> </w:t>
      </w:r>
      <w:r>
        <w:t xml:space="preserve">(Rowe et al. 1993, p. 8)</w:t>
      </w:r>
      <w:r>
        <w:t xml:space="preserve">. As Rowe writes:</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Furthermore, the player paradigm and its subsequence reconfiguration of authority is possible by means of an implemented database: the computer stores features during the course of the performance, which are then averaged over time, and which serve as guides for the sonic outcome on the part of the computer. As I mentioned earlier, while the guidance of the database provides paths through uncharted territories, it also hides other paths (See</w:t>
      </w:r>
      <w:r>
        <w:t xml:space="preserve"> </w:t>
      </w:r>
      <w:hyperlink w:anchor="computer:free">
        <w:r>
          <w:rPr>
            <w:rStyle w:val="Hyperlink"/>
          </w:rPr>
          <w:t xml:space="preserve">4.3.3.1.4</w:t>
        </w:r>
      </w:hyperlink>
      <w:r>
        <w:t xml:space="preserve">).</w:t>
      </w:r>
      <w:r>
        <w:t xml:space="preserve"> </w:t>
      </w:r>
      <w:r>
        <w:rPr>
          <w:i/>
        </w:rPr>
        <w:t xml:space="preserve">Voyager</w:t>
      </w:r>
      <w:r>
        <w:t xml:space="preserve"> </w:t>
      </w:r>
      <w:r>
        <w:t xml:space="preserve">indeed brings interactivity between human and nonhumans to another stage, and because of it, music composition can be seen differently. However, the intricacies of the programming decisions are still in play, specifically in the modelling of musical concepts within data structures.</w:t>
      </w:r>
    </w:p>
    <w:p>
      <w:pPr>
        <w:pStyle w:val="Heading5"/>
      </w:pPr>
      <w:bookmarkStart w:id="246" w:name="anachronic-composers"/>
      <w:r>
        <w:t xml:space="preserve">Anachronic Composers</w:t>
      </w:r>
      <w:bookmarkEnd w:id="246"/>
    </w:p>
    <w:p>
      <w:pPr>
        <w:pStyle w:val="FirstParagraph"/>
      </w:pPr>
      <w:r>
        <w:t xml:space="preserve">This notion of interactivity differs greatly from Xenakis’ (modern) composer. He is sitting quietly in his armchair pressing buttons in 1962.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w:t>
      </w:r>
    </w:p>
    <w:p>
      <w:pPr>
        <w:pStyle w:val="Heading5"/>
      </w:pPr>
      <w:bookmarkStart w:id="247" w:name="section"/>
      <w:bookmarkEnd w:id="247"/>
    </w:p>
    <w:p>
      <w:pPr>
        <w:pStyle w:val="FirstParagraph"/>
      </w:pPr>
      <w:r>
        <w:t xml:space="preserve">Placing MAX into perspective by commenting on the social and cultural environment of computer music of the late 1980s, Lewis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The way in which interactivity was considered in the ‘interactive’ music made with MAX 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(‘bang’) is a feature, not a bug, unless it is used as an extension of the stimulus/response paradigm of interactivity. In other words, in resonance with Vaggione (See</w:t>
      </w:r>
      <w:r>
        <w:t xml:space="preserve"> </w:t>
      </w:r>
      <w:hyperlink w:anchor="style">
        <w:r>
          <w:rPr>
            <w:rStyle w:val="Hyperlink"/>
          </w:rPr>
          <w:t xml:space="preserve">5.3.3</w:t>
        </w:r>
      </w:hyperlink>
      <w:r>
        <w:t xml:space="preserve">), subordinating music events to triggers by a human operator brings out a certain military metaphor which Lewis calls “hear and obey”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50">
        <w:r>
          <w:rPr>
            <w:vertAlign w:val="superscript"/>
            <w:rStyle w:val="Hyperlink"/>
          </w:rPr>
          <w:t xml:space="preserve">50</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Heading5"/>
      </w:pPr>
      <w:bookmarkStart w:id="248" w:name="nonhuman-composers"/>
      <w:r>
        <w:t xml:space="preserve">Nonhuman composers</w:t>
      </w:r>
      <w:bookmarkEnd w:id="248"/>
    </w:p>
    <w:p>
      <w:pPr>
        <w:pStyle w:val="FirstParagraph"/>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In turn, this depth would be measured against that which is nonhuman, and by extension, that which is non-composer. In Lewis’ narrative, this entails the redefinition of composition itself by making the non-composer (e.g., what was eurologically considered the ‘improviser’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Heading5"/>
      </w:pPr>
      <w:bookmarkStart w:id="249" w:name="fractured-works"/>
      <w:r>
        <w:t xml:space="preserve">Fractured Works</w:t>
      </w:r>
      <w:bookmarkEnd w:id="249"/>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 ‘not entirely,’ as a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[pseudorandom generators],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 I hope the reader would forgive me for having borrowed these adjectives out of context —‘entirely’ and ‘really’— so as to allow my argument to echo with Lewis’ for a while. 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w:t>
      </w:r>
    </w:p>
    <w:p>
      <w:pPr>
        <w:pStyle w:val="Heading5"/>
      </w:pPr>
      <w:bookmarkStart w:id="250" w:name="databasing-vessel"/>
      <w:r>
        <w:t xml:space="preserve">Databasing Vessel</w:t>
      </w:r>
      <w:bookmarkEnd w:id="250"/>
    </w:p>
    <w:p>
      <w:pPr>
        <w:pStyle w:val="FirstParagraph"/>
      </w:pPr>
      <w:r>
        <w:t xml:space="preserve">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and also, to the (paradoxical) extent that it is still a ‘work,’ a destiny that somehow manages to persist within the practice of composition. Nonetheless,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3"/>
      </w:pPr>
      <w:bookmarkStart w:id="251" w:name="music"/>
      <w:r>
        <w:t xml:space="preserve">The Severed Object Of Music</w:t>
      </w:r>
      <w:bookmarkEnd w:id="251"/>
    </w:p>
    <w:p>
      <w:pPr>
        <w:pStyle w:val="BlockText"/>
      </w:pPr>
      <w:r>
        <w:t xml:space="preserve">[The] Heideggerian ‘work of art’ is able to present a unified picture that may be used for political purposes [it] is only what it is in the world that it opens…Nancy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 [emphasis added]</w:t>
      </w:r>
      <w:r>
        <w:t xml:space="preserve"> </w:t>
      </w:r>
      <w:r>
        <w:t xml:space="preserve">(Gratton &amp; Morin 2015)</w:t>
      </w:r>
    </w:p>
    <w:p>
      <w:pPr>
        <w:pStyle w:val="Heading5"/>
      </w:pPr>
      <w:bookmarkStart w:id="252" w:name="an-incomplete-object"/>
      <w:r>
        <w:t xml:space="preserve">An Incomplete Object</w:t>
      </w:r>
      <w:bookmarkEnd w:id="252"/>
    </w:p>
    <w:p>
      <w:pPr>
        <w:pStyle w:val="FirstParagraph"/>
      </w:pPr>
      <w:r>
        <w:t xml:space="preserve">I would like to refer once again to Jean-Luc Nancy’s concept of inoperativity (See</w:t>
      </w:r>
      <w:r>
        <w:t xml:space="preserve"> </w:t>
      </w:r>
      <w:hyperlink w:anchor="inoperativity">
        <w:r>
          <w:rPr>
            <w:rStyle w:val="Hyperlink"/>
          </w:rPr>
          <w:t xml:space="preserve">5.1.3</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51">
        <w:r>
          <w:rPr>
            <w:vertAlign w:val="superscript"/>
            <w:rStyle w:val="Hyperlink"/>
          </w:rPr>
          <w:t xml:space="preserve">51</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Heading5"/>
      </w:pPr>
      <w:bookmarkStart w:id="253" w:name="remains-of-listening"/>
      <w:r>
        <w:t xml:space="preserve">Remains of Listening</w:t>
      </w:r>
      <w:bookmarkEnd w:id="253"/>
    </w:p>
    <w:p>
      <w:pPr>
        <w:pStyle w:val="FirstParagraph"/>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in listening I choose what to listen in spite of being already deprived from that choice.</w:t>
      </w:r>
    </w:p>
    <w:p>
      <w:pPr>
        <w:pStyle w:val="Heading5"/>
      </w:pPr>
      <w:bookmarkStart w:id="254" w:name="sources-and-sorcerers"/>
      <w:r>
        <w:t xml:space="preserve">Sources and Sorcerers</w:t>
      </w:r>
      <w:bookmarkEnd w:id="254"/>
    </w:p>
    <w:p>
      <w:pPr>
        <w:pStyle w:val="FirstParagraph"/>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because ‘it’ can never be</w:t>
      </w:r>
      <w:r>
        <w:t xml:space="preserve"> </w:t>
      </w:r>
      <w:r>
        <w:rPr>
          <w:i/>
        </w:rPr>
        <w:t xml:space="preserve">completely</w:t>
      </w:r>
      <w:r>
        <w:t xml:space="preserve">. The severed object of music is always severed, but never in the same way, since there are as many severings as there are listeners, and as many listenings as there are moments. In this difference, what is resonating is the object of music, which is never one and the same because it is a singularity resonating in plurality. Composers have traditionally been considered a ‘source’ of this object, or better, the one at the door, the key keeper that has access to the door that opens up the flow of inspiration. The composer, but also the programmer with access to the source code, which unless it is opened,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Heading5"/>
      </w:pPr>
      <w:bookmarkStart w:id="255" w:name="naming"/>
      <w:r>
        <w:t xml:space="preserve">Naming</w:t>
      </w:r>
      <w:bookmarkEnd w:id="255"/>
    </w:p>
    <w:p>
      <w:pPr>
        <w:pStyle w:val="FirstParagraph"/>
      </w:pPr>
      <w:r>
        <w:t xml:space="preserve">I would like to point out now, that it is not my intention here to sever the head of the sorcerer, because it is an illusion that does not allow me to do so. It is not my illusion, although I have described how I interpret it, and it comes as a product of a reification of the composer, but also of the human itself as the one and only owner of the world —that is, owner of the mountain itself, and of the water, and every particle of the one and only universe. In being in resonance, listeners become the resonating world, that is, the self begins to resonate as space. In this sense, it is the world what is listened to, and it is a world that has no apparent origin. However, the composition —the written score, like the written code— propose their own origin —the composer, the programmer. Thus, they give an origin to the world itself by providing an answer (a name) to the question of creation: Who created this music?</w:t>
      </w:r>
      <w:r>
        <w:t xml:space="preserve"> </w:t>
      </w:r>
      <w:r>
        <w:rPr>
          <w:i/>
        </w:rPr>
        <w:t xml:space="preserve">this</w:t>
      </w:r>
      <w:r>
        <w:t xml:space="preserve"> </w:t>
      </w:r>
      <w:r>
        <w:t xml:space="preserve">composer. The answer, therefore, has a ‘this’ that comes in the form of the name of the composer. This name becomes attached to the flowing of the source. Therefore, the name of the composer is like a timbre stamp that is applied to the listening experience itself, and further, it is the severing style itself that can be named. The name of the composer becomes a synecdoche of the source itself, directly naming part of the source. This applies, quite literally in some cases, to the name of the program and the name of the programmer.</w:t>
      </w:r>
      <w:hyperlink w:anchor="fn52">
        <w:r>
          <w:rPr>
            <w:vertAlign w:val="superscript"/>
            <w:rStyle w:val="Hyperlink"/>
          </w:rPr>
          <w:t xml:space="preserve">52</w:t>
        </w:r>
      </w:hyperlink>
    </w:p>
    <w:p>
      <w:pPr>
        <w:pStyle w:val="Heading5"/>
      </w:pPr>
      <w:bookmarkStart w:id="256" w:name="dynamics"/>
      <w:r>
        <w:t xml:space="preserve">Dynamics</w:t>
      </w:r>
      <w:bookmarkEnd w:id="256"/>
    </w:p>
    <w:p>
      <w:pPr>
        <w:pStyle w:val="FirstParagraph"/>
      </w:pPr>
      <w:r>
        <w:t xml:space="preserve">Furthermore, the activity of the sorcerer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w:t>
      </w:r>
    </w:p>
    <w:p>
      <w:pPr>
        <w:pStyle w:val="Heading5"/>
      </w:pPr>
      <w:bookmarkStart w:id="257" w:name="masterwork"/>
      <w:r>
        <w:t xml:space="preserve">Masterwork</w:t>
      </w:r>
      <w:bookmarkEnd w:id="257"/>
    </w:p>
    <w:p>
      <w:pPr>
        <w:pStyle w:val="FirstParagraph"/>
      </w:pPr>
      <w:r>
        <w:t xml:space="preserve">Understood in this way, that is, the shape of the music as a force that produces a certain listening experience, therefore, the internal dynamics are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human">
        <w:r>
          <w:rPr>
            <w:rStyle w:val="Hyperlink"/>
          </w:rPr>
          <w:t xml:space="preserve">5.2.2</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 inattentive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Heading5"/>
      </w:pPr>
      <w:bookmarkStart w:id="258" w:name="architecture-of-obedience"/>
      <w:r>
        <w:t xml:space="preserve">Architecture of Obedience</w:t>
      </w:r>
      <w:bookmarkEnd w:id="258"/>
    </w:p>
    <w:p>
      <w:pPr>
        <w:pStyle w:val="FirstParagraph"/>
      </w:pPr>
      <w:r>
        <w:t xml:space="preserve">Therefore, within these dynamics of work, what results is a function of the predicates, it is the architecture of obedience that is written in the form of a music work, with the one and only aim which is for it to ‘work.’ 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259" w:name="anarchy"/>
      <w:r>
        <w:t xml:space="preserve">Anarchy And The Unwork</w:t>
      </w:r>
      <w:bookmarkEnd w:id="259"/>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unwork of art. This resistance is a force of interruption and suspension that prevents the notion of a whole to reach completion. The case is quite different from that of the ‘open’ work, since the work never reaches completion.</w:t>
      </w:r>
    </w:p>
    <w:p>
      <w:pPr>
        <w:pStyle w:val="Heading5"/>
      </w:pPr>
      <w:bookmarkStart w:id="260" w:name="place-in-common"/>
      <w:r>
        <w:t xml:space="preserve">Place in Common</w:t>
      </w:r>
      <w:bookmarkEnd w:id="260"/>
    </w:p>
    <w:p>
      <w:pPr>
        <w:pStyle w:val="FirstParagraph"/>
      </w:pPr>
      <w:r>
        <w:t xml:space="preserve">The unwork radically differs from the notion of an open work as is the case, for example, of Umberto Eco’s famous formulation that “the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 Instead of openness being located in the interpretation, the opennes in inherent to the hybridity of its construction. The construction, in turn, is a result of the reticulated and fragmented state of exposure between the human and the nonhuman. In this sense, the limit of the unwork is the exposure of exposure itself, that is, an instantiation of the place in common.</w:t>
      </w:r>
    </w:p>
    <w:p>
      <w:pPr>
        <w:pStyle w:val="Heading5"/>
      </w:pPr>
      <w:bookmarkStart w:id="261" w:name="disintegrated-imperative"/>
      <w:r>
        <w:t xml:space="preserve">Disintegrated Imperative</w:t>
      </w:r>
      <w:bookmarkEnd w:id="261"/>
    </w:p>
    <w:p>
      <w:pPr>
        <w:pStyle w:val="FirstParagraph"/>
      </w:pPr>
      <w:r>
        <w:t xml:space="preserve">I would like to analyze the inoperativity of the music in relation to the dynamics of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Heading5"/>
      </w:pPr>
      <w:bookmarkStart w:id="262" w:name="blind-experimentation"/>
      <w:r>
        <w:t xml:space="preserve">Blind Experimentation</w:t>
      </w:r>
      <w:bookmarkEnd w:id="262"/>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aficionados”</w:t>
      </w:r>
      <w:r>
        <w:t xml:space="preserve"> </w:t>
      </w:r>
      <w:r>
        <w:t xml:space="preserve">(Cascone 2000, p. 17)</w:t>
      </w:r>
      <w:r>
        <w:t xml:space="preserve">. Therefore, Cascone’s conclusion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w:t>
      </w:r>
    </w:p>
    <w:p>
      <w:pPr>
        <w:pStyle w:val="Heading5"/>
      </w:pPr>
      <w:bookmarkStart w:id="263" w:name="doctoring-the-glitch"/>
      <w:r>
        <w:t xml:space="preserve">Doctoring the Glitch</w:t>
      </w:r>
      <w:bookmarkEnd w:id="263"/>
    </w:p>
    <w:p>
      <w:pPr>
        <w:pStyle w:val="FirstParagraph"/>
      </w:pPr>
      <w:r>
        <w:t xml:space="preserve">It must be noted that his inclination towards bringing academic knowledge to the academy of the Internet refers not only to computer music software. Professors, generally of computer music techniques, in several universities across the USA have been openly uploading class materials, patches, softwares, and many other highly useful technical information; not to mention the free online publishing of conference proceedings that have spawned in the last 20 years. Cascone’s rendering of this educational turn can be understood with an authoritative and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Heading5"/>
      </w:pPr>
      <w:bookmarkStart w:id="264" w:name="unnecessary-blindfolds"/>
      <w:r>
        <w:t xml:space="preserve">Unnecessary Blindfolds</w:t>
      </w:r>
      <w:bookmarkEnd w:id="264"/>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achieve the same standards of formal cohesion that are required by the modern conception of the music ‘work’. Therefore, instead of finding an academic cure for blind experimentalism, I would claim to understand failure itself as an unnecessary blindfold since, at least in my consideration of the unwork, if there is no notion of success in the technology involved, there need not be any in the work itself. The success, if any, exists within the composer, and as such, it does so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Heading5"/>
      </w:pPr>
      <w:bookmarkStart w:id="265" w:name="spectral-remains"/>
      <w:r>
        <w:t xml:space="preserve">Spectral Remains</w:t>
      </w:r>
      <w:bookmarkEnd w:id="265"/>
    </w:p>
    <w:p>
      <w:pPr>
        <w:pStyle w:val="FirstParagraph"/>
      </w:pPr>
      <w:r>
        <w:t xml:space="preserve">The unwork cannot behave like a force, but it can be considered the spectral remains of a force. In this sense, if there is an illusion of a force, it must appear as wreckage, an after dream, a mirror that shows us our skin of the past, the ruins of an empire, or the humidity creeping through the cracks of an old house. However, and this is a big however, these allusions to vessels, to the psyche, to architecture, and to the presence of the past altogether, must be addressed with the same strength as one would address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resonance. Our very own listening to ourselves listening. The moment where we realize it is our own self that is returning to us. This is our resistance.</w:t>
      </w:r>
    </w:p>
    <w:p>
      <w:pPr>
        <w:pStyle w:val="Heading5"/>
      </w:pPr>
      <w:bookmarkStart w:id="266" w:name="macroforma"/>
      <w:r>
        <w:t xml:space="preserve">Macroforma</w:t>
      </w:r>
      <w:bookmarkEnd w:id="266"/>
    </w:p>
    <w:p>
      <w:pPr>
        <w:pStyle w:val="FirstParagraph"/>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w:t>
      </w:r>
      <w:r>
        <w:t xml:space="preserve"> </w:t>
      </w:r>
      <w:r>
        <w:rPr>
          <w:rStyle w:val="VerbatimChar"/>
        </w:rPr>
        <w:t xml:space="preserve">macro</w:t>
      </w:r>
      <w:r>
        <w:t xml:space="preserve"> </w:t>
      </w:r>
      <w:r>
        <w:t xml:space="preserve">that has a political agency in the shaping of singularities. In order to to provide some insight into the difficulties that arise from this conceptualization of the unwork, I would like to brin again Vaggione. When he writes of the shaping of singularities, he refers to the arbitrariness of the composer. However, he intentionally maintains formal coherence by extending the singularity of a grain (conceptually) to the singularity of a work. Therefore, in expanding this singularity he is ultimately arriving at a very unique and delimited shape that is the work.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w:t>
      </w:r>
      <w:r>
        <w:t xml:space="preserve"> </w:t>
      </w:r>
      <w:r>
        <w:rPr>
          <w:i/>
        </w:rPr>
        <w:t xml:space="preserve">is</w:t>
      </w:r>
      <w:r>
        <w:t xml:space="preserve"> </w:t>
      </w:r>
      <w:r>
        <w:t xml:space="preserve">singularly,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w:t>
      </w:r>
    </w:p>
    <w:p>
      <w:pPr>
        <w:pStyle w:val="Heading5"/>
      </w:pPr>
      <w:bookmarkStart w:id="267" w:name="overfitting"/>
      <w:r>
        <w:t xml:space="preserve">Overfitting</w:t>
      </w:r>
      <w:bookmarkEnd w:id="267"/>
    </w:p>
    <w:p>
      <w:pPr>
        <w:pStyle w:val="FirstParagraph"/>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 ‘un’ in unwork does not come from inactivity, from passivity, from an escape of any form of action. Quite the contrary, it is a result of the constant impression of the work, the accumulated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 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eradicate the archic with the ‘an’, which means to introduce a bug in the oedipal loop that could result in unheard musical behaviors.</w:t>
      </w:r>
    </w:p>
    <w:p>
      <w:pPr>
        <w:pStyle w:val="Heading3"/>
      </w:pPr>
      <w:bookmarkStart w:id="268" w:name="worker"/>
      <w:r>
        <w:t xml:space="preserve">[Wip] Work In Progress</w:t>
      </w:r>
      <w:bookmarkEnd w:id="268"/>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269" w:name="chapter:Conclusion"/>
      <w:r>
        <w:t xml:space="preserve">Conclusion</w:t>
      </w:r>
      <w:bookmarkEnd w:id="269"/>
    </w:p>
    <w:p>
      <w:pPr>
        <w:pStyle w:val="FirstParagraph"/>
      </w:pPr>
      <w:r>
        <w:t xml:space="preserve">… placeholder for conclusion abstract …</w:t>
      </w:r>
    </w:p>
    <w:p>
      <w:pPr>
        <w:pStyle w:val="Heading1"/>
      </w:pPr>
      <w:bookmarkStart w:id="270" w:name="chapter:Appendices"/>
      <w:r>
        <w:t xml:space="preserve">Appendices</w:t>
      </w:r>
      <w:bookmarkEnd w:id="270"/>
    </w:p>
    <w:p>
      <w:pPr>
        <w:pStyle w:val="FirstParagraph"/>
      </w:pPr>
      <w:r>
        <w:t xml:space="preserve">abstract of appendices</w:t>
      </w:r>
    </w:p>
    <w:p>
      <w:pPr>
        <w:pStyle w:val="Heading2"/>
      </w:pPr>
      <w:bookmarkStart w:id="271" w:name="X9928d5a4298d9156e673c83842d96a99bfb66d7"/>
      <w:r>
        <w:t xml:space="preserve">DIANA: Database for Image and Audio Navigation</w:t>
      </w:r>
      <w:bookmarkEnd w:id="271"/>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272" w:name="dbmodel"/>
      <w:r>
        <w:t xml:space="preserve">A Database Model</w:t>
      </w:r>
      <w:bookmarkEnd w:id="272"/>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273" w:name="X7616598f194c52ee6f4c09f01c755a7090177ba"/>
      <w:r>
        <w:t xml:space="preserve">ABBY: An Online Environment for Annotated Bibliographies</w:t>
      </w:r>
      <w:bookmarkEnd w:id="273"/>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274" w:name="texdb"/>
      <w:r>
        <w:t xml:space="preserve">A Text Database</w:t>
      </w:r>
      <w:bookmarkEnd w:id="274"/>
    </w:p>
    <w:p>
      <w:pPr>
        <w:pStyle w:val="FirstParagraph"/>
      </w:pPr>
      <w:r>
        <w:t xml:space="preserve">A detailed description of the text database model…</w:t>
      </w:r>
    </w:p>
    <w:bookmarkStart w:id="584" w:name="refs"/>
    <w:bookmarkStart w:id="275"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275"/>
    <w:bookmarkStart w:id="276"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276"/>
    <w:bookmarkStart w:id="277"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277"/>
    <w:bookmarkStart w:id="278"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278"/>
    <w:bookmarkStart w:id="279"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279"/>
    <w:bookmarkStart w:id="281"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280">
        <w:r>
          <w:rPr>
            <w:rStyle w:val="Hyperlink"/>
          </w:rPr>
          <w:t xml:space="preserve">http://www.terasoft.com.tw/conf/ismir2014/proceedings/T014_162_Paper.pdf</w:t>
        </w:r>
      </w:hyperlink>
    </w:p>
    <w:bookmarkEnd w:id="281"/>
    <w:bookmarkStart w:id="282"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282"/>
    <w:bookmarkStart w:id="283"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283"/>
    <w:bookmarkStart w:id="284"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284"/>
    <w:bookmarkStart w:id="285"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285"/>
    <w:bookmarkStart w:id="286" w:name="ref-DBLP:conf/icmc/AssayagDD99"/>
    <w:p>
      <w:pPr>
        <w:pStyle w:val="Bibliography"/>
      </w:pPr>
      <w:r>
        <w:t xml:space="preserve">Assayag G, Dubnov S, Delerue O. 1999. Guessing the composer’s mind: Applying universal prediction to musical style.</w:t>
      </w:r>
      <w:r>
        <w:t xml:space="preserve"> </w:t>
      </w:r>
      <w:r>
        <w:rPr>
          <w:i/>
        </w:rPr>
        <w:t xml:space="preserve">Proceedings of the 1999 International Computer Music Conference, ICMC 1999, Beijing, China, October 22-27, 1999</w:t>
      </w:r>
      <w:r>
        <w:t xml:space="preserve">. Michigan Publishing</w:t>
      </w:r>
    </w:p>
    <w:bookmarkEnd w:id="286"/>
    <w:bookmarkStart w:id="287"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287"/>
    <w:bookmarkStart w:id="288"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288"/>
    <w:bookmarkStart w:id="289"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289"/>
    <w:bookmarkStart w:id="290"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290"/>
    <w:bookmarkStart w:id="291"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291"/>
    <w:bookmarkStart w:id="292" w:name="ref-Bar68:Ele"/>
    <w:p>
      <w:pPr>
        <w:pStyle w:val="Bibliography"/>
      </w:pPr>
      <w:r>
        <w:t xml:space="preserve">Barthes R, Lavers A, Smith C. 1968.</w:t>
      </w:r>
      <w:r>
        <w:t xml:space="preserve"> </w:t>
      </w:r>
      <w:r>
        <w:rPr>
          <w:i/>
        </w:rPr>
        <w:t xml:space="preserve">Elements of Semiology</w:t>
      </w:r>
      <w:r>
        <w:t xml:space="preserve">. Hill; Wang, New York. ed.</w:t>
      </w:r>
    </w:p>
    <w:bookmarkEnd w:id="292"/>
    <w:bookmarkStart w:id="293" w:name="ref-Bei09:Aes"/>
    <w:p>
      <w:pPr>
        <w:pStyle w:val="Bibliography"/>
      </w:pPr>
      <w:r>
        <w:t xml:space="preserve">Beilharz K, Ferguson S. 2009. Aesthetic sonification toolkit for real-time interaction with data.</w:t>
      </w:r>
      <w:r>
        <w:t xml:space="preserve"> </w:t>
      </w:r>
      <w:r>
        <w:rPr>
          <w:i/>
        </w:rPr>
        <w:t xml:space="preserve">HICAH</w:t>
      </w:r>
      <w:r>
        <w:t xml:space="preserve">, pp. 401–8</w:t>
      </w:r>
    </w:p>
    <w:bookmarkEnd w:id="293"/>
    <w:bookmarkStart w:id="294"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294"/>
    <w:bookmarkStart w:id="295"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295"/>
    <w:bookmarkStart w:id="297"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296">
        <w:r>
          <w:rPr>
            <w:rStyle w:val="Hyperlink"/>
          </w:rPr>
          <w:t xml:space="preserve">http://www.terasoft.com.tw/conf/ismir2014/proceedings/T028_322_Paper.pdf</w:t>
        </w:r>
      </w:hyperlink>
    </w:p>
    <w:bookmarkEnd w:id="297"/>
    <w:bookmarkStart w:id="298" w:name="ref-DBLP:conf/icmc/BlochD08"/>
    <w:p>
      <w:pPr>
        <w:pStyle w:val="Bibliography"/>
      </w:pPr>
      <w:r>
        <w:t xml:space="preserve">Bloch G, Dubnov S. 2008. Introducing video features and spectral descriptors in the omax improvisation system.</w:t>
      </w:r>
      <w:r>
        <w:t xml:space="preserve"> </w:t>
      </w:r>
      <w:r>
        <w:rPr>
          <w:i/>
        </w:rPr>
        <w:t xml:space="preserve">Proceedings of the 2008 International Computer Music Conference, ICMC 2008, Belfast, Ireland, August 24-29, 2008</w:t>
      </w:r>
      <w:r>
        <w:t xml:space="preserve">. Michigan Publishing</w:t>
      </w:r>
    </w:p>
    <w:bookmarkEnd w:id="298"/>
    <w:bookmarkStart w:id="299" w:name="ref-Bor42:Fun"/>
    <w:p>
      <w:pPr>
        <w:pStyle w:val="Bibliography"/>
      </w:pPr>
      <w:r>
        <w:t xml:space="preserve">Borges JL. 1942. Funes el memorioso.</w:t>
      </w:r>
      <w:r>
        <w:t xml:space="preserve"> </w:t>
      </w:r>
      <w:r>
        <w:rPr>
          <w:i/>
        </w:rPr>
        <w:t xml:space="preserve">Ficciones</w:t>
      </w:r>
    </w:p>
    <w:bookmarkEnd w:id="299"/>
    <w:bookmarkStart w:id="300" w:name="ref-Bor95:Rat"/>
    <w:p>
      <w:pPr>
        <w:pStyle w:val="Bibliography"/>
      </w:pPr>
      <w:r>
        <w:t xml:space="preserve">Born G. 1995.</w:t>
      </w:r>
      <w:r>
        <w:t xml:space="preserve"> </w:t>
      </w:r>
      <w:r>
        <w:rPr>
          <w:i/>
        </w:rPr>
        <w:t xml:space="preserve">Rationalizing Culture</w:t>
      </w:r>
      <w:r>
        <w:t xml:space="preserve">. University of California Press. ed.</w:t>
      </w:r>
    </w:p>
    <w:bookmarkEnd w:id="300"/>
    <w:bookmarkStart w:id="301"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301"/>
    <w:bookmarkStart w:id="302"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302"/>
    <w:bookmarkStart w:id="303"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303"/>
    <w:bookmarkStart w:id="304"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304"/>
    <w:bookmarkStart w:id="305"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305"/>
    <w:bookmarkStart w:id="306"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306"/>
    <w:bookmarkStart w:id="307"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307"/>
    <w:bookmarkStart w:id="308" w:name="ref-score11manual"/>
    <w:p>
      <w:pPr>
        <w:pStyle w:val="Bibliography"/>
      </w:pPr>
      <w:r>
        <w:t xml:space="preserve">Brinkman AR. 1982. Original version of the score11 manual.</w:t>
      </w:r>
      <w:r>
        <w:t xml:space="preserve"> </w:t>
      </w:r>
      <w:r>
        <w:rPr>
          <w:i/>
        </w:rPr>
        <w:t xml:space="preserve">Score11 Manual</w:t>
      </w:r>
    </w:p>
    <w:bookmarkEnd w:id="308"/>
    <w:bookmarkStart w:id="309"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309"/>
    <w:bookmarkStart w:id="310"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310"/>
    <w:bookmarkStart w:id="311" w:name="X4cde67b28e5e010615258975366e3c166bce92d"/>
    <w:p>
      <w:pPr>
        <w:pStyle w:val="Bibliography"/>
      </w:pPr>
      <w:r>
        <w:t xml:space="preserve">Brzezinski-Spiczak M, Dobosz K, Lis M, Pintal M. 2013. Music files search system.</w:t>
      </w:r>
      <w:r>
        <w:t xml:space="preserve"> </w:t>
      </w:r>
      <w:r>
        <w:rPr>
          <w:i/>
        </w:rPr>
        <w:t xml:space="preserve">CoRR</w:t>
      </w:r>
      <w:r>
        <w:t xml:space="preserve">. abs/1309.4345:</w:t>
      </w:r>
    </w:p>
    <w:bookmarkEnd w:id="311"/>
    <w:bookmarkStart w:id="313"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312">
        <w:r>
          <w:rPr>
            <w:rStyle w:val="Hyperlink"/>
          </w:rPr>
          <w:t xml:space="preserve">http://www.nime.org/proceedings/2011/nime2011_387.pdf</w:t>
        </w:r>
      </w:hyperlink>
    </w:p>
    <w:bookmarkEnd w:id="313"/>
    <w:bookmarkStart w:id="315"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314">
        <w:r>
          <w:rPr>
            <w:rStyle w:val="Hyperlink"/>
          </w:rPr>
          <w:t xml:space="preserve">http://www.nime.org/proceedings/2009/nime2009_266.pdf</w:t>
        </w:r>
      </w:hyperlink>
    </w:p>
    <w:bookmarkEnd w:id="315"/>
    <w:bookmarkStart w:id="316"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316"/>
    <w:bookmarkStart w:id="317"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317"/>
    <w:bookmarkStart w:id="318"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318"/>
    <w:bookmarkStart w:id="319" w:name="ref-Bux77:Aco"/>
    <w:p>
      <w:pPr>
        <w:pStyle w:val="Bibliography"/>
      </w:pPr>
      <w:r>
        <w:t xml:space="preserve">Buxton W. 1977. A composer’s introduction to computer music.</w:t>
      </w:r>
      <w:r>
        <w:t xml:space="preserve"> </w:t>
      </w:r>
      <w:r>
        <w:rPr>
          <w:i/>
        </w:rPr>
        <w:t xml:space="preserve">Interface</w:t>
      </w:r>
      <w:r>
        <w:t xml:space="preserve">. 6:57–72</w:t>
      </w:r>
    </w:p>
    <w:bookmarkEnd w:id="319"/>
    <w:bookmarkStart w:id="320" w:name="ref-youtube/buxton10"/>
    <w:p>
      <w:pPr>
        <w:pStyle w:val="Bibliography"/>
      </w:pPr>
      <w:r>
        <w:t xml:space="preserve">Buxton W. 2016a. Objed: The sssp sound editing tool.</w:t>
      </w:r>
      <w:r>
        <w:t xml:space="preserve"> </w:t>
      </w:r>
      <w:r>
        <w:rPr>
          <w:i/>
        </w:rPr>
        <w:t xml:space="preserve">Youtube</w:t>
      </w:r>
    </w:p>
    <w:bookmarkEnd w:id="320"/>
    <w:bookmarkStart w:id="321"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321"/>
    <w:bookmarkStart w:id="322"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322"/>
    <w:bookmarkStart w:id="323"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323"/>
    <w:bookmarkStart w:id="324"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324"/>
    <w:bookmarkStart w:id="326"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325">
        <w:r>
          <w:rPr>
            <w:rStyle w:val="Hyperlink"/>
          </w:rPr>
          <w:t xml:space="preserve">http://www.nime.org/proceedings/2011/nime2011_329.pdf</w:t>
        </w:r>
      </w:hyperlink>
    </w:p>
    <w:bookmarkEnd w:id="326"/>
    <w:bookmarkStart w:id="327"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327"/>
    <w:bookmarkStart w:id="328"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328"/>
    <w:bookmarkStart w:id="329"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329"/>
    <w:bookmarkStart w:id="330"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330"/>
    <w:bookmarkStart w:id="331"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331"/>
    <w:bookmarkStart w:id="332"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332"/>
    <w:bookmarkStart w:id="333"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333"/>
    <w:bookmarkStart w:id="334"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334"/>
    <w:bookmarkStart w:id="335"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335"/>
    <w:bookmarkStart w:id="336"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336"/>
    <w:bookmarkStart w:id="337"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337"/>
    <w:bookmarkStart w:id="338"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338"/>
    <w:bookmarkStart w:id="339"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339"/>
    <w:bookmarkStart w:id="340"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340"/>
    <w:bookmarkStart w:id="341"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341"/>
    <w:bookmarkStart w:id="342"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342"/>
    <w:bookmarkStart w:id="343" w:name="ref-connes:shapes"/>
    <w:p>
      <w:pPr>
        <w:pStyle w:val="Bibliography"/>
      </w:pPr>
      <w:r>
        <w:t xml:space="preserve">Connes A. 2012. The music of shapes</w:t>
      </w:r>
    </w:p>
    <w:bookmarkEnd w:id="343"/>
    <w:bookmarkStart w:id="344" w:name="ref-DBLP:conf/icmc/Cope87"/>
    <w:p>
      <w:pPr>
        <w:pStyle w:val="Bibliography"/>
      </w:pPr>
      <w:r>
        <w:t xml:space="preserve">Cope D. 1987a. Experiments in music intelligence (EMI).</w:t>
      </w:r>
      <w:r>
        <w:t xml:space="preserve"> </w:t>
      </w:r>
      <w:r>
        <w:rPr>
          <w:i/>
        </w:rPr>
        <w:t xml:space="preserve">ICMC</w:t>
      </w:r>
      <w:r>
        <w:t xml:space="preserve">. Michigan Publishing</w:t>
      </w:r>
    </w:p>
    <w:bookmarkEnd w:id="344"/>
    <w:bookmarkStart w:id="345" w:name="ref-Cop87:AnE"/>
    <w:p>
      <w:pPr>
        <w:pStyle w:val="Bibliography"/>
      </w:pPr>
      <w:r>
        <w:t xml:space="preserve">Cope D. 1987b. An expert system for computer-assisted composition.</w:t>
      </w:r>
      <w:r>
        <w:t xml:space="preserve"> </w:t>
      </w:r>
      <w:r>
        <w:rPr>
          <w:i/>
        </w:rPr>
        <w:t xml:space="preserve">Computer Music Journal</w:t>
      </w:r>
      <w:r>
        <w:t xml:space="preserve">. 11(4):30–46</w:t>
      </w:r>
    </w:p>
    <w:bookmarkEnd w:id="345"/>
    <w:bookmarkStart w:id="346" w:name="ref-2010NJPh:12e3030C"/>
    <w:p>
      <w:pPr>
        <w:pStyle w:val="Bibliography"/>
      </w:pPr>
      <w:r>
        <w:t xml:space="preserve">Correa DC, Saito JH, Costa L da F. 2010. Musical genres: beating to the rhythms of different drums.</w:t>
      </w:r>
      <w:r>
        <w:t xml:space="preserve"> </w:t>
      </w:r>
      <w:r>
        <w:rPr>
          <w:i/>
        </w:rPr>
        <w:t xml:space="preserve">New Journal of Physics</w:t>
      </w:r>
      <w:r>
        <w:t xml:space="preserve">. 12:053030</w:t>
      </w:r>
    </w:p>
    <w:bookmarkEnd w:id="346"/>
    <w:bookmarkStart w:id="348"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347">
        <w:r>
          <w:rPr>
            <w:rStyle w:val="Hyperlink"/>
          </w:rPr>
          <w:t xml:space="preserve">https://ismir2017.smcnus.org/wp-content/uploads/2017/10/235_Paper.pdf</w:t>
        </w:r>
      </w:hyperlink>
    </w:p>
    <w:bookmarkEnd w:id="348"/>
    <w:bookmarkStart w:id="350" w:name="ref-crowley98"/>
    <w:p>
      <w:pPr>
        <w:pStyle w:val="Bibliography"/>
      </w:pPr>
      <w:r>
        <w:t xml:space="preserve">Crowley C. 1998. Data structures for text sequences.</w:t>
      </w:r>
      <w:r>
        <w:t xml:space="preserve"> </w:t>
      </w:r>
      <w:hyperlink r:id="rId349">
        <w:r>
          <w:rPr>
            <w:rStyle w:val="Hyperlink"/>
          </w:rPr>
          <w:t xml:space="preserve">https://www.cs.unm.edu/~crowley/papers/sds.pdf</w:t>
        </w:r>
      </w:hyperlink>
    </w:p>
    <w:bookmarkEnd w:id="350"/>
    <w:bookmarkStart w:id="351"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351"/>
    <w:bookmarkStart w:id="353"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352">
        <w:r>
          <w:rPr>
            <w:rStyle w:val="Hyperlink"/>
          </w:rPr>
          <w:t xml:space="preserve">https://ismir2017.smcnus.org/wp-content/uploads/2017/10/75_Paper.pdf</w:t>
        </w:r>
      </w:hyperlink>
    </w:p>
    <w:bookmarkEnd w:id="353"/>
    <w:bookmarkStart w:id="354" w:name="ref-DBLP:journals/corr/abs-1803-04652"/>
    <w:p>
      <w:pPr>
        <w:pStyle w:val="Bibliography"/>
      </w:pPr>
      <w:r>
        <w:t xml:space="preserve">Dehkordi MB, Banitalebi-Dehkordi A. 2018. Music genre classification using spectral analysis and sparse representation of the signals.</w:t>
      </w:r>
      <w:r>
        <w:t xml:space="preserve"> </w:t>
      </w:r>
      <w:r>
        <w:rPr>
          <w:i/>
        </w:rPr>
        <w:t xml:space="preserve">CoRR</w:t>
      </w:r>
      <w:r>
        <w:t xml:space="preserve">. abs/1803.04652:</w:t>
      </w:r>
    </w:p>
    <w:bookmarkEnd w:id="354"/>
    <w:bookmarkStart w:id="355" w:name="ref-DBLP:journals/corr/abs-1809-07276"/>
    <w:p>
      <w:pPr>
        <w:pStyle w:val="Bibliography"/>
      </w:pPr>
      <w:r>
        <w:t xml:space="preserve">Delbouys R, Hennequin R, Piccoli F, Royo-Letelier J, Moussallam M. 2018. Music mood detection based on audio and lyrics with deep neural net.</w:t>
      </w:r>
      <w:r>
        <w:t xml:space="preserve"> </w:t>
      </w:r>
      <w:r>
        <w:rPr>
          <w:i/>
        </w:rPr>
        <w:t xml:space="preserve">CoRR</w:t>
      </w:r>
      <w:r>
        <w:t xml:space="preserve">. abs/1809.07276:</w:t>
      </w:r>
    </w:p>
    <w:bookmarkEnd w:id="355"/>
    <w:bookmarkStart w:id="356"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356"/>
    <w:bookmarkStart w:id="357" w:name="ref-Der78:Wri"/>
    <w:p>
      <w:pPr>
        <w:pStyle w:val="Bibliography"/>
      </w:pPr>
      <w:r>
        <w:t xml:space="preserve">Derrida J. 1978.</w:t>
      </w:r>
      <w:r>
        <w:t xml:space="preserve"> </w:t>
      </w:r>
      <w:r>
        <w:rPr>
          <w:i/>
        </w:rPr>
        <w:t xml:space="preserve">Writing and Difference</w:t>
      </w:r>
      <w:r>
        <w:t xml:space="preserve">. The University of Chicago. ed.</w:t>
      </w:r>
    </w:p>
    <w:bookmarkEnd w:id="357"/>
    <w:bookmarkStart w:id="358" w:name="ref-Der82:Mar"/>
    <w:p>
      <w:pPr>
        <w:pStyle w:val="Bibliography"/>
      </w:pPr>
      <w:r>
        <w:t xml:space="preserve">Derrida J. 1982.</w:t>
      </w:r>
      <w:r>
        <w:t xml:space="preserve"> </w:t>
      </w:r>
      <w:r>
        <w:rPr>
          <w:i/>
        </w:rPr>
        <w:t xml:space="preserve">Margins of Philosophy</w:t>
      </w:r>
      <w:r>
        <w:t xml:space="preserve">. The Harvester Press. ed.</w:t>
      </w:r>
    </w:p>
    <w:bookmarkEnd w:id="358"/>
    <w:bookmarkStart w:id="359" w:name="ref-Der95:Arc"/>
    <w:p>
      <w:pPr>
        <w:pStyle w:val="Bibliography"/>
      </w:pPr>
      <w:r>
        <w:t xml:space="preserve">Derrida J, Prenowitz E. 1995. Archive fever: A freudian impression.</w:t>
      </w:r>
      <w:r>
        <w:t xml:space="preserve"> </w:t>
      </w:r>
      <w:r>
        <w:rPr>
          <w:i/>
        </w:rPr>
        <w:t xml:space="preserve">Diacritics</w:t>
      </w:r>
      <w:r>
        <w:t xml:space="preserve">. 25(2):</w:t>
      </w:r>
    </w:p>
    <w:bookmarkEnd w:id="359"/>
    <w:bookmarkStart w:id="361"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360">
        <w:r>
          <w:rPr>
            <w:rStyle w:val="Hyperlink"/>
          </w:rPr>
          <w:t xml:space="preserve">http://ismir2015.uma.es/articles/261_Paper.pdf</w:t>
        </w:r>
      </w:hyperlink>
    </w:p>
    <w:bookmarkEnd w:id="361"/>
    <w:bookmarkStart w:id="362"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362"/>
    <w:bookmarkStart w:id="363"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363"/>
    <w:bookmarkStart w:id="364"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364"/>
    <w:bookmarkStart w:id="365"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365"/>
    <w:bookmarkStart w:id="366" w:name="ref-DBLP:journals/corr/abs-0812-4235"/>
    <w:p>
      <w:pPr>
        <w:pStyle w:val="Bibliography"/>
      </w:pPr>
      <w:r>
        <w:t xml:space="preserve">Dinuzzo F, Pillonetto G, Nicolao GD. 2008. Client-server multi-task learning from distributed datasets.</w:t>
      </w:r>
      <w:r>
        <w:t xml:space="preserve"> </w:t>
      </w:r>
      <w:r>
        <w:rPr>
          <w:i/>
        </w:rPr>
        <w:t xml:space="preserve">CoRR</w:t>
      </w:r>
      <w:r>
        <w:t xml:space="preserve">. abs/0812.4235:</w:t>
      </w:r>
    </w:p>
    <w:bookmarkEnd w:id="366"/>
    <w:bookmarkStart w:id="368"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367">
        <w:r>
          <w:rPr>
            <w:rStyle w:val="Hyperlink"/>
          </w:rPr>
          <w:t xml:space="preserve">http://ismir2018.ircam.fr/doc/pdfs/265_Paper.pdf</w:t>
        </w:r>
      </w:hyperlink>
    </w:p>
    <w:bookmarkEnd w:id="368"/>
    <w:bookmarkStart w:id="369" w:name="ref-2018arXiv180204208D"/>
    <w:p>
      <w:pPr>
        <w:pStyle w:val="Bibliography"/>
      </w:pPr>
      <w:r>
        <w:t xml:space="preserve">Donahue C, McAuley J, Puckette M. 2018. Adversarial Audio Synthesis.</w:t>
      </w:r>
      <w:r>
        <w:t xml:space="preserve"> </w:t>
      </w:r>
      <w:r>
        <w:rPr>
          <w:i/>
        </w:rPr>
        <w:t xml:space="preserve">arXiv e-prints</w:t>
      </w:r>
      <w:r>
        <w:t xml:space="preserve">. arXiv:1802.04208</w:t>
      </w:r>
    </w:p>
    <w:bookmarkEnd w:id="369"/>
    <w:bookmarkStart w:id="371"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370">
        <w:r>
          <w:rPr>
            <w:rStyle w:val="Hyperlink"/>
          </w:rPr>
          <w:t xml:space="preserve">http://ismir2000.ismir.net/papers/invites/dunn_invite.pdf</w:t>
        </w:r>
      </w:hyperlink>
    </w:p>
    <w:bookmarkEnd w:id="371"/>
    <w:bookmarkStart w:id="372"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372"/>
    <w:bookmarkStart w:id="373"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373"/>
    <w:bookmarkStart w:id="374" w:name="ref-Eco04:The"/>
    <w:p>
      <w:pPr>
        <w:pStyle w:val="Bibliography"/>
      </w:pPr>
      <w:r>
        <w:t xml:space="preserve">Eco U. 2004. The poetics of the open work.</w:t>
      </w:r>
      <w:r>
        <w:t xml:space="preserve"> </w:t>
      </w:r>
      <w:r>
        <w:rPr>
          <w:i/>
        </w:rPr>
        <w:t xml:space="preserve">Audio Culture: Readings in Modern Music</w:t>
      </w:r>
    </w:p>
    <w:bookmarkEnd w:id="374"/>
    <w:bookmarkStart w:id="375" w:name="ref-Emm86:The"/>
    <w:p>
      <w:pPr>
        <w:pStyle w:val="Bibliography"/>
      </w:pPr>
      <w:r>
        <w:t xml:space="preserve">Emmerson S. 1986.</w:t>
      </w:r>
      <w:r>
        <w:t xml:space="preserve"> </w:t>
      </w:r>
      <w:r>
        <w:rPr>
          <w:i/>
        </w:rPr>
        <w:t xml:space="preserve">The Language of Electroacoustic Music</w:t>
      </w:r>
      <w:r>
        <w:t xml:space="preserve">. ed.</w:t>
      </w:r>
    </w:p>
    <w:bookmarkEnd w:id="375"/>
    <w:bookmarkStart w:id="377"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376">
        <w:r>
          <w:rPr>
            <w:rStyle w:val="Hyperlink"/>
          </w:rPr>
          <w:t xml:space="preserve">http://ismir2018.ircam.fr/doc/pdfs/206_Paper.pdf</w:t>
        </w:r>
      </w:hyperlink>
    </w:p>
    <w:bookmarkEnd w:id="377"/>
    <w:bookmarkStart w:id="378"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378"/>
    <w:bookmarkStart w:id="379" w:name="ref-Ern13:Dig"/>
    <w:p>
      <w:pPr>
        <w:pStyle w:val="Bibliography"/>
      </w:pPr>
      <w:r>
        <w:t xml:space="preserve">Ernst W. 2013.</w:t>
      </w:r>
      <w:r>
        <w:t xml:space="preserve"> </w:t>
      </w:r>
      <w:r>
        <w:rPr>
          <w:i/>
        </w:rPr>
        <w:t xml:space="preserve">Digital Memory and the Archive</w:t>
      </w:r>
      <w:r>
        <w:t xml:space="preserve">. University of Minnesota Press. ed.</w:t>
      </w:r>
    </w:p>
    <w:bookmarkEnd w:id="379"/>
    <w:bookmarkStart w:id="380"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380"/>
    <w:bookmarkStart w:id="381"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381"/>
    <w:bookmarkStart w:id="383"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382">
        <w:r>
          <w:rPr>
            <w:rStyle w:val="Hyperlink"/>
          </w:rPr>
          <w:t xml:space="preserve">https://ismir2017.smcnus.org/wp-content/uploads/2017/10/161_Paper.pdf</w:t>
        </w:r>
      </w:hyperlink>
    </w:p>
    <w:bookmarkEnd w:id="383"/>
    <w:bookmarkStart w:id="384"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384"/>
    <w:bookmarkStart w:id="385"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385"/>
    <w:bookmarkStart w:id="386"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386"/>
    <w:bookmarkStart w:id="387"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387"/>
    <w:bookmarkStart w:id="388" w:name="ref-Fri17:Son"/>
    <w:p>
      <w:pPr>
        <w:pStyle w:val="Bibliography"/>
      </w:pPr>
      <w:r>
        <w:t xml:space="preserve">Frid E. 2017. Sonification of women in sound and music computing - the sound of female authorship in icmc, smc and nime proceedings.</w:t>
      </w:r>
      <w:r>
        <w:t xml:space="preserve"> </w:t>
      </w:r>
      <w:r>
        <w:rPr>
          <w:i/>
        </w:rPr>
        <w:t xml:space="preserve">ICMC</w:t>
      </w:r>
      <w:r>
        <w:t xml:space="preserve">, pp. 233–38. Michigan Publishing</w:t>
      </w:r>
    </w:p>
    <w:bookmarkEnd w:id="388"/>
    <w:bookmarkStart w:id="389"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389"/>
    <w:bookmarkStart w:id="391"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390">
        <w:r>
          <w:rPr>
            <w:rStyle w:val="Hyperlink"/>
          </w:rPr>
          <w:t xml:space="preserve">http://www.nime.org/proceedings/2010/nime2010_473.pdf</w:t>
        </w:r>
      </w:hyperlink>
    </w:p>
    <w:bookmarkEnd w:id="391"/>
    <w:bookmarkStart w:id="393"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392">
        <w:r>
          <w:rPr>
            <w:rStyle w:val="Hyperlink"/>
          </w:rPr>
          <w:t xml:space="preserve">http://www.nime.org/proceedings/2011/nime2011_124.pdf</w:t>
        </w:r>
      </w:hyperlink>
    </w:p>
    <w:bookmarkEnd w:id="393"/>
    <w:bookmarkStart w:id="394"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394"/>
    <w:bookmarkStart w:id="396"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395">
        <w:r>
          <w:rPr>
            <w:rStyle w:val="Hyperlink"/>
          </w:rPr>
          <w:t xml:space="preserve">http://ismir2000.ismir.net/posters/good.pdf</w:t>
        </w:r>
      </w:hyperlink>
    </w:p>
    <w:bookmarkEnd w:id="396"/>
    <w:bookmarkStart w:id="398"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397">
        <w:r>
          <w:rPr>
            <w:rStyle w:val="Hyperlink"/>
          </w:rPr>
          <w:t xml:space="preserve">http://ismir2002.ismir.net/proceedings/03-SP04-1.pdf</w:t>
        </w:r>
      </w:hyperlink>
    </w:p>
    <w:bookmarkEnd w:id="398"/>
    <w:bookmarkStart w:id="400"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399">
        <w:r>
          <w:rPr>
            <w:rStyle w:val="Hyperlink"/>
          </w:rPr>
          <w:t xml:space="preserve">http://ismir2003.ismir.net/papers/Goto1.PDF</w:t>
        </w:r>
      </w:hyperlink>
    </w:p>
    <w:bookmarkEnd w:id="400"/>
    <w:bookmarkStart w:id="401" w:name="ref-Gra15:The"/>
    <w:p>
      <w:pPr>
        <w:pStyle w:val="Bibliography"/>
      </w:pPr>
      <w:r>
        <w:t xml:space="preserve">Gratton P, Morin M-E. 2015.</w:t>
      </w:r>
      <w:r>
        <w:t xml:space="preserve"> </w:t>
      </w:r>
      <w:r>
        <w:rPr>
          <w:i/>
        </w:rPr>
        <w:t xml:space="preserve">The Nancy Dictionary</w:t>
      </w:r>
      <w:r>
        <w:t xml:space="preserve">. Edinburgh University Press. ed.</w:t>
      </w:r>
    </w:p>
    <w:bookmarkEnd w:id="401"/>
    <w:bookmarkStart w:id="403"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402">
        <w:r>
          <w:rPr>
            <w:rStyle w:val="Hyperlink"/>
          </w:rPr>
          <w:t xml:space="preserve">http://www.terasoft.com.tw/conf/ismir2014/proceedings/T059_257_Paper.pdf</w:t>
        </w:r>
      </w:hyperlink>
    </w:p>
    <w:bookmarkEnd w:id="403"/>
    <w:bookmarkStart w:id="404"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404"/>
    <w:bookmarkStart w:id="405"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405"/>
    <w:bookmarkStart w:id="406" w:name="ref-Han04:New"/>
    <w:p>
      <w:pPr>
        <w:pStyle w:val="Bibliography"/>
      </w:pPr>
      <w:r>
        <w:t xml:space="preserve">Hansen MBN. 2004.</w:t>
      </w:r>
      <w:r>
        <w:t xml:space="preserve"> </w:t>
      </w:r>
      <w:r>
        <w:rPr>
          <w:i/>
        </w:rPr>
        <w:t xml:space="preserve">New Philosophy for New Media</w:t>
      </w:r>
      <w:r>
        <w:t xml:space="preserve">. The MIT Press. ed.</w:t>
      </w:r>
    </w:p>
    <w:bookmarkEnd w:id="406"/>
    <w:bookmarkStart w:id="408"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407">
        <w:r>
          <w:rPr>
            <w:rStyle w:val="Hyperlink"/>
          </w:rPr>
          <w:t xml:space="preserve">http://ismir2008.ismir.net/papers/ISMIR2008_173.pdf</w:t>
        </w:r>
      </w:hyperlink>
    </w:p>
    <w:bookmarkEnd w:id="408"/>
    <w:bookmarkStart w:id="410"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409">
        <w:r>
          <w:rPr>
            <w:rStyle w:val="Hyperlink"/>
          </w:rPr>
          <w:t xml:space="preserve">http://www.ppgia.pucpr.br/ismir2013/wp-content/uploads/2013/09/85_Paper.pdf</w:t>
        </w:r>
      </w:hyperlink>
    </w:p>
    <w:bookmarkEnd w:id="410"/>
    <w:bookmarkStart w:id="411" w:name="ref-Hay93:The"/>
    <w:p>
      <w:pPr>
        <w:pStyle w:val="Bibliography"/>
      </w:pPr>
      <w:r>
        <w:t xml:space="preserve">Hayles NK. 1993. The materiality of informatics.</w:t>
      </w:r>
      <w:r>
        <w:t xml:space="preserve"> </w:t>
      </w:r>
      <w:r>
        <w:rPr>
          <w:i/>
        </w:rPr>
        <w:t xml:space="preserve">Configurations</w:t>
      </w:r>
      <w:r>
        <w:t xml:space="preserve">. 1(1):</w:t>
      </w:r>
    </w:p>
    <w:bookmarkEnd w:id="411"/>
    <w:bookmarkStart w:id="412"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412"/>
    <w:bookmarkStart w:id="413" w:name="ref-Her14:Aso"/>
    <w:p>
      <w:pPr>
        <w:pStyle w:val="Bibliography"/>
      </w:pPr>
      <w:r>
        <w:t xml:space="preserve">Hildebrandt T, Hermann T, Rinderle-Ma S. 2014. A Sonification System for Process Monitoring as Secondary Task.</w:t>
      </w:r>
      <w:r>
        <w:t xml:space="preserve"> </w:t>
      </w:r>
      <w:r>
        <w:rPr>
          <w:i/>
        </w:rPr>
        <w:t xml:space="preserve">Proceedings of the 5th Ieee Conference on Cognitive Infocommunication (Coginfocom 2014)</w:t>
      </w:r>
      <w:r>
        <w:t xml:space="preserve">, pp. 191–96. Vietri sul Mare, Italy: IEEE</w:t>
      </w:r>
    </w:p>
    <w:bookmarkEnd w:id="413"/>
    <w:bookmarkStart w:id="414" w:name="ref-Hil59:Exp"/>
    <w:p>
      <w:pPr>
        <w:pStyle w:val="Bibliography"/>
      </w:pPr>
      <w:r>
        <w:t xml:space="preserve">Hiller LA, Isaacson LM. 1959.</w:t>
      </w:r>
      <w:r>
        <w:t xml:space="preserve"> </w:t>
      </w:r>
      <w:r>
        <w:rPr>
          <w:i/>
        </w:rPr>
        <w:t xml:space="preserve">Experimental Music: Composition with an Electronic Computer</w:t>
      </w:r>
      <w:r>
        <w:t xml:space="preserve">. McGraw-Hill Book Company, Inc. ed.</w:t>
      </w:r>
    </w:p>
    <w:bookmarkEnd w:id="414"/>
    <w:bookmarkStart w:id="416"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415">
        <w:r>
          <w:rPr>
            <w:rStyle w:val="Hyperlink"/>
          </w:rPr>
          <w:t xml:space="preserve">http://www.nime.org/proceedings/2010/nime2010_233.pdf</w:t>
        </w:r>
      </w:hyperlink>
    </w:p>
    <w:bookmarkEnd w:id="416"/>
    <w:bookmarkStart w:id="418"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417">
        <w:r>
          <w:rPr>
            <w:rStyle w:val="Hyperlink"/>
          </w:rPr>
          <w:t xml:space="preserve">http://ismir2005.ismir.net/proceedings/2117.pdf</w:t>
        </w:r>
      </w:hyperlink>
    </w:p>
    <w:bookmarkEnd w:id="418"/>
    <w:bookmarkStart w:id="420"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419">
        <w:r>
          <w:rPr>
            <w:rStyle w:val="Hyperlink"/>
          </w:rPr>
          <w:t xml:space="preserve">http://ismir2018.ircam.fr/doc/pdfs/248_Paper.pdf</w:t>
        </w:r>
      </w:hyperlink>
    </w:p>
    <w:bookmarkEnd w:id="420"/>
    <w:bookmarkStart w:id="421" w:name="ref-Mau99:Abr"/>
    <w:p>
      <w:pPr>
        <w:pStyle w:val="Bibliography"/>
      </w:pPr>
      <w:r>
        <w:t xml:space="preserve">IV JAM. 1999.</w:t>
      </w:r>
      <w:r>
        <w:t xml:space="preserve"> </w:t>
      </w:r>
      <w:r>
        <w:rPr>
          <w:i/>
        </w:rPr>
        <w:t xml:space="preserve">A Brief History of Algorithmic Composition</w:t>
      </w:r>
      <w:r>
        <w:t xml:space="preserve">. Online. ed.</w:t>
      </w:r>
    </w:p>
    <w:bookmarkEnd w:id="421"/>
    <w:bookmarkStart w:id="422"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422"/>
    <w:bookmarkStart w:id="423"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423"/>
    <w:bookmarkStart w:id="424"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424"/>
    <w:bookmarkStart w:id="426"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425">
        <w:r>
          <w:rPr>
            <w:rStyle w:val="Hyperlink"/>
          </w:rPr>
          <w:t xml:space="preserve">http://ismir2008.ismir.net/papers/ISMIR2008_106.pdf</w:t>
        </w:r>
      </w:hyperlink>
    </w:p>
    <w:bookmarkEnd w:id="426"/>
    <w:bookmarkStart w:id="427" w:name="ref-DBLP:journals/corr/abs-1109-1145"/>
    <w:p>
      <w:pPr>
        <w:pStyle w:val="Bibliography"/>
      </w:pPr>
      <w:r>
        <w:t xml:space="preserve">Kamde PM, Algur SP. 2011. A survey on web multimedia mining.</w:t>
      </w:r>
      <w:r>
        <w:t xml:space="preserve"> </w:t>
      </w:r>
      <w:r>
        <w:rPr>
          <w:i/>
        </w:rPr>
        <w:t xml:space="preserve">CoRR</w:t>
      </w:r>
      <w:r>
        <w:t xml:space="preserve">. abs/1109.1145:</w:t>
      </w:r>
    </w:p>
    <w:bookmarkEnd w:id="427"/>
    <w:bookmarkStart w:id="428"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428"/>
    <w:bookmarkStart w:id="429"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429"/>
    <w:bookmarkStart w:id="431"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430">
        <w:r>
          <w:rPr>
            <w:rStyle w:val="Hyperlink"/>
          </w:rPr>
          <w:t xml:space="preserve">http://www.nime.org/proceedings/2004/nime2004_130.pdf</w:t>
        </w:r>
      </w:hyperlink>
    </w:p>
    <w:bookmarkEnd w:id="431"/>
    <w:bookmarkStart w:id="432"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432"/>
    <w:bookmarkStart w:id="434"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433">
        <w:r>
          <w:rPr>
            <w:rStyle w:val="Hyperlink"/>
          </w:rPr>
          <w:t xml:space="preserve">http://www.terasoft.com.tw/conf/ismir2014/proceedings/T039_344_Paper.pdf</w:t>
        </w:r>
      </w:hyperlink>
    </w:p>
    <w:bookmarkEnd w:id="434"/>
    <w:bookmarkStart w:id="435"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435"/>
    <w:bookmarkStart w:id="437"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436">
        <w:r>
          <w:rPr>
            <w:rStyle w:val="Hyperlink"/>
          </w:rPr>
          <w:t xml:space="preserve">http://ismir2015.uma.es/articles/246_Paper.pdf</w:t>
        </w:r>
      </w:hyperlink>
    </w:p>
    <w:bookmarkEnd w:id="437"/>
    <w:bookmarkStart w:id="438"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438"/>
    <w:bookmarkStart w:id="439"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439"/>
    <w:bookmarkStart w:id="440"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440"/>
    <w:bookmarkStart w:id="441"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441"/>
    <w:bookmarkStart w:id="442"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442"/>
    <w:bookmarkStart w:id="443"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443"/>
    <w:bookmarkStart w:id="444"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444"/>
    <w:bookmarkStart w:id="445"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445"/>
    <w:bookmarkStart w:id="446"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446"/>
    <w:bookmarkStart w:id="447" w:name="ref-Lod98:MUS"/>
    <w:p>
      <w:pPr>
        <w:pStyle w:val="Bibliography"/>
      </w:pPr>
      <w:r>
        <w:t xml:space="preserve">Lodha S, Beahan J, Joseph A, Zane-ulman B. 1998. MUSE: A musical data sonification toolkit</w:t>
      </w:r>
    </w:p>
    <w:bookmarkEnd w:id="447"/>
    <w:bookmarkStart w:id="448"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448"/>
    <w:bookmarkStart w:id="450"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449">
        <w:r>
          <w:rPr>
            <w:rStyle w:val="Hyperlink"/>
          </w:rPr>
          <w:t xml:space="preserve">http://www.nime.org/proceedings/2008/nime2008_221.pdf</w:t>
        </w:r>
      </w:hyperlink>
    </w:p>
    <w:bookmarkEnd w:id="450"/>
    <w:bookmarkStart w:id="451" w:name="ref-Man01:The"/>
    <w:p>
      <w:pPr>
        <w:pStyle w:val="Bibliography"/>
      </w:pPr>
      <w:r>
        <w:t xml:space="preserve">Manovich L. 2001.</w:t>
      </w:r>
      <w:r>
        <w:t xml:space="preserve"> </w:t>
      </w:r>
      <w:r>
        <w:rPr>
          <w:i/>
        </w:rPr>
        <w:t xml:space="preserve">The Language of New Media</w:t>
      </w:r>
      <w:r>
        <w:t xml:space="preserve">. MIT Press. ed.</w:t>
      </w:r>
    </w:p>
    <w:bookmarkEnd w:id="451"/>
    <w:bookmarkStart w:id="452" w:name="ref-Man02:Old"/>
    <w:p>
      <w:pPr>
        <w:pStyle w:val="Bibliography"/>
      </w:pPr>
      <w:r>
        <w:t xml:space="preserve">Manovich L. 2002. Old media as new media: Cinema.</w:t>
      </w:r>
      <w:r>
        <w:t xml:space="preserve"> </w:t>
      </w:r>
      <w:r>
        <w:rPr>
          <w:i/>
        </w:rPr>
        <w:t xml:space="preserve">The New Media Book</w:t>
      </w:r>
    </w:p>
    <w:bookmarkEnd w:id="452"/>
    <w:bookmarkStart w:id="453"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453"/>
    <w:bookmarkStart w:id="455"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454">
        <w:r>
          <w:rPr>
            <w:rStyle w:val="Hyperlink"/>
          </w:rPr>
          <w:t xml:space="preserve">http://ismir2008.ismir.net/papers/ISMIR2008_158.pdf</w:t>
        </w:r>
      </w:hyperlink>
    </w:p>
    <w:bookmarkEnd w:id="455"/>
    <w:bookmarkStart w:id="456"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456"/>
    <w:bookmarkStart w:id="457"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457"/>
    <w:bookmarkStart w:id="458"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458"/>
    <w:bookmarkStart w:id="459" w:name="ref-csoundMethods"/>
    <w:p>
      <w:pPr>
        <w:pStyle w:val="Bibliography"/>
      </w:pPr>
      <w:r>
        <w:t xml:space="preserve">McCurdy I, Heintz J, Joaquin J, Knevel M. 2015. Methods of writing csound scores.</w:t>
      </w:r>
      <w:r>
        <w:t xml:space="preserve"> </w:t>
      </w:r>
      <w:r>
        <w:rPr>
          <w:i/>
        </w:rPr>
        <w:t xml:space="preserve">FLOSS Manuals</w:t>
      </w:r>
    </w:p>
    <w:bookmarkEnd w:id="459"/>
    <w:bookmarkStart w:id="460"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460"/>
    <w:bookmarkStart w:id="462"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461">
        <w:r>
          <w:rPr>
            <w:rStyle w:val="Hyperlink"/>
          </w:rPr>
          <w:t xml:space="preserve">http://ismir2018.ircam.fr/doc/pdfs/35_Paper.pdf</w:t>
        </w:r>
      </w:hyperlink>
    </w:p>
    <w:bookmarkEnd w:id="462"/>
    <w:bookmarkStart w:id="463"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463"/>
    <w:bookmarkStart w:id="464" w:name="ref-DBLP:journals/corr/MitraS14"/>
    <w:p>
      <w:pPr>
        <w:pStyle w:val="Bibliography"/>
      </w:pPr>
      <w:r>
        <w:t xml:space="preserve">Mitra J, Saha D. 2014. An efficient feature selection in classification of audio files.</w:t>
      </w:r>
      <w:r>
        <w:t xml:space="preserve"> </w:t>
      </w:r>
      <w:r>
        <w:rPr>
          <w:i/>
        </w:rPr>
        <w:t xml:space="preserve">CoRR</w:t>
      </w:r>
      <w:r>
        <w:t xml:space="preserve">. abs/1404.1491:</w:t>
      </w:r>
    </w:p>
    <w:bookmarkEnd w:id="464"/>
    <w:bookmarkStart w:id="465"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465"/>
    <w:bookmarkStart w:id="466" w:name="ref-ods-cpp"/>
    <w:p>
      <w:pPr>
        <w:pStyle w:val="Bibliography"/>
      </w:pPr>
      <w:r>
        <w:t xml:space="preserve">Morin P. 2019.</w:t>
      </w:r>
      <w:r>
        <w:t xml:space="preserve"> </w:t>
      </w:r>
      <w:r>
        <w:rPr>
          <w:i/>
        </w:rPr>
        <w:t xml:space="preserve">Open Data Structures</w:t>
      </w:r>
      <w:r>
        <w:t xml:space="preserve">. Creative Commons. ed.</w:t>
      </w:r>
    </w:p>
    <w:bookmarkEnd w:id="466"/>
    <w:bookmarkStart w:id="467"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467"/>
    <w:bookmarkStart w:id="468" w:name="ref-DBLP:journals/corr/abs-1301-1894"/>
    <w:p>
      <w:pPr>
        <w:pStyle w:val="Bibliography"/>
      </w:pPr>
      <w:r>
        <w:t xml:space="preserve">Nagavi TC, Bhajantri NU. 2013. An extensive analysis of query by singing/humming system through query proportion.</w:t>
      </w:r>
      <w:r>
        <w:t xml:space="preserve"> </w:t>
      </w:r>
      <w:r>
        <w:rPr>
          <w:i/>
        </w:rPr>
        <w:t xml:space="preserve">CoRR</w:t>
      </w:r>
      <w:r>
        <w:t xml:space="preserve">. abs/1301.1894:</w:t>
      </w:r>
    </w:p>
    <w:bookmarkEnd w:id="468"/>
    <w:bookmarkStart w:id="469" w:name="ref-DBLP:journals/corr/NagaviB14"/>
    <w:p>
      <w:pPr>
        <w:pStyle w:val="Bibliography"/>
      </w:pPr>
      <w:r>
        <w:t xml:space="preserve">Nagavi TC, Bhajantri NU. 2014. Progressive filtering using multiresolution histograms for query by humming system.</w:t>
      </w:r>
      <w:r>
        <w:t xml:space="preserve"> </w:t>
      </w:r>
      <w:r>
        <w:rPr>
          <w:i/>
        </w:rPr>
        <w:t xml:space="preserve">CoRR</w:t>
      </w:r>
      <w:r>
        <w:t xml:space="preserve">. abs/1401.2516:</w:t>
      </w:r>
    </w:p>
    <w:bookmarkEnd w:id="469"/>
    <w:bookmarkStart w:id="471"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470">
        <w:r>
          <w:rPr>
            <w:rStyle w:val="Hyperlink"/>
          </w:rPr>
          <w:t xml:space="preserve">http://www.nime.org/proceedings/2007/nime2007_409.pdf</w:t>
        </w:r>
      </w:hyperlink>
    </w:p>
    <w:bookmarkEnd w:id="471"/>
    <w:bookmarkStart w:id="472"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472"/>
    <w:bookmarkStart w:id="473" w:name="ref-Nan07:Lis"/>
    <w:p>
      <w:pPr>
        <w:pStyle w:val="Bibliography"/>
      </w:pPr>
      <w:r>
        <w:t xml:space="preserve">Nancy J-L. 2007.</w:t>
      </w:r>
      <w:r>
        <w:t xml:space="preserve"> </w:t>
      </w:r>
      <w:r>
        <w:rPr>
          <w:i/>
        </w:rPr>
        <w:t xml:space="preserve">Listening</w:t>
      </w:r>
      <w:r>
        <w:t xml:space="preserve">. Fordham University Place. ed.</w:t>
      </w:r>
    </w:p>
    <w:bookmarkEnd w:id="473"/>
    <w:bookmarkStart w:id="474"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474"/>
    <w:bookmarkStart w:id="475"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475"/>
    <w:bookmarkStart w:id="476"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476"/>
    <w:bookmarkStart w:id="477"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477"/>
    <w:bookmarkStart w:id="478"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478"/>
    <w:bookmarkStart w:id="479"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479"/>
    <w:bookmarkStart w:id="480"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480"/>
    <w:bookmarkStart w:id="481"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481"/>
    <w:bookmarkStart w:id="483"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482">
        <w:r>
          <w:rPr>
            <w:rStyle w:val="Hyperlink"/>
          </w:rPr>
          <w:t xml:space="preserve">https://ismir2017.smcnus.org/wp-content/uploads/2017/10/14_Paper.pdf</w:t>
        </w:r>
      </w:hyperlink>
    </w:p>
    <w:bookmarkEnd w:id="483"/>
    <w:bookmarkStart w:id="484"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484"/>
    <w:bookmarkStart w:id="485"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485"/>
    <w:bookmarkStart w:id="486" w:name="ref-Wil96:Lis"/>
    <w:p>
      <w:pPr>
        <w:pStyle w:val="Bibliography"/>
      </w:pPr>
      <w:r>
        <w:t xml:space="preserve">Pauletto S, Hunt A. 2004a. A toolkit for interactive sonification.</w:t>
      </w:r>
      <w:r>
        <w:t xml:space="preserve"> </w:t>
      </w:r>
      <w:r>
        <w:rPr>
          <w:i/>
        </w:rPr>
        <w:t xml:space="preserve">ICAD</w:t>
      </w:r>
      <w:r>
        <w:t xml:space="preserve">. Georgia Institute of Technology</w:t>
      </w:r>
    </w:p>
    <w:bookmarkEnd w:id="486"/>
    <w:bookmarkStart w:id="487" w:name="ref-pauletto04"/>
    <w:p>
      <w:pPr>
        <w:pStyle w:val="Bibliography"/>
      </w:pPr>
      <w:r>
        <w:t xml:space="preserve">Pauletto S, Hunt A. 2004b.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487"/>
    <w:bookmarkStart w:id="488" w:name="ref-2018arXiv180802848P"/>
    <w:p>
      <w:pPr>
        <w:pStyle w:val="Bibliography"/>
      </w:pPr>
      <w:r>
        <w:t xml:space="preserve">Peron T, Rodrigues FA, Costa L da F. 2018. Pattern Recognition Approach to Violin Shapes of MIMO database.</w:t>
      </w:r>
      <w:r>
        <w:t xml:space="preserve"> </w:t>
      </w:r>
      <w:r>
        <w:rPr>
          <w:i/>
        </w:rPr>
        <w:t xml:space="preserve">arXiv e-prints</w:t>
      </w:r>
      <w:r>
        <w:t xml:space="preserve">. arXiv:1808.02848</w:t>
      </w:r>
    </w:p>
    <w:bookmarkEnd w:id="488"/>
    <w:bookmarkStart w:id="490"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489">
        <w:r>
          <w:rPr>
            <w:rStyle w:val="Hyperlink"/>
          </w:rPr>
          <w:t xml:space="preserve">http://www.terasoft.com.tw/conf/ismir2014/proceedings/T064_307_Paper.pdf</w:t>
        </w:r>
      </w:hyperlink>
    </w:p>
    <w:bookmarkEnd w:id="490"/>
    <w:bookmarkStart w:id="491" w:name="ref-Pos11:Int"/>
    <w:p>
      <w:pPr>
        <w:pStyle w:val="Bibliography"/>
      </w:pPr>
      <w:r>
        <w:t xml:space="preserve">Poster M. 2011. Introduction.</w:t>
      </w:r>
      <w:r>
        <w:t xml:space="preserve"> </w:t>
      </w:r>
      <w:r>
        <w:rPr>
          <w:i/>
        </w:rPr>
        <w:t xml:space="preserve">Into the Universe of Technical Images</w:t>
      </w:r>
    </w:p>
    <w:bookmarkEnd w:id="491"/>
    <w:bookmarkStart w:id="493"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492">
        <w:r>
          <w:rPr>
            <w:rStyle w:val="Hyperlink"/>
          </w:rPr>
          <w:t xml:space="preserve">http://www.nime.org/proceedings/2008/nime2008_311.pdf</w:t>
        </w:r>
      </w:hyperlink>
    </w:p>
    <w:bookmarkEnd w:id="493"/>
    <w:bookmarkStart w:id="494"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494"/>
    <w:bookmarkStart w:id="495"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495"/>
    <w:bookmarkStart w:id="496"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496"/>
    <w:bookmarkStart w:id="497"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497"/>
    <w:bookmarkStart w:id="498"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498"/>
    <w:bookmarkStart w:id="499"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499"/>
    <w:bookmarkStart w:id="500"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500"/>
    <w:bookmarkStart w:id="501" w:name="ref-Roa04:Mic"/>
    <w:p>
      <w:pPr>
        <w:pStyle w:val="Bibliography"/>
      </w:pPr>
      <w:r>
        <w:t xml:space="preserve">Roads C. 2001.</w:t>
      </w:r>
      <w:r>
        <w:t xml:space="preserve"> </w:t>
      </w:r>
      <w:r>
        <w:rPr>
          <w:i/>
        </w:rPr>
        <w:t xml:space="preserve">Microsound</w:t>
      </w:r>
      <w:r>
        <w:t xml:space="preserve">. MIT Press. ed.</w:t>
      </w:r>
    </w:p>
    <w:bookmarkEnd w:id="501"/>
    <w:bookmarkStart w:id="502" w:name="ref-Roa80:Int"/>
    <w:p>
      <w:pPr>
        <w:pStyle w:val="Bibliography"/>
      </w:pPr>
      <w:r>
        <w:t xml:space="preserve">Roads C, Mathews M. 1980. Interview with max mathews.</w:t>
      </w:r>
      <w:r>
        <w:t xml:space="preserve"> </w:t>
      </w:r>
      <w:r>
        <w:rPr>
          <w:i/>
        </w:rPr>
        <w:t xml:space="preserve">Computer Music Journal</w:t>
      </w:r>
      <w:r>
        <w:t xml:space="preserve">. 4(4):15–22</w:t>
      </w:r>
    </w:p>
    <w:bookmarkEnd w:id="502"/>
    <w:bookmarkStart w:id="503"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503"/>
    <w:bookmarkStart w:id="504"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504"/>
    <w:bookmarkStart w:id="505"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505"/>
    <w:bookmarkStart w:id="506"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506"/>
    <w:bookmarkStart w:id="507"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507"/>
    <w:bookmarkStart w:id="508"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508"/>
    <w:bookmarkStart w:id="509" w:name="ref-Row01:Mac"/>
    <w:p>
      <w:pPr>
        <w:pStyle w:val="Bibliography"/>
      </w:pPr>
      <w:r>
        <w:t xml:space="preserve">Rowe R. 2001.</w:t>
      </w:r>
      <w:r>
        <w:t xml:space="preserve"> </w:t>
      </w:r>
      <w:r>
        <w:rPr>
          <w:i/>
        </w:rPr>
        <w:t xml:space="preserve">Machine Musicianship</w:t>
      </w:r>
      <w:r>
        <w:t xml:space="preserve">. Cambridge, MA, USA: MIT Press. ed.</w:t>
      </w:r>
    </w:p>
    <w:bookmarkEnd w:id="509"/>
    <w:bookmarkStart w:id="510"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510"/>
    <w:bookmarkStart w:id="511"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511"/>
    <w:bookmarkStart w:id="513" w:name="ref-DBLP:conf/ismir/Sapp05"/>
    <w:p>
      <w:pPr>
        <w:pStyle w:val="Bibliography"/>
      </w:pPr>
      <w:r>
        <w:t xml:space="preserve">Sapp CS. 2005. Online database of scores in the humdrum file format.</w:t>
      </w:r>
      <w:r>
        <w:t xml:space="preserve"> </w:t>
      </w:r>
      <w:r>
        <w:rPr>
          <w:i/>
        </w:rPr>
        <w:t xml:space="preserve">ISMIR 2005, 6th International Conference on Music Information Retrieval, London, Uk, 11-15 September 2005, Proceedings</w:t>
      </w:r>
      <w:r>
        <w:t xml:space="preserve">, pp. 664–65.</w:t>
      </w:r>
      <w:r>
        <w:t xml:space="preserve"> </w:t>
      </w:r>
      <w:hyperlink r:id="rId512">
        <w:r>
          <w:rPr>
            <w:rStyle w:val="Hyperlink"/>
          </w:rPr>
          <w:t xml:space="preserve">http://ismir2005.ismir.net/proceedings/3123.pdf</w:t>
        </w:r>
      </w:hyperlink>
    </w:p>
    <w:bookmarkEnd w:id="513"/>
    <w:bookmarkStart w:id="514"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514"/>
    <w:bookmarkStart w:id="515"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515"/>
    <w:bookmarkStart w:id="516"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516"/>
    <w:bookmarkStart w:id="517"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517"/>
    <w:bookmarkStart w:id="518"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518"/>
    <w:bookmarkStart w:id="519"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519"/>
    <w:bookmarkStart w:id="520"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520"/>
    <w:bookmarkStart w:id="521" w:name="ref-Sch06:How"/>
    <w:p>
      <w:pPr>
        <w:pStyle w:val="Bibliography"/>
      </w:pPr>
      <w:r>
        <w:t xml:space="preserve">Schwarz D. 2006a. Concatenative sound synthesis: The early years.</w:t>
      </w:r>
      <w:r>
        <w:t xml:space="preserve"> </w:t>
      </w:r>
      <w:r>
        <w:rPr>
          <w:i/>
        </w:rPr>
        <w:t xml:space="preserve">Journal of New Music Research</w:t>
      </w:r>
      <w:r>
        <w:t xml:space="preserve">. 35:3–22</w:t>
      </w:r>
    </w:p>
    <w:bookmarkEnd w:id="521"/>
    <w:bookmarkStart w:id="522" w:name="ref-Sch06:Rea"/>
    <w:p>
      <w:pPr>
        <w:pStyle w:val="Bibliography"/>
      </w:pPr>
      <w:r>
        <w:t xml:space="preserve">Schwarz D. 2006b. Real-time corpus-based concatenative synthesis with catart., pp. 18–21</w:t>
      </w:r>
    </w:p>
    <w:bookmarkEnd w:id="522"/>
    <w:bookmarkStart w:id="523"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523"/>
    <w:bookmarkStart w:id="524" w:name="ref-Selfridge-Field:1997:BMH:275928"/>
    <w:p>
      <w:pPr>
        <w:pStyle w:val="Bibliography"/>
      </w:pPr>
      <w:r>
        <w:t xml:space="preserve">Selfridge-Field E, ed. 1997.</w:t>
      </w:r>
      <w:r>
        <w:t xml:space="preserve"> </w:t>
      </w:r>
      <w:r>
        <w:rPr>
          <w:i/>
        </w:rPr>
        <w:t xml:space="preserve">Beyond Midi: The Handbook of Musical Codes</w:t>
      </w:r>
      <w:r>
        <w:t xml:space="preserve">. Cambridge, MA, USA: MIT Press. ed.</w:t>
      </w:r>
    </w:p>
    <w:bookmarkEnd w:id="524"/>
    <w:bookmarkStart w:id="525" w:name="ref-scoremus"/>
    <w:p>
      <w:pPr>
        <w:pStyle w:val="Bibliography"/>
      </w:pPr>
      <w:r>
        <w:t xml:space="preserve">Selfridge-Field E. 1997. The score music publishing system.</w:t>
      </w:r>
      <w:r>
        <w:t xml:space="preserve"> </w:t>
      </w:r>
      <w:r>
        <w:rPr>
          <w:i/>
        </w:rPr>
        <w:t xml:space="preserve">SCORE</w:t>
      </w:r>
    </w:p>
    <w:bookmarkEnd w:id="525"/>
    <w:bookmarkStart w:id="526"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526"/>
    <w:bookmarkStart w:id="528"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527">
        <w:r>
          <w:rPr>
            <w:rStyle w:val="Hyperlink"/>
          </w:rPr>
          <w:t xml:space="preserve">https://hal.archives-ouvertes.fr/hal-01393959</w:t>
        </w:r>
      </w:hyperlink>
    </w:p>
    <w:bookmarkEnd w:id="528"/>
    <w:bookmarkStart w:id="529"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529"/>
    <w:bookmarkStart w:id="530"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530"/>
    <w:bookmarkStart w:id="531"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531"/>
    <w:bookmarkStart w:id="532" w:name="ref-10.2307/941442"/>
    <w:p>
      <w:pPr>
        <w:pStyle w:val="Bibliography"/>
      </w:pPr>
      <w:r>
        <w:t xml:space="preserve">Skinner R. 1990a. Music software.</w:t>
      </w:r>
      <w:r>
        <w:t xml:space="preserve"> </w:t>
      </w:r>
      <w:r>
        <w:rPr>
          <w:i/>
        </w:rPr>
        <w:t xml:space="preserve">Notes</w:t>
      </w:r>
      <w:r>
        <w:t xml:space="preserve">. 46(3):660–84</w:t>
      </w:r>
    </w:p>
    <w:bookmarkEnd w:id="532"/>
    <w:bookmarkStart w:id="533" w:name="ref-10.2307/940555"/>
    <w:p>
      <w:pPr>
        <w:pStyle w:val="Bibliography"/>
      </w:pPr>
      <w:r>
        <w:t xml:space="preserve">Skinner R. 1990b. Music software.</w:t>
      </w:r>
      <w:r>
        <w:t xml:space="preserve"> </w:t>
      </w:r>
      <w:r>
        <w:rPr>
          <w:i/>
        </w:rPr>
        <w:t xml:space="preserve">Notes</w:t>
      </w:r>
      <w:r>
        <w:t xml:space="preserve">. 47(1):91–101</w:t>
      </w:r>
    </w:p>
    <w:bookmarkEnd w:id="533"/>
    <w:bookmarkStart w:id="534"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534"/>
    <w:bookmarkStart w:id="535"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535"/>
    <w:bookmarkStart w:id="536"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536"/>
    <w:bookmarkStart w:id="537" w:name="ref-DBLP:journals/corr/abs-1711-00048"/>
    <w:p>
      <w:pPr>
        <w:pStyle w:val="Bibliography"/>
      </w:pPr>
      <w:r>
        <w:t xml:space="preserve">Stoller D, Ewert S, Dixon S. 2017. Adversarial semi-supervised audio source separation applied to singing voice extraction.</w:t>
      </w:r>
      <w:r>
        <w:t xml:space="preserve"> </w:t>
      </w:r>
      <w:r>
        <w:rPr>
          <w:i/>
        </w:rPr>
        <w:t xml:space="preserve">CoRR</w:t>
      </w:r>
      <w:r>
        <w:t xml:space="preserve">. abs/1711.00048:</w:t>
      </w:r>
    </w:p>
    <w:bookmarkEnd w:id="537"/>
    <w:bookmarkStart w:id="538"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538"/>
    <w:bookmarkStart w:id="539" w:name="ref-Sze08:Lis"/>
    <w:p>
      <w:pPr>
        <w:pStyle w:val="Bibliography"/>
      </w:pPr>
      <w:r>
        <w:t xml:space="preserve">Szendy P. 2008.</w:t>
      </w:r>
      <w:r>
        <w:t xml:space="preserve"> </w:t>
      </w:r>
      <w:r>
        <w:rPr>
          <w:i/>
        </w:rPr>
        <w:t xml:space="preserve">Listen: A History of Our Ears</w:t>
      </w:r>
      <w:r>
        <w:t xml:space="preserve">. Fordham University. ed.</w:t>
      </w:r>
    </w:p>
    <w:bookmarkEnd w:id="539"/>
    <w:bookmarkStart w:id="540"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540"/>
    <w:bookmarkStart w:id="541" w:name="ref-Sch07:How"/>
    <w:p>
      <w:pPr>
        <w:pStyle w:val="Bibliography"/>
      </w:pPr>
      <w:r>
        <w:t xml:space="preserve">Thiebaut J-B, Bello J, Schwarz D. 2007. How musical are images? From sound representation to image sonification: An eco systemic approach</w:t>
      </w:r>
    </w:p>
    <w:bookmarkEnd w:id="541"/>
    <w:bookmarkStart w:id="542" w:name="ref-Tru73:The"/>
    <w:p>
      <w:pPr>
        <w:pStyle w:val="Bibliography"/>
      </w:pPr>
      <w:r>
        <w:t xml:space="preserve">Truax BD. 1973. The computer composition: Sound synthesis programs pod4, pod5 and pod6.</w:t>
      </w:r>
      <w:r>
        <w:t xml:space="preserve"> </w:t>
      </w:r>
      <w:r>
        <w:rPr>
          <w:i/>
        </w:rPr>
        <w:t xml:space="preserve">Sonological Reports</w:t>
      </w:r>
      <w:r>
        <w:t xml:space="preserve">. 2:</w:t>
      </w:r>
    </w:p>
    <w:bookmarkEnd w:id="542"/>
    <w:bookmarkStart w:id="543"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543"/>
    <w:bookmarkStart w:id="544"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544"/>
    <w:bookmarkStart w:id="545" w:name="ref-Tza02:Mus"/>
    <w:p>
      <w:pPr>
        <w:pStyle w:val="Bibliography"/>
      </w:pPr>
      <w:r>
        <w:t xml:space="preserve">Tzanetakis G, Cook P. 2002. Musical genre classification of audio signals.</w:t>
      </w:r>
      <w:r>
        <w:t xml:space="preserve"> </w:t>
      </w:r>
      <w:r>
        <w:rPr>
          <w:i/>
        </w:rPr>
        <w:t xml:space="preserve">IEEE Transactions on Speech and Audio Processing</w:t>
      </w:r>
      <w:r>
        <w:t xml:space="preserve">. 10(5):293–302</w:t>
      </w:r>
    </w:p>
    <w:bookmarkEnd w:id="545"/>
    <w:bookmarkStart w:id="546"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546"/>
    <w:bookmarkStart w:id="547"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547"/>
    <w:bookmarkStart w:id="548" w:name="ref-Var04:The"/>
    <w:p>
      <w:pPr>
        <w:pStyle w:val="Bibliography"/>
      </w:pPr>
      <w:r>
        <w:t xml:space="preserve">Varese E. 2004. The liberation of sound.</w:t>
      </w:r>
      <w:r>
        <w:t xml:space="preserve"> </w:t>
      </w:r>
      <w:r>
        <w:rPr>
          <w:i/>
        </w:rPr>
        <w:t xml:space="preserve">Audio Culture: Readings in Modern Music</w:t>
      </w:r>
    </w:p>
    <w:bookmarkEnd w:id="548"/>
    <w:bookmarkStart w:id="549"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549"/>
    <w:bookmarkStart w:id="551"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550">
        <w:r>
          <w:rPr>
            <w:rStyle w:val="Hyperlink"/>
          </w:rPr>
          <w:t xml:space="preserve">https://ismir2017.smcnus.org/wp-content/uploads/2017/10/180_Paper.pdf</w:t>
        </w:r>
      </w:hyperlink>
    </w:p>
    <w:bookmarkEnd w:id="551"/>
    <w:bookmarkStart w:id="552"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552"/>
    <w:bookmarkStart w:id="554"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553">
        <w:r>
          <w:rPr>
            <w:rStyle w:val="Hyperlink"/>
          </w:rPr>
          <w:t xml:space="preserve">http://ismir2002.ismir.net/proceedings/02-FP06-3.pdf</w:t>
        </w:r>
      </w:hyperlink>
    </w:p>
    <w:bookmarkEnd w:id="554"/>
    <w:bookmarkStart w:id="555"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555"/>
    <w:bookmarkStart w:id="556"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556"/>
    <w:bookmarkStart w:id="557"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557"/>
    <w:bookmarkStart w:id="558"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558"/>
    <w:bookmarkStart w:id="559"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559"/>
    <w:bookmarkStart w:id="560" w:name="ref-DBLP:conf/icad/2003/Walker"/>
    <w:p>
      <w:pPr>
        <w:pStyle w:val="Bibliography"/>
      </w:pPr>
      <w:r>
        <w:t xml:space="preserve">Walker BN, Cothran JT. 2003. ICAD 2004: The 13th meeting of the international conference on auditory display, boston, ma, usa, 6-9 july 2003, proceedings.. International Community for Auditory Display</w:t>
      </w:r>
    </w:p>
    <w:bookmarkEnd w:id="560"/>
    <w:bookmarkStart w:id="561"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561"/>
    <w:bookmarkStart w:id="562" w:name="ref-DBLP:journals/corr/WangH17a"/>
    <w:p>
      <w:pPr>
        <w:pStyle w:val="Bibliography"/>
      </w:pPr>
      <w:r>
        <w:t xml:space="preserve">Wang X, Haque SA. 2017. Classical music clustering based on acoustic features.</w:t>
      </w:r>
      <w:r>
        <w:t xml:space="preserve"> </w:t>
      </w:r>
      <w:r>
        <w:rPr>
          <w:i/>
        </w:rPr>
        <w:t xml:space="preserve">CoRR</w:t>
      </w:r>
      <w:r>
        <w:t xml:space="preserve">. abs/1706.08928:</w:t>
      </w:r>
    </w:p>
    <w:bookmarkEnd w:id="562"/>
    <w:bookmarkStart w:id="563" w:name="ref-Wei07:Oce"/>
    <w:p>
      <w:pPr>
        <w:pStyle w:val="Bibliography"/>
      </w:pPr>
      <w:r>
        <w:t xml:space="preserve">Weinbren G. 2007. Ocean, database, recut.</w:t>
      </w:r>
      <w:r>
        <w:t xml:space="preserve"> </w:t>
      </w:r>
      <w:r>
        <w:rPr>
          <w:i/>
        </w:rPr>
        <w:t xml:space="preserve">Database Aesthetics: Art in the Age of Information Overflow</w:t>
      </w:r>
    </w:p>
    <w:bookmarkEnd w:id="563"/>
    <w:bookmarkStart w:id="564"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564"/>
    <w:bookmarkStart w:id="565"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565"/>
    <w:bookmarkStart w:id="567"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566">
        <w:r>
          <w:rPr>
            <w:rStyle w:val="Hyperlink"/>
          </w:rPr>
          <w:t xml:space="preserve">http://ismir2018.ircam.fr/doc/pdfs/114_Paper.pdf</w:t>
        </w:r>
      </w:hyperlink>
    </w:p>
    <w:bookmarkEnd w:id="567"/>
    <w:bookmarkStart w:id="568" w:name="ref-DBLP:conf/icad/2007/Worral"/>
    <w:p>
      <w:pPr>
        <w:pStyle w:val="Bibliography"/>
      </w:pPr>
      <w:r>
        <w:t xml:space="preserve">Worrall D, Bylstra M, Barrass S, Dean R. 2007. ICAD 2004: The 13th meeting of the international conference on auditory display, montreal, canada, june 26-29 2007, proceedings.. International Community for Auditory Display</w:t>
      </w:r>
    </w:p>
    <w:bookmarkEnd w:id="568"/>
    <w:bookmarkStart w:id="570"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569">
        <w:r>
          <w:rPr>
            <w:rStyle w:val="Hyperlink"/>
          </w:rPr>
          <w:t xml:space="preserve">http://ismir2004.ismir.net/proceedings/p010-page-48-paper227.pdf</w:t>
        </w:r>
      </w:hyperlink>
    </w:p>
    <w:bookmarkEnd w:id="570"/>
    <w:bookmarkStart w:id="571"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571"/>
    <w:bookmarkStart w:id="572"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572"/>
    <w:bookmarkStart w:id="574"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573">
        <w:r>
          <w:rPr>
            <w:rStyle w:val="Hyperlink"/>
          </w:rPr>
          <w:t xml:space="preserve">http://ismir2018.ircam.fr/doc/pdfs/188_Paper.pdf</w:t>
        </w:r>
      </w:hyperlink>
    </w:p>
    <w:bookmarkEnd w:id="574"/>
    <w:bookmarkStart w:id="575"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575"/>
    <w:bookmarkStart w:id="576"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576"/>
    <w:bookmarkStart w:id="577"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577"/>
    <w:bookmarkStart w:id="578"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578"/>
    <w:bookmarkStart w:id="579"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579"/>
    <w:bookmarkStart w:id="580" w:name="ref-DBLP:conf/iciso/Yokl11"/>
    <w:p>
      <w:pPr>
        <w:pStyle w:val="Bibliography"/>
      </w:pPr>
      <w:r>
        <w:t xml:space="preserve">Yolk A, Wiering F, van Kranenburg P. 2011. UNFOLDING the potential of computational musicology.</w:t>
      </w:r>
      <w:r>
        <w:t xml:space="preserve"> </w:t>
      </w:r>
      <w:r>
        <w:rPr>
          <w:i/>
        </w:rPr>
        <w:t xml:space="preserve">Problems and Possibilities of Computational Humanities - 13th IFIP Iwra 2011 Ifip Wgs.l — International Conference on Informatics and Semiotics in Organisations, ICISO 2011, Netherlands, July 4-6, 2011. Proceedings</w:t>
      </w:r>
      <w:r>
        <w:t xml:space="preserve">, pp. 137–44</w:t>
      </w:r>
    </w:p>
    <w:bookmarkEnd w:id="580"/>
    <w:bookmarkStart w:id="582"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581">
        <w:r>
          <w:rPr>
            <w:rStyle w:val="Hyperlink"/>
          </w:rPr>
          <w:t xml:space="preserve">http://www.nime.org/proceedings/2007/nime2007_352.pdf</w:t>
        </w:r>
      </w:hyperlink>
    </w:p>
    <w:bookmarkEnd w:id="582"/>
    <w:bookmarkStart w:id="583"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583"/>
    <w:bookmarkEnd w:id="584"/>
    <w:p>
      <w:r>
        <w:pict>
          <v:rect style="width:0;height:1.5pt" o:hralign="center" o:hrstd="t" o:hr="t"/>
        </w:pict>
      </w:r>
    </w:p>
    <w:bookmarkStart w:id="586" w:name="fn1"/>
    <w:p>
      <w:pPr>
        <w:numPr>
          <w:numId w:val="1020"/>
          <w:ilvl w:val="0"/>
        </w:numPr>
      </w:pPr>
      <w:r>
        <w:t xml:space="preserve">Alvin Lucier. I Am Sitting In A Room. See:</w:t>
      </w:r>
      <w:r>
        <w:t xml:space="preserve"> </w:t>
      </w:r>
      <w:hyperlink r:id="rId585">
        <w:r>
          <w:rPr>
            <w:rStyle w:val="Hyperlink"/>
          </w:rPr>
          <w:t xml:space="preserve">https://en.wikipedia.org/wiki/I_Am_Sitting_in_a_Room</w:t>
        </w:r>
      </w:hyperlink>
      <w:hyperlink w:anchor="fnref1">
        <w:r>
          <w:rPr>
            <w:rStyle w:val="Hyperlink"/>
          </w:rPr>
          <w:t xml:space="preserve">↩</w:t>
        </w:r>
      </w:hyperlink>
    </w:p>
    <w:bookmarkEnd w:id="586"/>
    <w:bookmarkStart w:id="587" w:name="fn2"/>
    <w:p>
      <w:pPr>
        <w:numPr>
          <w:numId w:val="1020"/>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587"/>
    <w:bookmarkStart w:id="588" w:name="fn3"/>
    <w:p>
      <w:pPr>
        <w:numPr>
          <w:numId w:val="1020"/>
          <w:ilvl w:val="0"/>
        </w:numPr>
      </w:pPr>
      <w:r>
        <w:t xml:space="preserve">This example was used by Manovich in the late 1990s, and it is still valid today with most multimedia editing software.</w:t>
      </w:r>
      <w:hyperlink w:anchor="fnref3">
        <w:r>
          <w:rPr>
            <w:rStyle w:val="Hyperlink"/>
          </w:rPr>
          <w:t xml:space="preserve">↩</w:t>
        </w:r>
      </w:hyperlink>
    </w:p>
    <w:bookmarkEnd w:id="588"/>
    <w:bookmarkStart w:id="589" w:name="fn4"/>
    <w:p>
      <w:pPr>
        <w:numPr>
          <w:numId w:val="1020"/>
          <w:ilvl w:val="0"/>
        </w:numPr>
      </w:pPr>
      <w:r>
        <w:t xml:space="preserve">‘Import,’ ‘export,’ and ‘render,’ refer to processes that read from or write to the computer’s disk.</w:t>
      </w:r>
      <w:hyperlink w:anchor="fnref4">
        <w:r>
          <w:rPr>
            <w:rStyle w:val="Hyperlink"/>
          </w:rPr>
          <w:t xml:space="preserve">↩</w:t>
        </w:r>
      </w:hyperlink>
    </w:p>
    <w:bookmarkEnd w:id="589"/>
    <w:bookmarkStart w:id="590" w:name="fn5"/>
    <w:p>
      <w:pPr>
        <w:numPr>
          <w:numId w:val="1020"/>
          <w:ilvl w:val="0"/>
        </w:numPr>
      </w:pPr>
      <w:r>
        <w:t xml:space="preserve">Miller Puckette suggested this during an open discussion at</w:t>
      </w:r>
      <w:hyperlink w:anchor="fnref5">
        <w:r>
          <w:rPr>
            <w:rStyle w:val="Hyperlink"/>
          </w:rPr>
          <w:t xml:space="preserve">↩</w:t>
        </w:r>
      </w:hyperlink>
    </w:p>
    <w:bookmarkEnd w:id="590"/>
    <w:bookmarkStart w:id="592" w:name="fn6"/>
    <w:p>
      <w:pPr>
        <w:numPr>
          <w:numId w:val="1020"/>
          <w:ilvl w:val="0"/>
        </w:numPr>
      </w:pPr>
      <w:hyperlink r:id="rId591">
        <w:r>
          <w:rPr>
            <w:rStyle w:val="Hyperlink"/>
          </w:rPr>
          <w:t xml:space="preserve">http://kern.ccarh.org/</w:t>
        </w:r>
      </w:hyperlink>
      <w:hyperlink w:anchor="fnref6">
        <w:r>
          <w:rPr>
            <w:rStyle w:val="Hyperlink"/>
          </w:rPr>
          <w:t xml:space="preserve">↩</w:t>
        </w:r>
      </w:hyperlink>
    </w:p>
    <w:bookmarkEnd w:id="592"/>
    <w:bookmarkStart w:id="593" w:name="fn7"/>
    <w:p>
      <w:pPr>
        <w:numPr>
          <w:numId w:val="1020"/>
          <w:ilvl w:val="0"/>
        </w:numPr>
      </w:pPr>
      <w:r>
        <w:t xml:space="preserve">For example, consider the MIMO database, a project dedicated to the cataloguing of musical instruments, and how it was used for the statistical tracking of the evolution of the violin based on pattern recognition of its shapes</w:t>
      </w:r>
      <w:r>
        <w:t xml:space="preserve"> </w:t>
      </w:r>
      <w:r>
        <w:t xml:space="preserve">(Peron et al. 2018)</w:t>
      </w:r>
      <w:hyperlink w:anchor="fnref7">
        <w:r>
          <w:rPr>
            <w:rStyle w:val="Hyperlink"/>
          </w:rPr>
          <w:t xml:space="preserve">↩</w:t>
        </w:r>
      </w:hyperlink>
    </w:p>
    <w:bookmarkEnd w:id="593"/>
    <w:bookmarkStart w:id="594" w:name="fn8"/>
    <w:p>
      <w:pPr>
        <w:numPr>
          <w:numId w:val="1020"/>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8">
        <w:r>
          <w:rPr>
            <w:rStyle w:val="Hyperlink"/>
          </w:rPr>
          <w:t xml:space="preserve">↩</w:t>
        </w:r>
      </w:hyperlink>
    </w:p>
    <w:bookmarkEnd w:id="594"/>
    <w:bookmarkStart w:id="595" w:name="fn9"/>
    <w:p>
      <w:pPr>
        <w:numPr>
          <w:numId w:val="1020"/>
          <w:ilvl w:val="0"/>
        </w:numPr>
      </w:pPr>
      <w:r>
        <w:t xml:space="preserve">There are cases where sonification is entirely analog, such as the first sonification tool ever created: the Geiger counter</w:t>
      </w:r>
      <w:hyperlink w:anchor="fnref9">
        <w:r>
          <w:rPr>
            <w:rStyle w:val="Hyperlink"/>
          </w:rPr>
          <w:t xml:space="preserve">↩</w:t>
        </w:r>
      </w:hyperlink>
    </w:p>
    <w:bookmarkEnd w:id="595"/>
    <w:bookmarkStart w:id="596" w:name="fn10"/>
    <w:p>
      <w:pPr>
        <w:numPr>
          <w:numId w:val="1020"/>
          <w:ilvl w:val="0"/>
        </w:numPr>
      </w:pP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hyperlink w:anchor="fnref10">
        <w:r>
          <w:rPr>
            <w:rStyle w:val="Hyperlink"/>
          </w:rPr>
          <w:t xml:space="preserve">↩</w:t>
        </w:r>
      </w:hyperlink>
    </w:p>
    <w:bookmarkEnd w:id="596"/>
    <w:bookmarkStart w:id="597" w:name="fn11"/>
    <w:p>
      <w:pPr>
        <w:numPr>
          <w:numId w:val="1020"/>
          <w:ilvl w:val="0"/>
        </w:numPr>
      </w:pPr>
      <w:r>
        <w:t xml:space="preserve">From a lecture given by Judy Klein at New York University’s Waverly Project, on February 2nd, 2017.</w:t>
      </w:r>
      <w:hyperlink w:anchor="fnref11">
        <w:r>
          <w:rPr>
            <w:rStyle w:val="Hyperlink"/>
          </w:rPr>
          <w:t xml:space="preserve">↩</w:t>
        </w:r>
      </w:hyperlink>
    </w:p>
    <w:bookmarkEnd w:id="597"/>
    <w:bookmarkStart w:id="599" w:name="fn12"/>
    <w:p>
      <w:pPr>
        <w:numPr>
          <w:numId w:val="1020"/>
          <w:ilvl w:val="0"/>
        </w:numPr>
      </w:pPr>
      <w:hyperlink r:id="rId598">
        <w:r>
          <w:rPr>
            <w:rStyle w:val="Hyperlink"/>
          </w:rPr>
          <w:t xml:space="preserve">http://www.natashabarrett.org/viva.html</w:t>
        </w:r>
      </w:hyperlink>
      <w:hyperlink w:anchor="fnref12">
        <w:r>
          <w:rPr>
            <w:rStyle w:val="Hyperlink"/>
          </w:rPr>
          <w:t xml:space="preserve">↩</w:t>
        </w:r>
      </w:hyperlink>
    </w:p>
    <w:bookmarkEnd w:id="599"/>
    <w:bookmarkStart w:id="600" w:name="fn13"/>
    <w:p>
      <w:pPr>
        <w:numPr>
          <w:numId w:val="1020"/>
          <w:ilvl w:val="0"/>
        </w:numPr>
      </w:pPr>
      <w:r>
        <w:t xml:space="preserve">A biological field station called ‘La Suerte’ in Costa Rica</w:t>
      </w:r>
      <w:hyperlink w:anchor="fnref13">
        <w:r>
          <w:rPr>
            <w:rStyle w:val="Hyperlink"/>
          </w:rPr>
          <w:t xml:space="preserve">↩</w:t>
        </w:r>
      </w:hyperlink>
    </w:p>
    <w:bookmarkEnd w:id="600"/>
    <w:bookmarkStart w:id="602" w:name="fn14"/>
    <w:p>
      <w:pPr>
        <w:numPr>
          <w:numId w:val="1020"/>
          <w:ilvl w:val="0"/>
        </w:numPr>
      </w:pPr>
      <w:hyperlink r:id="rId601">
        <w:r>
          <w:rPr>
            <w:rStyle w:val="Hyperlink"/>
          </w:rPr>
          <w:t xml:space="preserve">https://soundcloud.com/falk-morawitz/spin-dynamics-stereo-reduction</w:t>
        </w:r>
      </w:hyperlink>
      <w:hyperlink w:anchor="fnref14">
        <w:r>
          <w:rPr>
            <w:rStyle w:val="Hyperlink"/>
          </w:rPr>
          <w:t xml:space="preserve">↩</w:t>
        </w:r>
      </w:hyperlink>
    </w:p>
    <w:bookmarkEnd w:id="602"/>
    <w:bookmarkStart w:id="604" w:name="fn15"/>
    <w:p>
      <w:pPr>
        <w:numPr>
          <w:numId w:val="1020"/>
          <w:ilvl w:val="0"/>
        </w:numPr>
      </w:pPr>
      <w:r>
        <w:t xml:space="preserve">Apple’s built-in framework to interface with the GPU . See</w:t>
      </w:r>
      <w:r>
        <w:t xml:space="preserve"> </w:t>
      </w:r>
      <w:hyperlink r:id="rId603">
        <w:r>
          <w:rPr>
            <w:rStyle w:val="Hyperlink"/>
          </w:rPr>
          <w:t xml:space="preserve">https://developer.apple.com/documentation/metal</w:t>
        </w:r>
      </w:hyperlink>
      <w:hyperlink w:anchor="fnref15">
        <w:r>
          <w:rPr>
            <w:rStyle w:val="Hyperlink"/>
          </w:rPr>
          <w:t xml:space="preserve">↩</w:t>
        </w:r>
      </w:hyperlink>
    </w:p>
    <w:bookmarkEnd w:id="604"/>
    <w:bookmarkStart w:id="606" w:name="fn16"/>
    <w:p>
      <w:pPr>
        <w:numPr>
          <w:numId w:val="1020"/>
          <w:ilvl w:val="0"/>
        </w:numPr>
      </w:pPr>
      <w:hyperlink r:id="rId605">
        <w:r>
          <w:rPr>
            <w:rStyle w:val="Hyperlink"/>
          </w:rPr>
          <w:t xml:space="preserve">https://vimeo.com/167646306</w:t>
        </w:r>
      </w:hyperlink>
      <w:hyperlink w:anchor="fnref16">
        <w:r>
          <w:rPr>
            <w:rStyle w:val="Hyperlink"/>
          </w:rPr>
          <w:t xml:space="preserve">↩</w:t>
        </w:r>
      </w:hyperlink>
    </w:p>
    <w:bookmarkEnd w:id="606"/>
    <w:bookmarkStart w:id="607" w:name="fn17"/>
    <w:p>
      <w:pPr>
        <w:numPr>
          <w:numId w:val="1020"/>
          <w:ilvl w:val="0"/>
        </w:numPr>
      </w:pPr>
      <w:r>
        <w:t xml:space="preserve">William Buxton is now considered a pioneer in HCI , and he is now a major figure in the Microsoft Research department.</w:t>
      </w:r>
      <w:hyperlink w:anchor="fnref17">
        <w:r>
          <w:rPr>
            <w:rStyle w:val="Hyperlink"/>
          </w:rPr>
          <w:t xml:space="preserve">↩</w:t>
        </w:r>
      </w:hyperlink>
    </w:p>
    <w:bookmarkEnd w:id="607"/>
    <w:bookmarkStart w:id="608" w:name="fn18"/>
    <w:p>
      <w:pPr>
        <w:numPr>
          <w:numId w:val="1020"/>
          <w:ilvl w:val="0"/>
        </w:numPr>
      </w:pPr>
      <w:r>
        <w:t xml:space="preserve">SCORE is one of the earliest music engraving softwares still in use today by major publishing houses</w:t>
      </w:r>
      <w:r>
        <w:t xml:space="preserve"> </w:t>
      </w:r>
      <w:r>
        <w:t xml:space="preserve">(Selfridge-Field 1997)</w:t>
      </w:r>
      <w:r>
        <w:t xml:space="preserve">.</w:t>
      </w:r>
      <w:hyperlink w:anchor="fnref18">
        <w:r>
          <w:rPr>
            <w:rStyle w:val="Hyperlink"/>
          </w:rPr>
          <w:t xml:space="preserve">↩</w:t>
        </w:r>
      </w:hyperlink>
    </w:p>
    <w:bookmarkEnd w:id="608"/>
    <w:bookmarkStart w:id="609" w:name="fn19"/>
    <w:p>
      <w:pPr>
        <w:numPr>
          <w:numId w:val="1020"/>
          <w:ilvl w:val="0"/>
        </w:numPr>
      </w:pPr>
      <w:r>
        <w:t xml:space="preserve">For example, note a curious paragraph published at the ICMC in 1981 stating that a real-time version of MUSIC-11 was “near completion” by a group at MIT</w:t>
      </w:r>
      <w:r>
        <w:t xml:space="preserve"> </w:t>
      </w:r>
      <w:r>
        <w:t xml:space="preserve">(Puckette et al. 1981)</w:t>
      </w:r>
      <w:r>
        <w:t xml:space="preserve">.</w:t>
      </w:r>
      <w:hyperlink w:anchor="fnref19">
        <w:r>
          <w:rPr>
            <w:rStyle w:val="Hyperlink"/>
          </w:rPr>
          <w:t xml:space="preserve">↩</w:t>
        </w:r>
      </w:hyperlink>
    </w:p>
    <w:bookmarkEnd w:id="609"/>
    <w:bookmarkStart w:id="610" w:name="fn20"/>
    <w:p>
      <w:pPr>
        <w:numPr>
          <w:numId w:val="1020"/>
          <w:ilvl w:val="0"/>
        </w:numPr>
      </w:pPr>
      <w:r>
        <w:t xml:space="preserve">A heap is a tree-based data structure with a property such keys and parent-child relationships follow a hierarchic logic.</w:t>
      </w:r>
      <w:hyperlink w:anchor="fnref20">
        <w:r>
          <w:rPr>
            <w:rStyle w:val="Hyperlink"/>
          </w:rPr>
          <w:t xml:space="preserve">↩</w:t>
        </w:r>
      </w:hyperlink>
    </w:p>
    <w:bookmarkEnd w:id="610"/>
    <w:bookmarkStart w:id="611" w:name="fn21"/>
    <w:p>
      <w:pPr>
        <w:numPr>
          <w:numId w:val="1020"/>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21">
        <w:r>
          <w:rPr>
            <w:rStyle w:val="Hyperlink"/>
          </w:rPr>
          <w:t xml:space="preserve">↩</w:t>
        </w:r>
      </w:hyperlink>
    </w:p>
    <w:bookmarkEnd w:id="611"/>
    <w:bookmarkStart w:id="614" w:name="fn22"/>
    <w:p>
      <w:pPr>
        <w:numPr>
          <w:numId w:val="1020"/>
          <w:ilvl w:val="0"/>
        </w:numPr>
      </w:pPr>
      <w:r>
        <w:t xml:space="preserve">A video of the installation can be seen here:</w:t>
      </w:r>
      <w:r>
        <w:t xml:space="preserve"> </w:t>
      </w:r>
      <w:hyperlink r:id="rId612">
        <w:r>
          <w:rPr>
            <w:rStyle w:val="Hyperlink"/>
          </w:rPr>
          <w:t xml:space="preserve">https://vimeo.com/23086026</w:t>
        </w:r>
      </w:hyperlink>
      <w:r>
        <w:t xml:space="preserve">, the artist website can be accessed here:</w:t>
      </w:r>
      <w:r>
        <w:t xml:space="preserve"> </w:t>
      </w:r>
      <w:hyperlink r:id="rId613">
        <w:r>
          <w:rPr>
            <w:rStyle w:val="Hyperlink"/>
          </w:rPr>
          <w:t xml:space="preserve">http://insookchoi.com</w:t>
        </w:r>
      </w:hyperlink>
      <w:hyperlink w:anchor="fnref22">
        <w:r>
          <w:rPr>
            <w:rStyle w:val="Hyperlink"/>
          </w:rPr>
          <w:t xml:space="preserve">↩</w:t>
        </w:r>
      </w:hyperlink>
    </w:p>
    <w:bookmarkEnd w:id="614"/>
    <w:bookmarkStart w:id="616" w:name="fn23"/>
    <w:p>
      <w:pPr>
        <w:numPr>
          <w:numId w:val="1020"/>
          <w:ilvl w:val="0"/>
        </w:numPr>
      </w:pPr>
      <w:hyperlink r:id="rId615">
        <w:r>
          <w:rPr>
            <w:rStyle w:val="Hyperlink"/>
          </w:rPr>
          <w:t xml:space="preserve">https://sihwapark.com/COMPath</w:t>
        </w:r>
      </w:hyperlink>
      <w:hyperlink w:anchor="fnref23">
        <w:r>
          <w:rPr>
            <w:rStyle w:val="Hyperlink"/>
          </w:rPr>
          <w:t xml:space="preserve">↩</w:t>
        </w:r>
      </w:hyperlink>
    </w:p>
    <w:bookmarkEnd w:id="616"/>
    <w:bookmarkStart w:id="617" w:name="fn24"/>
    <w:p>
      <w:pPr>
        <w:numPr>
          <w:numId w:val="1020"/>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24">
        <w:r>
          <w:rPr>
            <w:rStyle w:val="Hyperlink"/>
          </w:rPr>
          <w:t xml:space="preserve">↩</w:t>
        </w:r>
      </w:hyperlink>
    </w:p>
    <w:bookmarkEnd w:id="617"/>
    <w:bookmarkStart w:id="618" w:name="fn25"/>
    <w:p>
      <w:pPr>
        <w:numPr>
          <w:numId w:val="1020"/>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25">
        <w:r>
          <w:rPr>
            <w:rStyle w:val="Hyperlink"/>
          </w:rPr>
          <w:t xml:space="preserve">↩</w:t>
        </w:r>
      </w:hyperlink>
    </w:p>
    <w:bookmarkEnd w:id="618"/>
    <w:bookmarkStart w:id="619" w:name="fn26"/>
    <w:p>
      <w:pPr>
        <w:numPr>
          <w:numId w:val="1020"/>
          <w:ilvl w:val="0"/>
        </w:numPr>
      </w:pPr>
      <w:r>
        <w:t xml:space="preserve">Digital waveguides are an efficient model for physical modeling of wave propagation</w:t>
      </w:r>
      <w:hyperlink w:anchor="fnref26">
        <w:r>
          <w:rPr>
            <w:rStyle w:val="Hyperlink"/>
          </w:rPr>
          <w:t xml:space="preserve">↩</w:t>
        </w:r>
      </w:hyperlink>
    </w:p>
    <w:bookmarkEnd w:id="619"/>
    <w:bookmarkStart w:id="620" w:name="fn27"/>
    <w:p>
      <w:pPr>
        <w:numPr>
          <w:numId w:val="1020"/>
          <w:ilvl w:val="0"/>
        </w:numPr>
      </w:pPr>
      <w:r>
        <w:t xml:space="preserve">Important references for their research were the following file formats: SDIF , GDIF , METRIXML (developed by Amatriain in</w:t>
      </w:r>
      <w:r>
        <w:t xml:space="preserve"> </w:t>
      </w:r>
      <w:r>
        <w:t xml:space="preserve">(Amatriain 2004)</w:t>
      </w:r>
      <w:r>
        <w:t xml:space="preserve">), and the SMIL .</w:t>
      </w:r>
      <w:hyperlink w:anchor="fnref27">
        <w:r>
          <w:rPr>
            <w:rStyle w:val="Hyperlink"/>
          </w:rPr>
          <w:t xml:space="preserve">↩</w:t>
        </w:r>
      </w:hyperlink>
    </w:p>
    <w:bookmarkEnd w:id="620"/>
    <w:bookmarkStart w:id="621" w:name="fn28"/>
    <w:p>
      <w:pPr>
        <w:numPr>
          <w:numId w:val="1020"/>
          <w:ilvl w:val="0"/>
        </w:numPr>
      </w:pPr>
      <w:r>
        <w:t xml:space="preserve">This structure comprises Nancy’s reading of Jacques Derrida’s concept of</w:t>
      </w:r>
      <w:r>
        <w:t xml:space="preserve"> </w:t>
      </w:r>
      <w:r>
        <w:rPr>
          <w:i/>
        </w:rPr>
        <w:t xml:space="preserve">différance</w:t>
      </w:r>
      <w:r>
        <w:t xml:space="preserve"> </w:t>
      </w:r>
      <w:r>
        <w:t xml:space="preserve">and will be analyzed in the following section. 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28">
        <w:r>
          <w:rPr>
            <w:rStyle w:val="Hyperlink"/>
          </w:rPr>
          <w:t xml:space="preserve">↩</w:t>
        </w:r>
      </w:hyperlink>
    </w:p>
    <w:bookmarkEnd w:id="621"/>
    <w:bookmarkStart w:id="622" w:name="fn29"/>
    <w:p>
      <w:pPr>
        <w:numPr>
          <w:numId w:val="1020"/>
          <w:ilvl w:val="0"/>
        </w:numPr>
      </w:pPr>
      <w:r>
        <w:t xml:space="preserve">In this sense, Nancy is one of the first philosophers of the self to propose such a theorization of the self as resonance, extending his speculations to, for example, considering if the philosophical truth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29">
        <w:r>
          <w:rPr>
            <w:rStyle w:val="Hyperlink"/>
          </w:rPr>
          <w:t xml:space="preserve">↩</w:t>
        </w:r>
      </w:hyperlink>
    </w:p>
    <w:bookmarkEnd w:id="622"/>
    <w:bookmarkStart w:id="623" w:name="fn30"/>
    <w:p>
      <w:pPr>
        <w:numPr>
          <w:numId w:val="1020"/>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30">
        <w:r>
          <w:rPr>
            <w:rStyle w:val="Hyperlink"/>
          </w:rPr>
          <w:t xml:space="preserve">↩</w:t>
        </w:r>
      </w:hyperlink>
    </w:p>
    <w:bookmarkEnd w:id="623"/>
    <w:bookmarkStart w:id="624" w:name="fn31"/>
    <w:p>
      <w:pPr>
        <w:numPr>
          <w:numId w:val="1020"/>
          <w:ilvl w:val="0"/>
        </w:numPr>
      </w:pPr>
      <w:r>
        <w:t xml:space="preserve">Within this fictional universe, the only way for him to sleep was to imagine the opaqueness of an unknowable future…</w:t>
      </w:r>
      <w:hyperlink w:anchor="fnref31">
        <w:r>
          <w:rPr>
            <w:rStyle w:val="Hyperlink"/>
          </w:rPr>
          <w:t xml:space="preserve">↩</w:t>
        </w:r>
      </w:hyperlink>
    </w:p>
    <w:bookmarkEnd w:id="624"/>
    <w:bookmarkStart w:id="625" w:name="fn32"/>
    <w:p>
      <w:pPr>
        <w:numPr>
          <w:numId w:val="1020"/>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32">
        <w:r>
          <w:rPr>
            <w:rStyle w:val="Hyperlink"/>
          </w:rPr>
          <w:t xml:space="preserve">↩</w:t>
        </w:r>
      </w:hyperlink>
    </w:p>
    <w:bookmarkEnd w:id="625"/>
    <w:bookmarkStart w:id="626" w:name="fn33"/>
    <w:p>
      <w:pPr>
        <w:numPr>
          <w:numId w:val="1020"/>
          <w:ilvl w:val="0"/>
        </w:numPr>
      </w:pPr>
      <w:r>
        <w:t xml:space="preserve">For example, one of Irineo’s concerns was to reduce the amount of memories on a single day, which he downsized to about seventy thousand…</w:t>
      </w:r>
      <w:hyperlink w:anchor="fnref33">
        <w:r>
          <w:rPr>
            <w:rStyle w:val="Hyperlink"/>
          </w:rPr>
          <w:t xml:space="preserve">↩</w:t>
        </w:r>
      </w:hyperlink>
    </w:p>
    <w:bookmarkEnd w:id="626"/>
    <w:bookmarkStart w:id="627" w:name="fn34"/>
    <w:p>
      <w:pPr>
        <w:numPr>
          <w:numId w:val="1020"/>
          <w:ilvl w:val="0"/>
        </w:numPr>
      </w:pPr>
      <w:r>
        <w:t xml:space="preserve">This acousmatic quality of Funes’ voice will not be touched here, but it is indeed a good point of departure for an essay.</w:t>
      </w:r>
      <w:hyperlink w:anchor="fnref34">
        <w:r>
          <w:rPr>
            <w:rStyle w:val="Hyperlink"/>
          </w:rPr>
          <w:t xml:space="preserve">↩</w:t>
        </w:r>
      </w:hyperlink>
    </w:p>
    <w:bookmarkEnd w:id="627"/>
    <w:bookmarkStart w:id="629" w:name="fn35"/>
    <w:p>
      <w:pPr>
        <w:numPr>
          <w:numId w:val="1020"/>
          <w:ilvl w:val="0"/>
        </w:numPr>
      </w:pPr>
      <w:hyperlink r:id="rId628">
        <w:r>
          <w:rPr>
            <w:rStyle w:val="Hyperlink"/>
          </w:rPr>
          <w:t xml:space="preserve">https://en.wikipedia.org/wiki/Leo_Beranek</w:t>
        </w:r>
      </w:hyperlink>
      <w:hyperlink w:anchor="fnref35">
        <w:r>
          <w:rPr>
            <w:rStyle w:val="Hyperlink"/>
          </w:rPr>
          <w:t xml:space="preserve">↩</w:t>
        </w:r>
      </w:hyperlink>
    </w:p>
    <w:bookmarkEnd w:id="629"/>
    <w:bookmarkStart w:id="630" w:name="fn36"/>
    <w:p>
      <w:pPr>
        <w:numPr>
          <w:numId w:val="1020"/>
          <w:ilvl w:val="0"/>
        </w:numPr>
      </w:pPr>
      <w:r>
        <w:t xml:space="preserve">Anthony Kerrigan translated this fragment as: “The truth is that we all live by leaving behind; no doubt we all profoundly know that we are immortal and that sooner or later every man will do all things and know everything.” In a more literal translation of the first sentence, it reads: “What is certain is that we live deferring all that can be deferred.”</w:t>
      </w:r>
      <w:hyperlink w:anchor="fnref36">
        <w:r>
          <w:rPr>
            <w:rStyle w:val="Hyperlink"/>
          </w:rPr>
          <w:t xml:space="preserve">↩</w:t>
        </w:r>
      </w:hyperlink>
    </w:p>
    <w:bookmarkEnd w:id="630"/>
    <w:bookmarkStart w:id="632" w:name="fn37"/>
    <w:p>
      <w:pPr>
        <w:numPr>
          <w:numId w:val="1020"/>
          <w:ilvl w:val="0"/>
        </w:numPr>
      </w:pPr>
      <w:hyperlink r:id="rId631">
        <w:r>
          <w:rPr>
            <w:rStyle w:val="Hyperlink"/>
          </w:rPr>
          <w:t xml:space="preserve">https://en.cppreference.com/w/cpp/language/destructor</w:t>
        </w:r>
      </w:hyperlink>
      <w:hyperlink w:anchor="fnref37">
        <w:r>
          <w:rPr>
            <w:rStyle w:val="Hyperlink"/>
          </w:rPr>
          <w:t xml:space="preserve">↩</w:t>
        </w:r>
      </w:hyperlink>
    </w:p>
    <w:bookmarkEnd w:id="632"/>
    <w:bookmarkStart w:id="634" w:name="fn38"/>
    <w:p>
      <w:pPr>
        <w:numPr>
          <w:numId w:val="1020"/>
          <w:ilvl w:val="0"/>
        </w:numPr>
      </w:pPr>
      <w:hyperlink r:id="rId633">
        <w:r>
          <w:rPr>
            <w:rStyle w:val="Hyperlink"/>
          </w:rPr>
          <w:t xml:space="preserve">https://mpc.chs.harvard.edu/</w:t>
        </w:r>
      </w:hyperlink>
      <w:hyperlink w:anchor="fnref38">
        <w:r>
          <w:rPr>
            <w:rStyle w:val="Hyperlink"/>
          </w:rPr>
          <w:t xml:space="preserve">↩</w:t>
        </w:r>
      </w:hyperlink>
    </w:p>
    <w:bookmarkEnd w:id="634"/>
    <w:bookmarkStart w:id="635" w:name="fn39"/>
    <w:p>
      <w:pPr>
        <w:numPr>
          <w:numId w:val="1020"/>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39">
        <w:r>
          <w:rPr>
            <w:rStyle w:val="Hyperlink"/>
          </w:rPr>
          <w:t xml:space="preserve">↩</w:t>
        </w:r>
      </w:hyperlink>
    </w:p>
    <w:bookmarkEnd w:id="635"/>
    <w:bookmarkStart w:id="636" w:name="fn40"/>
    <w:p>
      <w:pPr>
        <w:numPr>
          <w:numId w:val="1020"/>
          <w:ilvl w:val="0"/>
        </w:numPr>
      </w:pPr>
      <w:r>
        <w:t xml:space="preserve">In signal processing terms, the sound of a voice might be approached with timbre stamps or vocoders, a type of Fourier-based filter in which “the spectrum of one sound is used to derive a filter for another”</w:t>
      </w:r>
      <w:r>
        <w:t xml:space="preserve"> </w:t>
      </w:r>
      <w:r>
        <w:t xml:space="preserve">(Puckette 2007)</w:t>
      </w:r>
      <w:r>
        <w:t xml:space="preserve">.</w:t>
      </w:r>
      <w:hyperlink w:anchor="fnref40">
        <w:r>
          <w:rPr>
            <w:rStyle w:val="Hyperlink"/>
          </w:rPr>
          <w:t xml:space="preserve">↩</w:t>
        </w:r>
      </w:hyperlink>
    </w:p>
    <w:bookmarkEnd w:id="636"/>
    <w:bookmarkStart w:id="637" w:name="fn41"/>
    <w:p>
      <w:pPr>
        <w:numPr>
          <w:numId w:val="1020"/>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41">
        <w:r>
          <w:rPr>
            <w:rStyle w:val="Hyperlink"/>
          </w:rPr>
          <w:t xml:space="preserve">↩</w:t>
        </w:r>
      </w:hyperlink>
    </w:p>
    <w:bookmarkEnd w:id="637"/>
    <w:bookmarkStart w:id="638" w:name="fn42"/>
    <w:p>
      <w:pPr>
        <w:numPr>
          <w:numId w:val="1020"/>
          <w:ilvl w:val="0"/>
        </w:numPr>
      </w:pPr>
      <w:r>
        <w:t xml:space="preserve">The word ‘microsound’ refers to sonic events shaped below the threshold of the ‘note.’ See</w:t>
      </w:r>
      <w:r>
        <w:t xml:space="preserve"> </w:t>
      </w:r>
      <w:r>
        <w:t xml:space="preserve">(Roads 2001)</w:t>
      </w:r>
      <w:hyperlink w:anchor="fnref42">
        <w:r>
          <w:rPr>
            <w:rStyle w:val="Hyperlink"/>
          </w:rPr>
          <w:t xml:space="preserve">↩</w:t>
        </w:r>
      </w:hyperlink>
    </w:p>
    <w:bookmarkEnd w:id="638"/>
    <w:bookmarkStart w:id="639" w:name="fn43"/>
    <w:p>
      <w:pPr>
        <w:numPr>
          <w:numId w:val="1020"/>
          <w:ilvl w:val="0"/>
        </w:numPr>
      </w:pPr>
      <w:r>
        <w:t xml:space="preserve">For example, in the work of Beatriz Ferreyra, Elsa Justel, Mario Mary, to name a few. For an approach to Justel’s timeline-based spatialization techniques, see</w:t>
      </w:r>
      <w:r>
        <w:t xml:space="preserve"> </w:t>
      </w:r>
      <w:r>
        <w:t xml:space="preserve">(Cámara Halac 2018b)</w:t>
      </w:r>
      <w:r>
        <w:t xml:space="preserve">.</w:t>
      </w:r>
      <w:hyperlink w:anchor="fnref43">
        <w:r>
          <w:rPr>
            <w:rStyle w:val="Hyperlink"/>
          </w:rPr>
          <w:t xml:space="preserve">↩</w:t>
        </w:r>
      </w:hyperlink>
    </w:p>
    <w:bookmarkEnd w:id="639"/>
    <w:bookmarkStart w:id="640" w:name="fn44"/>
    <w:p>
      <w:pPr>
        <w:numPr>
          <w:numId w:val="1020"/>
          <w:ilvl w:val="0"/>
        </w:numPr>
      </w:pPr>
      <w:r>
        <w:t xml:space="preserve">In a recent study, sound itself proven to make (tiny) gravitational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44">
        <w:r>
          <w:rPr>
            <w:rStyle w:val="Hyperlink"/>
          </w:rPr>
          <w:t xml:space="preserve">↩</w:t>
        </w:r>
      </w:hyperlink>
    </w:p>
    <w:bookmarkEnd w:id="640"/>
    <w:bookmarkStart w:id="643" w:name="fn45"/>
    <w:p>
      <w:pPr>
        <w:numPr>
          <w:numId w:val="1020"/>
          <w:ilvl w:val="0"/>
        </w:numPr>
      </w:pPr>
      <w:r>
        <w:t xml:space="preserve">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r>
        <w:t xml:space="preserve"> </w:t>
      </w:r>
      <w:hyperlink r:id="rId641">
        <w:r>
          <w:rPr>
            <w:rStyle w:val="Hyperlink"/>
          </w:rPr>
          <w:t xml:space="preserve">https://www.mersenne.org/primes/</w:t>
        </w:r>
      </w:hyperlink>
      <w:r>
        <w:t xml:space="preserve"> </w:t>
      </w:r>
      <w:r>
        <w:t xml:space="preserve">and Peter Sellers’ plot-twisting moment in Stanley Kubrick’s “Dr. Strangelove or: How I Learned to Stop Worrying and Love the Bomb:”</w:t>
      </w:r>
      <w:r>
        <w:t xml:space="preserve"> </w:t>
      </w:r>
      <w:hyperlink r:id="rId642">
        <w:r>
          <w:rPr>
            <w:rStyle w:val="Hyperlink"/>
          </w:rPr>
          <w:t xml:space="preserve">https://en.wikipedia.org/wiki/Dr._Strangelove</w:t>
        </w:r>
      </w:hyperlink>
      <w:hyperlink w:anchor="fnref45">
        <w:r>
          <w:rPr>
            <w:rStyle w:val="Hyperlink"/>
          </w:rPr>
          <w:t xml:space="preserve">↩</w:t>
        </w:r>
      </w:hyperlink>
    </w:p>
    <w:bookmarkEnd w:id="643"/>
    <w:bookmarkStart w:id="644" w:name="fn46"/>
    <w:p>
      <w:pPr>
        <w:numPr>
          <w:numId w:val="1020"/>
          <w:ilvl w:val="0"/>
        </w:numPr>
      </w:pP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hyperlink w:anchor="fnref46">
        <w:r>
          <w:rPr>
            <w:rStyle w:val="Hyperlink"/>
          </w:rPr>
          <w:t xml:space="preserve">↩</w:t>
        </w:r>
      </w:hyperlink>
    </w:p>
    <w:bookmarkEnd w:id="644"/>
    <w:bookmarkStart w:id="645" w:name="fn47"/>
    <w:p>
      <w:pPr>
        <w:numPr>
          <w:numId w:val="1020"/>
          <w:ilvl w:val="0"/>
        </w:numPr>
      </w:pPr>
      <w:r>
        <w:t xml:space="preserve">For further reference on the early uses of computers in CAC , I refer the reader to</w:t>
      </w:r>
      <w:r>
        <w:t xml:space="preserve"> </w:t>
      </w:r>
      <w:r>
        <w:t xml:space="preserve">Ariza (2005a)</w:t>
      </w:r>
      <w:r>
        <w:t xml:space="preserve">’s PhD thesis</w:t>
      </w:r>
      <w:r>
        <w:t xml:space="preserve"> </w:t>
      </w:r>
      <w:r>
        <w:t xml:space="preserve">(Ariza 2005a)</w:t>
      </w:r>
      <w:r>
        <w:t xml:space="preserve">.</w:t>
      </w:r>
      <w:hyperlink w:anchor="fnref47">
        <w:r>
          <w:rPr>
            <w:rStyle w:val="Hyperlink"/>
          </w:rPr>
          <w:t xml:space="preserve">↩</w:t>
        </w:r>
      </w:hyperlink>
    </w:p>
    <w:bookmarkEnd w:id="645"/>
    <w:bookmarkStart w:id="647" w:name="fn48"/>
    <w:p>
      <w:pPr>
        <w:numPr>
          <w:numId w:val="1020"/>
          <w:ilvl w:val="0"/>
        </w:numPr>
      </w:pPr>
      <w:r>
        <w:t xml:space="preserve">As an example, I would refer the reader to James Tenney’s work from 1962 “Five Stochastic Studies,” which can be found on a YouTube account on his name:</w:t>
      </w:r>
      <w:r>
        <w:t xml:space="preserve"> </w:t>
      </w:r>
      <w:hyperlink r:id="rId646">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48">
        <w:r>
          <w:rPr>
            <w:rStyle w:val="Hyperlink"/>
          </w:rPr>
          <w:t xml:space="preserve">↩</w:t>
        </w:r>
      </w:hyperlink>
    </w:p>
    <w:bookmarkEnd w:id="647"/>
    <w:bookmarkStart w:id="648" w:name="fn49"/>
    <w:p>
      <w:pPr>
        <w:numPr>
          <w:numId w:val="1020"/>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49">
        <w:r>
          <w:rPr>
            <w:rStyle w:val="Hyperlink"/>
          </w:rPr>
          <w:t xml:space="preserve">↩</w:t>
        </w:r>
      </w:hyperlink>
    </w:p>
    <w:bookmarkEnd w:id="648"/>
    <w:bookmarkStart w:id="649" w:name="fn50"/>
    <w:p>
      <w:pPr>
        <w:numPr>
          <w:numId w:val="1020"/>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50">
        <w:r>
          <w:rPr>
            <w:rStyle w:val="Hyperlink"/>
          </w:rPr>
          <w:t xml:space="preserve">↩</w:t>
        </w:r>
      </w:hyperlink>
    </w:p>
    <w:bookmarkEnd w:id="649"/>
    <w:bookmarkStart w:id="650" w:name="fn51"/>
    <w:p>
      <w:pPr>
        <w:numPr>
          <w:numId w:val="1020"/>
          <w:ilvl w:val="0"/>
        </w:numPr>
      </w:pPr>
      <w:r>
        <w:t xml:space="preserve">Since, the notion of a ‘piece’ presupposes that of the whole to which it belongs.</w:t>
      </w:r>
      <w:hyperlink w:anchor="fnref51">
        <w:r>
          <w:rPr>
            <w:rStyle w:val="Hyperlink"/>
          </w:rPr>
          <w:t xml:space="preserve">↩</w:t>
        </w:r>
      </w:hyperlink>
    </w:p>
    <w:bookmarkEnd w:id="650"/>
    <w:bookmarkStart w:id="651" w:name="fn52"/>
    <w:p>
      <w:pPr>
        <w:numPr>
          <w:numId w:val="1020"/>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52">
        <w:r>
          <w:rPr>
            <w:rStyle w:val="Hyperlink"/>
          </w:rPr>
          <w:t xml:space="preserve">↩</w:t>
        </w:r>
      </w:hyperlink>
    </w:p>
    <w:bookmarkEnd w:id="6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4" Target="media/rId114.png" /><Relationship Type="http://schemas.openxmlformats.org/officeDocument/2006/relationships/image" Id="rId20" Target="media/rId20.jpg" /><Relationship Type="http://schemas.openxmlformats.org/officeDocument/2006/relationships/image" Id="rId66" Target="media/rId66.png" /><Relationship Type="http://schemas.openxmlformats.org/officeDocument/2006/relationships/image" Id="rId212" Target="media/rId212.png" /><Relationship Type="http://schemas.openxmlformats.org/officeDocument/2006/relationships/image" Id="rId88" Target="media/rId88.png" /><Relationship Type="http://schemas.openxmlformats.org/officeDocument/2006/relationships/image" Id="rId85" Target="media/rId85.png" /><Relationship Type="http://schemas.openxmlformats.org/officeDocument/2006/relationships/image" Id="rId69" Target="media/rId69.png" /><Relationship Type="http://schemas.openxmlformats.org/officeDocument/2006/relationships/image" Id="rId78" Target="media/rId78.png" /><Relationship Type="http://schemas.openxmlformats.org/officeDocument/2006/relationships/image" Id="rId32" Target="media/rId32.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91" Target="media/rId91.png" /><Relationship Type="http://schemas.openxmlformats.org/officeDocument/2006/relationships/image" Id="rId123" Target="media/rId123.png" /><Relationship Type="http://schemas.openxmlformats.org/officeDocument/2006/relationships/hyperlink" Id="rId613" Target="http://insookchoi.com" TargetMode="External" /><Relationship Type="http://schemas.openxmlformats.org/officeDocument/2006/relationships/hyperlink" Id="rId370" Target="http://ismir2000.ismir.net/papers/invites/dunn_invite.pdf" TargetMode="External" /><Relationship Type="http://schemas.openxmlformats.org/officeDocument/2006/relationships/hyperlink" Id="rId395" Target="http://ismir2000.ismir.net/posters/good.pdf" TargetMode="External" /><Relationship Type="http://schemas.openxmlformats.org/officeDocument/2006/relationships/hyperlink" Id="rId553" Target="http://ismir2002.ismir.net/proceedings/02-FP06-3.pdf" TargetMode="External" /><Relationship Type="http://schemas.openxmlformats.org/officeDocument/2006/relationships/hyperlink" Id="rId397" Target="http://ismir2002.ismir.net/proceedings/03-SP04-1.pdf" TargetMode="External" /><Relationship Type="http://schemas.openxmlformats.org/officeDocument/2006/relationships/hyperlink" Id="rId399" Target="http://ismir2003.ismir.net/papers/Goto1.PDF" TargetMode="External" /><Relationship Type="http://schemas.openxmlformats.org/officeDocument/2006/relationships/hyperlink" Id="rId569" Target="http://ismir2004.ismir.net/proceedings/p010-page-48-paper227.pdf" TargetMode="External" /><Relationship Type="http://schemas.openxmlformats.org/officeDocument/2006/relationships/hyperlink" Id="rId417" Target="http://ismir2005.ismir.net/proceedings/2117.pdf" TargetMode="External" /><Relationship Type="http://schemas.openxmlformats.org/officeDocument/2006/relationships/hyperlink" Id="rId512" Target="http://ismir2005.ismir.net/proceedings/3123.pdf" TargetMode="External" /><Relationship Type="http://schemas.openxmlformats.org/officeDocument/2006/relationships/hyperlink" Id="rId425" Target="http://ismir2008.ismir.net/papers/ISMIR2008_106.pdf" TargetMode="External" /><Relationship Type="http://schemas.openxmlformats.org/officeDocument/2006/relationships/hyperlink" Id="rId454" Target="http://ismir2008.ismir.net/papers/ISMIR2008_158.pdf" TargetMode="External" /><Relationship Type="http://schemas.openxmlformats.org/officeDocument/2006/relationships/hyperlink" Id="rId407" Target="http://ismir2008.ismir.net/papers/ISMIR2008_173.pdf" TargetMode="External" /><Relationship Type="http://schemas.openxmlformats.org/officeDocument/2006/relationships/hyperlink" Id="rId436" Target="http://ismir2015.uma.es/articles/246_Paper.pdf" TargetMode="External" /><Relationship Type="http://schemas.openxmlformats.org/officeDocument/2006/relationships/hyperlink" Id="rId360" Target="http://ismir2015.uma.es/articles/261_Paper.pdf" TargetMode="External" /><Relationship Type="http://schemas.openxmlformats.org/officeDocument/2006/relationships/hyperlink" Id="rId566" Target="http://ismir2018.ircam.fr/doc/pdfs/114_Paper.pdf" TargetMode="External" /><Relationship Type="http://schemas.openxmlformats.org/officeDocument/2006/relationships/hyperlink" Id="rId573" Target="http://ismir2018.ircam.fr/doc/pdfs/188_Paper.pdf" TargetMode="External" /><Relationship Type="http://schemas.openxmlformats.org/officeDocument/2006/relationships/hyperlink" Id="rId376" Target="http://ismir2018.ircam.fr/doc/pdfs/206_Paper.pdf" TargetMode="External" /><Relationship Type="http://schemas.openxmlformats.org/officeDocument/2006/relationships/hyperlink" Id="rId419" Target="http://ismir2018.ircam.fr/doc/pdfs/248_Paper.pdf" TargetMode="External" /><Relationship Type="http://schemas.openxmlformats.org/officeDocument/2006/relationships/hyperlink" Id="rId367" Target="http://ismir2018.ircam.fr/doc/pdfs/265_Paper.pdf" TargetMode="External" /><Relationship Type="http://schemas.openxmlformats.org/officeDocument/2006/relationships/hyperlink" Id="rId461" Target="http://ismir2018.ircam.fr/doc/pdfs/35_Paper.pdf" TargetMode="External" /><Relationship Type="http://schemas.openxmlformats.org/officeDocument/2006/relationships/hyperlink" Id="rId591" Target="http://kern.ccarh.org/" TargetMode="External" /><Relationship Type="http://schemas.openxmlformats.org/officeDocument/2006/relationships/hyperlink" Id="rId598" Target="http://www.natashabarrett.org/viva.html" TargetMode="External" /><Relationship Type="http://schemas.openxmlformats.org/officeDocument/2006/relationships/hyperlink" Id="rId430" Target="http://www.nime.org/proceedings/2004/nime2004_130.pdf" TargetMode="External" /><Relationship Type="http://schemas.openxmlformats.org/officeDocument/2006/relationships/hyperlink" Id="rId581" Target="http://www.nime.org/proceedings/2007/nime2007_352.pdf" TargetMode="External" /><Relationship Type="http://schemas.openxmlformats.org/officeDocument/2006/relationships/hyperlink" Id="rId470" Target="http://www.nime.org/proceedings/2007/nime2007_409.pdf" TargetMode="External" /><Relationship Type="http://schemas.openxmlformats.org/officeDocument/2006/relationships/hyperlink" Id="rId449" Target="http://www.nime.org/proceedings/2008/nime2008_221.pdf" TargetMode="External" /><Relationship Type="http://schemas.openxmlformats.org/officeDocument/2006/relationships/hyperlink" Id="rId492" Target="http://www.nime.org/proceedings/2008/nime2008_311.pdf" TargetMode="External" /><Relationship Type="http://schemas.openxmlformats.org/officeDocument/2006/relationships/hyperlink" Id="rId314" Target="http://www.nime.org/proceedings/2009/nime2009_266.pdf" TargetMode="External" /><Relationship Type="http://schemas.openxmlformats.org/officeDocument/2006/relationships/hyperlink" Id="rId415" Target="http://www.nime.org/proceedings/2010/nime2010_233.pdf" TargetMode="External" /><Relationship Type="http://schemas.openxmlformats.org/officeDocument/2006/relationships/hyperlink" Id="rId390" Target="http://www.nime.org/proceedings/2010/nime2010_473.pdf" TargetMode="External" /><Relationship Type="http://schemas.openxmlformats.org/officeDocument/2006/relationships/hyperlink" Id="rId392" Target="http://www.nime.org/proceedings/2011/nime2011_124.pdf" TargetMode="External" /><Relationship Type="http://schemas.openxmlformats.org/officeDocument/2006/relationships/hyperlink" Id="rId325" Target="http://www.nime.org/proceedings/2011/nime2011_329.pdf" TargetMode="External" /><Relationship Type="http://schemas.openxmlformats.org/officeDocument/2006/relationships/hyperlink" Id="rId312" Target="http://www.nime.org/proceedings/2011/nime2011_387.pdf" TargetMode="External" /><Relationship Type="http://schemas.openxmlformats.org/officeDocument/2006/relationships/hyperlink" Id="rId409" Target="http://www.ppgia.pucpr.br/ismir2013/wp-content/uploads/2013/09/85_Paper.pdf" TargetMode="External" /><Relationship Type="http://schemas.openxmlformats.org/officeDocument/2006/relationships/hyperlink" Id="rId280" Target="http://www.terasoft.com.tw/conf/ismir2014/proceedings/T014_162_Paper.pdf" TargetMode="External" /><Relationship Type="http://schemas.openxmlformats.org/officeDocument/2006/relationships/hyperlink" Id="rId296" Target="http://www.terasoft.com.tw/conf/ismir2014/proceedings/T028_322_Paper.pdf" TargetMode="External" /><Relationship Type="http://schemas.openxmlformats.org/officeDocument/2006/relationships/hyperlink" Id="rId433" Target="http://www.terasoft.com.tw/conf/ismir2014/proceedings/T039_344_Paper.pdf" TargetMode="External" /><Relationship Type="http://schemas.openxmlformats.org/officeDocument/2006/relationships/hyperlink" Id="rId402" Target="http://www.terasoft.com.tw/conf/ismir2014/proceedings/T059_257_Paper.pdf" TargetMode="External" /><Relationship Type="http://schemas.openxmlformats.org/officeDocument/2006/relationships/hyperlink" Id="rId489" Target="http://www.terasoft.com.tw/conf/ismir2014/proceedings/T064_307_Paper.pdf" TargetMode="External" /><Relationship Type="http://schemas.openxmlformats.org/officeDocument/2006/relationships/hyperlink" Id="rId603" Target="https://developer.apple.com/documentation/metal" TargetMode="External" /><Relationship Type="http://schemas.openxmlformats.org/officeDocument/2006/relationships/hyperlink" Id="rId631" Target="https://en.cppreference.com/w/cpp/language/destructor" TargetMode="External" /><Relationship Type="http://schemas.openxmlformats.org/officeDocument/2006/relationships/hyperlink" Id="rId642" Target="https://en.wikipedia.org/wiki/Dr._Strangelove" TargetMode="External" /><Relationship Type="http://schemas.openxmlformats.org/officeDocument/2006/relationships/hyperlink" Id="rId585" Target="https://en.wikipedia.org/wiki/I_Am_Sitting_in_a_Room" TargetMode="External" /><Relationship Type="http://schemas.openxmlformats.org/officeDocument/2006/relationships/hyperlink" Id="rId628" Target="https://en.wikipedia.org/wiki/Leo_Beranek"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527" Target="https://hal.archives-ouvertes.fr/hal-01393959" TargetMode="External" /><Relationship Type="http://schemas.openxmlformats.org/officeDocument/2006/relationships/hyperlink" Id="rId482" Target="https://ismir2017.smcnus.org/wp-content/uploads/2017/10/14_Paper.pdf" TargetMode="External" /><Relationship Type="http://schemas.openxmlformats.org/officeDocument/2006/relationships/hyperlink" Id="rId382" Target="https://ismir2017.smcnus.org/wp-content/uploads/2017/10/161_Paper.pdf" TargetMode="External" /><Relationship Type="http://schemas.openxmlformats.org/officeDocument/2006/relationships/hyperlink" Id="rId550" Target="https://ismir2017.smcnus.org/wp-content/uploads/2017/10/180_Paper.pdf" TargetMode="External" /><Relationship Type="http://schemas.openxmlformats.org/officeDocument/2006/relationships/hyperlink" Id="rId347" Target="https://ismir2017.smcnus.org/wp-content/uploads/2017/10/235_Paper.pdf" TargetMode="External" /><Relationship Type="http://schemas.openxmlformats.org/officeDocument/2006/relationships/hyperlink" Id="rId352" Target="https://ismir2017.smcnus.org/wp-content/uploads/2017/10/75_Paper.pdf" TargetMode="External" /><Relationship Type="http://schemas.openxmlformats.org/officeDocument/2006/relationships/hyperlink" Id="rId633" Target="https://mpc.chs.harvard.edu/" TargetMode="External" /><Relationship Type="http://schemas.openxmlformats.org/officeDocument/2006/relationships/hyperlink" Id="rId615" Target="https://sihwapark.com/COMPath" TargetMode="External" /><Relationship Type="http://schemas.openxmlformats.org/officeDocument/2006/relationships/hyperlink" Id="rId601" Target="https://soundcloud.com/falk-morawitz/spin-dynamics-stereo-reduction" TargetMode="External" /><Relationship Type="http://schemas.openxmlformats.org/officeDocument/2006/relationships/hyperlink" Id="rId605" Target="https://vimeo.com/167646306" TargetMode="External" /><Relationship Type="http://schemas.openxmlformats.org/officeDocument/2006/relationships/hyperlink" Id="rId612" Target="https://vimeo.com/23086026" TargetMode="External" /><Relationship Type="http://schemas.openxmlformats.org/officeDocument/2006/relationships/hyperlink" Id="rId349" Target="https://www.cs.unm.edu/~crowley/papers/sds.pdf" TargetMode="External" /><Relationship Type="http://schemas.openxmlformats.org/officeDocument/2006/relationships/hyperlink" Id="rId641" Target="https://www.mersenne.org/primes/" TargetMode="External" /><Relationship Type="http://schemas.openxmlformats.org/officeDocument/2006/relationships/hyperlink" Id="rId646"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613" Target="http://insookchoi.com" TargetMode="External" /><Relationship Type="http://schemas.openxmlformats.org/officeDocument/2006/relationships/hyperlink" Id="rId370" Target="http://ismir2000.ismir.net/papers/invites/dunn_invite.pdf" TargetMode="External" /><Relationship Type="http://schemas.openxmlformats.org/officeDocument/2006/relationships/hyperlink" Id="rId395" Target="http://ismir2000.ismir.net/posters/good.pdf" TargetMode="External" /><Relationship Type="http://schemas.openxmlformats.org/officeDocument/2006/relationships/hyperlink" Id="rId553" Target="http://ismir2002.ismir.net/proceedings/02-FP06-3.pdf" TargetMode="External" /><Relationship Type="http://schemas.openxmlformats.org/officeDocument/2006/relationships/hyperlink" Id="rId397" Target="http://ismir2002.ismir.net/proceedings/03-SP04-1.pdf" TargetMode="External" /><Relationship Type="http://schemas.openxmlformats.org/officeDocument/2006/relationships/hyperlink" Id="rId399" Target="http://ismir2003.ismir.net/papers/Goto1.PDF" TargetMode="External" /><Relationship Type="http://schemas.openxmlformats.org/officeDocument/2006/relationships/hyperlink" Id="rId569" Target="http://ismir2004.ismir.net/proceedings/p010-page-48-paper227.pdf" TargetMode="External" /><Relationship Type="http://schemas.openxmlformats.org/officeDocument/2006/relationships/hyperlink" Id="rId417" Target="http://ismir2005.ismir.net/proceedings/2117.pdf" TargetMode="External" /><Relationship Type="http://schemas.openxmlformats.org/officeDocument/2006/relationships/hyperlink" Id="rId512" Target="http://ismir2005.ismir.net/proceedings/3123.pdf" TargetMode="External" /><Relationship Type="http://schemas.openxmlformats.org/officeDocument/2006/relationships/hyperlink" Id="rId425" Target="http://ismir2008.ismir.net/papers/ISMIR2008_106.pdf" TargetMode="External" /><Relationship Type="http://schemas.openxmlformats.org/officeDocument/2006/relationships/hyperlink" Id="rId454" Target="http://ismir2008.ismir.net/papers/ISMIR2008_158.pdf" TargetMode="External" /><Relationship Type="http://schemas.openxmlformats.org/officeDocument/2006/relationships/hyperlink" Id="rId407" Target="http://ismir2008.ismir.net/papers/ISMIR2008_173.pdf" TargetMode="External" /><Relationship Type="http://schemas.openxmlformats.org/officeDocument/2006/relationships/hyperlink" Id="rId436" Target="http://ismir2015.uma.es/articles/246_Paper.pdf" TargetMode="External" /><Relationship Type="http://schemas.openxmlformats.org/officeDocument/2006/relationships/hyperlink" Id="rId360" Target="http://ismir2015.uma.es/articles/261_Paper.pdf" TargetMode="External" /><Relationship Type="http://schemas.openxmlformats.org/officeDocument/2006/relationships/hyperlink" Id="rId566" Target="http://ismir2018.ircam.fr/doc/pdfs/114_Paper.pdf" TargetMode="External" /><Relationship Type="http://schemas.openxmlformats.org/officeDocument/2006/relationships/hyperlink" Id="rId573" Target="http://ismir2018.ircam.fr/doc/pdfs/188_Paper.pdf" TargetMode="External" /><Relationship Type="http://schemas.openxmlformats.org/officeDocument/2006/relationships/hyperlink" Id="rId376" Target="http://ismir2018.ircam.fr/doc/pdfs/206_Paper.pdf" TargetMode="External" /><Relationship Type="http://schemas.openxmlformats.org/officeDocument/2006/relationships/hyperlink" Id="rId419" Target="http://ismir2018.ircam.fr/doc/pdfs/248_Paper.pdf" TargetMode="External" /><Relationship Type="http://schemas.openxmlformats.org/officeDocument/2006/relationships/hyperlink" Id="rId367" Target="http://ismir2018.ircam.fr/doc/pdfs/265_Paper.pdf" TargetMode="External" /><Relationship Type="http://schemas.openxmlformats.org/officeDocument/2006/relationships/hyperlink" Id="rId461" Target="http://ismir2018.ircam.fr/doc/pdfs/35_Paper.pdf" TargetMode="External" /><Relationship Type="http://schemas.openxmlformats.org/officeDocument/2006/relationships/hyperlink" Id="rId591" Target="http://kern.ccarh.org/" TargetMode="External" /><Relationship Type="http://schemas.openxmlformats.org/officeDocument/2006/relationships/hyperlink" Id="rId598" Target="http://www.natashabarrett.org/viva.html" TargetMode="External" /><Relationship Type="http://schemas.openxmlformats.org/officeDocument/2006/relationships/hyperlink" Id="rId430" Target="http://www.nime.org/proceedings/2004/nime2004_130.pdf" TargetMode="External" /><Relationship Type="http://schemas.openxmlformats.org/officeDocument/2006/relationships/hyperlink" Id="rId581" Target="http://www.nime.org/proceedings/2007/nime2007_352.pdf" TargetMode="External" /><Relationship Type="http://schemas.openxmlformats.org/officeDocument/2006/relationships/hyperlink" Id="rId470" Target="http://www.nime.org/proceedings/2007/nime2007_409.pdf" TargetMode="External" /><Relationship Type="http://schemas.openxmlformats.org/officeDocument/2006/relationships/hyperlink" Id="rId449" Target="http://www.nime.org/proceedings/2008/nime2008_221.pdf" TargetMode="External" /><Relationship Type="http://schemas.openxmlformats.org/officeDocument/2006/relationships/hyperlink" Id="rId492" Target="http://www.nime.org/proceedings/2008/nime2008_311.pdf" TargetMode="External" /><Relationship Type="http://schemas.openxmlformats.org/officeDocument/2006/relationships/hyperlink" Id="rId314" Target="http://www.nime.org/proceedings/2009/nime2009_266.pdf" TargetMode="External" /><Relationship Type="http://schemas.openxmlformats.org/officeDocument/2006/relationships/hyperlink" Id="rId415" Target="http://www.nime.org/proceedings/2010/nime2010_233.pdf" TargetMode="External" /><Relationship Type="http://schemas.openxmlformats.org/officeDocument/2006/relationships/hyperlink" Id="rId390" Target="http://www.nime.org/proceedings/2010/nime2010_473.pdf" TargetMode="External" /><Relationship Type="http://schemas.openxmlformats.org/officeDocument/2006/relationships/hyperlink" Id="rId392" Target="http://www.nime.org/proceedings/2011/nime2011_124.pdf" TargetMode="External" /><Relationship Type="http://schemas.openxmlformats.org/officeDocument/2006/relationships/hyperlink" Id="rId325" Target="http://www.nime.org/proceedings/2011/nime2011_329.pdf" TargetMode="External" /><Relationship Type="http://schemas.openxmlformats.org/officeDocument/2006/relationships/hyperlink" Id="rId312" Target="http://www.nime.org/proceedings/2011/nime2011_387.pdf" TargetMode="External" /><Relationship Type="http://schemas.openxmlformats.org/officeDocument/2006/relationships/hyperlink" Id="rId409" Target="http://www.ppgia.pucpr.br/ismir2013/wp-content/uploads/2013/09/85_Paper.pdf" TargetMode="External" /><Relationship Type="http://schemas.openxmlformats.org/officeDocument/2006/relationships/hyperlink" Id="rId280" Target="http://www.terasoft.com.tw/conf/ismir2014/proceedings/T014_162_Paper.pdf" TargetMode="External" /><Relationship Type="http://schemas.openxmlformats.org/officeDocument/2006/relationships/hyperlink" Id="rId296" Target="http://www.terasoft.com.tw/conf/ismir2014/proceedings/T028_322_Paper.pdf" TargetMode="External" /><Relationship Type="http://schemas.openxmlformats.org/officeDocument/2006/relationships/hyperlink" Id="rId433" Target="http://www.terasoft.com.tw/conf/ismir2014/proceedings/T039_344_Paper.pdf" TargetMode="External" /><Relationship Type="http://schemas.openxmlformats.org/officeDocument/2006/relationships/hyperlink" Id="rId402" Target="http://www.terasoft.com.tw/conf/ismir2014/proceedings/T059_257_Paper.pdf" TargetMode="External" /><Relationship Type="http://schemas.openxmlformats.org/officeDocument/2006/relationships/hyperlink" Id="rId489" Target="http://www.terasoft.com.tw/conf/ismir2014/proceedings/T064_307_Paper.pdf" TargetMode="External" /><Relationship Type="http://schemas.openxmlformats.org/officeDocument/2006/relationships/hyperlink" Id="rId603" Target="https://developer.apple.com/documentation/metal" TargetMode="External" /><Relationship Type="http://schemas.openxmlformats.org/officeDocument/2006/relationships/hyperlink" Id="rId631" Target="https://en.cppreference.com/w/cpp/language/destructor" TargetMode="External" /><Relationship Type="http://schemas.openxmlformats.org/officeDocument/2006/relationships/hyperlink" Id="rId642" Target="https://en.wikipedia.org/wiki/Dr._Strangelove" TargetMode="External" /><Relationship Type="http://schemas.openxmlformats.org/officeDocument/2006/relationships/hyperlink" Id="rId585" Target="https://en.wikipedia.org/wiki/I_Am_Sitting_in_a_Room" TargetMode="External" /><Relationship Type="http://schemas.openxmlformats.org/officeDocument/2006/relationships/hyperlink" Id="rId628" Target="https://en.wikipedia.org/wiki/Leo_Beranek"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527" Target="https://hal.archives-ouvertes.fr/hal-01393959" TargetMode="External" /><Relationship Type="http://schemas.openxmlformats.org/officeDocument/2006/relationships/hyperlink" Id="rId482" Target="https://ismir2017.smcnus.org/wp-content/uploads/2017/10/14_Paper.pdf" TargetMode="External" /><Relationship Type="http://schemas.openxmlformats.org/officeDocument/2006/relationships/hyperlink" Id="rId382" Target="https://ismir2017.smcnus.org/wp-content/uploads/2017/10/161_Paper.pdf" TargetMode="External" /><Relationship Type="http://schemas.openxmlformats.org/officeDocument/2006/relationships/hyperlink" Id="rId550" Target="https://ismir2017.smcnus.org/wp-content/uploads/2017/10/180_Paper.pdf" TargetMode="External" /><Relationship Type="http://schemas.openxmlformats.org/officeDocument/2006/relationships/hyperlink" Id="rId347" Target="https://ismir2017.smcnus.org/wp-content/uploads/2017/10/235_Paper.pdf" TargetMode="External" /><Relationship Type="http://schemas.openxmlformats.org/officeDocument/2006/relationships/hyperlink" Id="rId352" Target="https://ismir2017.smcnus.org/wp-content/uploads/2017/10/75_Paper.pdf" TargetMode="External" /><Relationship Type="http://schemas.openxmlformats.org/officeDocument/2006/relationships/hyperlink" Id="rId633" Target="https://mpc.chs.harvard.edu/" TargetMode="External" /><Relationship Type="http://schemas.openxmlformats.org/officeDocument/2006/relationships/hyperlink" Id="rId615" Target="https://sihwapark.com/COMPath" TargetMode="External" /><Relationship Type="http://schemas.openxmlformats.org/officeDocument/2006/relationships/hyperlink" Id="rId601" Target="https://soundcloud.com/falk-morawitz/spin-dynamics-stereo-reduction" TargetMode="External" /><Relationship Type="http://schemas.openxmlformats.org/officeDocument/2006/relationships/hyperlink" Id="rId605" Target="https://vimeo.com/167646306" TargetMode="External" /><Relationship Type="http://schemas.openxmlformats.org/officeDocument/2006/relationships/hyperlink" Id="rId612" Target="https://vimeo.com/23086026" TargetMode="External" /><Relationship Type="http://schemas.openxmlformats.org/officeDocument/2006/relationships/hyperlink" Id="rId349" Target="https://www.cs.unm.edu/~crowley/papers/sds.pdf" TargetMode="External" /><Relationship Type="http://schemas.openxmlformats.org/officeDocument/2006/relationships/hyperlink" Id="rId641" Target="https://www.mersenne.org/primes/" TargetMode="External" /><Relationship Type="http://schemas.openxmlformats.org/officeDocument/2006/relationships/hyperlink" Id="rId646"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2019-04-02T18:07:55Z</dcterms:created>
  <dcterms:modified xsi:type="dcterms:W3CDTF">2019-04-02T18:07:55Z</dcterms:modified>
</cp:coreProperties>
</file>

<file path=docProps/custom.xml><?xml version="1.0" encoding="utf-8"?>
<Properties xmlns="http://schemas.openxmlformats.org/officeDocument/2006/custom-properties" xmlns:vt="http://schemas.openxmlformats.org/officeDocument/2006/docPropsVTypes"/>
</file>