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64.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I begin this dissertation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This door refers to the next part of the subtitle</w:t>
      </w:r>
      <w:r>
        <w:t xml:space="preserve"> </w:t>
      </w:r>
      <w:r>
        <w:t xml:space="preserve">“</w:t>
      </w:r>
      <w:r>
        <w:t xml:space="preserve">…aesthetics of the database…</w:t>
      </w:r>
      <w:r>
        <w:t xml:space="preserve">”</w:t>
      </w:r>
      <w:r>
        <w:t xml:space="preserve"> </w:t>
      </w:r>
      <w:r>
        <w:t xml:space="preserve">and opens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is precisely the point. The sound of databases that I begin to delineate through the first two doors now reaches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resonating networks. With this move, the database begins to appear as a resonant nonhuman agent</w:t>
      </w:r>
      <w:r>
        <w:t xml:space="preserve"> </w:t>
      </w:r>
      <w:r>
        <w:t xml:space="preserve">(Latour 1990)</w:t>
      </w:r>
      <w:r>
        <w:t xml:space="preserve"> </w:t>
      </w:r>
      <w:r>
        <w:t xml:space="preserve">that reconfigures the way we think communities</w:t>
      </w:r>
      <w:r>
        <w:t xml:space="preserve"> </w:t>
      </w:r>
      <w:r>
        <w:t xml:space="preserve">(Nancy 1991)</w:t>
      </w:r>
      <w:r>
        <w:t xml:space="preserve">. I then distinguish databases from memory and archives, and find within it a spectral authority</w:t>
      </w:r>
      <w:r>
        <w:t xml:space="preserve"> </w:t>
      </w:r>
      <w:r>
        <w:t xml:space="preserve">(Derrida 1978, Derrida &amp; Prenowitz 1995)</w:t>
      </w:r>
      <w:r>
        <w:t xml:space="preserve">. The final move brings the activity of the body</w:t>
      </w:r>
      <w:r>
        <w:t xml:space="preserve"> </w:t>
      </w:r>
      <w:r>
        <w:t xml:space="preserve">(Butler 1988)</w:t>
      </w:r>
      <w:r>
        <w:t xml:space="preserve">, and the relationship between database, gender, and performance. These three stages (resonance, spectrality, and performance) address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performatic activity of the database into what I call databasing (chapter 2); I review the existing literature with emphasis on sound practice (chapter 3); I conceptualize sound in terms of resonance, networks, and community (chapter 4); I delineate the differences between database, memory, and archive, in order to present the spectrality of databases (chapter 5); I develop databasing in terms of the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it has proper questions. I consider it an attempt to incite, if anything, a provocation before the question. I have already warned the reader of the clumsiness of a composer in the midst of writing, but that should not discourage neither academic rigor, nor literary thirst. I have thus included an exhaustive bibliography, two interludes and a poslude (work in progress), together with graphs, tables, and some snippets of pseudocode and sometimes working code. In the hope that you will continue reading these pages, I will</w:t>
      </w:r>
      <w:r>
        <w:t xml:space="preserve"> </w:t>
      </w:r>
      <w:r>
        <w:t xml:space="preserve">draft</w:t>
      </w:r>
      <w:r>
        <w:t xml:space="preserve"> </w:t>
      </w:r>
      <w:r>
        <w:t xml:space="preserve">an end to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odyText"/>
      </w:pPr>
      <w:r>
        <w:t xml:space="preserve">I am sitting in a room</w:t>
      </w:r>
      <w:r>
        <w:rPr>
          <w:i/>
        </w:rPr>
        <w:t xml:space="preserve">mm</w:t>
      </w:r>
    </w:p>
    <w:p>
      <w:pPr>
        <w:pStyle w:val="BodyText"/>
      </w:pPr>
      <w:r>
        <w:t xml:space="preserve">diffrent from the one you are in now</w:t>
      </w:r>
    </w:p>
    <w:p>
      <w:pPr>
        <w:pStyle w:val="BodyText"/>
      </w:pPr>
      <w:r>
        <w:rPr>
          <w:i/>
        </w:rPr>
        <w:t xml:space="preserve">inspire</w:t>
      </w:r>
      <w:r>
        <w:t xml:space="preserve"> </w:t>
      </w:r>
      <w:r>
        <w:t xml:space="preserve">(long)</w:t>
      </w:r>
    </w:p>
    <w:p>
      <w:pPr>
        <w:pStyle w:val="Body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odyText"/>
      </w:pPr>
      <w:r>
        <w:rPr>
          <w:i/>
        </w:rPr>
        <w:t xml:space="preserve">inspire</w:t>
      </w:r>
      <w:r>
        <w:t xml:space="preserve"> </w:t>
      </w:r>
      <w:r>
        <w:t xml:space="preserve">(short)</w:t>
      </w:r>
    </w:p>
    <w:p>
      <w:pPr>
        <w:pStyle w:val="BodyText"/>
      </w:pPr>
      <w:r>
        <w:t xml:space="preserve">and I am going to play it …backin-to the room</w:t>
      </w:r>
      <w:r>
        <w:rPr>
          <w:i/>
        </w:rPr>
        <w:t xml:space="preserve">mmm</w:t>
      </w:r>
    </w:p>
    <w:p>
      <w:pPr>
        <w:pStyle w:val="Body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odyText"/>
      </w:pPr>
      <w:r>
        <w:rPr>
          <w:i/>
        </w:rPr>
        <w:t xml:space="preserve">inspire</w:t>
      </w:r>
      <w:r>
        <w:t xml:space="preserve"> </w:t>
      </w:r>
      <w:r>
        <w:t xml:space="preserve">(long)</w:t>
      </w:r>
    </w:p>
    <w:p>
      <w:pPr>
        <w:pStyle w:val="BodyText"/>
      </w:pPr>
      <w:r>
        <w:t xml:space="preserve">un</w:t>
      </w:r>
      <w:r>
        <w:t xml:space="preserve">$\cancelto{tx!}{t}$</w:t>
      </w:r>
      <w:r>
        <w:t xml:space="preserve">il the</w:t>
      </w:r>
    </w:p>
    <w:p>
      <w:pPr>
        <w:pStyle w:val="Body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odyText"/>
      </w:pPr>
      <w:r>
        <w:rPr>
          <w:i/>
        </w:rPr>
        <w:t xml:space="preserve">inspire</w:t>
      </w:r>
      <w:r>
        <w:t xml:space="preserve"> </w:t>
      </w:r>
      <w:r>
        <w:t xml:space="preserve">(short)</w:t>
      </w:r>
    </w:p>
    <w:p>
      <w:pPr>
        <w:pStyle w:val="BodyText"/>
      </w:pPr>
      <w:r>
        <w:t xml:space="preserve">reinfor</w:t>
      </w:r>
      <w:r>
        <w:t xml:space="preserve">$\cancelto{sss}{s}\xcancel{e}$</w:t>
      </w:r>
      <w:r>
        <w:t xml:space="preserve"> </w:t>
      </w:r>
      <w:r>
        <w:t xml:space="preserve">them</w:t>
      </w:r>
      <w:r>
        <w:t xml:space="preserve">$\cancelto{ss}{s}$</w:t>
      </w:r>
      <w:r>
        <w:t xml:space="preserve">elve</w:t>
      </w:r>
      <w:r>
        <w:t xml:space="preserve">$\cancelto{sss}{s}$</w:t>
      </w:r>
    </w:p>
    <w:p>
      <w:pPr>
        <w:pStyle w:val="BodyText"/>
      </w:pPr>
      <w:r>
        <w:rPr>
          <w:i/>
        </w:rPr>
        <w:t xml:space="preserve">inspire</w:t>
      </w:r>
      <w:r>
        <w:t xml:space="preserve"> </w:t>
      </w:r>
      <w:r>
        <w:t xml:space="preserve">(long)</w:t>
      </w:r>
    </w:p>
    <w:p>
      <w:pPr>
        <w:pStyle w:val="BodyText"/>
      </w:pPr>
      <w:r>
        <w:t xml:space="preserve">so that any</w:t>
      </w:r>
    </w:p>
    <w:p>
      <w:pPr>
        <w:pStyle w:val="Body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odyText"/>
      </w:pPr>
      <w:r>
        <w:rPr>
          <w:i/>
        </w:rPr>
        <w:t xml:space="preserve">inspire</w:t>
      </w:r>
      <w:r>
        <w:t xml:space="preserve"> </w:t>
      </w:r>
      <w:r>
        <w:t xml:space="preserve">(long)</w:t>
      </w:r>
    </w:p>
    <w:p>
      <w:pPr>
        <w:pStyle w:val="Body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odyText"/>
      </w:pPr>
      <w:r>
        <w:t xml:space="preserve">$\cancelto{rhythm}{\texttt{rwh\_\_$\cdot\cdot$.$\cdot$ythm}}$</w:t>
      </w:r>
    </w:p>
    <w:p>
      <w:pPr>
        <w:pStyle w:val="BodyText"/>
      </w:pPr>
      <w:r>
        <w:t xml:space="preserve">is</w:t>
      </w:r>
      <w:r>
        <w:rPr>
          <w:i/>
        </w:rPr>
        <w:t xml:space="preserve">s</w:t>
      </w:r>
      <w:r>
        <w:t xml:space="preserve"> </w:t>
      </w:r>
      <w:r>
        <w:t xml:space="preserve">de</w:t>
      </w:r>
      <w:r>
        <w:t xml:space="preserve">$\cancelto{ss}{s}$</w:t>
      </w:r>
      <w:r>
        <w:t xml:space="preserve">troye</w:t>
      </w:r>
      <w:r>
        <w:t xml:space="preserve">$\cancelto{dh}{d}$</w:t>
      </w:r>
    </w:p>
    <w:p>
      <w:pPr>
        <w:pStyle w:val="BodyText"/>
      </w:pPr>
      <w:r>
        <w:t xml:space="preserve">$\cancelto{ou}{Wh}$</w:t>
      </w:r>
      <w:r>
        <w:t xml:space="preserve">at you will hear-then</w:t>
      </w:r>
      <w:r>
        <w:rPr>
          <w:i/>
        </w:rPr>
        <w:t xml:space="preserve">nn</w:t>
      </w:r>
    </w:p>
    <w:p>
      <w:pPr>
        <w:pStyle w:val="BodyText"/>
      </w:pPr>
      <w:r>
        <w:rPr>
          <w:i/>
        </w:rPr>
        <w:t xml:space="preserve">inspire</w:t>
      </w:r>
      <w:r>
        <w:t xml:space="preserve"> </w:t>
      </w:r>
      <w:r>
        <w:t xml:space="preserve">(short)</w:t>
      </w:r>
    </w:p>
    <w:p>
      <w:pPr>
        <w:pStyle w:val="BodyText"/>
      </w:pPr>
      <w:r>
        <w:t xml:space="preserve">are the</w:t>
      </w:r>
    </w:p>
    <w:p>
      <w:pPr>
        <w:pStyle w:val="BodyText"/>
      </w:pPr>
      <w:r>
        <w:rPr>
          <w:i/>
        </w:rPr>
        <w:t xml:space="preserve">nn</w:t>
      </w:r>
      <w:r>
        <w:t xml:space="preserve">natural</w:t>
      </w:r>
      <w:r>
        <w:rPr>
          <w:i/>
        </w:rPr>
        <w:t xml:space="preserve">l</w:t>
      </w:r>
    </w:p>
    <w:p>
      <w:pPr>
        <w:pStyle w:val="Body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odyText"/>
      </w:pPr>
      <w:r>
        <w:t xml:space="preserve">ar</w:t>
      </w:r>
      <w:r>
        <w:t xml:space="preserve">$\cancelto{tzsh!}{t}$</w:t>
      </w:r>
      <w:r>
        <w:t xml:space="preserve">iculated by</w:t>
      </w:r>
      <w:r>
        <w:rPr>
          <w:i/>
        </w:rPr>
        <w:t xml:space="preserve">sss</w:t>
      </w:r>
      <w:r>
        <w:t xml:space="preserve">speech</w:t>
      </w:r>
      <w:r>
        <w:rPr>
          <w:i/>
        </w:rPr>
        <w:t xml:space="preserve">hhh</w:t>
      </w:r>
    </w:p>
    <w:p>
      <w:pPr>
        <w:pStyle w:val="BodyText"/>
      </w:pPr>
      <w:r>
        <w:t xml:space="preserve">I regard … this-</w:t>
      </w:r>
      <w:r>
        <w:t xml:space="preserve">$\cancelto{a!}{a}$</w:t>
      </w:r>
      <w:r>
        <w:t xml:space="preserve">c-tivity</w:t>
      </w:r>
    </w:p>
    <w:p>
      <w:pPr>
        <w:pStyle w:val="BodyText"/>
      </w:pPr>
      <w:r>
        <w:rPr>
          <w:i/>
        </w:rPr>
        <w:t xml:space="preserve">inspire</w:t>
      </w:r>
      <w:r>
        <w:t xml:space="preserve"> </w:t>
      </w:r>
      <w:r>
        <w:t xml:space="preserve">(short)</w:t>
      </w:r>
    </w:p>
    <w:p>
      <w:pPr>
        <w:pStyle w:val="Body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$\cancelto{th}{t}$</w:t>
      </w:r>
    </w:p>
    <w:p>
      <w:pPr>
        <w:pStyle w:val="BodyText"/>
      </w:pPr>
      <w:r>
        <w:rPr>
          <w:i/>
        </w:rPr>
        <w:t xml:space="preserve">inspire</w:t>
      </w:r>
      <w:r>
        <w:t xml:space="preserve"> </w:t>
      </w:r>
      <w:r>
        <w:t xml:space="preserve">(short)</w:t>
      </w:r>
    </w:p>
    <w:p>
      <w:pPr>
        <w:pStyle w:val="BodyText"/>
      </w:pPr>
      <w:r>
        <w:rPr>
          <w:i/>
        </w:rPr>
        <w:t xml:space="preserve">m</w:t>
      </w:r>
      <w:r>
        <w:t xml:space="preserve">but more</w:t>
      </w:r>
    </w:p>
    <w:p>
      <w:pPr>
        <w:pStyle w:val="BodyText"/>
      </w:pPr>
      <w:r>
        <w:rPr>
          <w:i/>
        </w:rPr>
        <w:t xml:space="preserve">inspire</w:t>
      </w:r>
      <w:r>
        <w:t xml:space="preserve"> </w:t>
      </w:r>
      <w:r>
        <w:t xml:space="preserve">(short)</w:t>
      </w:r>
    </w:p>
    <w:p>
      <w:pPr>
        <w:pStyle w:val="Body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odyText"/>
      </w:pPr>
      <w:r>
        <w:t xml:space="preserve">any irregularities</w:t>
      </w:r>
      <m:oMath>
        <m:r>
          <m:t>→</m:t>
        </m:r>
      </m:oMath>
      <w:r>
        <w:t xml:space="preserve">my</w:t>
      </w:r>
      <w:r>
        <w:t xml:space="preserve"> </w:t>
      </w:r>
      <w:r>
        <w:rPr>
          <w:i/>
        </w:rPr>
        <w:t xml:space="preserve">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Being part of sound, bodies change sound even before listening. Sound, in its most basic and general form makes listeners vibrate as listeners become part of sound. On a mechanical level, the body is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n-sampler"/>
      <w:r>
        <w:t xml:space="preserve">An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resonating linkage between the human and the nonhuman: a network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 texture, 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separated temporally. On the other, these same points are marks that indicate the extent to which they differ or ressemble each other, thus they can be understood distributed spatially.</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context,</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or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for Nancy,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 ontological condition of these bodies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BlockText"/>
      </w:pPr>
      <w:r>
        <w:t xml:space="preserve">I am sitting in a room</w:t>
      </w:r>
      <w:r>
        <w:rPr>
          <w:i/>
        </w:rPr>
        <w:t xml:space="preserve">mm</w:t>
      </w:r>
    </w:p>
    <w:p>
      <w:pPr>
        <w:pStyle w:val="BlockText"/>
      </w:pPr>
      <w:r>
        <w:t xml:space="preserve">diffrent from the one you are in now</w:t>
      </w:r>
    </w:p>
    <w:p>
      <w:pPr>
        <w:pStyle w:val="BlockText"/>
      </w:pPr>
      <w:r>
        <w:rPr>
          <w:i/>
        </w:rPr>
        <w:t xml:space="preserve">inspire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inspire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inspire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inspire</w:t>
      </w:r>
      <w:r>
        <w:t xml:space="preserve"> </w:t>
      </w:r>
      <w:r>
        <w:t xml:space="preserve">(short)</w:t>
      </w:r>
    </w:p>
    <w:p>
      <w:pPr>
        <w:pStyle w:val="BlockText"/>
      </w:pPr>
      <w:r>
        <w:t xml:space="preserve">reinfor</w:t>
      </w:r>
      <w:r>
        <w:t xml:space="preserve">$\cancelto{sss}{s}\xcancel{e}$</w:t>
      </w:r>
      <w:r>
        <w:t xml:space="preserve"> </w:t>
      </w:r>
      <w:r>
        <w:t xml:space="preserve">them</w:t>
      </w:r>
      <w:r>
        <w:t xml:space="preserve">$\cancelto{ss}{s}$</w:t>
      </w:r>
      <w:r>
        <w:t xml:space="preserve">elve</w:t>
      </w:r>
      <w:r>
        <w:t xml:space="preserve">$\cancelto{sss}{s}$</w:t>
      </w:r>
    </w:p>
    <w:p>
      <w:pPr>
        <w:pStyle w:val="BlockText"/>
      </w:pPr>
      <w:r>
        <w:rPr>
          <w:i/>
        </w:rPr>
        <w:t xml:space="preserve">inspire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inspire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inspire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inspire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$\cancelto{th}{t}$</w:t>
      </w:r>
    </w:p>
    <w:p>
      <w:pPr>
        <w:pStyle w:val="BlockText"/>
      </w:pPr>
      <w:r>
        <w:rPr>
          <w:i/>
        </w:rPr>
        <w:t xml:space="preserve">inspire</w:t>
      </w:r>
      <w:r>
        <w:t xml:space="preserve"> </w:t>
      </w:r>
      <w:r>
        <w:t xml:space="preserve">(short)</w:t>
      </w:r>
    </w:p>
    <w:p>
      <w:pPr>
        <w:pStyle w:val="BlockText"/>
      </w:pPr>
      <w:r>
        <w:rPr>
          <w:i/>
        </w:rPr>
        <w:t xml:space="preserve">m</w:t>
      </w:r>
      <w:r>
        <w:t xml:space="preserve">but more</w:t>
      </w:r>
    </w:p>
    <w:p>
      <w:pPr>
        <w:pStyle w:val="BlockText"/>
      </w:pPr>
      <w:r>
        <w:rPr>
          <w:i/>
        </w:rPr>
        <w:t xml:space="preserve">inspire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m:oMath>
        <m:r>
          <m:t>→</m:t>
        </m:r>
      </m:oMath>
      <w:r>
        <w:t xml:space="preserve">my</w:t>
      </w:r>
      <w:r>
        <w:t xml:space="preserve"> </w:t>
      </w:r>
      <w:r>
        <w:rPr>
          <w:i/>
        </w:rPr>
        <w:t xml:space="preserve">s</w:t>
      </w:r>
      <w:r>
        <w:t xml:space="preserve">speech</w:t>
      </w:r>
      <w:r>
        <w:rPr>
          <w:i/>
        </w:rPr>
        <w:t xml:space="preserve">hh</w:t>
      </w:r>
      <w:r>
        <w:t xml:space="preserve"> </w:t>
      </w:r>
      <w:r>
        <w:t xml:space="preserve">might hav</w:t>
      </w:r>
      <w:r>
        <w:t xml:space="preserve">$\cancelto{f}{e}$</w:t>
      </w:r>
    </w:p>
    <w:p>
      <w:pPr>
        <w:pStyle w:val="BlockText"/>
      </w:pPr>
      <w:r>
        <w:t xml:space="preserve">NOTE: Transcription mine, made from Alvin Lucier’s recording</w:t>
      </w:r>
      <w:r>
        <w:t xml:space="preserve"> </w:t>
      </w:r>
      <w:r>
        <w:t xml:space="preserve">(Lucier 1970)</w:t>
      </w:r>
      <w:r>
        <w:t xml:space="preserve"> </w:t>
      </w:r>
      <w:r>
        <w:t xml:space="preserve">available online</w:t>
      </w:r>
      <w:r>
        <w:rPr>
          <w:rStyle w:val="FootnoteReference"/>
        </w:rPr>
        <w:footnoteReference w:id="194"/>
      </w:r>
    </w:p>
    <w:p>
      <w:pPr>
        <w:pStyle w:val="Heading5"/>
      </w:pPr>
      <w:bookmarkStart w:id="195" w:name="the-recorded-movement-of-a-thing"/>
      <w:r>
        <w:t xml:space="preserve">The Recorded Movement of a Thing</w:t>
      </w:r>
      <w:bookmarkEnd w:id="195"/>
    </w:p>
    <w:p>
      <w:pPr>
        <w:pStyle w:val="FirstParagraph"/>
      </w:pP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thinking the complex ways in which things —understood as every singular</w:t>
      </w:r>
      <w:r>
        <w:t xml:space="preserve"> </w:t>
      </w:r>
      <w:r>
        <w:rPr>
          <w:i/>
        </w:rPr>
        <w:t xml:space="preserve">thing</w:t>
      </w:r>
      <w:r>
        <w:t xml:space="preserve"> </w:t>
      </w:r>
      <w:r>
        <w:t xml:space="preserve">within the world— are connected between and associated to each other. This theory can be understood as an image of the world made out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However,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w:t>
      </w:r>
      <w:r>
        <w:t xml:space="preserve"> </w:t>
      </w:r>
      <w:r>
        <w:t xml:space="preserve">‘</w:t>
      </w:r>
      <w:r>
        <w:t xml:space="preserve">agents</w:t>
      </w:r>
      <w:r>
        <w:t xml:space="preserve">’</w:t>
      </w:r>
      <w:r>
        <w:t xml:space="preserve">— and as the interconnected accounts that these semiotic actors have of each other. The motion of these interconnected accounts can thus be understood as a mode of navigation. This is when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might limit the understanding of its activity. Nodes and edges collapse into one aother. Therefore, since</w:t>
      </w:r>
      <w:r>
        <w:t xml:space="preserve"> </w:t>
      </w:r>
      <w:r>
        <w:t xml:space="preserve">‘</w:t>
      </w:r>
      <w:r>
        <w:t xml:space="preserve">semiotic actors</w:t>
      </w:r>
      <w:r>
        <w:t xml:space="preserve">’</w:t>
      </w:r>
      <w:r>
        <w:t xml:space="preserve"> </w:t>
      </w:r>
      <w:r>
        <w:t xml:space="preserve">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Meaning and connectivity are enabled by the activity or work of actors. Furthermore, this work, which is the movement of associations and connections, is what best describes the web-like activity (</w:t>
      </w:r>
      <w:r>
        <w:rPr>
          <w:i/>
        </w:rPr>
        <w:t xml:space="preserve">net</w:t>
      </w:r>
      <w:r>
        <w:t xml:space="preserve">-work) of the network:</w:t>
      </w:r>
      <w:r>
        <w:t xml:space="preserve"> </w:t>
      </w:r>
      <w:r>
        <w:t xml:space="preserve">“</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w:t>
      </w:r>
    </w:p>
    <w:p>
      <w:pPr>
        <w:pStyle w:val="Heading5"/>
      </w:pPr>
      <w:bookmarkStart w:id="196" w:name="the-work-of-actors"/>
      <w:r>
        <w:t xml:space="preserve">The Work of Actors</w:t>
      </w:r>
      <w:bookmarkEnd w:id="196"/>
    </w:p>
    <w:p>
      <w:pPr>
        <w:pStyle w:val="FirstParagraph"/>
      </w:pPr>
      <w:r>
        <w:t xml:space="preserve">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 Connection and expansion are the mode of being of networks: they exist by the constant growth of their nodes and edges. Therefore, given the self-propagating quality of networks, the notion of a network unlinking itself until extinction is utterly impossible. Although it would be rational to think this way, the case of the network would imply that upon disconnection, another new connection must refer to the unlinked status of the affected nodes. This new connection would, in turn, unfold a new set of connections into newer and yet unexpected directions, and so on. This is where a (sonic) three-dimentional metaphor of the network as a mechanical wave might also differ from its activity.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positive feedback. While a network expands in redundancy and self-reference, a sound attenuates towards imperceptible thresholds. Therefore, in undertanding networks as resonant networks, it follows that resonance would increase at every step.</w:t>
      </w:r>
    </w:p>
    <w:p>
      <w:pPr>
        <w:pStyle w:val="Heading5"/>
      </w:pPr>
      <w:bookmarkStart w:id="197" w:name="i-am-sitting-in-a-room"/>
      <w:r>
        <w:t xml:space="preserve">I am sitting in a room…</w:t>
      </w:r>
      <w:bookmarkEnd w:id="197"/>
    </w:p>
    <w:p>
      <w:pPr>
        <w:pStyle w:val="FirstParagraph"/>
      </w:pPr>
      <w:r>
        <w:t xml:space="preserve">For example, consider Alvin Lucier’s</w:t>
      </w:r>
      <w:r>
        <w:t xml:space="preserve"> </w:t>
      </w:r>
      <w:r>
        <w:rPr>
          <w:i/>
        </w:rPr>
        <w:t xml:space="preserve">I am sitting in a room</w:t>
      </w:r>
      <w:r>
        <w:t xml:space="preserve">. This sound art work is self explanatory (see quote above), and it is as a crossfade between speech and music (but also timbre and space) throught the circuitry of a closed and controlled feedback loop between a microphone, a speaker, and a room. The aeshtetic considerations of this work I will leave for some other time, and I will refer to</w:t>
      </w:r>
      <w:r>
        <w:t xml:space="preserve"> </w:t>
      </w:r>
      <w:r>
        <w:t xml:space="preserve">Valle &amp; Sanfilippo (2012)</w:t>
      </w:r>
      <w:r>
        <w:t xml:space="preserve"> </w:t>
      </w:r>
      <w:r>
        <w:t xml:space="preserve">for further considerations on feedback systems. What I would like to bring here is an experimental revision of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the Larsen phenomenon</w:t>
      </w:r>
      <w:r>
        <w:t xml:space="preserve"> </w:t>
      </w:r>
      <w:r>
        <w:t xml:space="preserve">“</w:t>
      </w:r>
      <w:r>
        <w:t xml:space="preserve">stretched in timeThe room itself acts like a filter</w:t>
      </w:r>
      <w:r>
        <w:t xml:space="preserve">”</w:t>
      </w:r>
      <w:r>
        <w:t xml:space="preserve"> </w:t>
      </w:r>
      <w:r>
        <w:t xml:space="preserve">(Valle &amp; Sanfilippo 2012, p. 34)</w:t>
      </w:r>
      <w:r>
        <w:t xml:space="preserve">. Considering that there might be a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system. That is to say, Lucier’s</w:t>
      </w:r>
      <w:r>
        <w:t xml:space="preserve"> </w:t>
      </w:r>
      <w:r>
        <w:rPr>
          <w:i/>
        </w:rPr>
        <w:t xml:space="preserve">room</w:t>
      </w:r>
      <w:r>
        <w:t xml:space="preserve"> </w:t>
      </w:r>
      <w:r>
        <w:t xml:space="preserve">needs to be expanding as well. Therefore, the</w:t>
      </w:r>
      <w:r>
        <w:t xml:space="preserve"> </w:t>
      </w:r>
      <w:r>
        <w:t xml:space="preserve">“</w:t>
      </w:r>
      <w:r>
        <w:t xml:space="preserve">resonant frequencies</w:t>
      </w:r>
      <w:r>
        <w:t xml:space="preserve">”</w:t>
      </w:r>
      <w:r>
        <w:t xml:space="preserve"> </w:t>
      </w:r>
      <w:r>
        <w:t xml:space="preserve">of the expanding network cease to</w:t>
      </w:r>
      <w:r>
        <w:t xml:space="preserve"> </w:t>
      </w:r>
      <w:r>
        <w:t xml:space="preserve">“</w:t>
      </w:r>
      <w:r>
        <w:t xml:space="preserve">reinforce themselves.</w:t>
      </w:r>
      <w:r>
        <w:t xml:space="preserve">”</w:t>
      </w:r>
      <w:r>
        <w:t xml:space="preserve"> </w:t>
      </w:r>
      <w:r>
        <w:t xml:space="preserve">However, (and here is the experiment) this does not mean that they would cease to act. In this sense, we can ask ourselves how would Lucier’s</w:t>
      </w:r>
      <w:r>
        <w:t xml:space="preserve"> </w:t>
      </w:r>
      <w:r>
        <w:rPr>
          <w:i/>
        </w:rPr>
        <w:t xml:space="preserve">I sitting in a room…</w:t>
      </w:r>
      <w:r>
        <w:t xml:space="preserve"> </w:t>
      </w:r>
      <w:r>
        <w:t xml:space="preserve">sound like?</w:t>
      </w:r>
      <w:r>
        <w:t xml:space="preserve"> </w:t>
      </w:r>
      <w:r>
        <w:rPr>
          <w:i/>
        </w:rPr>
        <w:t xml:space="preserve">Where</w:t>
      </w:r>
      <w:r>
        <w:t xml:space="preserve"> </w:t>
      </w:r>
      <w:r>
        <w:t xml:space="preserve">would he be actually</w:t>
      </w:r>
      <w:r>
        <w:t xml:space="preserve"> </w:t>
      </w:r>
      <w:r>
        <w:rPr>
          <w:i/>
        </w:rPr>
        <w:t xml:space="preserve">sitting</w:t>
      </w:r>
      <w:r>
        <w:t xml:space="preserve">?</w:t>
      </w:r>
    </w:p>
    <w:p>
      <w:pPr>
        <w:pStyle w:val="Heading5"/>
      </w:pPr>
      <w:bookmarkStart w:id="198" w:name="i-am-sitting-in-a-database"/>
      <w:r>
        <w:t xml:space="preserve">I am sitting in a database…</w:t>
      </w:r>
      <w:bookmarkEnd w:id="198"/>
    </w:p>
    <w:p>
      <w:pPr>
        <w:pStyle w:val="FirstParagraph"/>
      </w:pPr>
      <w:r>
        <w:t xml:space="preserve">Considering that networks are comprised on the movement of meaning, it is possible to think about this movement with Nancy’s ontology of sound. That is to say, given that we can understand sound as an experience within an interconnected web-like texture that I described earlier as a feedback delay network, with</w:t>
      </w:r>
      <w:r>
        <w:t xml:space="preserve"> </w:t>
      </w:r>
      <w:r>
        <w:t xml:space="preserve">ant</w:t>
      </w:r>
      <w:r>
        <w:t xml:space="preserve"> </w:t>
      </w:r>
      <w:r>
        <w:t xml:space="preserve">this</w:t>
      </w:r>
      <w:r>
        <w:t xml:space="preserve"> </w:t>
      </w:r>
      <w:r>
        <w:t xml:space="preserve">…</w:t>
      </w:r>
      <w:r>
        <w:t xml:space="preserve"> </w:t>
      </w:r>
      <w:r>
        <w:t xml:space="preserve">then Latour’s phrase can be reformulated as follows:</w:t>
      </w:r>
      <w:r>
        <w:t xml:space="preserve"> </w:t>
      </w:r>
      <w:r>
        <w:rPr>
          <w:i/>
        </w:rPr>
        <w:t xml:space="preserve">the network is not a thing, but resonant movement of a thing</w:t>
      </w:r>
      <w:r>
        <w:t xml:space="preserv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Therefore, these listening actors are resonant subjects in Nancy’s sense described above. This is the crucial leap that comes out of the idea of a resonant network: the moment the nonhuman in the network is comprehended as resonating, it is the moment that they engage with an approach to self. Following this logical thread, the database can be considered as a semiotic actor as well as a resonating subject.</w:t>
      </w:r>
    </w:p>
    <w:p>
      <w:pPr>
        <w:pStyle w:val="Heading3"/>
      </w:pPr>
      <w:bookmarkStart w:id="199" w:name="inoperativity"/>
      <w:r>
        <w:t xml:space="preserve">The Unworking Network</w:t>
      </w:r>
      <w:bookmarkEnd w:id="199"/>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its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Heading5"/>
      </w:pPr>
      <w:bookmarkStart w:id="200" w:name="community-as-unwork"/>
      <w:r>
        <w:t xml:space="preserve">Community as unwork</w:t>
      </w:r>
      <w:bookmarkEnd w:id="200"/>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the grounds for a theory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completion is truncated and never achieved.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The reasons for this I will show in a moment. Nancy’s conclusion is that community can never result out of a work, but it is only something that unfolds as unworking. In this sense, the system of production is rendered unviable for a relation to exist between selves, and only an inoperative force can arrive at the common exposure of selves.</w:t>
      </w:r>
    </w:p>
    <w:p>
      <w:pPr>
        <w:pStyle w:val="Heading5"/>
      </w:pPr>
      <w:bookmarkStart w:id="201" w:name="resonant-inoperativity"/>
      <w:r>
        <w:t xml:space="preserve">Resonant Inoperativity</w:t>
      </w:r>
      <w:bookmarkEnd w:id="201"/>
    </w:p>
    <w:p>
      <w:pPr>
        <w:pStyle w:val="FirstParagraph"/>
      </w:pPr>
      <w:r>
        <w:t xml:space="preserve">Given that Nancy thinks of community as an exposure of selves towards one another, we can understand this movement of unworking as the movement of resonant networks. The exposure that occurs in listening allows a comparison between resonance and inoperativity. In this sense, the distance between the resonant subject and the sonorous presence becomes a limit upon which community is suspended. Nancy’s concept of resonance, as I described earlier, has two dimensions, one relating the body sensing itself and the other to the structure of infinite referrals and deferrals. Listeners are exposed to one another and in contact with themselves through these dimensions. Resonance exposes thus a liminality: the listening subject exposing itself at a limit.</w:t>
      </w:r>
    </w:p>
    <w:p>
      <w:pPr>
        <w:pStyle w:val="Heading5"/>
      </w:pPr>
      <w:bookmarkStart w:id="202" w:name="space-of-community"/>
      <w:r>
        <w:t xml:space="preserve">Space of Community</w:t>
      </w:r>
      <w:bookmarkEnd w:id="202"/>
    </w:p>
    <w:p>
      <w:pPr>
        <w:pStyle w:val="FirstParagraph"/>
      </w:pPr>
      <w:r>
        <w:t xml:space="preserve">This limit is also an exposure to fragmentation. Fragmentation, in this sense, means the inability for a thing to complete itself. The opening of a wound that precludes the unity. As the fragile, liminal state of fracture that this fragmentation points to, however, the limit maintains itself in suspension. That is to say, the contact that exists between selves does not conclude. Therefore, if this touch, in the sense that touching permits being in common with the other, is the mark of community, it follows that it is impossible to arrive at it by means of a work. Since,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on the other hand, comes from the form of unwork.</w:t>
      </w:r>
    </w:p>
    <w:p>
      <w:pPr>
        <w:pStyle w:val="Heading5"/>
      </w:pPr>
      <w:bookmarkStart w:id="203" w:name="at-the-limit"/>
      <w:r>
        <w:t xml:space="preserve">At the Limit</w:t>
      </w:r>
      <w:bookmarkEnd w:id="203"/>
    </w:p>
    <w:p>
      <w:pPr>
        <w:pStyle w:val="FirstParagraph"/>
      </w:pPr>
      <w:r>
        <w:t xml:space="preserve">Nancy’s concept of community can be recognized within</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204" w:name="reticulated-skin"/>
      <w:r>
        <w:t xml:space="preserve">Reticulated Skin</w:t>
      </w:r>
      <w:bookmarkEnd w:id="204"/>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205" w:name="database-community"/>
      <w:r>
        <w:t xml:space="preserve">Database Community</w:t>
      </w:r>
      <w:bookmarkEnd w:id="205"/>
    </w:p>
    <w:p>
      <w:pPr>
        <w:pStyle w:val="FirstParagraph"/>
      </w:pPr>
      <w:r>
        <w:t xml:space="preserve">The resistance of the skin represents, thus, the resistance of connectivity itself, that is, the resistance of a community. 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Database community can be considered as, precisely, the skin upon which the human and the nonhuman resonate, which amounts to —but never finalizes in— a musical event.</w:t>
      </w:r>
    </w:p>
    <w:p>
      <w:pPr>
        <w:pStyle w:val="Heading2"/>
      </w:pPr>
      <w:bookmarkStart w:id="206" w:name="section:Databases_And_Memory"/>
      <w:r>
        <w:t xml:space="preserve">Databases And Memory</w:t>
      </w:r>
      <w:bookmarkEnd w:id="206"/>
    </w:p>
    <w:p>
      <w:pPr>
        <w:pStyle w:val="Heading3"/>
      </w:pPr>
      <w:bookmarkStart w:id="207" w:name="funeslude"/>
      <w:r>
        <w:t xml:space="preserve">Interlude: Embodied Memory</w:t>
      </w:r>
      <w:bookmarkEnd w:id="207"/>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8"/>
      </w:r>
      <w:r>
        <w:t xml:space="preserve"> </w:t>
      </w:r>
      <w:r>
        <w:t xml:space="preserve">he was secluded in a dark and enclosed space so as not to perceive the world.</w:t>
      </w:r>
      <w:r>
        <w:rPr>
          <w:rStyle w:val="FootnoteReference"/>
        </w:rPr>
        <w:footnoteReference w:id="209"/>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0"/>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1"/>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2"/>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3"/>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5" w:name="human"/>
      <w:r>
        <w:t xml:space="preserve">The Effraction Of The Trace</w:t>
      </w:r>
      <w:bookmarkEnd w:id="215"/>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6"/>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7" w:name="memory-as-breaching"/>
      <w:r>
        <w:t xml:space="preserve">Memory as Breaching</w:t>
      </w:r>
      <w:bookmarkEnd w:id="217"/>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8" w:name="breaching-and-différance"/>
      <w:r>
        <w:t xml:space="preserve">Breaching and</w:t>
      </w:r>
      <w:r>
        <w:t xml:space="preserve"> </w:t>
      </w:r>
      <w:r>
        <w:rPr>
          <w:i/>
        </w:rPr>
        <w:t xml:space="preserve">différance</w:t>
      </w:r>
      <w:bookmarkEnd w:id="218"/>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9" w:name="hypomnesis-and-the-mystic-pad"/>
      <w:r>
        <w:t xml:space="preserve">Hypomnesis and the Mystic Pad</w:t>
      </w:r>
      <w:bookmarkEnd w:id="219"/>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0" w:name="nonhuman-authors"/>
      <w:r>
        <w:t xml:space="preserve">Nonhuman Authors</w:t>
      </w:r>
      <w:bookmarkEnd w:id="220"/>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21" w:name="database-as-agents"/>
      <w:r>
        <w:t xml:space="preserve">Database as Agents</w:t>
      </w:r>
      <w:bookmarkEnd w:id="221"/>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22" w:name="archontic"/>
      <w:r>
        <w:t xml:space="preserve">The Archontic Principle</w:t>
      </w:r>
      <w:bookmarkEnd w:id="222"/>
    </w:p>
    <w:p>
      <w:pPr>
        <w:pStyle w:val="Heading5"/>
      </w:pPr>
      <w:bookmarkStart w:id="223" w:name="archives-and-memory"/>
      <w:r>
        <w:t xml:space="preserve">Archives and Memory</w:t>
      </w:r>
      <w:bookmarkEnd w:id="223"/>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4" w:name="hierarchies"/>
      <w:r>
        <w:t xml:space="preserve">Hierarchies</w:t>
      </w:r>
      <w:bookmarkEnd w:id="224"/>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5" w:name="archontic-principle"/>
      <w:r>
        <w:t xml:space="preserve">Archontic Principle</w:t>
      </w:r>
      <w:bookmarkEnd w:id="225"/>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6" w:name="patriarchy"/>
      <w:r>
        <w:t xml:space="preserve">Patriarchy</w:t>
      </w:r>
      <w:bookmarkEnd w:id="226"/>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7" w:name="institutional-passage"/>
      <w:r>
        <w:t xml:space="preserve">Institutional Passage</w:t>
      </w:r>
      <w:bookmarkEnd w:id="227"/>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8" w:name="authorities"/>
      <w:r>
        <w:t xml:space="preserve">Authorities</w:t>
      </w:r>
      <w:bookmarkEnd w:id="228"/>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9" w:name="anarchic-memory"/>
      <w:r>
        <w:t xml:space="preserve">Anarchic Memory</w:t>
      </w:r>
      <w:bookmarkEnd w:id="229"/>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0" w:name="collective-memory"/>
      <w:r>
        <w:t xml:space="preserve">Collective Memory</w:t>
      </w:r>
      <w:bookmarkEnd w:id="230"/>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1" w:name="writing-code"/>
      <w:r>
        <w:t xml:space="preserve">Writing Code</w:t>
      </w:r>
      <w:bookmarkEnd w:id="231"/>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2"/>
      </w:r>
    </w:p>
    <w:p>
      <w:pPr>
        <w:pStyle w:val="Heading5"/>
      </w:pPr>
      <w:bookmarkStart w:id="234" w:name="anarchic-computer-memory"/>
      <w:r>
        <w:t xml:space="preserve">Anarchic Computer Memory</w:t>
      </w:r>
      <w:bookmarkEnd w:id="234"/>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5" w:name="spectrality"/>
      <w:r>
        <w:t xml:space="preserve">The Spectral Database</w:t>
      </w:r>
      <w:bookmarkEnd w:id="235"/>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6" w:name="computer-memory-and-writing"/>
      <w:r>
        <w:t xml:space="preserve">Computer Memory and Writing</w:t>
      </w:r>
      <w:bookmarkEnd w:id="236"/>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7" w:name="memory-replacement"/>
      <w:r>
        <w:t xml:space="preserve">Memory Replacement</w:t>
      </w:r>
      <w:bookmarkEnd w:id="237"/>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8" w:name="anarchic-records"/>
      <w:r>
        <w:t xml:space="preserve">Anarchic Records</w:t>
      </w:r>
      <w:bookmarkEnd w:id="238"/>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9"/>
      </w:r>
      <w:r>
        <w:t xml:space="preserve"> </w:t>
      </w:r>
      <w:r>
        <w:t xml:space="preserve">becomes an archivization process, that is, a process by which symbolic transcription leads to an ordered archive, i.e., a score.</w:t>
      </w:r>
      <w:r>
        <w:rPr>
          <w:rStyle w:val="FootnoteReference"/>
        </w:rPr>
        <w:footnoteReference w:id="241"/>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2" w:name="memory-and-framing"/>
      <w:r>
        <w:t xml:space="preserve">Memory and Framing</w:t>
      </w:r>
      <w:bookmarkEnd w:id="242"/>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3" w:name="nonhuman-tympans"/>
      <w:r>
        <w:t xml:space="preserve">Nonhuman Tympans</w:t>
      </w:r>
      <w:bookmarkEnd w:id="243"/>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4" w:name="spectrality-of-archives"/>
      <w:r>
        <w:t xml:space="preserve">Spectrality of Archives</w:t>
      </w:r>
      <w:bookmarkEnd w:id="244"/>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5" w:name="spectrality-of-databases"/>
      <w:r>
        <w:t xml:space="preserve">Spectrality of Databases</w:t>
      </w:r>
      <w:bookmarkEnd w:id="245"/>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6" w:name="agency-of-the-uncanny"/>
      <w:r>
        <w:t xml:space="preserve">Agency of the Uncanny</w:t>
      </w:r>
      <w:bookmarkEnd w:id="246"/>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7" w:name="section:Performativity_Of_Databases"/>
      <w:r>
        <w:t xml:space="preserve">Performativity Of Databases</w:t>
      </w:r>
      <w:bookmarkEnd w:id="247"/>
    </w:p>
    <w:p>
      <w:pPr>
        <w:pStyle w:val="Heading3"/>
      </w:pPr>
      <w:bookmarkStart w:id="248" w:name="gender"/>
      <w:r>
        <w:t xml:space="preserve">Gendered Database</w:t>
      </w:r>
      <w:bookmarkEnd w:id="248"/>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9" w:name="skin-of-the-database"/>
      <w:r>
        <w:t xml:space="preserve">Skin of the Database</w:t>
      </w:r>
      <w:bookmarkEnd w:id="249"/>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0" w:name="expressing-nothing"/>
      <w:r>
        <w:t xml:space="preserve">Expressing Nothing</w:t>
      </w:r>
      <w:bookmarkEnd w:id="250"/>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1" w:name="a-historical-situation"/>
      <w:r>
        <w:t xml:space="preserve">A Historical Situation</w:t>
      </w:r>
      <w:bookmarkEnd w:id="251"/>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2" w:name="subversive-repetition"/>
      <w:r>
        <w:t xml:space="preserve">Subversive Repetition</w:t>
      </w:r>
      <w:bookmarkEnd w:id="252"/>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3" w:name="gendered-database"/>
      <w:r>
        <w:t xml:space="preserve">Gendered Database</w:t>
      </w:r>
      <w:bookmarkEnd w:id="253"/>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4" w:name="limits"/>
      <w:r>
        <w:t xml:space="preserve">Towards The Limits</w:t>
      </w:r>
      <w:bookmarkEnd w:id="254"/>
    </w:p>
    <w:p>
      <w:pPr>
        <w:pStyle w:val="Heading5"/>
      </w:pPr>
      <w:bookmarkStart w:id="255" w:name="exposure"/>
      <w:r>
        <w:t xml:space="preserve">Exposure</w:t>
      </w:r>
      <w:bookmarkEnd w:id="255"/>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6" w:name="anarchic-touch"/>
      <w:r>
        <w:t xml:space="preserve">Anarchic Touch</w:t>
      </w:r>
      <w:bookmarkEnd w:id="256"/>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7" w:name="communities-of-skin"/>
      <w:r>
        <w:t xml:space="preserve">Communities of Skin</w:t>
      </w:r>
      <w:bookmarkEnd w:id="257"/>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8" w:name="hybrid-pluralities"/>
      <w:r>
        <w:t xml:space="preserve">Hybrid Pluralities</w:t>
      </w:r>
      <w:bookmarkEnd w:id="258"/>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9" w:name="style"/>
      <w:r>
        <w:t xml:space="preserve">Contingencies Of Style</w:t>
      </w:r>
      <w:bookmarkEnd w:id="259"/>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0" w:name="style-and-timbre"/>
      <w:r>
        <w:t xml:space="preserve">Style and Timbre</w:t>
      </w:r>
      <w:bookmarkEnd w:id="260"/>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1"/>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2" w:name="endless-databases"/>
      <w:r>
        <w:t xml:space="preserve">Endless Databases</w:t>
      </w:r>
      <w:bookmarkEnd w:id="262"/>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3" w:name="database-and-chaos"/>
      <w:r>
        <w:t xml:space="preserve">Database and Chaos</w:t>
      </w:r>
      <w:bookmarkEnd w:id="263"/>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5" w:name="img:lorenz_plotter"/>
      <w:r>
        <w:t xml:space="preserve">[img:lorenz_plotter]</w:t>
      </w:r>
      <w:bookmarkEnd w:id="265"/>
    </w:p>
    <w:p>
      <w:pPr>
        <w:pStyle w:val="BodyText"/>
      </w:pPr>
      <w:r>
        <w:t xml:space="preserve">Plotting of the Lorenz system in Pure Data.</w:t>
      </w:r>
    </w:p>
    <w:p>
      <w:pPr>
        <w:pStyle w:val="Heading5"/>
      </w:pPr>
      <w:bookmarkStart w:id="266" w:name="fractality"/>
      <w:r>
        <w:t xml:space="preserve">Fractality</w:t>
      </w:r>
      <w:bookmarkEnd w:id="26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7" w:name="a-music-work-as-a-singularity"/>
      <w:r>
        <w:t xml:space="preserve">A Music Work as a Singularity</w:t>
      </w:r>
      <w:bookmarkEnd w:id="267"/>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8" w:name="arbitrariness"/>
      <w:r>
        <w:t xml:space="preserve">Arbitrariness</w:t>
      </w:r>
      <w:bookmarkEnd w:id="268"/>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9" w:name="inoperative-style"/>
      <w:r>
        <w:t xml:space="preserve">Inoperative Style</w:t>
      </w:r>
      <w:bookmarkEnd w:id="269"/>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0" w:name="authority"/>
      <w:r>
        <w:t xml:space="preserve">A Specter Of Authority</w:t>
      </w:r>
      <w:bookmarkEnd w:id="27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1" w:name="the-name"/>
      <w:r>
        <w:t xml:space="preserve">The Name</w:t>
      </w:r>
      <w:bookmarkEnd w:id="27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3" w:name="dictionaries"/>
      <w:r>
        <w:t xml:space="preserve">Dictionaries</w:t>
      </w:r>
      <w:bookmarkEnd w:id="273"/>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4" w:name="artistry"/>
      <w:r>
        <w:t xml:space="preserve">Artistry</w:t>
      </w:r>
      <w:bookmarkEnd w:id="27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6"/>
      </w:r>
    </w:p>
    <w:p>
      <w:pPr>
        <w:pStyle w:val="Heading5"/>
      </w:pPr>
      <w:bookmarkStart w:id="277" w:name="the-work-of-mice"/>
      <w:r>
        <w:t xml:space="preserve">The Work of Mice</w:t>
      </w:r>
      <w:bookmarkEnd w:id="277"/>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8" w:name="section:Rethinking_Composition"/>
      <w:r>
        <w:t xml:space="preserve">Rethinking Composition</w:t>
      </w:r>
      <w:bookmarkEnd w:id="278"/>
    </w:p>
    <w:p>
      <w:pPr>
        <w:pStyle w:val="Heading3"/>
      </w:pPr>
      <w:bookmarkStart w:id="279" w:name="performance"/>
      <w:r>
        <w:t xml:space="preserve">Interlude: Hyperbolic Reactions</w:t>
      </w:r>
      <w:bookmarkEnd w:id="279"/>
    </w:p>
    <w:p>
      <w:pPr>
        <w:pStyle w:val="Heading5"/>
      </w:pPr>
      <w:bookmarkStart w:id="280" w:name="imagining-composers"/>
      <w:r>
        <w:t xml:space="preserve">Imagining Composers</w:t>
      </w:r>
      <w:bookmarkEnd w:id="28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1" w:name="composers-and-technology"/>
      <w:r>
        <w:t xml:space="preserve">Composers and Technology</w:t>
      </w:r>
      <w:bookmarkEnd w:id="281"/>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2" w:name="playing-with-shadows"/>
      <w:r>
        <w:t xml:space="preserve">Playing with Shadows</w:t>
      </w:r>
      <w:bookmarkEnd w:id="282"/>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3" w:name="composers-without-computers"/>
      <w:r>
        <w:t xml:space="preserve">Composers Without Computers</w:t>
      </w:r>
      <w:bookmarkEnd w:id="283"/>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4" w:name="databasing-without-computers"/>
      <w:r>
        <w:t xml:space="preserve">Databasing Without Computers</w:t>
      </w:r>
      <w:bookmarkEnd w:id="284"/>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5" w:name="organic"/>
      <w:r>
        <w:t xml:space="preserve">Working Composition</w:t>
      </w:r>
      <w:bookmarkEnd w:id="285"/>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6" w:name="the-work-problem"/>
      <w:r>
        <w:t xml:space="preserve">The Work Problem</w:t>
      </w:r>
      <w:bookmarkEnd w:id="286"/>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7" w:name="working-rules"/>
      <w:r>
        <w:t xml:space="preserve">Working Rules</w:t>
      </w:r>
      <w:bookmarkEnd w:id="287"/>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8" w:name="a-space-of-difference"/>
      <w:r>
        <w:t xml:space="preserve">A Space of Difference</w:t>
      </w:r>
      <w:bookmarkEnd w:id="288"/>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9"/>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90" w:name="a-severed-work"/>
      <w:r>
        <w:t xml:space="preserve">A Severed Work</w:t>
      </w:r>
      <w:bookmarkEnd w:id="290"/>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1" w:name="absorbption"/>
      <w:r>
        <w:t xml:space="preserve">Absorbption</w:t>
      </w:r>
      <w:bookmarkEnd w:id="291"/>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2" w:name="practice"/>
      <w:r>
        <w:t xml:space="preserve">The Composer As Navigator</w:t>
      </w:r>
      <w:bookmarkEnd w:id="292"/>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3" w:name="querying-the-sieves"/>
      <w:r>
        <w:t xml:space="preserve">Querying the Sieves</w:t>
      </w:r>
      <w:bookmarkEnd w:id="293"/>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4"/>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7"/>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8"/>
      </w:r>
    </w:p>
    <w:p>
      <w:pPr>
        <w:pStyle w:val="Heading5"/>
      </w:pPr>
      <w:bookmarkStart w:id="299" w:name="sound-synthesis-parenthesis"/>
      <w:r>
        <w:t xml:space="preserve">Sound Synthesis Parenthesis</w:t>
      </w:r>
      <w:bookmarkEnd w:id="299"/>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0"/>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2" w:name="algebraic-abstractions-for-freedom"/>
      <w:r>
        <w:t xml:space="preserve">Algebraic Abstractions for Freedom</w:t>
      </w:r>
      <w:bookmarkEnd w:id="302"/>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3" w:name="a-cosmic-vessel-and-an-armchair"/>
      <w:r>
        <w:t xml:space="preserve">A Cosmic Vessel and an Armchair</w:t>
      </w:r>
      <w:bookmarkEnd w:id="303"/>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4"/>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5" w:name="improv"/>
      <w:r>
        <w:t xml:space="preserve">The Database As Performer</w:t>
      </w:r>
      <w:bookmarkEnd w:id="305"/>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6" w:name="the-computer-as-a-musical-instrument"/>
      <w:r>
        <w:t xml:space="preserve">The Computer as a Musical Instrument</w:t>
      </w:r>
      <w:bookmarkEnd w:id="306"/>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7" w:name="a-minor-liberty"/>
      <w:r>
        <w:t xml:space="preserve">A Minor Liberty</w:t>
      </w:r>
      <w:bookmarkEnd w:id="307"/>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8" w:name="the-computer-as-a-player"/>
      <w:r>
        <w:t xml:space="preserve">The Computer as a Player</w:t>
      </w:r>
      <w:bookmarkEnd w:id="308"/>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9" w:name="programming-decisions"/>
      <w:r>
        <w:t xml:space="preserve">Programming Decisions</w:t>
      </w:r>
      <w:bookmarkEnd w:id="309"/>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0" w:name="anachronic-composers"/>
      <w:r>
        <w:t xml:space="preserve">Anachronic Composers</w:t>
      </w:r>
      <w:bookmarkEnd w:id="310"/>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1" w:name="section"/>
      <w:bookmarkEnd w:id="311"/>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2"/>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3" w:name="nonhuman-composers"/>
      <w:r>
        <w:t xml:space="preserve">Nonhuman composers</w:t>
      </w:r>
      <w:bookmarkEnd w:id="313"/>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4" w:name="fractured-works"/>
      <w:r>
        <w:t xml:space="preserve">Fractured Works</w:t>
      </w:r>
      <w:bookmarkEnd w:id="314"/>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5" w:name="databasing-vessel"/>
      <w:r>
        <w:t xml:space="preserve">Databasing Vessel</w:t>
      </w:r>
      <w:bookmarkEnd w:id="315"/>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6" w:name="music"/>
      <w:r>
        <w:t xml:space="preserve">The Severed Object Of Music</w:t>
      </w:r>
      <w:bookmarkEnd w:id="316"/>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7" w:name="an-incomplete-object"/>
      <w:r>
        <w:t xml:space="preserve">An Incomplete Object</w:t>
      </w:r>
      <w:bookmarkEnd w:id="317"/>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8"/>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9" w:name="remains-of-listening"/>
      <w:r>
        <w:t xml:space="preserve">Remains of Listening</w:t>
      </w:r>
      <w:bookmarkEnd w:id="319"/>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0" w:name="sources-and-sorcerers"/>
      <w:r>
        <w:t xml:space="preserve">Sources and Sorcerers</w:t>
      </w:r>
      <w:bookmarkEnd w:id="320"/>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1" w:name="naming"/>
      <w:r>
        <w:t xml:space="preserve">Naming</w:t>
      </w:r>
      <w:bookmarkEnd w:id="321"/>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2"/>
      </w:r>
    </w:p>
    <w:p>
      <w:pPr>
        <w:pStyle w:val="Heading5"/>
      </w:pPr>
      <w:bookmarkStart w:id="323" w:name="dynamics"/>
      <w:r>
        <w:t xml:space="preserve">Dynamics</w:t>
      </w:r>
      <w:bookmarkEnd w:id="323"/>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4" w:name="masterwork"/>
      <w:r>
        <w:t xml:space="preserve">Masterwork</w:t>
      </w:r>
      <w:bookmarkEnd w:id="324"/>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5" w:name="architecture-of-obedience"/>
      <w:r>
        <w:t xml:space="preserve">Architecture of Obedience</w:t>
      </w:r>
      <w:bookmarkEnd w:id="325"/>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6" w:name="anarchy"/>
      <w:r>
        <w:t xml:space="preserve">Anarchy And The Unwork</w:t>
      </w:r>
      <w:bookmarkEnd w:id="326"/>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7" w:name="place-in-common"/>
      <w:r>
        <w:t xml:space="preserve">Place in Common</w:t>
      </w:r>
      <w:bookmarkEnd w:id="327"/>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8" w:name="disintegrated-imperative"/>
      <w:r>
        <w:t xml:space="preserve">Disintegrated Imperative</w:t>
      </w:r>
      <w:bookmarkEnd w:id="328"/>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9" w:name="blind-experimentation"/>
      <w:r>
        <w:t xml:space="preserve">Blind Experimentation</w:t>
      </w:r>
      <w:bookmarkEnd w:id="329"/>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0" w:name="doctoring-the-glitch"/>
      <w:r>
        <w:t xml:space="preserve">Doctoring the Glitch</w:t>
      </w:r>
      <w:bookmarkEnd w:id="330"/>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1" w:name="unnecessary-blindfolds"/>
      <w:r>
        <w:t xml:space="preserve">Unnecessary Blindfolds</w:t>
      </w:r>
      <w:bookmarkEnd w:id="331"/>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2" w:name="spectral-remains"/>
      <w:r>
        <w:t xml:space="preserve">Spectral Remains</w:t>
      </w:r>
      <w:bookmarkEnd w:id="332"/>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3" w:name="macroforma"/>
      <w:r>
        <w:t xml:space="preserve">Macroforma</w:t>
      </w:r>
      <w:bookmarkEnd w:id="333"/>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4" w:name="overfitting"/>
      <w:r>
        <w:t xml:space="preserve">Overfitting</w:t>
      </w:r>
      <w:bookmarkEnd w:id="334"/>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5" w:name="worker"/>
      <w:r>
        <w:t xml:space="preserve">[Wip] Work In Progress</w:t>
      </w:r>
      <w:bookmarkEnd w:id="335"/>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6" w:name="chapter:Conclusion"/>
      <w:r>
        <w:t xml:space="preserve">Conclusion</w:t>
      </w:r>
      <w:bookmarkEnd w:id="336"/>
    </w:p>
    <w:p>
      <w:pPr>
        <w:pStyle w:val="FirstParagraph"/>
      </w:pPr>
      <w:r>
        <w:t xml:space="preserve">…</w:t>
      </w:r>
      <w:r>
        <w:t xml:space="preserve"> </w:t>
      </w:r>
      <w:r>
        <w:t xml:space="preserve">placeholder for conclusion abstract</w:t>
      </w:r>
      <w:r>
        <w:t xml:space="preserve"> </w:t>
      </w:r>
      <w:r>
        <w:t xml:space="preserve">…</w:t>
      </w:r>
    </w:p>
    <w:p>
      <w:pPr>
        <w:pStyle w:val="Heading1"/>
      </w:pPr>
      <w:bookmarkStart w:id="337" w:name="chapter:Appendices"/>
      <w:r>
        <w:t xml:space="preserve">Appendices</w:t>
      </w:r>
      <w:bookmarkEnd w:id="337"/>
    </w:p>
    <w:p>
      <w:pPr>
        <w:pStyle w:val="FirstParagraph"/>
      </w:pPr>
      <w:r>
        <w:t xml:space="preserve">abstract of appendices</w:t>
      </w:r>
    </w:p>
    <w:p>
      <w:pPr>
        <w:pStyle w:val="Heading2"/>
      </w:pPr>
      <w:bookmarkStart w:id="338" w:name="X9928d5a4298d9156e673c83842d96a99bfb66d7"/>
      <w:r>
        <w:t xml:space="preserve">DIANA: Database for Image and Audio Navigation</w:t>
      </w:r>
      <w:bookmarkEnd w:id="338"/>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9" w:name="dbmodel"/>
      <w:r>
        <w:t xml:space="preserve">A Database Model</w:t>
      </w:r>
      <w:bookmarkEnd w:id="339"/>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0" w:name="X7616598f194c52ee6f4c09f01c755a7090177ba"/>
      <w:r>
        <w:t xml:space="preserve">ABBY: An Online Environment for Annotated Bibliographies</w:t>
      </w:r>
      <w:bookmarkEnd w:id="340"/>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1">
        <w:r>
          <w:rPr>
            <w:rStyle w:val="Hyperlink"/>
          </w:rPr>
          <w:t xml:space="preserve">https://fdch.github.io/abby</w:t>
        </w:r>
      </w:hyperlink>
      <w:r>
        <w:t xml:space="preserve">, and the code can be accessed or cloned from</w:t>
      </w:r>
      <w:r>
        <w:t xml:space="preserve"> </w:t>
      </w:r>
      <w:hyperlink r:id="rId342">
        <w:r>
          <w:rPr>
            <w:rStyle w:val="Hyperlink"/>
          </w:rPr>
          <w:t xml:space="preserve">https://github.com/fdch/litrev</w:t>
        </w:r>
      </w:hyperlink>
      <w:r>
        <w:t xml:space="preserve">.</w:t>
      </w:r>
    </w:p>
    <w:p>
      <w:pPr>
        <w:pStyle w:val="Heading3"/>
      </w:pPr>
      <w:bookmarkStart w:id="343" w:name="texdb"/>
      <w:r>
        <w:t xml:space="preserve">A Text Database</w:t>
      </w:r>
      <w:bookmarkEnd w:id="343"/>
    </w:p>
    <w:p>
      <w:pPr>
        <w:pStyle w:val="FirstParagraph"/>
      </w:pPr>
      <w:r>
        <w:t xml:space="preserve">A detailed description of the text database model…</w:t>
      </w:r>
    </w:p>
    <w:bookmarkStart w:id="689" w:name="refs"/>
    <w:bookmarkStart w:id="34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4"/>
    <w:bookmarkStart w:id="34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5"/>
    <w:bookmarkStart w:id="34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6"/>
    <w:bookmarkStart w:id="34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7"/>
    <w:bookmarkStart w:id="34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8"/>
    <w:bookmarkStart w:id="35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9">
        <w:r>
          <w:rPr>
            <w:rStyle w:val="Hyperlink"/>
          </w:rPr>
          <w:t xml:space="preserve">http://www.terasoft.com.tw/conf/ismir2014/proceedings/T014_162_Paper.pdf</w:t>
        </w:r>
      </w:hyperlink>
    </w:p>
    <w:bookmarkEnd w:id="350"/>
    <w:bookmarkStart w:id="35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1"/>
    <w:bookmarkStart w:id="35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2"/>
    <w:bookmarkStart w:id="35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3"/>
    <w:bookmarkStart w:id="35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4"/>
    <w:bookmarkStart w:id="35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5"/>
    <w:bookmarkStart w:id="35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6"/>
    <w:bookmarkStart w:id="35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7"/>
    <w:bookmarkStart w:id="35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8"/>
    <w:bookmarkStart w:id="35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9"/>
    <w:bookmarkStart w:id="36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0"/>
    <w:bookmarkStart w:id="361" w:name="ref-Bar20:Viv"/>
    <w:p>
      <w:pPr>
        <w:pStyle w:val="Bibliography"/>
      </w:pPr>
      <w:r>
        <w:t xml:space="preserve">Barrett N. 2000b. Viva la selva</w:t>
      </w:r>
    </w:p>
    <w:bookmarkEnd w:id="361"/>
    <w:bookmarkStart w:id="362" w:name="ref-Bar68:Ele"/>
    <w:p>
      <w:pPr>
        <w:pStyle w:val="Bibliography"/>
      </w:pPr>
      <w:r>
        <w:t xml:space="preserve">Barthes R, Lavers A, Smith C. 1968.</w:t>
      </w:r>
      <w:r>
        <w:t xml:space="preserve"> </w:t>
      </w:r>
      <w:r>
        <w:rPr>
          <w:i/>
        </w:rPr>
        <w:t xml:space="preserve">Elements of Semiology</w:t>
      </w:r>
      <w:r>
        <w:t xml:space="preserve">. Hill; Wang, New York. ed.</w:t>
      </w:r>
    </w:p>
    <w:bookmarkEnd w:id="362"/>
    <w:bookmarkStart w:id="36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3"/>
    <w:bookmarkStart w:id="36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4"/>
    <w:bookmarkStart w:id="36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5"/>
    <w:bookmarkStart w:id="36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6">
        <w:r>
          <w:rPr>
            <w:rStyle w:val="Hyperlink"/>
          </w:rPr>
          <w:t xml:space="preserve">http://www.terasoft.com.tw/conf/ismir2014/proceedings/T028_322_Paper.pdf</w:t>
        </w:r>
      </w:hyperlink>
    </w:p>
    <w:bookmarkEnd w:id="367"/>
    <w:bookmarkStart w:id="36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8"/>
    <w:bookmarkStart w:id="37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9">
        <w:r>
          <w:rPr>
            <w:rStyle w:val="Hyperlink"/>
          </w:rPr>
          <w:t xml:space="preserve">http://www.ppgia.pucpr.br/ismir2013/wp-content/uploads/2013/09/177\_Paper.pdf</w:t>
        </w:r>
      </w:hyperlink>
    </w:p>
    <w:bookmarkEnd w:id="370"/>
    <w:bookmarkStart w:id="37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1"/>
    <w:bookmarkStart w:id="372" w:name="ref-Bor42:Fun"/>
    <w:p>
      <w:pPr>
        <w:pStyle w:val="Bibliography"/>
      </w:pPr>
      <w:r>
        <w:t xml:space="preserve">Borges JL. 1942. Funes el memorioso.</w:t>
      </w:r>
      <w:r>
        <w:t xml:space="preserve"> </w:t>
      </w:r>
      <w:r>
        <w:rPr>
          <w:i/>
        </w:rPr>
        <w:t xml:space="preserve">Ficciones</w:t>
      </w:r>
    </w:p>
    <w:bookmarkEnd w:id="372"/>
    <w:bookmarkStart w:id="373" w:name="ref-Bor95:Rat"/>
    <w:p>
      <w:pPr>
        <w:pStyle w:val="Bibliography"/>
      </w:pPr>
      <w:r>
        <w:t xml:space="preserve">Born G. 1995.</w:t>
      </w:r>
      <w:r>
        <w:t xml:space="preserve"> </w:t>
      </w:r>
      <w:r>
        <w:rPr>
          <w:i/>
        </w:rPr>
        <w:t xml:space="preserve">Rationalizing Culture</w:t>
      </w:r>
      <w:r>
        <w:t xml:space="preserve">. University of California Press. ed.</w:t>
      </w:r>
    </w:p>
    <w:bookmarkEnd w:id="373"/>
    <w:bookmarkStart w:id="374"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4"/>
    <w:bookmarkStart w:id="375"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5"/>
    <w:bookmarkStart w:id="376"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6"/>
    <w:bookmarkStart w:id="377"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7"/>
    <w:bookmarkStart w:id="378"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8"/>
    <w:bookmarkStart w:id="379"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9"/>
    <w:bookmarkStart w:id="380" w:name="ref-score11manual"/>
    <w:p>
      <w:pPr>
        <w:pStyle w:val="Bibliography"/>
      </w:pPr>
      <w:r>
        <w:t xml:space="preserve">Brinkman AR. 1982. Original version of the score11 manual.</w:t>
      </w:r>
      <w:r>
        <w:t xml:space="preserve"> </w:t>
      </w:r>
      <w:r>
        <w:rPr>
          <w:i/>
        </w:rPr>
        <w:t xml:space="preserve">Score11 Manual</w:t>
      </w:r>
    </w:p>
    <w:bookmarkEnd w:id="380"/>
    <w:bookmarkStart w:id="381"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1"/>
    <w:bookmarkStart w:id="382"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2"/>
    <w:bookmarkStart w:id="383"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3"/>
    <w:bookmarkStart w:id="385"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4">
        <w:r>
          <w:rPr>
            <w:rStyle w:val="Hyperlink"/>
          </w:rPr>
          <w:t xml:space="preserve">http://www.nime.org/proceedings/2011/nime2011_387.pdf</w:t>
        </w:r>
      </w:hyperlink>
    </w:p>
    <w:bookmarkEnd w:id="385"/>
    <w:bookmarkStart w:id="387"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6">
        <w:r>
          <w:rPr>
            <w:rStyle w:val="Hyperlink"/>
          </w:rPr>
          <w:t xml:space="preserve">http://www.nime.org/proceedings/2009/nime2009_266.pdf</w:t>
        </w:r>
      </w:hyperlink>
    </w:p>
    <w:bookmarkEnd w:id="387"/>
    <w:bookmarkStart w:id="388"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8"/>
    <w:bookmarkStart w:id="389"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9"/>
    <w:bookmarkStart w:id="390"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0"/>
    <w:bookmarkStart w:id="391" w:name="ref-Bux77:Aco"/>
    <w:p>
      <w:pPr>
        <w:pStyle w:val="Bibliography"/>
      </w:pPr>
      <w:r>
        <w:t xml:space="preserve">Buxton W. 1977. A composer’s introduction to computer music.</w:t>
      </w:r>
      <w:r>
        <w:t xml:space="preserve"> </w:t>
      </w:r>
      <w:r>
        <w:rPr>
          <w:i/>
        </w:rPr>
        <w:t xml:space="preserve">Interface</w:t>
      </w:r>
      <w:r>
        <w:t xml:space="preserve">. 6:57–72</w:t>
      </w:r>
    </w:p>
    <w:bookmarkEnd w:id="391"/>
    <w:bookmarkStart w:id="392" w:name="ref-youtube/buxton10"/>
    <w:p>
      <w:pPr>
        <w:pStyle w:val="Bibliography"/>
      </w:pPr>
      <w:r>
        <w:t xml:space="preserve">Buxton W. 2016a. Objed: The sssp sound editing tool.</w:t>
      </w:r>
      <w:r>
        <w:t xml:space="preserve"> </w:t>
      </w:r>
      <w:r>
        <w:rPr>
          <w:i/>
        </w:rPr>
        <w:t xml:space="preserve">Youtube</w:t>
      </w:r>
    </w:p>
    <w:bookmarkEnd w:id="392"/>
    <w:bookmarkStart w:id="393"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3"/>
    <w:bookmarkStart w:id="394"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4"/>
    <w:bookmarkStart w:id="395"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5"/>
    <w:bookmarkStart w:id="396"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6"/>
    <w:bookmarkStart w:id="398"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7">
        <w:r>
          <w:rPr>
            <w:rStyle w:val="Hyperlink"/>
          </w:rPr>
          <w:t xml:space="preserve">http://www.nime.org/proceedings/2011/nime2011_329.pdf</w:t>
        </w:r>
      </w:hyperlink>
    </w:p>
    <w:bookmarkEnd w:id="398"/>
    <w:bookmarkStart w:id="399"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9"/>
    <w:bookmarkStart w:id="400"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0"/>
    <w:bookmarkStart w:id="401"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1"/>
    <w:bookmarkStart w:id="402" w:name="ref-Rya17:OnT"/>
    <w:p>
      <w:pPr>
        <w:pStyle w:val="Bibliography"/>
      </w:pPr>
      <w:r>
        <w:t xml:space="preserve">Carter R. 2017. On the expressive potential of suboptimal speakers</w:t>
      </w:r>
    </w:p>
    <w:bookmarkEnd w:id="402"/>
    <w:bookmarkStart w:id="403"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3"/>
    <w:bookmarkStart w:id="404"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4"/>
    <w:bookmarkStart w:id="405"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5"/>
    <w:bookmarkStart w:id="406"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6"/>
    <w:bookmarkStart w:id="407"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7"/>
    <w:bookmarkStart w:id="408"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8"/>
    <w:bookmarkStart w:id="409"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9"/>
    <w:bookmarkStart w:id="410"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0"/>
    <w:bookmarkStart w:id="411" w:name="ref-Cho00:Voi"/>
    <w:p>
      <w:pPr>
        <w:pStyle w:val="Bibliography"/>
      </w:pPr>
      <w:r>
        <w:t xml:space="preserve">Choi I. 2000. Voices in ruins — composition with residuals</w:t>
      </w:r>
    </w:p>
    <w:bookmarkEnd w:id="411"/>
    <w:bookmarkStart w:id="412"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2"/>
    <w:bookmarkStart w:id="413"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3"/>
    <w:bookmarkStart w:id="414"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4"/>
    <w:bookmarkStart w:id="415"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5"/>
    <w:bookmarkStart w:id="416"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6"/>
    <w:bookmarkStart w:id="417"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7"/>
    <w:bookmarkStart w:id="418"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8"/>
    <w:bookmarkStart w:id="419"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9"/>
    <w:bookmarkStart w:id="420"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0"/>
    <w:bookmarkStart w:id="421" w:name="ref-connes:shapes"/>
    <w:p>
      <w:pPr>
        <w:pStyle w:val="Bibliography"/>
      </w:pPr>
      <w:r>
        <w:t xml:space="preserve">Connes A. 2012. The music of shapes</w:t>
      </w:r>
    </w:p>
    <w:bookmarkEnd w:id="421"/>
    <w:bookmarkStart w:id="422"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2"/>
    <w:bookmarkStart w:id="423"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3"/>
    <w:bookmarkStart w:id="424"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4"/>
    <w:bookmarkStart w:id="425"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5"/>
    <w:bookmarkStart w:id="426"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6"/>
    <w:bookmarkStart w:id="428"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7">
        <w:r>
          <w:rPr>
            <w:rStyle w:val="Hyperlink"/>
          </w:rPr>
          <w:t xml:space="preserve">https://ismir2017.smcnus.org/wp-content/uploads/2017/10/235_Paper.pdf</w:t>
        </w:r>
      </w:hyperlink>
    </w:p>
    <w:bookmarkEnd w:id="428"/>
    <w:bookmarkStart w:id="430" w:name="ref-crowley98"/>
    <w:p>
      <w:pPr>
        <w:pStyle w:val="Bibliography"/>
      </w:pPr>
      <w:r>
        <w:t xml:space="preserve">Crowley C. 1998. Data structures for text sequences.</w:t>
      </w:r>
      <w:r>
        <w:t xml:space="preserve"> </w:t>
      </w:r>
      <w:hyperlink r:id="rId429">
        <w:r>
          <w:rPr>
            <w:rStyle w:val="Hyperlink"/>
          </w:rPr>
          <w:t xml:space="preserve">https://www.cs.unm.edu/~crowley/papers/sds.pdf</w:t>
        </w:r>
      </w:hyperlink>
    </w:p>
    <w:bookmarkEnd w:id="430"/>
    <w:bookmarkStart w:id="431"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1"/>
    <w:bookmarkStart w:id="433"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2">
        <w:r>
          <w:rPr>
            <w:rStyle w:val="Hyperlink"/>
          </w:rPr>
          <w:t xml:space="preserve">https://ismir2017.smcnus.org/wp-content/uploads/2017/10/75_Paper.pdf</w:t>
        </w:r>
      </w:hyperlink>
    </w:p>
    <w:bookmarkEnd w:id="433"/>
    <w:bookmarkStart w:id="434"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4"/>
    <w:bookmarkStart w:id="435"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5"/>
    <w:bookmarkStart w:id="436"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6"/>
    <w:bookmarkStart w:id="437" w:name="ref-Der78:Wri"/>
    <w:p>
      <w:pPr>
        <w:pStyle w:val="Bibliography"/>
      </w:pPr>
      <w:r>
        <w:t xml:space="preserve">Derrida J. 1978.</w:t>
      </w:r>
      <w:r>
        <w:t xml:space="preserve"> </w:t>
      </w:r>
      <w:r>
        <w:rPr>
          <w:i/>
        </w:rPr>
        <w:t xml:space="preserve">Writing and Difference</w:t>
      </w:r>
      <w:r>
        <w:t xml:space="preserve">. The University of Chicago. ed.</w:t>
      </w:r>
    </w:p>
    <w:bookmarkEnd w:id="437"/>
    <w:bookmarkStart w:id="438" w:name="ref-Der82:Mar"/>
    <w:p>
      <w:pPr>
        <w:pStyle w:val="Bibliography"/>
      </w:pPr>
      <w:r>
        <w:t xml:space="preserve">Derrida J. 1982.</w:t>
      </w:r>
      <w:r>
        <w:t xml:space="preserve"> </w:t>
      </w:r>
      <w:r>
        <w:rPr>
          <w:i/>
        </w:rPr>
        <w:t xml:space="preserve">Margins of Philosophy</w:t>
      </w:r>
      <w:r>
        <w:t xml:space="preserve">. The Harvester Press. ed.</w:t>
      </w:r>
    </w:p>
    <w:bookmarkEnd w:id="438"/>
    <w:bookmarkStart w:id="439" w:name="ref-Der95:Arc"/>
    <w:p>
      <w:pPr>
        <w:pStyle w:val="Bibliography"/>
      </w:pPr>
      <w:r>
        <w:t xml:space="preserve">Derrida J, Prenowitz E. 1995. Archive fever: A freudian impression.</w:t>
      </w:r>
      <w:r>
        <w:t xml:space="preserve"> </w:t>
      </w:r>
      <w:r>
        <w:rPr>
          <w:i/>
        </w:rPr>
        <w:t xml:space="preserve">Diacritics</w:t>
      </w:r>
      <w:r>
        <w:t xml:space="preserve">. 25(2):</w:t>
      </w:r>
    </w:p>
    <w:bookmarkEnd w:id="439"/>
    <w:bookmarkStart w:id="441"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0">
        <w:r>
          <w:rPr>
            <w:rStyle w:val="Hyperlink"/>
          </w:rPr>
          <w:t xml:space="preserve">http://ismir2015.uma.es/articles/261_Paper.pdf</w:t>
        </w:r>
      </w:hyperlink>
    </w:p>
    <w:bookmarkEnd w:id="441"/>
    <w:bookmarkStart w:id="442"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2"/>
    <w:bookmarkStart w:id="443"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3"/>
    <w:bookmarkStart w:id="444"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4"/>
    <w:bookmarkStart w:id="445"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5"/>
    <w:bookmarkStart w:id="446"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6"/>
    <w:bookmarkStart w:id="447"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7"/>
    <w:bookmarkStart w:id="449"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8">
        <w:r>
          <w:rPr>
            <w:rStyle w:val="Hyperlink"/>
          </w:rPr>
          <w:t xml:space="preserve">http://ismir2018.ircam.fr/doc/pdfs/265_Paper.pdf</w:t>
        </w:r>
      </w:hyperlink>
    </w:p>
    <w:bookmarkEnd w:id="449"/>
    <w:bookmarkStart w:id="450"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0"/>
    <w:bookmarkStart w:id="452"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1">
        <w:r>
          <w:rPr>
            <w:rStyle w:val="Hyperlink"/>
          </w:rPr>
          <w:t xml:space="preserve">http://ismir2000.ismir.net/papers/invites/dunn_invite.pdf</w:t>
        </w:r>
      </w:hyperlink>
    </w:p>
    <w:bookmarkEnd w:id="452"/>
    <w:bookmarkStart w:id="453"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3"/>
    <w:bookmarkStart w:id="454"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4"/>
    <w:bookmarkStart w:id="455" w:name="ref-Eco04:The"/>
    <w:p>
      <w:pPr>
        <w:pStyle w:val="Bibliography"/>
      </w:pPr>
      <w:r>
        <w:t xml:space="preserve">Eco U. 2004. The poetics of the open work.</w:t>
      </w:r>
      <w:r>
        <w:t xml:space="preserve"> </w:t>
      </w:r>
      <w:r>
        <w:rPr>
          <w:i/>
        </w:rPr>
        <w:t xml:space="preserve">Audio Culture: Readings in Modern Music</w:t>
      </w:r>
    </w:p>
    <w:bookmarkEnd w:id="455"/>
    <w:bookmarkStart w:id="456" w:name="ref-Emm86:The"/>
    <w:p>
      <w:pPr>
        <w:pStyle w:val="Bibliography"/>
      </w:pPr>
      <w:r>
        <w:t xml:space="preserve">Emmerson S. 1986.</w:t>
      </w:r>
      <w:r>
        <w:t xml:space="preserve"> </w:t>
      </w:r>
      <w:r>
        <w:rPr>
          <w:i/>
        </w:rPr>
        <w:t xml:space="preserve">The Language of Electroacoustic Music</w:t>
      </w:r>
      <w:r>
        <w:t xml:space="preserve">. ed.</w:t>
      </w:r>
    </w:p>
    <w:bookmarkEnd w:id="456"/>
    <w:bookmarkStart w:id="458"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7">
        <w:r>
          <w:rPr>
            <w:rStyle w:val="Hyperlink"/>
          </w:rPr>
          <w:t xml:space="preserve">http://ismir2018.ircam.fr/doc/pdfs/206_Paper.pdf</w:t>
        </w:r>
      </w:hyperlink>
    </w:p>
    <w:bookmarkEnd w:id="458"/>
    <w:bookmarkStart w:id="459"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9"/>
    <w:bookmarkStart w:id="460" w:name="ref-Ern13:Dig"/>
    <w:p>
      <w:pPr>
        <w:pStyle w:val="Bibliography"/>
      </w:pPr>
      <w:r>
        <w:t xml:space="preserve">Ernst W. 2013.</w:t>
      </w:r>
      <w:r>
        <w:t xml:space="preserve"> </w:t>
      </w:r>
      <w:r>
        <w:rPr>
          <w:i/>
        </w:rPr>
        <w:t xml:space="preserve">Digital Memory and the Archive</w:t>
      </w:r>
      <w:r>
        <w:t xml:space="preserve">. University of Minnesota Press. ed.</w:t>
      </w:r>
    </w:p>
    <w:bookmarkEnd w:id="460"/>
    <w:bookmarkStart w:id="461"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1"/>
    <w:bookmarkStart w:id="462"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2"/>
    <w:bookmarkStart w:id="464"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3">
        <w:r>
          <w:rPr>
            <w:rStyle w:val="Hyperlink"/>
          </w:rPr>
          <w:t xml:space="preserve">https://ismir2017.smcnus.org/wp-content/uploads/2017/10/161_Paper.pdf</w:t>
        </w:r>
      </w:hyperlink>
    </w:p>
    <w:bookmarkEnd w:id="464"/>
    <w:bookmarkStart w:id="465"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5"/>
    <w:bookmarkStart w:id="466"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6"/>
    <w:bookmarkStart w:id="467"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7"/>
    <w:bookmarkStart w:id="468"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8"/>
    <w:bookmarkStart w:id="469"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9"/>
    <w:bookmarkStart w:id="470"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0"/>
    <w:bookmarkStart w:id="472"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1">
        <w:r>
          <w:rPr>
            <w:rStyle w:val="Hyperlink"/>
          </w:rPr>
          <w:t xml:space="preserve">http://www.nime.org/proceedings/2011/nime2011_124.pdf</w:t>
        </w:r>
      </w:hyperlink>
    </w:p>
    <w:bookmarkEnd w:id="472"/>
    <w:bookmarkStart w:id="473"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3"/>
    <w:bookmarkStart w:id="475"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4">
        <w:r>
          <w:rPr>
            <w:rStyle w:val="Hyperlink"/>
          </w:rPr>
          <w:t xml:space="preserve">http://ismir2000.ismir.net/posters/good.pdf</w:t>
        </w:r>
      </w:hyperlink>
    </w:p>
    <w:bookmarkEnd w:id="475"/>
    <w:bookmarkStart w:id="477"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6">
        <w:r>
          <w:rPr>
            <w:rStyle w:val="Hyperlink"/>
          </w:rPr>
          <w:t xml:space="preserve">http://ismir2002.ismir.net/proceedings/03-SP04-1.pdf</w:t>
        </w:r>
      </w:hyperlink>
    </w:p>
    <w:bookmarkEnd w:id="477"/>
    <w:bookmarkStart w:id="479"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8">
        <w:r>
          <w:rPr>
            <w:rStyle w:val="Hyperlink"/>
          </w:rPr>
          <w:t xml:space="preserve">http://ismir2003.ismir.net/papers/Goto1.PDF</w:t>
        </w:r>
      </w:hyperlink>
    </w:p>
    <w:bookmarkEnd w:id="479"/>
    <w:bookmarkStart w:id="480" w:name="ref-Gra15:The"/>
    <w:p>
      <w:pPr>
        <w:pStyle w:val="Bibliography"/>
      </w:pPr>
      <w:r>
        <w:t xml:space="preserve">Gratton P, Morin M-E. 2015.</w:t>
      </w:r>
      <w:r>
        <w:t xml:space="preserve"> </w:t>
      </w:r>
      <w:r>
        <w:rPr>
          <w:i/>
        </w:rPr>
        <w:t xml:space="preserve">The Nancy Dictionary</w:t>
      </w:r>
      <w:r>
        <w:t xml:space="preserve">. Edinburgh University Press. ed.</w:t>
      </w:r>
    </w:p>
    <w:bookmarkEnd w:id="480"/>
    <w:bookmarkStart w:id="481"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1"/>
    <w:bookmarkStart w:id="483"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2">
        <w:r>
          <w:rPr>
            <w:rStyle w:val="Hyperlink"/>
          </w:rPr>
          <w:t xml:space="preserve">http://www.terasoft.com.tw/conf/ismir2014/proceedings/T059_257_Paper.pdf</w:t>
        </w:r>
      </w:hyperlink>
    </w:p>
    <w:bookmarkEnd w:id="483"/>
    <w:bookmarkStart w:id="484"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4"/>
    <w:bookmarkStart w:id="485"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5"/>
    <w:bookmarkStart w:id="486" w:name="ref-Han04:New"/>
    <w:p>
      <w:pPr>
        <w:pStyle w:val="Bibliography"/>
      </w:pPr>
      <w:r>
        <w:t xml:space="preserve">Hansen MBN. 2004.</w:t>
      </w:r>
      <w:r>
        <w:t xml:space="preserve"> </w:t>
      </w:r>
      <w:r>
        <w:rPr>
          <w:i/>
        </w:rPr>
        <w:t xml:space="preserve">New Philosophy for New Media</w:t>
      </w:r>
      <w:r>
        <w:t xml:space="preserve">. The MIT Press. ed.</w:t>
      </w:r>
    </w:p>
    <w:bookmarkEnd w:id="486"/>
    <w:bookmarkStart w:id="488"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7">
        <w:r>
          <w:rPr>
            <w:rStyle w:val="Hyperlink"/>
          </w:rPr>
          <w:t xml:space="preserve">http://ismir2008.ismir.net/papers/ISMIR2008_173.pdf</w:t>
        </w:r>
      </w:hyperlink>
    </w:p>
    <w:bookmarkEnd w:id="488"/>
    <w:bookmarkStart w:id="489"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9"/>
    <w:bookmarkStart w:id="490"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0"/>
    <w:bookmarkStart w:id="492"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1">
        <w:r>
          <w:rPr>
            <w:rStyle w:val="Hyperlink"/>
          </w:rPr>
          <w:t xml:space="preserve">http://www.ppgia.pucpr.br/ismir2013/wp-content/uploads/2013/09/85_Paper.pdf</w:t>
        </w:r>
      </w:hyperlink>
    </w:p>
    <w:bookmarkEnd w:id="492"/>
    <w:bookmarkStart w:id="493"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3"/>
    <w:bookmarkStart w:id="494" w:name="ref-Hay93:The"/>
    <w:p>
      <w:pPr>
        <w:pStyle w:val="Bibliography"/>
      </w:pPr>
      <w:r>
        <w:t xml:space="preserve">Hayles NK. 1993. The materiality of informatics.</w:t>
      </w:r>
      <w:r>
        <w:t xml:space="preserve"> </w:t>
      </w:r>
      <w:r>
        <w:rPr>
          <w:i/>
        </w:rPr>
        <w:t xml:space="preserve">Configurations</w:t>
      </w:r>
      <w:r>
        <w:t xml:space="preserve">. 1(1):</w:t>
      </w:r>
    </w:p>
    <w:bookmarkEnd w:id="494"/>
    <w:bookmarkStart w:id="495"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5"/>
    <w:bookmarkStart w:id="496"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6"/>
    <w:bookmarkStart w:id="497"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7"/>
    <w:bookmarkStart w:id="499"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8">
        <w:r>
          <w:rPr>
            <w:rStyle w:val="Hyperlink"/>
          </w:rPr>
          <w:t xml:space="preserve">http://www.nime.org/proceedings/2010/nime2010_233.pdf</w:t>
        </w:r>
      </w:hyperlink>
    </w:p>
    <w:bookmarkEnd w:id="499"/>
    <w:bookmarkStart w:id="501"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0">
        <w:r>
          <w:rPr>
            <w:rStyle w:val="Hyperlink"/>
          </w:rPr>
          <w:t xml:space="preserve">http://ismir2005.ismir.net/proceedings/2117.pdf</w:t>
        </w:r>
      </w:hyperlink>
    </w:p>
    <w:bookmarkEnd w:id="501"/>
    <w:bookmarkStart w:id="502"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2"/>
    <w:bookmarkStart w:id="504"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3">
        <w:r>
          <w:rPr>
            <w:rStyle w:val="Hyperlink"/>
          </w:rPr>
          <w:t xml:space="preserve">http://ismir2018.ircam.fr/doc/pdfs/248_Paper.pdf</w:t>
        </w:r>
      </w:hyperlink>
    </w:p>
    <w:bookmarkEnd w:id="504"/>
    <w:bookmarkStart w:id="505" w:name="ref-Mau99:Abr"/>
    <w:p>
      <w:pPr>
        <w:pStyle w:val="Bibliography"/>
      </w:pPr>
      <w:r>
        <w:t xml:space="preserve">IV JAM. 1999.</w:t>
      </w:r>
      <w:r>
        <w:t xml:space="preserve"> </w:t>
      </w:r>
      <w:r>
        <w:rPr>
          <w:i/>
        </w:rPr>
        <w:t xml:space="preserve">A Brief History of Algorithmic Composition</w:t>
      </w:r>
      <w:r>
        <w:t xml:space="preserve">. Online. ed.</w:t>
      </w:r>
    </w:p>
    <w:bookmarkEnd w:id="505"/>
    <w:bookmarkStart w:id="506"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6"/>
    <w:bookmarkStart w:id="507"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7"/>
    <w:bookmarkStart w:id="508"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8"/>
    <w:bookmarkStart w:id="510"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9">
        <w:r>
          <w:rPr>
            <w:rStyle w:val="Hyperlink"/>
          </w:rPr>
          <w:t xml:space="preserve">http://ismir2008.ismir.net/papers/ISMIR2008_106.pdf</w:t>
        </w:r>
      </w:hyperlink>
    </w:p>
    <w:bookmarkEnd w:id="510"/>
    <w:bookmarkStart w:id="511"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1"/>
    <w:bookmarkStart w:id="512"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2"/>
    <w:bookmarkStart w:id="513"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3"/>
    <w:bookmarkStart w:id="514"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4"/>
    <w:bookmarkStart w:id="516"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5">
        <w:r>
          <w:rPr>
            <w:rStyle w:val="Hyperlink"/>
          </w:rPr>
          <w:t xml:space="preserve">http://www.terasoft.com.tw/conf/ismir2014/proceedings/T039_344_Paper.pdf</w:t>
        </w:r>
      </w:hyperlink>
    </w:p>
    <w:bookmarkEnd w:id="516"/>
    <w:bookmarkStart w:id="517" w:name="ref-Kle98:The"/>
    <w:p>
      <w:pPr>
        <w:pStyle w:val="Bibliography"/>
      </w:pPr>
      <w:r>
        <w:t xml:space="preserve">Klein J. 1998. The wolves of bays mountain</w:t>
      </w:r>
    </w:p>
    <w:bookmarkEnd w:id="517"/>
    <w:bookmarkStart w:id="518" w:name="ref-Kle17:Lec"/>
    <w:p>
      <w:pPr>
        <w:pStyle w:val="Bibliography"/>
      </w:pPr>
      <w:r>
        <w:t xml:space="preserve">Klein J. 2017.</w:t>
      </w:r>
      <w:r>
        <w:t xml:space="preserve"> </w:t>
      </w:r>
      <w:r>
        <w:rPr>
          <w:i/>
        </w:rPr>
        <w:t xml:space="preserve">On my compositional approach</w:t>
      </w:r>
      <w:r>
        <w:t xml:space="preserve">. Work. Pap.</w:t>
      </w:r>
    </w:p>
    <w:bookmarkEnd w:id="518"/>
    <w:bookmarkStart w:id="519"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9"/>
    <w:bookmarkStart w:id="521"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0">
        <w:r>
          <w:rPr>
            <w:rStyle w:val="Hyperlink"/>
          </w:rPr>
          <w:t xml:space="preserve">http://ismir2015.uma.es/articles/246_Paper.pdf</w:t>
        </w:r>
      </w:hyperlink>
    </w:p>
    <w:bookmarkEnd w:id="521"/>
    <w:bookmarkStart w:id="522"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2"/>
    <w:bookmarkStart w:id="523"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3"/>
    <w:bookmarkStart w:id="524"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4"/>
    <w:bookmarkStart w:id="525"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5"/>
    <w:bookmarkStart w:id="526"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6"/>
    <w:bookmarkStart w:id="527"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7"/>
    <w:bookmarkStart w:id="528"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8"/>
    <w:bookmarkStart w:id="529"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9"/>
    <w:bookmarkStart w:id="530"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0"/>
    <w:bookmarkStart w:id="531"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1"/>
    <w:bookmarkStart w:id="532"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2"/>
    <w:bookmarkStart w:id="533" w:name="ref-Lod98:MUS"/>
    <w:p>
      <w:pPr>
        <w:pStyle w:val="Bibliography"/>
      </w:pPr>
      <w:r>
        <w:t xml:space="preserve">Lodha S, Beahan J, Joseph A, Zane-ulman B. 1998. MUSE: A musical data sonification toolkit</w:t>
      </w:r>
    </w:p>
    <w:bookmarkEnd w:id="533"/>
    <w:bookmarkStart w:id="534"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4"/>
    <w:bookmarkStart w:id="536"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5">
        <w:r>
          <w:rPr>
            <w:rStyle w:val="Hyperlink"/>
          </w:rPr>
          <w:t xml:space="preserve">http://www.nime.org/proceedings/2008/nime2008_221.pdf</w:t>
        </w:r>
      </w:hyperlink>
    </w:p>
    <w:bookmarkEnd w:id="536"/>
    <w:bookmarkStart w:id="537"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7"/>
    <w:bookmarkStart w:id="538" w:name="ref-Luc70:Iam"/>
    <w:p>
      <w:pPr>
        <w:pStyle w:val="Bibliography"/>
      </w:pPr>
      <w:r>
        <w:t xml:space="preserve">Lucier A. 1970. I am sitting in a room</w:t>
      </w:r>
    </w:p>
    <w:bookmarkEnd w:id="538"/>
    <w:bookmarkStart w:id="539" w:name="ref-Man01:The"/>
    <w:p>
      <w:pPr>
        <w:pStyle w:val="Bibliography"/>
      </w:pPr>
      <w:r>
        <w:t xml:space="preserve">Manovich L. 2001.</w:t>
      </w:r>
      <w:r>
        <w:t xml:space="preserve"> </w:t>
      </w:r>
      <w:r>
        <w:rPr>
          <w:i/>
        </w:rPr>
        <w:t xml:space="preserve">The Language of New Media</w:t>
      </w:r>
      <w:r>
        <w:t xml:space="preserve">. MIT Press. ed.</w:t>
      </w:r>
    </w:p>
    <w:bookmarkEnd w:id="539"/>
    <w:bookmarkStart w:id="540" w:name="ref-Man02:Old"/>
    <w:p>
      <w:pPr>
        <w:pStyle w:val="Bibliography"/>
      </w:pPr>
      <w:r>
        <w:t xml:space="preserve">Manovich L. 2002. Old media as new media: Cinema.</w:t>
      </w:r>
      <w:r>
        <w:t xml:space="preserve"> </w:t>
      </w:r>
      <w:r>
        <w:rPr>
          <w:i/>
        </w:rPr>
        <w:t xml:space="preserve">The New Media Book</w:t>
      </w:r>
    </w:p>
    <w:bookmarkEnd w:id="540"/>
    <w:bookmarkStart w:id="541"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1"/>
    <w:bookmarkStart w:id="543"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2">
        <w:r>
          <w:rPr>
            <w:rStyle w:val="Hyperlink"/>
          </w:rPr>
          <w:t xml:space="preserve">http://ismir2008.ismir.net/papers/ISMIR2008_158.pdf</w:t>
        </w:r>
      </w:hyperlink>
    </w:p>
    <w:bookmarkEnd w:id="543"/>
    <w:bookmarkStart w:id="544"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4"/>
    <w:bookmarkStart w:id="545"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5"/>
    <w:bookmarkStart w:id="546"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6"/>
    <w:bookmarkStart w:id="547" w:name="ref-csoundMethods"/>
    <w:p>
      <w:pPr>
        <w:pStyle w:val="Bibliography"/>
      </w:pPr>
      <w:r>
        <w:t xml:space="preserve">McCurdy I, Heintz J, Joaquin J, Knevel M. 2015. Methods of writing csound scores.</w:t>
      </w:r>
      <w:r>
        <w:t xml:space="preserve"> </w:t>
      </w:r>
      <w:r>
        <w:rPr>
          <w:i/>
        </w:rPr>
        <w:t xml:space="preserve">FLOSS Manuals</w:t>
      </w:r>
    </w:p>
    <w:bookmarkEnd w:id="547"/>
    <w:bookmarkStart w:id="548"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8"/>
    <w:bookmarkStart w:id="550"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9">
        <w:r>
          <w:rPr>
            <w:rStyle w:val="Hyperlink"/>
          </w:rPr>
          <w:t xml:space="preserve">http://ismir2018.ircam.fr/doc/pdfs/35_Paper.pdf</w:t>
        </w:r>
      </w:hyperlink>
    </w:p>
    <w:bookmarkEnd w:id="550"/>
    <w:bookmarkStart w:id="551"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1"/>
    <w:bookmarkStart w:id="552"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2"/>
    <w:bookmarkStart w:id="553"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3"/>
    <w:bookmarkStart w:id="554"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4"/>
    <w:bookmarkStart w:id="555" w:name="ref-ods-cpp"/>
    <w:p>
      <w:pPr>
        <w:pStyle w:val="Bibliography"/>
      </w:pPr>
      <w:r>
        <w:t xml:space="preserve">Morin P. 2019.</w:t>
      </w:r>
      <w:r>
        <w:t xml:space="preserve"> </w:t>
      </w:r>
      <w:r>
        <w:rPr>
          <w:i/>
        </w:rPr>
        <w:t xml:space="preserve">Open Data Structures</w:t>
      </w:r>
      <w:r>
        <w:t xml:space="preserve">. Creative Commons. ed.</w:t>
      </w:r>
    </w:p>
    <w:bookmarkEnd w:id="555"/>
    <w:bookmarkStart w:id="556"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6"/>
    <w:bookmarkStart w:id="557"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7"/>
    <w:bookmarkStart w:id="558"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8"/>
    <w:bookmarkStart w:id="560"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9">
        <w:r>
          <w:rPr>
            <w:rStyle w:val="Hyperlink"/>
          </w:rPr>
          <w:t xml:space="preserve">http://www.nime.org/proceedings/2007/nime2007_409.pdf</w:t>
        </w:r>
      </w:hyperlink>
    </w:p>
    <w:bookmarkEnd w:id="560"/>
    <w:bookmarkStart w:id="561"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1"/>
    <w:bookmarkStart w:id="562" w:name="ref-Nan07:Lis"/>
    <w:p>
      <w:pPr>
        <w:pStyle w:val="Bibliography"/>
      </w:pPr>
      <w:r>
        <w:t xml:space="preserve">Nancy J-L. 2007.</w:t>
      </w:r>
      <w:r>
        <w:t xml:space="preserve"> </w:t>
      </w:r>
      <w:r>
        <w:rPr>
          <w:i/>
        </w:rPr>
        <w:t xml:space="preserve">Listening</w:t>
      </w:r>
      <w:r>
        <w:t xml:space="preserve">. Fordham University Place. ed.</w:t>
      </w:r>
    </w:p>
    <w:bookmarkEnd w:id="562"/>
    <w:bookmarkStart w:id="563"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3"/>
    <w:bookmarkStart w:id="565"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4">
        <w:r>
          <w:rPr>
            <w:rStyle w:val="Hyperlink"/>
          </w:rPr>
          <w:t xml:space="preserve">http://www.nime.org/proceedings/2007/nime2007_112.pdf</w:t>
        </w:r>
      </w:hyperlink>
    </w:p>
    <w:bookmarkEnd w:id="565"/>
    <w:bookmarkStart w:id="566"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6"/>
    <w:bookmarkStart w:id="567"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7"/>
    <w:bookmarkStart w:id="568"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8"/>
    <w:bookmarkStart w:id="569"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9"/>
    <w:bookmarkStart w:id="570"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0"/>
    <w:bookmarkStart w:id="571"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1"/>
    <w:bookmarkStart w:id="572"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2"/>
    <w:bookmarkStart w:id="573"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3"/>
    <w:bookmarkStart w:id="574"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4"/>
    <w:bookmarkStart w:id="575"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5"/>
    <w:bookmarkStart w:id="576"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6"/>
    <w:bookmarkStart w:id="577"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7"/>
    <w:bookmarkStart w:id="579"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8">
        <w:r>
          <w:rPr>
            <w:rStyle w:val="Hyperlink"/>
          </w:rPr>
          <w:t xml:space="preserve">http://www.terasoft.com.tw/conf/ismir2014/proceedings/T064_307_Paper.pdf</w:t>
        </w:r>
      </w:hyperlink>
    </w:p>
    <w:bookmarkEnd w:id="579"/>
    <w:bookmarkStart w:id="580"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0"/>
    <w:bookmarkStart w:id="581" w:name="ref-Pos11:Int"/>
    <w:p>
      <w:pPr>
        <w:pStyle w:val="Bibliography"/>
      </w:pPr>
      <w:r>
        <w:t xml:space="preserve">Poster M. 2011. Introduction.</w:t>
      </w:r>
      <w:r>
        <w:t xml:space="preserve"> </w:t>
      </w:r>
      <w:r>
        <w:rPr>
          <w:i/>
        </w:rPr>
        <w:t xml:space="preserve">Into the Universe of Technical Images</w:t>
      </w:r>
    </w:p>
    <w:bookmarkEnd w:id="581"/>
    <w:bookmarkStart w:id="583"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2">
        <w:r>
          <w:rPr>
            <w:rStyle w:val="Hyperlink"/>
          </w:rPr>
          <w:t xml:space="preserve">http://www.nime.org/proceedings/2008/nime2008_311.pdf</w:t>
        </w:r>
      </w:hyperlink>
    </w:p>
    <w:bookmarkEnd w:id="583"/>
    <w:bookmarkStart w:id="584"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4"/>
    <w:bookmarkStart w:id="585"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5"/>
    <w:bookmarkStart w:id="586" w:name="ref-Puc91:Som"/>
    <w:p>
      <w:pPr>
        <w:pStyle w:val="Bibliography"/>
      </w:pPr>
      <w:r>
        <w:t xml:space="preserve">Puckette M. 1991. Something digital.</w:t>
      </w:r>
      <w:r>
        <w:t xml:space="preserve"> </w:t>
      </w:r>
      <w:r>
        <w:rPr>
          <w:i/>
        </w:rPr>
        <w:t xml:space="preserve">Computer Music Journal</w:t>
      </w:r>
      <w:r>
        <w:t xml:space="preserve">. 15(4):65–69</w:t>
      </w:r>
    </w:p>
    <w:bookmarkEnd w:id="586"/>
    <w:bookmarkStart w:id="587"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7"/>
    <w:bookmarkStart w:id="588"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8"/>
    <w:bookmarkStart w:id="589"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9"/>
    <w:bookmarkStart w:id="590"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0"/>
    <w:bookmarkStart w:id="591"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1"/>
    <w:bookmarkStart w:id="592"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2"/>
    <w:bookmarkStart w:id="593" w:name="ref-Roa04:Mic"/>
    <w:p>
      <w:pPr>
        <w:pStyle w:val="Bibliography"/>
      </w:pPr>
      <w:r>
        <w:t xml:space="preserve">Roads C. 2001.</w:t>
      </w:r>
      <w:r>
        <w:t xml:space="preserve"> </w:t>
      </w:r>
      <w:r>
        <w:rPr>
          <w:i/>
        </w:rPr>
        <w:t xml:space="preserve">Microsound</w:t>
      </w:r>
      <w:r>
        <w:t xml:space="preserve">. MIT Press. ed.</w:t>
      </w:r>
    </w:p>
    <w:bookmarkEnd w:id="593"/>
    <w:bookmarkStart w:id="594"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4"/>
    <w:bookmarkStart w:id="595"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5"/>
    <w:bookmarkStart w:id="596"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6"/>
    <w:bookmarkStart w:id="597"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7"/>
    <w:bookmarkStart w:id="598"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8"/>
    <w:bookmarkStart w:id="599"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9"/>
    <w:bookmarkStart w:id="600"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0"/>
    <w:bookmarkStart w:id="601"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1"/>
    <w:bookmarkStart w:id="602"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2"/>
    <w:bookmarkStart w:id="603"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3"/>
    <w:bookmarkStart w:id="604"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4"/>
    <w:bookmarkStart w:id="606"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5">
        <w:r>
          <w:rPr>
            <w:rStyle w:val="Hyperlink"/>
          </w:rPr>
          <w:t xml:space="preserve">http://ismir2005.ismir.net/proceedings/3123.pdf</w:t>
        </w:r>
      </w:hyperlink>
    </w:p>
    <w:bookmarkEnd w:id="606"/>
    <w:bookmarkStart w:id="607"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7"/>
    <w:bookmarkStart w:id="608"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8"/>
    <w:bookmarkStart w:id="609"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9"/>
    <w:bookmarkStart w:id="610"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0"/>
    <w:bookmarkStart w:id="611"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1"/>
    <w:bookmarkStart w:id="612"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2"/>
    <w:bookmarkStart w:id="613"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3"/>
    <w:bookmarkStart w:id="614"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4"/>
    <w:bookmarkStart w:id="615" w:name="ref-Sch06:Rea"/>
    <w:p>
      <w:pPr>
        <w:pStyle w:val="Bibliography"/>
      </w:pPr>
      <w:r>
        <w:t xml:space="preserve">Schwarz D. 2006b. Real-time corpus-based concatenative synthesis with catart., pp. 18–21</w:t>
      </w:r>
    </w:p>
    <w:bookmarkEnd w:id="615"/>
    <w:bookmarkStart w:id="616"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6"/>
    <w:bookmarkStart w:id="617"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7"/>
    <w:bookmarkStart w:id="618"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8"/>
    <w:bookmarkStart w:id="619" w:name="ref-scoremus"/>
    <w:p>
      <w:pPr>
        <w:pStyle w:val="Bibliography"/>
      </w:pPr>
      <w:r>
        <w:t xml:space="preserve">Selfridge-Field E. 1997. The score music publishing system.</w:t>
      </w:r>
      <w:r>
        <w:t xml:space="preserve"> </w:t>
      </w:r>
      <w:r>
        <w:rPr>
          <w:i/>
        </w:rPr>
        <w:t xml:space="preserve">SCORE</w:t>
      </w:r>
    </w:p>
    <w:bookmarkEnd w:id="619"/>
    <w:bookmarkStart w:id="620"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0"/>
    <w:bookmarkStart w:id="622"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1">
        <w:r>
          <w:rPr>
            <w:rStyle w:val="Hyperlink"/>
          </w:rPr>
          <w:t xml:space="preserve">https://hal.archives-ouvertes.fr/hal-01393959</w:t>
        </w:r>
      </w:hyperlink>
    </w:p>
    <w:bookmarkEnd w:id="622"/>
    <w:bookmarkStart w:id="623"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3"/>
    <w:bookmarkStart w:id="624"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4"/>
    <w:bookmarkStart w:id="625"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5"/>
    <w:bookmarkStart w:id="626" w:name="ref-10.2307/941442"/>
    <w:p>
      <w:pPr>
        <w:pStyle w:val="Bibliography"/>
      </w:pPr>
      <w:r>
        <w:t xml:space="preserve">Skinner R. 1990a. Music software.</w:t>
      </w:r>
      <w:r>
        <w:t xml:space="preserve"> </w:t>
      </w:r>
      <w:r>
        <w:rPr>
          <w:i/>
        </w:rPr>
        <w:t xml:space="preserve">Notes</w:t>
      </w:r>
      <w:r>
        <w:t xml:space="preserve">. 46(3):660–84</w:t>
      </w:r>
    </w:p>
    <w:bookmarkEnd w:id="626"/>
    <w:bookmarkStart w:id="627" w:name="ref-10.2307/940555"/>
    <w:p>
      <w:pPr>
        <w:pStyle w:val="Bibliography"/>
      </w:pPr>
      <w:r>
        <w:t xml:space="preserve">Skinner R. 1990b. Music software.</w:t>
      </w:r>
      <w:r>
        <w:t xml:space="preserve"> </w:t>
      </w:r>
      <w:r>
        <w:rPr>
          <w:i/>
        </w:rPr>
        <w:t xml:space="preserve">Notes</w:t>
      </w:r>
      <w:r>
        <w:t xml:space="preserve">. 47(1):91–101</w:t>
      </w:r>
    </w:p>
    <w:bookmarkEnd w:id="627"/>
    <w:bookmarkStart w:id="628"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8"/>
    <w:bookmarkStart w:id="629"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9"/>
    <w:bookmarkStart w:id="630"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0"/>
    <w:bookmarkStart w:id="631" w:name="ref-Ste12:MP3"/>
    <w:p>
      <w:pPr>
        <w:pStyle w:val="Bibliography"/>
      </w:pPr>
      <w:r>
        <w:t xml:space="preserve">Sterne J. 2012.</w:t>
      </w:r>
      <w:r>
        <w:t xml:space="preserve"> </w:t>
      </w:r>
      <w:r>
        <w:rPr>
          <w:i/>
        </w:rPr>
        <w:t xml:space="preserve">MP3: The Meaning of a Format</w:t>
      </w:r>
      <w:r>
        <w:t xml:space="preserve">. Duke University Press. ed.</w:t>
      </w:r>
    </w:p>
    <w:bookmarkEnd w:id="631"/>
    <w:bookmarkStart w:id="632"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2"/>
    <w:bookmarkStart w:id="633" w:name="ref-Stu04:Mat"/>
    <w:p>
      <w:pPr>
        <w:pStyle w:val="Bibliography"/>
      </w:pPr>
      <w:r>
        <w:t xml:space="preserve">Sturm B. 2004. MATConcat: An application for exploring concatenative sound synthesis using matlab</w:t>
      </w:r>
    </w:p>
    <w:bookmarkEnd w:id="633"/>
    <w:bookmarkStart w:id="634"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4"/>
    <w:bookmarkStart w:id="635" w:name="ref-Sze08:Lis"/>
    <w:p>
      <w:pPr>
        <w:pStyle w:val="Bibliography"/>
      </w:pPr>
      <w:r>
        <w:t xml:space="preserve">Szendy P. 2008.</w:t>
      </w:r>
      <w:r>
        <w:t xml:space="preserve"> </w:t>
      </w:r>
      <w:r>
        <w:rPr>
          <w:i/>
        </w:rPr>
        <w:t xml:space="preserve">Listen: A History of Our Ears</w:t>
      </w:r>
      <w:r>
        <w:t xml:space="preserve">. Fordham University. ed.</w:t>
      </w:r>
    </w:p>
    <w:bookmarkEnd w:id="635"/>
    <w:bookmarkStart w:id="636"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6"/>
    <w:bookmarkStart w:id="637" w:name="ref-Sch07:How"/>
    <w:p>
      <w:pPr>
        <w:pStyle w:val="Bibliography"/>
      </w:pPr>
      <w:r>
        <w:t xml:space="preserve">Thiebaut J-B, Bello J, Schwarz D. 2007. How musical are images? From sound representation to image sonification: An eco systemic approach</w:t>
      </w:r>
    </w:p>
    <w:bookmarkEnd w:id="637"/>
    <w:bookmarkStart w:id="638"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8"/>
    <w:bookmarkStart w:id="639"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9"/>
    <w:bookmarkStart w:id="640"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0"/>
    <w:bookmarkStart w:id="641"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1"/>
    <w:bookmarkStart w:id="642"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2"/>
    <w:bookmarkStart w:id="643"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3"/>
    <w:bookmarkStart w:id="644"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4"/>
    <w:bookmarkStart w:id="646"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5">
        <w:r>
          <w:rPr>
            <w:rStyle w:val="Hyperlink"/>
          </w:rPr>
          <w:t xml:space="preserve">https://quod.lib.umich.edu/i/icmc/bbp2372.2012.006</w:t>
        </w:r>
      </w:hyperlink>
    </w:p>
    <w:bookmarkEnd w:id="646"/>
    <w:bookmarkStart w:id="647" w:name="ref-Var04:The"/>
    <w:p>
      <w:pPr>
        <w:pStyle w:val="Bibliography"/>
      </w:pPr>
      <w:r>
        <w:t xml:space="preserve">Varese E. 2004. The liberation of sound.</w:t>
      </w:r>
      <w:r>
        <w:t xml:space="preserve"> </w:t>
      </w:r>
      <w:r>
        <w:rPr>
          <w:i/>
        </w:rPr>
        <w:t xml:space="preserve">Audio Culture: Readings in Modern Music</w:t>
      </w:r>
    </w:p>
    <w:bookmarkEnd w:id="647"/>
    <w:bookmarkStart w:id="648" w:name="ref-Ver84:The"/>
    <w:p>
      <w:pPr>
        <w:pStyle w:val="Bibliography"/>
      </w:pPr>
      <w:r>
        <w:t xml:space="preserve">Vercoe B. 1984. The synthetic performer in the context of live performance</w:t>
      </w:r>
    </w:p>
    <w:bookmarkEnd w:id="648"/>
    <w:bookmarkStart w:id="649"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9"/>
    <w:bookmarkStart w:id="650"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0"/>
    <w:bookmarkStart w:id="651"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1"/>
    <w:bookmarkStart w:id="653"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2">
        <w:r>
          <w:rPr>
            <w:rStyle w:val="Hyperlink"/>
          </w:rPr>
          <w:t xml:space="preserve">https://ismir2017.smcnus.org/wp-content/uploads/2017/10/180_Paper.pdf</w:t>
        </w:r>
      </w:hyperlink>
    </w:p>
    <w:bookmarkEnd w:id="653"/>
    <w:bookmarkStart w:id="654"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4"/>
    <w:bookmarkStart w:id="656"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5">
        <w:r>
          <w:rPr>
            <w:rStyle w:val="Hyperlink"/>
          </w:rPr>
          <w:t xml:space="preserve">http://ismir2002.ismir.net/proceedings/02-FP06-3.pdf</w:t>
        </w:r>
      </w:hyperlink>
    </w:p>
    <w:bookmarkEnd w:id="656"/>
    <w:bookmarkStart w:id="657"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7"/>
    <w:bookmarkStart w:id="658"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8"/>
    <w:bookmarkStart w:id="659"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9"/>
    <w:bookmarkStart w:id="660"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0"/>
    <w:bookmarkStart w:id="661"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1"/>
    <w:bookmarkStart w:id="662"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2"/>
    <w:bookmarkStart w:id="663"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3"/>
    <w:bookmarkStart w:id="664"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4"/>
    <w:bookmarkStart w:id="665"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5"/>
    <w:bookmarkStart w:id="666" w:name="ref-Wei07:Oce"/>
    <w:p>
      <w:pPr>
        <w:pStyle w:val="Bibliography"/>
      </w:pPr>
      <w:r>
        <w:t xml:space="preserve">Weinbren G. 2007. Ocean, database, recut.</w:t>
      </w:r>
      <w:r>
        <w:t xml:space="preserve"> </w:t>
      </w:r>
      <w:r>
        <w:rPr>
          <w:i/>
        </w:rPr>
        <w:t xml:space="preserve">Database Aesthetics: Art in the Age of Information Overflow</w:t>
      </w:r>
    </w:p>
    <w:bookmarkEnd w:id="666"/>
    <w:bookmarkStart w:id="667"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67"/>
    <w:bookmarkStart w:id="668"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8"/>
    <w:bookmarkStart w:id="670"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9">
        <w:r>
          <w:rPr>
            <w:rStyle w:val="Hyperlink"/>
          </w:rPr>
          <w:t xml:space="preserve">http://ismir2018.ircam.fr/doc/pdfs/114_Paper.pdf</w:t>
        </w:r>
      </w:hyperlink>
    </w:p>
    <w:bookmarkEnd w:id="670"/>
    <w:bookmarkStart w:id="671"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1"/>
    <w:bookmarkStart w:id="673"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2">
        <w:r>
          <w:rPr>
            <w:rStyle w:val="Hyperlink"/>
          </w:rPr>
          <w:t xml:space="preserve">http://ismir2004.ismir.net/proceedings/p010-page-48-paper227.pdf</w:t>
        </w:r>
      </w:hyperlink>
    </w:p>
    <w:bookmarkEnd w:id="673"/>
    <w:bookmarkStart w:id="674"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4"/>
    <w:bookmarkStart w:id="675"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5"/>
    <w:bookmarkStart w:id="676"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6"/>
    <w:bookmarkStart w:id="678"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7">
        <w:r>
          <w:rPr>
            <w:rStyle w:val="Hyperlink"/>
          </w:rPr>
          <w:t xml:space="preserve">http://ismir2018.ircam.fr/doc/pdfs/188_Paper.pdf</w:t>
        </w:r>
      </w:hyperlink>
    </w:p>
    <w:bookmarkEnd w:id="678"/>
    <w:bookmarkStart w:id="679"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9"/>
    <w:bookmarkStart w:id="680"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0"/>
    <w:bookmarkStart w:id="681"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1"/>
    <w:bookmarkStart w:id="682"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2"/>
    <w:bookmarkStart w:id="683"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3"/>
    <w:bookmarkStart w:id="684"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4"/>
    <w:bookmarkStart w:id="686"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5">
        <w:r>
          <w:rPr>
            <w:rStyle w:val="Hyperlink"/>
          </w:rPr>
          <w:t xml:space="preserve">http://www.nime.org/proceedings/2007/nime2007_352.pdf</w:t>
        </w:r>
      </w:hyperlink>
    </w:p>
    <w:bookmarkEnd w:id="686"/>
    <w:bookmarkStart w:id="687"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7"/>
    <w:bookmarkStart w:id="688" w:name="ref-Zmo15:Liv"/>
    <w:p>
      <w:pPr>
        <w:pStyle w:val="Bibliography"/>
      </w:pPr>
      <w:r>
        <w:t xml:space="preserve">zmölnig I m, Eckel G. 2015.</w:t>
      </w:r>
      <w:r>
        <w:t xml:space="preserve"> </w:t>
      </w:r>
      <w:r>
        <w:rPr>
          <w:i/>
        </w:rPr>
        <w:t xml:space="preserve">LIVE coding: AN overview</w:t>
      </w:r>
      <w:r>
        <w:t xml:space="preserve">. Work. Pap.</w:t>
      </w:r>
    </w:p>
    <w:bookmarkEnd w:id="688"/>
    <w:bookmarkEnd w:id="6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194">
    <w:p>
      <w:pPr>
        <w:pStyle w:val="FootnoteText"/>
      </w:pPr>
      <w:r>
        <w:rPr>
          <w:rStyle w:val="FootnoteReference"/>
        </w:rPr>
        <w:footnoteRef/>
      </w:r>
      <w:r>
        <w:t xml:space="preserve"> </w:t>
      </w:r>
      <w:hyperlink r:id="rId184">
        <w:r>
          <w:rPr>
            <w:rStyle w:val="Hyperlink"/>
          </w:rPr>
          <w:t xml:space="preserve">https://www.youtube.com/watch?v=fAxHlLK3Oyk</w:t>
        </w:r>
      </w:hyperlink>
      <w:r>
        <w:t xml:space="preserve"> </w:t>
      </w:r>
      <w:r>
        <w:t xml:space="preserve">(Lovely Music, Ltd., 1981)</w:t>
      </w:r>
    </w:p>
  </w:footnote>
  <w:footnote w:id="208">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9">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0">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1">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2">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3">
    <w:p>
      <w:pPr>
        <w:pStyle w:val="FootnoteText"/>
      </w:pPr>
      <w:r>
        <w:rPr>
          <w:rStyle w:val="FootnoteReference"/>
        </w:rPr>
        <w:footnoteRef/>
      </w:r>
      <w:r>
        <w:t xml:space="preserve"> </w:t>
      </w:r>
      <w:hyperlink r:id="rId214">
        <w:r>
          <w:rPr>
            <w:rStyle w:val="Hyperlink"/>
          </w:rPr>
          <w:t xml:space="preserve">https://en.wikipedia.org/wiki/Leo_Beranek</w:t>
        </w:r>
      </w:hyperlink>
    </w:p>
  </w:footnote>
  <w:footnote w:id="216">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2">
    <w:p>
      <w:pPr>
        <w:pStyle w:val="FootnoteText"/>
      </w:pPr>
      <w:r>
        <w:rPr>
          <w:rStyle w:val="FootnoteReference"/>
        </w:rPr>
        <w:footnoteRef/>
      </w:r>
      <w:r>
        <w:t xml:space="preserve"> </w:t>
      </w:r>
      <w:hyperlink r:id="rId233">
        <w:r>
          <w:rPr>
            <w:rStyle w:val="Hyperlink"/>
          </w:rPr>
          <w:t xml:space="preserve">https://en.cppreference.com/w/cpp/language/destructor</w:t>
        </w:r>
      </w:hyperlink>
    </w:p>
  </w:footnote>
  <w:footnote w:id="239">
    <w:p>
      <w:pPr>
        <w:pStyle w:val="FootnoteText"/>
      </w:pPr>
      <w:r>
        <w:rPr>
          <w:rStyle w:val="FootnoteReference"/>
        </w:rPr>
        <w:footnoteRef/>
      </w:r>
      <w:r>
        <w:t xml:space="preserve"> </w:t>
      </w:r>
      <w:hyperlink r:id="rId240">
        <w:r>
          <w:rPr>
            <w:rStyle w:val="Hyperlink"/>
          </w:rPr>
          <w:t xml:space="preserve">https://mpc.chs.harvard.edu/</w:t>
        </w:r>
      </w:hyperlink>
    </w:p>
  </w:footnote>
  <w:footnote w:id="241">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1">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9">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4">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5">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6">
        <w:r>
          <w:rPr>
            <w:rStyle w:val="Hyperlink"/>
          </w:rPr>
          <w:t xml:space="preserve">https://en.wikipedia.org/wiki/Dr._Strangelove</w:t>
        </w:r>
      </w:hyperlink>
    </w:p>
  </w:footnote>
  <w:footnote w:id="297">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8">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0">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1">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4">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2">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8">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2">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4" Target="media/rId264.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2019-04-08T14:30:00Z</dcterms:created>
  <dcterms:modified xsi:type="dcterms:W3CDTF">2019-04-08T14:30:00Z</dcterms:modified>
</cp:coreProperties>
</file>

<file path=docProps/custom.xml><?xml version="1.0" encoding="utf-8"?>
<Properties xmlns="http://schemas.openxmlformats.org/officeDocument/2006/custom-properties" xmlns:vt="http://schemas.openxmlformats.org/officeDocument/2006/docPropsVTypes"/>
</file>