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5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without his help and continuous guidance, this would have never been possible. Finally to my loving wife, Aye, whose love and support helped me make it through the sleepless evenings.</w:t>
      </w:r>
    </w:p>
    <w:p>
      <w:pPr>
        <w:pStyle w:val="Heading1"/>
      </w:pPr>
      <w:bookmarkStart w:id="22" w:name="acknowledgements"/>
      <w:r>
        <w:t xml:space="preserve">Acknowledgements</w:t>
      </w:r>
      <w:bookmarkEnd w:id="22"/>
    </w:p>
    <w:p>
      <w:pPr>
        <w:pStyle w:val="FirstParagraph"/>
      </w:pPr>
      <w:r>
        <w:t xml:space="preserve">I would like to thank my advisor, David Ledesma, for his role in inspiring this project, as well as his commitment to introspection, and to reflecting upon and exploring meaningful issues in clinical psychology. I am also indebted to committee members John Hilaire and Michael Douglas for their ongoing guidance and support, as well as their frequent feedback (often in the</w:t>
      </w:r>
      <w:r>
        <w:t xml:space="preserve"> </w:t>
      </w:r>
      <w:r>
        <w:t xml:space="preserve">form of exceedingly prompt email responses), at every stage of this project. This dissertation could not have come to fruition without the help of Del Aware and Barney Rubble, who offered balanced yet insightful, thought-provoking input. I am also everlastingly grateful to Jill Pullman, for always being available to listen and empathize, as well as to my husband John Doe, for his endless tolerance and his helping me maintain hope that I would indeed finish this project! I would also like to thank my parents, Paul</w:t>
      </w:r>
      <w:r>
        <w:t xml:space="preserve"> </w:t>
      </w:r>
      <w:r>
        <w:t xml:space="preserve">and Mary Williamson, who inspired and nurtured my interest in observation and clinical judgement from a very young age. Finally, many thanks to all of the undergraduates who so patiently offered their time and clinical judgements.</w:t>
      </w:r>
    </w:p>
    <w:p>
      <w:pPr>
        <w:pStyle w:val="Heading1"/>
      </w:pPr>
      <w:bookmarkStart w:id="23" w:name="preface"/>
      <w:r>
        <w:t xml:space="preserve">Preface</w:t>
      </w:r>
      <w:bookmarkEnd w:id="23"/>
    </w:p>
    <w:p>
      <w:pPr>
        <w:pStyle w:val="Heading1"/>
      </w:pPr>
      <w:bookmarkStart w:id="24" w:name="abstract"/>
      <w:r>
        <w:t xml:space="preserve">Abstract</w:t>
      </w:r>
      <w:bookmarkEnd w:id="24"/>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5" w:name="chapter:Introduction"/>
      <w:r>
        <w:t xml:space="preserve">Introduction</w:t>
      </w:r>
      <w:bookmarkEnd w:id="25"/>
    </w:p>
    <w:p>
      <w:pPr>
        <w:pStyle w:val="Heading5"/>
      </w:pPr>
      <w:bookmarkStart w:id="26" w:name="dataloquy-you-dont-need-to-read-this"/>
      <w:r>
        <w:t xml:space="preserve">Dataloquy (you don’t need to read this)</w:t>
      </w:r>
      <w:bookmarkEnd w:id="26"/>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w:t>
      </w:r>
      <w:r>
        <w:t xml:space="preserve"> </w:t>
      </w:r>
      <w:r>
        <w:rPr>
          <w:i/>
        </w:rPr>
        <w:t xml:space="preserve">pata</w:t>
      </w:r>
      <w:r>
        <w:t xml:space="preserve">)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database (finally), basing gigabytes with models meant for system management and wearhouses, repositories, their mining, and their subsequent data clouds, clusters, spacing out into the (in)famous big leap from bit to big data.</w:t>
      </w:r>
    </w:p>
    <w:p>
      <w:pPr>
        <w:pStyle w:val="Heading1"/>
      </w:pPr>
      <w:bookmarkStart w:id="27" w:name="chapter:Database_Art"/>
      <w:r>
        <w:t xml:space="preserve">Database Art</w:t>
      </w:r>
      <w:bookmarkEnd w:id="27"/>
    </w:p>
    <w:p>
      <w:pPr>
        <w:pStyle w:val="FirstParagraph"/>
      </w:pPr>
      <w:r>
        <w:t xml:space="preserve">In order to define and contextualize database practices, I engage with the existing literature on data-driven art. Drawing mostly from media theory, I provide a sample of a variety of authors who have studied the use of databases in art. Specifically, I emphasize certain aspects of affect theory which relate to the intersection between the database and the body, in order to link database practice with sound and performance practices.</w:t>
      </w:r>
    </w:p>
    <w:p>
      <w:pPr>
        <w:pStyle w:val="BodyText"/>
      </w:pPr>
      <w:r>
        <w:t xml:space="preserve">Therefore, in</w:t>
      </w:r>
      <w:r>
        <w:t xml:space="preserve"> </w:t>
      </w:r>
      <w:r>
        <w:t xml:space="preserve">‘</w:t>
      </w:r>
      <w:r>
        <w:t xml:space="preserve">databasing music,</w:t>
      </w:r>
      <w:r>
        <w:t xml:space="preserve">’</w:t>
      </w:r>
      <w:r>
        <w:t xml:space="preserve"> </w:t>
      </w:r>
      <w:r>
        <w:t xml:space="preserve">I describe different approaches to music practices —computer music, sonification, music information retrieval— and their interrelation with software design, to show how some of the major breakthroughs of these practices are related to changes in data structures. In the last section of the chapter, I describe all layers of the concept of the database, from lower —data structures— to higher —databases— levels, and describe the basic algorithmic designs in between. Specifically, I argue that all of these layers constitute what I call the performativity of the database, which is what is incorporated in the practice of database music.</w:t>
      </w:r>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w:t>
      </w:r>
      <w:r>
        <w:t xml:space="preserve"> </w:t>
      </w:r>
      <w:r>
        <w:t xml:space="preserve">argues that creating a memory bank is a means of testifying to our existence</w:t>
      </w:r>
      <w:r>
        <w:t xml:space="preserve"> </w:t>
      </w:r>
      <w:r>
        <w:t xml:space="preserve">(Vesna 2007,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FirstParagraph"/>
      </w:pPr>
      <w:r>
        <w:t xml:space="preserve">Delineating the agency of the Database in the practice of music composition, I discuss the aesthetics of Database Music, developing the concepts of listening, memory, and performance.</w:t>
      </w:r>
    </w:p>
    <w:p>
      <w:pPr>
        <w:pStyle w:val="BodyText"/>
      </w:pPr>
      <w:r>
        <w:t xml:space="preserve">First, I analyze the extent to which the Database can be a listening subject which promotes illusions of style and authority. I consider style and authority as central aspects of the sphere of aesthetic agency of the Database. I then focus on a form of collective</w:t>
      </w:r>
      <w:r>
        <w:t xml:space="preserve"> </w:t>
      </w:r>
      <w:r>
        <w:t xml:space="preserve">‘</w:t>
      </w:r>
      <w:r>
        <w:t xml:space="preserve">listening</w:t>
      </w:r>
      <w:r>
        <w:t xml:space="preserve">’</w:t>
      </w:r>
      <w:r>
        <w:t xml:space="preserve"> </w:t>
      </w:r>
      <w:r>
        <w:t xml:space="preserve">and I arrive at my conception of the Database as an inherently deterministic system. This system is shaped as a network of nonhuman agents, whose</w:t>
      </w:r>
      <w:r>
        <w:t xml:space="preserve"> </w:t>
      </w:r>
      <w:r>
        <w:t xml:space="preserve">‘</w:t>
      </w:r>
      <w:r>
        <w:t xml:space="preserve">resonance</w:t>
      </w:r>
      <w:r>
        <w:t xml:space="preserve">’</w:t>
      </w:r>
      <w:r>
        <w:t xml:space="preserve"> </w:t>
      </w:r>
      <w:r>
        <w:t xml:space="preserve">is fundamental to its definition. I use this resonant network to further analyze the agency of the Database, in terms of how authorial qualities percolate through the network. I use Jean-Luc Nancy’s ontology of sound to understand how the database can be a listening subject. In Brian Kane’s reading</w:t>
      </w:r>
      <w:r>
        <w:t xml:space="preserve"> </w:t>
      </w:r>
      <w:r>
        <w:t xml:space="preserve">(Gratton &amp; Morin 2015, pp. 143–44)</w:t>
      </w:r>
      <w:r>
        <w:t xml:space="preserve"> </w:t>
      </w:r>
      <w:r>
        <w:t xml:space="preserve">of Nancy’s work</w:t>
      </w:r>
      <w:r>
        <w:t xml:space="preserve"> </w:t>
      </w:r>
      <w:r>
        <w:t xml:space="preserve">(Nancy 2007)</w:t>
      </w:r>
      <w:r>
        <w:t xml:space="preserve">, he presents the this ontology —i.e., what Nancy calls</w:t>
      </w:r>
      <w:r>
        <w:t xml:space="preserve"> </w:t>
      </w:r>
      <w:r>
        <w:rPr>
          <w:i/>
        </w:rPr>
        <w:t xml:space="preserve">resonance</w:t>
      </w:r>
      <w:r>
        <w:t xml:space="preserve">—, considering it as a process constitutive of a phenomenology of the self.</w:t>
      </w:r>
    </w:p>
    <w:p>
      <w:pPr>
        <w:pStyle w:val="BodyText"/>
      </w:pPr>
      <w:r>
        <w:t xml:space="preserve">Second, in order to narrow the gap between human and nonhuman agency, I assess the extent to which computer memory resembles human memory. On the one hand, I compare memory and writing with digital information storing, and thus arrive at databasing as a form of memory. On the other hand, I consider archives as collective memory, which serves to to explain how the Database can also be a form of collective memory.</w:t>
      </w:r>
    </w:p>
    <w:p>
      <w:pPr>
        <w:pStyle w:val="BodyText"/>
      </w:pPr>
      <w:r>
        <w:t xml:space="preserve">Finally, I focus on the performativity of the database. On the one hand, I claim that the database is gendered. I argue that the notion of</w:t>
      </w:r>
      <w:r>
        <w:t xml:space="preserve"> </w:t>
      </w:r>
      <w:r>
        <w:t xml:space="preserve">‘</w:t>
      </w:r>
      <w:r>
        <w:t xml:space="preserve">style</w:t>
      </w:r>
      <w:r>
        <w:t xml:space="preserve">’</w:t>
      </w:r>
      <w:r>
        <w:t xml:space="preserve"> </w:t>
      </w:r>
      <w:r>
        <w:t xml:space="preserve">is what promotes the illusion of a gendered subject in the Database. I argue that since both the performance and the directionality of the</w:t>
      </w:r>
      <w:r>
        <w:t xml:space="preserve"> </w:t>
      </w:r>
      <w:r>
        <w:t xml:space="preserve">‘</w:t>
      </w:r>
      <w:r>
        <w:t xml:space="preserve">styling process</w:t>
      </w:r>
      <w:r>
        <w:t xml:space="preserve">’</w:t>
      </w:r>
      <w:r>
        <w:t xml:space="preserve"> </w:t>
      </w:r>
      <w:r>
        <w:t xml:space="preserve">remain strictly on the virtual skin of the database, the database’s authorial subject, like the gendered self, remains in the spectrum of the illusory. On the other hand, I claim that the limit of the Database resides on its performativity. I consider the technical aspects of databases and define computer systems as networks of interconnected-but-independent databases. This definition serves to extend the performatic limit of databases to computers, and therefore to link the performance of the database to the performance of the computer. My goal in this final section is to lead the way to the connection between Database performance and Music Composition: the performatic limit of the Database is also the limit of Music Composition.</w:t>
      </w:r>
    </w:p>
    <w:p>
      <w:pPr>
        <w:pStyle w:val="BodyText"/>
      </w:pPr>
      <w:r>
        <w:t xml:space="preserve">In search of understanding the political in Database and Composition practices, I question the established concept of music composition and arrive to new definitions of the music work, practice, and authorship.</w:t>
      </w:r>
    </w:p>
    <w:p>
      <w:pPr>
        <w:pStyle w:val="BodyText"/>
      </w:pPr>
      <w:r>
        <w:t xml:space="preserve">First, I consider the concepts developed in the previous chapter to understand Music Composition as Database Performance. I propose that the ontology of Composition needs to be redefined in terms of the agency of the Database. My goal in this section is to reveal that the Database agency, when contextualized within Music Composition, has the form and the politics of a music listening to itself.</w:t>
      </w:r>
    </w:p>
    <w:p>
      <w:pPr>
        <w:pStyle w:val="BodyText"/>
      </w:pPr>
      <w:r>
        <w:t xml:space="preserve">Second, I use Nancy’s concept of inoperativity to redefine the music object. I argue that the inoperativity of the listening experience, which resides on the delay between sense and sensuality, provides insight on the type of unworking that affects music composition. I thus redefine the outcome of music composition as the</w:t>
      </w:r>
      <w:r>
        <w:t xml:space="preserve"> </w:t>
      </w:r>
      <w:r>
        <w:rPr>
          <w:i/>
        </w:rPr>
        <w:t xml:space="preserve">severed music object</w:t>
      </w:r>
      <w:r>
        <w:t xml:space="preserve">, emphasizing its inoperative status of suspension, withdrawal, and its inherent state non-completeness. I then consider how this state of suspension of the severed music object can be analyzed in terms of a Community of artists, database performers, composers, etc., mutually exposed to each other (Nancy 1991). Therefore, in order to understand the dynamics of this transversal community of Database and Composition, I analyze the paradox of anarchy and reflect on the consequences of both the anarchic and the inoperative in Database and Composition practices.</w:t>
      </w:r>
    </w:p>
    <w:p>
      <w:pPr>
        <w:pStyle w:val="BodyText"/>
      </w:pPr>
      <w:r>
        <w:t xml:space="preserve">Finally, I present my view on collaboration, and propose a redefinition of the term uprooting it from the traditional union of forces forming a whole. I claim that the new form of collaboration can be understood as a form of collective, or</w:t>
      </w:r>
      <w:r>
        <w:t xml:space="preserve"> </w:t>
      </w:r>
      <w:r>
        <w:rPr>
          <w:i/>
        </w:rPr>
        <w:t xml:space="preserve">trans-inoperation</w:t>
      </w:r>
      <w:r>
        <w:t xml:space="preserve">, consisting in the mutual exposure of the limits of singular, performing beings. As a consequence of this form of collective inoperance, I claim that a new politics of authorship needs to be analyzed, particularly in terms of the spectral in the Database. I question the power of this illusory figure in terms of the effectiveness of the archontic principle that is present in</w:t>
      </w:r>
      <w:r>
        <w:t xml:space="preserve"> </w:t>
      </w:r>
      <w:r>
        <w:rPr>
          <w:i/>
        </w:rPr>
        <w:t xml:space="preserve">trans-inoperant</w:t>
      </w:r>
      <w:r>
        <w:t xml:space="preserve"> </w:t>
      </w:r>
      <w:r>
        <w:t xml:space="preserve">works of art. I believe the specter of the author loses the sensuality and the sense of the listening subjects in state of trans-inoperance, and thus the power of the author ceases to take place.</w:t>
      </w:r>
    </w:p>
    <w:p>
      <w:pPr>
        <w:pStyle w:val="Heading2"/>
      </w:pPr>
      <w:bookmarkStart w:id="181" w:name="section:Listening_Databases"/>
      <w:r>
        <w:t xml:space="preserve">Listening Databases</w:t>
      </w:r>
      <w:bookmarkEnd w:id="181"/>
    </w:p>
    <w:p>
      <w:pPr>
        <w:pStyle w:val="Heading3"/>
      </w:pPr>
      <w:bookmarkStart w:id="182" w:name="resonance_of_a_return"/>
      <w:r>
        <w:t xml:space="preserve">The Resonance Of A Return</w:t>
      </w:r>
      <w:bookmarkEnd w:id="182"/>
    </w:p>
    <w:p>
      <w:pPr>
        <w:pStyle w:val="Heading5"/>
      </w:pPr>
      <w:bookmarkStart w:id="183" w:name="a-reverb"/>
      <w:r>
        <w:t xml:space="preserve">A Reverb</w:t>
      </w:r>
      <w:bookmarkEnd w:id="18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4" w:name="a-filter"/>
      <w:r>
        <w:t xml:space="preserve">A Filter</w:t>
      </w:r>
      <w:bookmarkEnd w:id="184"/>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5" w:name="a-loop"/>
      <w:r>
        <w:t xml:space="preserve">A Loop</w:t>
      </w:r>
      <w:bookmarkEnd w:id="18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feedback circuit, or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6" w:name="an-attack"/>
      <w:r>
        <w:t xml:space="preserve">An Attack</w:t>
      </w:r>
      <w:bookmarkEnd w:id="18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87" w:name="an-sampler"/>
      <w:r>
        <w:t xml:space="preserve">An Sampler</w:t>
      </w:r>
      <w:bookmarkEnd w:id="18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88" w:name="a-texture"/>
      <w:r>
        <w:t xml:space="preserve">A Texture</w:t>
      </w:r>
      <w:bookmarkEnd w:id="18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89" w:name="a-return"/>
      <w:r>
        <w:t xml:space="preserve">A Return</w:t>
      </w:r>
      <w:bookmarkEnd w:id="18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0" w:name="network"/>
      <w:r>
        <w:t xml:space="preserve">Resonant Network</w:t>
      </w:r>
      <w:bookmarkEnd w:id="190"/>
    </w:p>
    <w:p>
      <w:pPr>
        <w:pStyle w:val="Heading5"/>
      </w:pPr>
      <w:bookmarkStart w:id="191" w:name="the-recorded-movement-of-a-thing"/>
      <w:r>
        <w:t xml:space="preserve">The Recorded Movement of a Thing</w:t>
      </w:r>
      <w:bookmarkEnd w:id="191"/>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each other. In this sense, it is an image of a world made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 agents— and as the interconnected accounts that these semiotic actors have of each other. The motion of these interconnected accounts can thus be understood as a mode of navigation. This is when the visual metaphor of a</w:t>
      </w:r>
      <w:r>
        <w:t xml:space="preserve"> </w:t>
      </w:r>
      <w:r>
        <w:t xml:space="preserve">‘</w:t>
      </w:r>
      <w:r>
        <w:t xml:space="preserve">network</w:t>
      </w:r>
      <w:r>
        <w:t xml:space="preserve">’</w:t>
      </w:r>
      <w:r>
        <w:t xml:space="preserve"> </w:t>
      </w:r>
      <w:r>
        <w:t xml:space="preserve">might limit the understanding of its activity. Nodes and edges collapse into each 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 </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 Within this movement of actors, only meaning and connectivity is present, and there is nothing that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w:t>
      </w:r>
    </w:p>
    <w:p>
      <w:pPr>
        <w:pStyle w:val="Heading5"/>
      </w:pPr>
      <w:bookmarkStart w:id="192" w:name="the-resonant-movement-of-a-thing"/>
      <w:r>
        <w:t xml:space="preserve">The Resonant Movement of a Thing</w:t>
      </w:r>
      <w:bookmarkEnd w:id="192"/>
    </w:p>
    <w:p>
      <w:pPr>
        <w:pStyle w:val="FirstParagraph"/>
      </w:pPr>
      <w:r>
        <w:t xml:space="preserve">Considering that networks are comprised on movement, and, precisely, on the movement of meaning, it is possible to think about this movement under the scope of Nancy’s ontology of sound. That is to say, given that we can understand sound as an experience within an interconnected web-like texture of delays and distinctions, then Latour’s phrase can be reformulated as follows:</w:t>
      </w:r>
      <w:r>
        <w:t xml:space="preserve"> </w:t>
      </w:r>
      <w:r>
        <w:rPr>
          <w:i/>
        </w:rPr>
        <w:t xml:space="preserve">the network is not a thing, but resonant movement of a thing</w:t>
      </w:r>
      <w:r>
        <w:t xml:space="preserve">.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are resonant subjects in Nancy’s sense described above. In this sense, semiotic actors within the network can be considered resonant agents.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3" w:name="inoperativity"/>
      <w:r>
        <w:t xml:space="preserve">The Unworking Network</w:t>
      </w:r>
      <w:bookmarkEnd w:id="193"/>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4" w:name="community-as-unwork"/>
      <w:r>
        <w:t xml:space="preserve">Community as unwork</w:t>
      </w:r>
      <w:bookmarkEnd w:id="194"/>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195" w:name="resonant-inoperativity"/>
      <w:r>
        <w:t xml:space="preserve">Resonant Inoperativity</w:t>
      </w:r>
      <w:bookmarkEnd w:id="195"/>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196" w:name="space-of-community"/>
      <w:r>
        <w:t xml:space="preserve">Space of Community</w:t>
      </w:r>
      <w:bookmarkEnd w:id="196"/>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197" w:name="at-the-limit"/>
      <w:r>
        <w:t xml:space="preserve">At the Limit</w:t>
      </w:r>
      <w:bookmarkEnd w:id="197"/>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198" w:name="reticulated-skin"/>
      <w:r>
        <w:t xml:space="preserve">Reticulated Skin</w:t>
      </w:r>
      <w:bookmarkEnd w:id="198"/>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199" w:name="database-community"/>
      <w:r>
        <w:t xml:space="preserve">Database Community</w:t>
      </w:r>
      <w:bookmarkEnd w:id="199"/>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0" w:name="section:Databases_And_Memory"/>
      <w:r>
        <w:t xml:space="preserve">Databases And Memory</w:t>
      </w:r>
      <w:bookmarkEnd w:id="200"/>
    </w:p>
    <w:p>
      <w:pPr>
        <w:pStyle w:val="Heading3"/>
      </w:pPr>
      <w:bookmarkStart w:id="201" w:name="funeslude"/>
      <w:r>
        <w:t xml:space="preserve">Interlude: Embodied Memory</w:t>
      </w:r>
      <w:bookmarkEnd w:id="20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2"/>
      </w:r>
      <w:r>
        <w:t xml:space="preserve"> </w:t>
      </w:r>
      <w:r>
        <w:t xml:space="preserve">he was secluded in a dark and enclosed space so as not to perceive the world.</w:t>
      </w:r>
      <w:r>
        <w:rPr>
          <w:rStyle w:val="FootnoteReference"/>
        </w:rPr>
        <w:footnoteReference w:id="20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0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09" w:name="human"/>
      <w:r>
        <w:t xml:space="preserve">The Effraction Of The Trace</w:t>
      </w:r>
      <w:bookmarkEnd w:id="20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1" w:name="memory-as-breaching"/>
      <w:r>
        <w:t xml:space="preserve">Memory as Breaching</w:t>
      </w:r>
      <w:bookmarkEnd w:id="21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2" w:name="breaching-and-différance"/>
      <w:r>
        <w:t xml:space="preserve">Breaching and</w:t>
      </w:r>
      <w:r>
        <w:t xml:space="preserve"> </w:t>
      </w:r>
      <w:r>
        <w:rPr>
          <w:i/>
        </w:rPr>
        <w:t xml:space="preserve">différance</w:t>
      </w:r>
      <w:bookmarkEnd w:id="21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3" w:name="hypomnesis-and-the-mystic-pad"/>
      <w:r>
        <w:t xml:space="preserve">Hypomnesis and the Mystic Pad</w:t>
      </w:r>
      <w:bookmarkEnd w:id="21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4" w:name="nonhuman-authors"/>
      <w:r>
        <w:t xml:space="preserve">Nonhuman Authors</w:t>
      </w:r>
      <w:bookmarkEnd w:id="21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5" w:name="database-as-agents"/>
      <w:r>
        <w:t xml:space="preserve">Database as Agents</w:t>
      </w:r>
      <w:bookmarkEnd w:id="215"/>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6" w:name="archontic"/>
      <w:r>
        <w:t xml:space="preserve">The Archontic Principle</w:t>
      </w:r>
      <w:bookmarkEnd w:id="216"/>
    </w:p>
    <w:p>
      <w:pPr>
        <w:pStyle w:val="Heading5"/>
      </w:pPr>
      <w:bookmarkStart w:id="217" w:name="archives-and-memory"/>
      <w:r>
        <w:t xml:space="preserve">Archives and Memory</w:t>
      </w:r>
      <w:bookmarkEnd w:id="21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18" w:name="hierarchies"/>
      <w:r>
        <w:t xml:space="preserve">Hierarchies</w:t>
      </w:r>
      <w:bookmarkEnd w:id="21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19" w:name="archontic-principle"/>
      <w:r>
        <w:t xml:space="preserve">Archontic Principle</w:t>
      </w:r>
      <w:bookmarkEnd w:id="21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0" w:name="patriarchy"/>
      <w:r>
        <w:t xml:space="preserve">Patriarchy</w:t>
      </w:r>
      <w:bookmarkEnd w:id="22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1" w:name="institutional-passage"/>
      <w:r>
        <w:t xml:space="preserve">Institutional Passage</w:t>
      </w:r>
      <w:bookmarkEnd w:id="22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2" w:name="authorities"/>
      <w:r>
        <w:t xml:space="preserve">Authorities</w:t>
      </w:r>
      <w:bookmarkEnd w:id="22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3" w:name="anarchic-memory"/>
      <w:r>
        <w:t xml:space="preserve">Anarchic Memory</w:t>
      </w:r>
      <w:bookmarkEnd w:id="22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4" w:name="collective-memory"/>
      <w:r>
        <w:t xml:space="preserve">Collective Memory</w:t>
      </w:r>
      <w:bookmarkEnd w:id="22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5" w:name="writing-code"/>
      <w:r>
        <w:t xml:space="preserve">Writing Code</w:t>
      </w:r>
      <w:bookmarkEnd w:id="22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6"/>
      </w:r>
    </w:p>
    <w:p>
      <w:pPr>
        <w:pStyle w:val="Heading5"/>
      </w:pPr>
      <w:bookmarkStart w:id="228" w:name="anarchic-computer-memory"/>
      <w:r>
        <w:t xml:space="preserve">Anarchic Computer Memory</w:t>
      </w:r>
      <w:bookmarkEnd w:id="22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29" w:name="spectrality"/>
      <w:r>
        <w:t xml:space="preserve">The Spectral Database</w:t>
      </w:r>
      <w:bookmarkEnd w:id="22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0" w:name="computer-memory-and-writing"/>
      <w:r>
        <w:t xml:space="preserve">Computer Memory and Writing</w:t>
      </w:r>
      <w:bookmarkEnd w:id="23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1" w:name="memory-replacement"/>
      <w:r>
        <w:t xml:space="preserve">Memory Replacement</w:t>
      </w:r>
      <w:bookmarkEnd w:id="23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2" w:name="anarchic-records"/>
      <w:r>
        <w:t xml:space="preserve">Anarchic Records</w:t>
      </w:r>
      <w:bookmarkEnd w:id="23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3"/>
      </w:r>
      <w:r>
        <w:t xml:space="preserve"> </w:t>
      </w:r>
      <w:r>
        <w:t xml:space="preserve">becomes an archivization process, that is, a process by which symbolic transcription leads to an ordered archive, i.e., a score.</w:t>
      </w:r>
      <w:r>
        <w:rPr>
          <w:rStyle w:val="FootnoteReference"/>
        </w:rPr>
        <w:footnoteReference w:id="23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6" w:name="memory-and-framing"/>
      <w:r>
        <w:t xml:space="preserve">Memory and Framing</w:t>
      </w:r>
      <w:bookmarkEnd w:id="23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7" w:name="nonhuman-tympans"/>
      <w:r>
        <w:t xml:space="preserve">Nonhuman Tympans</w:t>
      </w:r>
      <w:bookmarkEnd w:id="23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8" w:name="spectrality-of-archives"/>
      <w:r>
        <w:t xml:space="preserve">Spectrality of Archives</w:t>
      </w:r>
      <w:bookmarkEnd w:id="23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9" w:name="spectrality-of-databases"/>
      <w:r>
        <w:t xml:space="preserve">Spectrality of Databases</w:t>
      </w:r>
      <w:bookmarkEnd w:id="23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0" w:name="agency-of-the-uncanny"/>
      <w:r>
        <w:t xml:space="preserve">Agency of the Uncanny</w:t>
      </w:r>
      <w:bookmarkEnd w:id="24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5.1.1</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1" w:name="section:Performativity_Of_Databases"/>
      <w:r>
        <w:t xml:space="preserve">Performativity Of Databases</w:t>
      </w:r>
      <w:bookmarkEnd w:id="241"/>
    </w:p>
    <w:p>
      <w:pPr>
        <w:pStyle w:val="Heading3"/>
      </w:pPr>
      <w:bookmarkStart w:id="242" w:name="gender"/>
      <w:r>
        <w:t xml:space="preserve">Gendered Database</w:t>
      </w:r>
      <w:bookmarkEnd w:id="24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3" w:name="skin-of-the-database"/>
      <w:r>
        <w:t xml:space="preserve">Skin of the Database</w:t>
      </w:r>
      <w:bookmarkEnd w:id="24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4" w:name="expressing-nothing"/>
      <w:r>
        <w:t xml:space="preserve">Expressing Nothing</w:t>
      </w:r>
      <w:bookmarkEnd w:id="24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5" w:name="a-historical-situation"/>
      <w:r>
        <w:t xml:space="preserve">A Historical Situation</w:t>
      </w:r>
      <w:bookmarkEnd w:id="24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6" w:name="subversive-repetition"/>
      <w:r>
        <w:t xml:space="preserve">Subversive Repetition</w:t>
      </w:r>
      <w:bookmarkEnd w:id="24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7" w:name="gendered-database"/>
      <w:r>
        <w:t xml:space="preserve">Gendered Database</w:t>
      </w:r>
      <w:bookmarkEnd w:id="24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8" w:name="limits"/>
      <w:r>
        <w:t xml:space="preserve">Towards The Limits</w:t>
      </w:r>
      <w:bookmarkEnd w:id="248"/>
    </w:p>
    <w:p>
      <w:pPr>
        <w:pStyle w:val="Heading5"/>
      </w:pPr>
      <w:bookmarkStart w:id="249" w:name="exposure"/>
      <w:r>
        <w:t xml:space="preserve">Exposure</w:t>
      </w:r>
      <w:bookmarkEnd w:id="24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0" w:name="anarchic-touch"/>
      <w:r>
        <w:t xml:space="preserve">Anarchic Touch</w:t>
      </w:r>
      <w:bookmarkEnd w:id="25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1" w:name="communities-of-skin"/>
      <w:r>
        <w:t xml:space="preserve">Communities of Skin</w:t>
      </w:r>
      <w:bookmarkEnd w:id="25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2" w:name="hybrid-pluralities"/>
      <w:r>
        <w:t xml:space="preserve">Hybrid Pluralities</w:t>
      </w:r>
      <w:bookmarkEnd w:id="25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3" w:name="style"/>
      <w:r>
        <w:t xml:space="preserve">Contingencies Of Style</w:t>
      </w:r>
      <w:bookmarkEnd w:id="25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4" w:name="style-and-timbre"/>
      <w:r>
        <w:t xml:space="preserve">Style and Timbre</w:t>
      </w:r>
      <w:bookmarkEnd w:id="25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6" w:name="endless-databases"/>
      <w:r>
        <w:t xml:space="preserve">Endless Databases</w:t>
      </w:r>
      <w:bookmarkEnd w:id="25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7" w:name="database-and-chaos"/>
      <w:r>
        <w:t xml:space="preserve">Database and Chaos</w:t>
      </w:r>
      <w:bookmarkEnd w:id="25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9" w:name="img:lorenz_plotter"/>
      <w:r>
        <w:t xml:space="preserve">[img:lorenz_plotter]</w:t>
      </w:r>
      <w:bookmarkEnd w:id="259"/>
    </w:p>
    <w:p>
      <w:pPr>
        <w:pStyle w:val="BodyText"/>
      </w:pPr>
      <w:r>
        <w:t xml:space="preserve">Plotting of the Lorenz system in Pure Data.</w:t>
      </w:r>
    </w:p>
    <w:p>
      <w:pPr>
        <w:pStyle w:val="Heading5"/>
      </w:pPr>
      <w:bookmarkStart w:id="260" w:name="fractality"/>
      <w:r>
        <w:t xml:space="preserve">Fractality</w:t>
      </w:r>
      <w:bookmarkEnd w:id="26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1" w:name="a-music-work-as-a-singularity"/>
      <w:r>
        <w:t xml:space="preserve">A Music Work as a Singularity</w:t>
      </w:r>
      <w:bookmarkEnd w:id="26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2" w:name="arbitrariness"/>
      <w:r>
        <w:t xml:space="preserve">Arbitrariness</w:t>
      </w:r>
      <w:bookmarkEnd w:id="26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3" w:name="inoperative-style"/>
      <w:r>
        <w:t xml:space="preserve">Inoperative Style</w:t>
      </w:r>
      <w:bookmarkEnd w:id="26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4" w:name="authority"/>
      <w:r>
        <w:t xml:space="preserve">A Specter Of Authority</w:t>
      </w:r>
      <w:bookmarkEnd w:id="26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5" w:name="the-name"/>
      <w:r>
        <w:t xml:space="preserve">The Name</w:t>
      </w:r>
      <w:bookmarkEnd w:id="26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7" w:name="dictionaries"/>
      <w:r>
        <w:t xml:space="preserve">Dictionaries</w:t>
      </w:r>
      <w:bookmarkEnd w:id="26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8" w:name="artistry"/>
      <w:r>
        <w:t xml:space="preserve">Artistry</w:t>
      </w:r>
      <w:bookmarkEnd w:id="26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0"/>
      </w:r>
    </w:p>
    <w:p>
      <w:pPr>
        <w:pStyle w:val="Heading5"/>
      </w:pPr>
      <w:bookmarkStart w:id="271" w:name="the-work-of-mice"/>
      <w:r>
        <w:t xml:space="preserve">The Work of Mice</w:t>
      </w:r>
      <w:bookmarkEnd w:id="27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2" w:name="section:Rethinking_Composition"/>
      <w:r>
        <w:t xml:space="preserve">Rethinking Composition</w:t>
      </w:r>
      <w:bookmarkEnd w:id="272"/>
    </w:p>
    <w:p>
      <w:pPr>
        <w:pStyle w:val="Heading3"/>
      </w:pPr>
      <w:bookmarkStart w:id="273" w:name="performance"/>
      <w:r>
        <w:t xml:space="preserve">Interlude: Hyperbolic Reactions</w:t>
      </w:r>
      <w:bookmarkEnd w:id="273"/>
    </w:p>
    <w:p>
      <w:pPr>
        <w:pStyle w:val="Heading5"/>
      </w:pPr>
      <w:bookmarkStart w:id="274" w:name="imagining-composers"/>
      <w:r>
        <w:t xml:space="preserve">Imagining Composers</w:t>
      </w:r>
      <w:bookmarkEnd w:id="27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5" w:name="composers-and-technology"/>
      <w:r>
        <w:t xml:space="preserve">Composers and Technology</w:t>
      </w:r>
      <w:bookmarkEnd w:id="27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6" w:name="playing-with-shadows"/>
      <w:r>
        <w:t xml:space="preserve">Playing with Shadows</w:t>
      </w:r>
      <w:bookmarkEnd w:id="27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7" w:name="composers-without-computers"/>
      <w:r>
        <w:t xml:space="preserve">Composers Without Computers</w:t>
      </w:r>
      <w:bookmarkEnd w:id="27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8" w:name="databasing-without-computers"/>
      <w:r>
        <w:t xml:space="preserve">Databasing Without Computers</w:t>
      </w:r>
      <w:bookmarkEnd w:id="27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9" w:name="organic"/>
      <w:r>
        <w:t xml:space="preserve">Working Composition</w:t>
      </w:r>
      <w:bookmarkEnd w:id="27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0" w:name="the-work-problem"/>
      <w:r>
        <w:t xml:space="preserve">The Work Problem</w:t>
      </w:r>
      <w:bookmarkEnd w:id="28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1" w:name="working-rules"/>
      <w:r>
        <w:t xml:space="preserve">Working Rules</w:t>
      </w:r>
      <w:bookmarkEnd w:id="28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2" w:name="a-space-of-difference"/>
      <w:r>
        <w:t xml:space="preserve">A Space of Difference</w:t>
      </w:r>
      <w:bookmarkEnd w:id="28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3"/>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4" w:name="a-severed-work"/>
      <w:r>
        <w:t xml:space="preserve">A Severed Work</w:t>
      </w:r>
      <w:bookmarkEnd w:id="28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5" w:name="absorbption"/>
      <w:r>
        <w:t xml:space="preserve">Absorbption</w:t>
      </w:r>
      <w:bookmarkEnd w:id="28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6" w:name="practice"/>
      <w:r>
        <w:t xml:space="preserve">The Composer As Navigator</w:t>
      </w:r>
      <w:bookmarkEnd w:id="28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7" w:name="querying-the-sieves"/>
      <w:r>
        <w:t xml:space="preserve">Querying the Sieves</w:t>
      </w:r>
      <w:bookmarkEnd w:id="28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2"/>
      </w:r>
    </w:p>
    <w:p>
      <w:pPr>
        <w:pStyle w:val="Heading5"/>
      </w:pPr>
      <w:bookmarkStart w:id="293" w:name="sound-synthesis-parenthesis"/>
      <w:r>
        <w:t xml:space="preserve">Sound Synthesis Parenthesis</w:t>
      </w:r>
      <w:bookmarkEnd w:id="29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6" w:name="algebraic-abstractions-for-freedom"/>
      <w:r>
        <w:t xml:space="preserve">Algebraic Abstractions for Freedom</w:t>
      </w:r>
      <w:bookmarkEnd w:id="29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7" w:name="a-cosmic-vessel-and-an-armchair"/>
      <w:r>
        <w:t xml:space="preserve">A Cosmic Vessel and an Armchair</w:t>
      </w:r>
      <w:bookmarkEnd w:id="29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9" w:name="improv"/>
      <w:r>
        <w:t xml:space="preserve">The Database As Performer</w:t>
      </w:r>
      <w:bookmarkEnd w:id="29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0" w:name="the-computer-as-a-musical-instrument"/>
      <w:r>
        <w:t xml:space="preserve">The Computer as a Musical Instrument</w:t>
      </w:r>
      <w:bookmarkEnd w:id="30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1" w:name="a-minor-liberty"/>
      <w:r>
        <w:t xml:space="preserve">A Minor Liberty</w:t>
      </w:r>
      <w:bookmarkEnd w:id="30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2" w:name="the-computer-as-a-player"/>
      <w:r>
        <w:t xml:space="preserve">The Computer as a Player</w:t>
      </w:r>
      <w:bookmarkEnd w:id="30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3" w:name="programming-decisions"/>
      <w:r>
        <w:t xml:space="preserve">Programming Decisions</w:t>
      </w:r>
      <w:bookmarkEnd w:id="30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4" w:name="anachronic-composers"/>
      <w:r>
        <w:t xml:space="preserve">Anachronic Composers</w:t>
      </w:r>
      <w:bookmarkEnd w:id="30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5" w:name="section"/>
      <w:bookmarkEnd w:id="30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7" w:name="nonhuman-composers"/>
      <w:r>
        <w:t xml:space="preserve">Nonhuman composers</w:t>
      </w:r>
      <w:bookmarkEnd w:id="30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8" w:name="fractured-works"/>
      <w:r>
        <w:t xml:space="preserve">Fractured Works</w:t>
      </w:r>
      <w:bookmarkEnd w:id="30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9" w:name="databasing-vessel"/>
      <w:r>
        <w:t xml:space="preserve">Databasing Vessel</w:t>
      </w:r>
      <w:bookmarkEnd w:id="30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0" w:name="music"/>
      <w:r>
        <w:t xml:space="preserve">The Severed Object Of Music</w:t>
      </w:r>
      <w:bookmarkEnd w:id="31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1" w:name="an-incomplete-object"/>
      <w:r>
        <w:t xml:space="preserve">An Incomplete Object</w:t>
      </w:r>
      <w:bookmarkEnd w:id="311"/>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3" w:name="remains-of-listening"/>
      <w:r>
        <w:t xml:space="preserve">Remains of Listening</w:t>
      </w:r>
      <w:bookmarkEnd w:id="31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4" w:name="sources-and-sorcerers"/>
      <w:r>
        <w:t xml:space="preserve">Sources and Sorcerers</w:t>
      </w:r>
      <w:bookmarkEnd w:id="31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5" w:name="naming"/>
      <w:r>
        <w:t xml:space="preserve">Naming</w:t>
      </w:r>
      <w:bookmarkEnd w:id="31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6"/>
      </w:r>
    </w:p>
    <w:p>
      <w:pPr>
        <w:pStyle w:val="Heading5"/>
      </w:pPr>
      <w:bookmarkStart w:id="317" w:name="dynamics"/>
      <w:r>
        <w:t xml:space="preserve">Dynamics</w:t>
      </w:r>
      <w:bookmarkEnd w:id="31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8" w:name="masterwork"/>
      <w:r>
        <w:t xml:space="preserve">Masterwork</w:t>
      </w:r>
      <w:bookmarkEnd w:id="31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9" w:name="architecture-of-obedience"/>
      <w:r>
        <w:t xml:space="preserve">Architecture of Obedience</w:t>
      </w:r>
      <w:bookmarkEnd w:id="31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0" w:name="anarchy"/>
      <w:r>
        <w:t xml:space="preserve">Anarchy And The Unwork</w:t>
      </w:r>
      <w:bookmarkEnd w:id="32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1" w:name="place-in-common"/>
      <w:r>
        <w:t xml:space="preserve">Place in Common</w:t>
      </w:r>
      <w:bookmarkEnd w:id="32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2" w:name="disintegrated-imperative"/>
      <w:r>
        <w:t xml:space="preserve">Disintegrated Imperative</w:t>
      </w:r>
      <w:bookmarkEnd w:id="32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3" w:name="blind-experimentation"/>
      <w:r>
        <w:t xml:space="preserve">Blind Experimentation</w:t>
      </w:r>
      <w:bookmarkEnd w:id="32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4" w:name="doctoring-the-glitch"/>
      <w:r>
        <w:t xml:space="preserve">Doctoring the Glitch</w:t>
      </w:r>
      <w:bookmarkEnd w:id="32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5" w:name="unnecessary-blindfolds"/>
      <w:r>
        <w:t xml:space="preserve">Unnecessary Blindfolds</w:t>
      </w:r>
      <w:bookmarkEnd w:id="32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6" w:name="spectral-remains"/>
      <w:r>
        <w:t xml:space="preserve">Spectral Remains</w:t>
      </w:r>
      <w:bookmarkEnd w:id="32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7" w:name="macroforma"/>
      <w:r>
        <w:t xml:space="preserve">Macroforma</w:t>
      </w:r>
      <w:bookmarkEnd w:id="32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8" w:name="overfitting"/>
      <w:r>
        <w:t xml:space="preserve">Overfitting</w:t>
      </w:r>
      <w:bookmarkEnd w:id="32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 musical behaviors.</w:t>
      </w:r>
    </w:p>
    <w:p>
      <w:pPr>
        <w:pStyle w:val="Heading3"/>
      </w:pPr>
      <w:bookmarkStart w:id="329" w:name="worker"/>
      <w:r>
        <w:t xml:space="preserve">[Wip] Work In Progress</w:t>
      </w:r>
      <w:bookmarkEnd w:id="32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0" w:name="chapter:Conclusion"/>
      <w:r>
        <w:t xml:space="preserve">Conclusion</w:t>
      </w:r>
      <w:bookmarkEnd w:id="330"/>
    </w:p>
    <w:p>
      <w:pPr>
        <w:pStyle w:val="FirstParagraph"/>
      </w:pPr>
      <w:r>
        <w:t xml:space="preserve">…</w:t>
      </w:r>
      <w:r>
        <w:t xml:space="preserve"> </w:t>
      </w:r>
      <w:r>
        <w:t xml:space="preserve">placeholder for conclusion abstract</w:t>
      </w:r>
      <w:r>
        <w:t xml:space="preserve"> </w:t>
      </w:r>
      <w:r>
        <w:t xml:space="preserve">…</w:t>
      </w:r>
    </w:p>
    <w:p>
      <w:pPr>
        <w:pStyle w:val="Heading1"/>
      </w:pPr>
      <w:bookmarkStart w:id="331" w:name="chapter:Appendices"/>
      <w:r>
        <w:t xml:space="preserve">Appendices</w:t>
      </w:r>
      <w:bookmarkEnd w:id="331"/>
    </w:p>
    <w:p>
      <w:pPr>
        <w:pStyle w:val="FirstParagraph"/>
      </w:pPr>
      <w:r>
        <w:t xml:space="preserve">abstract of appendices</w:t>
      </w:r>
    </w:p>
    <w:p>
      <w:pPr>
        <w:pStyle w:val="Heading2"/>
      </w:pPr>
      <w:bookmarkStart w:id="332" w:name="X9928d5a4298d9156e673c83842d96a99bfb66d7"/>
      <w:r>
        <w:t xml:space="preserve">DIANA: Database for Image and Audio Navigation</w:t>
      </w:r>
      <w:bookmarkEnd w:id="33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3" w:name="dbmodel"/>
      <w:r>
        <w:t xml:space="preserve">A Database Model</w:t>
      </w:r>
      <w:bookmarkEnd w:id="33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4" w:name="X7616598f194c52ee6f4c09f01c755a7090177ba"/>
      <w:r>
        <w:t xml:space="preserve">ABBY: An Online Environment for Annotated Bibliographies</w:t>
      </w:r>
      <w:bookmarkEnd w:id="33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5">
        <w:r>
          <w:rPr>
            <w:rStyle w:val="Hyperlink"/>
          </w:rPr>
          <w:t xml:space="preserve">https://fdch.github.io/abby</w:t>
        </w:r>
      </w:hyperlink>
      <w:r>
        <w:t xml:space="preserve">, and the code can be accessed or cloned from</w:t>
      </w:r>
      <w:r>
        <w:t xml:space="preserve"> </w:t>
      </w:r>
      <w:hyperlink r:id="rId336">
        <w:r>
          <w:rPr>
            <w:rStyle w:val="Hyperlink"/>
          </w:rPr>
          <w:t xml:space="preserve">https://github.com/fdch/litrev</w:t>
        </w:r>
      </w:hyperlink>
      <w:r>
        <w:t xml:space="preserve">.</w:t>
      </w:r>
    </w:p>
    <w:p>
      <w:pPr>
        <w:pStyle w:val="Heading3"/>
      </w:pPr>
      <w:bookmarkStart w:id="337" w:name="texdb"/>
      <w:r>
        <w:t xml:space="preserve">A Text Database</w:t>
      </w:r>
      <w:bookmarkEnd w:id="337"/>
    </w:p>
    <w:p>
      <w:pPr>
        <w:pStyle w:val="FirstParagraph"/>
      </w:pPr>
      <w:r>
        <w:t xml:space="preserve">A detailed description of the text database model…</w:t>
      </w:r>
    </w:p>
    <w:bookmarkStart w:id="678" w:name="refs"/>
    <w:bookmarkStart w:id="33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8"/>
    <w:bookmarkStart w:id="33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9"/>
    <w:bookmarkStart w:id="34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0"/>
    <w:bookmarkStart w:id="34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1"/>
    <w:bookmarkStart w:id="34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2"/>
    <w:bookmarkStart w:id="34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3">
        <w:r>
          <w:rPr>
            <w:rStyle w:val="Hyperlink"/>
          </w:rPr>
          <w:t xml:space="preserve">http://www.terasoft.com.tw/conf/ismir2014/proceedings/T014_162_Paper.pdf</w:t>
        </w:r>
      </w:hyperlink>
    </w:p>
    <w:bookmarkEnd w:id="344"/>
    <w:bookmarkStart w:id="34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5"/>
    <w:bookmarkStart w:id="34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6"/>
    <w:bookmarkStart w:id="34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7"/>
    <w:bookmarkStart w:id="34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8"/>
    <w:bookmarkStart w:id="34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9"/>
    <w:bookmarkStart w:id="35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0"/>
    <w:bookmarkStart w:id="35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1"/>
    <w:bookmarkStart w:id="35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2"/>
    <w:bookmarkStart w:id="35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3"/>
    <w:bookmarkStart w:id="35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4"/>
    <w:bookmarkStart w:id="355" w:name="ref-Bar20:Viv"/>
    <w:p>
      <w:pPr>
        <w:pStyle w:val="Bibliography"/>
      </w:pPr>
      <w:r>
        <w:t xml:space="preserve">Barrett N. 2000b. Viva la selva</w:t>
      </w:r>
    </w:p>
    <w:bookmarkEnd w:id="355"/>
    <w:bookmarkStart w:id="356" w:name="ref-Bar68:Ele"/>
    <w:p>
      <w:pPr>
        <w:pStyle w:val="Bibliography"/>
      </w:pPr>
      <w:r>
        <w:t xml:space="preserve">Barthes R, Lavers A, Smith C. 1968.</w:t>
      </w:r>
      <w:r>
        <w:t xml:space="preserve"> </w:t>
      </w:r>
      <w:r>
        <w:rPr>
          <w:i/>
        </w:rPr>
        <w:t xml:space="preserve">Elements of Semiology</w:t>
      </w:r>
      <w:r>
        <w:t xml:space="preserve">. Hill; Wang, New York. ed.</w:t>
      </w:r>
    </w:p>
    <w:bookmarkEnd w:id="356"/>
    <w:bookmarkStart w:id="35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7"/>
    <w:bookmarkStart w:id="35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8"/>
    <w:bookmarkStart w:id="35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9"/>
    <w:bookmarkStart w:id="36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0">
        <w:r>
          <w:rPr>
            <w:rStyle w:val="Hyperlink"/>
          </w:rPr>
          <w:t xml:space="preserve">http://www.terasoft.com.tw/conf/ismir2014/proceedings/T028_322_Paper.pdf</w:t>
        </w:r>
      </w:hyperlink>
    </w:p>
    <w:bookmarkEnd w:id="361"/>
    <w:bookmarkStart w:id="36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2"/>
    <w:bookmarkStart w:id="36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3">
        <w:r>
          <w:rPr>
            <w:rStyle w:val="Hyperlink"/>
          </w:rPr>
          <w:t xml:space="preserve">http://www.ppgia.pucpr.br/ismir2013/wp-content/uploads/2013/09/177\_Paper.pdf</w:t>
        </w:r>
      </w:hyperlink>
    </w:p>
    <w:bookmarkEnd w:id="364"/>
    <w:bookmarkStart w:id="36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5"/>
    <w:bookmarkStart w:id="366" w:name="ref-Bor42:Fun"/>
    <w:p>
      <w:pPr>
        <w:pStyle w:val="Bibliography"/>
      </w:pPr>
      <w:r>
        <w:t xml:space="preserve">Borges JL. 1942. Funes el memorioso.</w:t>
      </w:r>
      <w:r>
        <w:t xml:space="preserve"> </w:t>
      </w:r>
      <w:r>
        <w:rPr>
          <w:i/>
        </w:rPr>
        <w:t xml:space="preserve">Ficciones</w:t>
      </w:r>
    </w:p>
    <w:bookmarkEnd w:id="366"/>
    <w:bookmarkStart w:id="367" w:name="ref-Bor95:Rat"/>
    <w:p>
      <w:pPr>
        <w:pStyle w:val="Bibliography"/>
      </w:pPr>
      <w:r>
        <w:t xml:space="preserve">Born G. 1995.</w:t>
      </w:r>
      <w:r>
        <w:t xml:space="preserve"> </w:t>
      </w:r>
      <w:r>
        <w:rPr>
          <w:i/>
        </w:rPr>
        <w:t xml:space="preserve">Rationalizing Culture</w:t>
      </w:r>
      <w:r>
        <w:t xml:space="preserve">. University of California Press. ed.</w:t>
      </w:r>
    </w:p>
    <w:bookmarkEnd w:id="367"/>
    <w:bookmarkStart w:id="36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8"/>
    <w:bookmarkStart w:id="36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9"/>
    <w:bookmarkStart w:id="37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0"/>
    <w:bookmarkStart w:id="37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1"/>
    <w:bookmarkStart w:id="37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2"/>
    <w:bookmarkStart w:id="37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3"/>
    <w:bookmarkStart w:id="374" w:name="ref-score11manual"/>
    <w:p>
      <w:pPr>
        <w:pStyle w:val="Bibliography"/>
      </w:pPr>
      <w:r>
        <w:t xml:space="preserve">Brinkman AR. 1982. Original version of the score11 manual.</w:t>
      </w:r>
      <w:r>
        <w:t xml:space="preserve"> </w:t>
      </w:r>
      <w:r>
        <w:rPr>
          <w:i/>
        </w:rPr>
        <w:t xml:space="preserve">Score11 Manual</w:t>
      </w:r>
    </w:p>
    <w:bookmarkEnd w:id="374"/>
    <w:bookmarkStart w:id="37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5"/>
    <w:bookmarkStart w:id="37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6"/>
    <w:bookmarkStart w:id="37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7"/>
    <w:bookmarkStart w:id="37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8">
        <w:r>
          <w:rPr>
            <w:rStyle w:val="Hyperlink"/>
          </w:rPr>
          <w:t xml:space="preserve">http://www.nime.org/proceedings/2011/nime2011_387.pdf</w:t>
        </w:r>
      </w:hyperlink>
    </w:p>
    <w:bookmarkEnd w:id="379"/>
    <w:bookmarkStart w:id="38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0">
        <w:r>
          <w:rPr>
            <w:rStyle w:val="Hyperlink"/>
          </w:rPr>
          <w:t xml:space="preserve">http://www.nime.org/proceedings/2009/nime2009_266.pdf</w:t>
        </w:r>
      </w:hyperlink>
    </w:p>
    <w:bookmarkEnd w:id="381"/>
    <w:bookmarkStart w:id="38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2"/>
    <w:bookmarkStart w:id="38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3"/>
    <w:bookmarkStart w:id="38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4"/>
    <w:bookmarkStart w:id="385" w:name="ref-Bux77:Aco"/>
    <w:p>
      <w:pPr>
        <w:pStyle w:val="Bibliography"/>
      </w:pPr>
      <w:r>
        <w:t xml:space="preserve">Buxton W. 1977. A composer’s introduction to computer music.</w:t>
      </w:r>
      <w:r>
        <w:t xml:space="preserve"> </w:t>
      </w:r>
      <w:r>
        <w:rPr>
          <w:i/>
        </w:rPr>
        <w:t xml:space="preserve">Interface</w:t>
      </w:r>
      <w:r>
        <w:t xml:space="preserve">. 6:57–72</w:t>
      </w:r>
    </w:p>
    <w:bookmarkEnd w:id="385"/>
    <w:bookmarkStart w:id="386" w:name="ref-youtube/buxton10"/>
    <w:p>
      <w:pPr>
        <w:pStyle w:val="Bibliography"/>
      </w:pPr>
      <w:r>
        <w:t xml:space="preserve">Buxton W. 2016a. Objed: The sssp sound editing tool.</w:t>
      </w:r>
      <w:r>
        <w:t xml:space="preserve"> </w:t>
      </w:r>
      <w:r>
        <w:rPr>
          <w:i/>
        </w:rPr>
        <w:t xml:space="preserve">Youtube</w:t>
      </w:r>
    </w:p>
    <w:bookmarkEnd w:id="386"/>
    <w:bookmarkStart w:id="38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7"/>
    <w:bookmarkStart w:id="38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8"/>
    <w:bookmarkStart w:id="38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9"/>
    <w:bookmarkStart w:id="39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0"/>
    <w:bookmarkStart w:id="39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1">
        <w:r>
          <w:rPr>
            <w:rStyle w:val="Hyperlink"/>
          </w:rPr>
          <w:t xml:space="preserve">http://www.nime.org/proceedings/2011/nime2011_329.pdf</w:t>
        </w:r>
      </w:hyperlink>
    </w:p>
    <w:bookmarkEnd w:id="392"/>
    <w:bookmarkStart w:id="39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3"/>
    <w:bookmarkStart w:id="39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4"/>
    <w:bookmarkStart w:id="39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5"/>
    <w:bookmarkStart w:id="396" w:name="ref-Rya17:OnT"/>
    <w:p>
      <w:pPr>
        <w:pStyle w:val="Bibliography"/>
      </w:pPr>
      <w:r>
        <w:t xml:space="preserve">Carter R. 2017. On the expressive potential of suboptimal speakers</w:t>
      </w:r>
    </w:p>
    <w:bookmarkEnd w:id="396"/>
    <w:bookmarkStart w:id="39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7"/>
    <w:bookmarkStart w:id="39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8"/>
    <w:bookmarkStart w:id="39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9"/>
    <w:bookmarkStart w:id="40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0"/>
    <w:bookmarkStart w:id="40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1"/>
    <w:bookmarkStart w:id="40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2"/>
    <w:bookmarkStart w:id="40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3"/>
    <w:bookmarkStart w:id="40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4"/>
    <w:bookmarkStart w:id="405" w:name="ref-Cho00:Voi"/>
    <w:p>
      <w:pPr>
        <w:pStyle w:val="Bibliography"/>
      </w:pPr>
      <w:r>
        <w:t xml:space="preserve">Choi I. 2000. Voices in ruins — composition with residuals</w:t>
      </w:r>
    </w:p>
    <w:bookmarkEnd w:id="405"/>
    <w:bookmarkStart w:id="40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6"/>
    <w:bookmarkStart w:id="40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7"/>
    <w:bookmarkStart w:id="40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8"/>
    <w:bookmarkStart w:id="40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9"/>
    <w:bookmarkStart w:id="41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0"/>
    <w:bookmarkStart w:id="41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1"/>
    <w:bookmarkStart w:id="41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3"/>
    <w:bookmarkStart w:id="41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4"/>
    <w:bookmarkStart w:id="415" w:name="ref-connes:shapes"/>
    <w:p>
      <w:pPr>
        <w:pStyle w:val="Bibliography"/>
      </w:pPr>
      <w:r>
        <w:t xml:space="preserve">Connes A. 2012. The music of shapes</w:t>
      </w:r>
    </w:p>
    <w:bookmarkEnd w:id="415"/>
    <w:bookmarkStart w:id="41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6"/>
    <w:bookmarkStart w:id="41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7"/>
    <w:bookmarkStart w:id="41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8"/>
    <w:bookmarkStart w:id="41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9"/>
    <w:bookmarkStart w:id="42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0"/>
    <w:bookmarkStart w:id="42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1">
        <w:r>
          <w:rPr>
            <w:rStyle w:val="Hyperlink"/>
          </w:rPr>
          <w:t xml:space="preserve">https://ismir2017.smcnus.org/wp-content/uploads/2017/10/235_Paper.pdf</w:t>
        </w:r>
      </w:hyperlink>
    </w:p>
    <w:bookmarkEnd w:id="422"/>
    <w:bookmarkStart w:id="424" w:name="ref-crowley98"/>
    <w:p>
      <w:pPr>
        <w:pStyle w:val="Bibliography"/>
      </w:pPr>
      <w:r>
        <w:t xml:space="preserve">Crowley C. 1998. Data structures for text sequences.</w:t>
      </w:r>
      <w:r>
        <w:t xml:space="preserve"> </w:t>
      </w:r>
      <w:hyperlink r:id="rId423">
        <w:r>
          <w:rPr>
            <w:rStyle w:val="Hyperlink"/>
          </w:rPr>
          <w:t xml:space="preserve">https://www.cs.unm.edu/~crowley/papers/sds.pdf</w:t>
        </w:r>
      </w:hyperlink>
    </w:p>
    <w:bookmarkEnd w:id="424"/>
    <w:bookmarkStart w:id="42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5"/>
    <w:bookmarkStart w:id="42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6">
        <w:r>
          <w:rPr>
            <w:rStyle w:val="Hyperlink"/>
          </w:rPr>
          <w:t xml:space="preserve">https://ismir2017.smcnus.org/wp-content/uploads/2017/10/75_Paper.pdf</w:t>
        </w:r>
      </w:hyperlink>
    </w:p>
    <w:bookmarkEnd w:id="427"/>
    <w:bookmarkStart w:id="42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8"/>
    <w:bookmarkStart w:id="42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9"/>
    <w:bookmarkStart w:id="43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0"/>
    <w:bookmarkStart w:id="431" w:name="ref-Der78:Wri"/>
    <w:p>
      <w:pPr>
        <w:pStyle w:val="Bibliography"/>
      </w:pPr>
      <w:r>
        <w:t xml:space="preserve">Derrida J. 1978.</w:t>
      </w:r>
      <w:r>
        <w:t xml:space="preserve"> </w:t>
      </w:r>
      <w:r>
        <w:rPr>
          <w:i/>
        </w:rPr>
        <w:t xml:space="preserve">Writing and Difference</w:t>
      </w:r>
      <w:r>
        <w:t xml:space="preserve">. The University of Chicago. ed.</w:t>
      </w:r>
    </w:p>
    <w:bookmarkEnd w:id="431"/>
    <w:bookmarkStart w:id="432" w:name="ref-Der82:Mar"/>
    <w:p>
      <w:pPr>
        <w:pStyle w:val="Bibliography"/>
      </w:pPr>
      <w:r>
        <w:t xml:space="preserve">Derrida J. 1982.</w:t>
      </w:r>
      <w:r>
        <w:t xml:space="preserve"> </w:t>
      </w:r>
      <w:r>
        <w:rPr>
          <w:i/>
        </w:rPr>
        <w:t xml:space="preserve">Margins of Philosophy</w:t>
      </w:r>
      <w:r>
        <w:t xml:space="preserve">. The Harvester Press. ed.</w:t>
      </w:r>
    </w:p>
    <w:bookmarkEnd w:id="432"/>
    <w:bookmarkStart w:id="433" w:name="ref-Der95:Arc"/>
    <w:p>
      <w:pPr>
        <w:pStyle w:val="Bibliography"/>
      </w:pPr>
      <w:r>
        <w:t xml:space="preserve">Derrida J, Prenowitz E. 1995. Archive fever: A freudian impression.</w:t>
      </w:r>
      <w:r>
        <w:t xml:space="preserve"> </w:t>
      </w:r>
      <w:r>
        <w:rPr>
          <w:i/>
        </w:rPr>
        <w:t xml:space="preserve">Diacritics</w:t>
      </w:r>
      <w:r>
        <w:t xml:space="preserve">. 25(2):</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7"/>
    <w:bookmarkStart w:id="518"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8"/>
    <w:bookmarkStart w:id="519"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9"/>
    <w:bookmarkStart w:id="520"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0"/>
    <w:bookmarkStart w:id="521"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1"/>
    <w:bookmarkStart w:id="522"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2"/>
    <w:bookmarkStart w:id="523"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3"/>
    <w:bookmarkStart w:id="524"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5"/>
    <w:bookmarkStart w:id="526" w:name="ref-Lod98:MUS"/>
    <w:p>
      <w:pPr>
        <w:pStyle w:val="Bibliography"/>
      </w:pPr>
      <w:r>
        <w:t xml:space="preserve">Lodha S, Beahan J, Joseph A, Zane-ulman B. 1998. MUSE: A musical data sonification toolkit</w:t>
      </w:r>
    </w:p>
    <w:bookmarkEnd w:id="526"/>
    <w:bookmarkStart w:id="527"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7"/>
    <w:bookmarkStart w:id="52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8">
        <w:r>
          <w:rPr>
            <w:rStyle w:val="Hyperlink"/>
          </w:rPr>
          <w:t xml:space="preserve">http://www.nime.org/proceedings/2008/nime2008_221.pdf</w:t>
        </w:r>
      </w:hyperlink>
    </w:p>
    <w:bookmarkEnd w:id="529"/>
    <w:bookmarkStart w:id="53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0"/>
    <w:bookmarkStart w:id="531" w:name="ref-Man01:The"/>
    <w:p>
      <w:pPr>
        <w:pStyle w:val="Bibliography"/>
      </w:pPr>
      <w:r>
        <w:t xml:space="preserve">Manovich L. 2001.</w:t>
      </w:r>
      <w:r>
        <w:t xml:space="preserve"> </w:t>
      </w:r>
      <w:r>
        <w:rPr>
          <w:i/>
        </w:rPr>
        <w:t xml:space="preserve">The Language of New Media</w:t>
      </w:r>
      <w:r>
        <w:t xml:space="preserve">. MIT Press. ed.</w:t>
      </w:r>
    </w:p>
    <w:bookmarkEnd w:id="531"/>
    <w:bookmarkStart w:id="532" w:name="ref-Man02:Old"/>
    <w:p>
      <w:pPr>
        <w:pStyle w:val="Bibliography"/>
      </w:pPr>
      <w:r>
        <w:t xml:space="preserve">Manovich L. 2002. Old media as new media: Cinema.</w:t>
      </w:r>
      <w:r>
        <w:t xml:space="preserve"> </w:t>
      </w:r>
      <w:r>
        <w:rPr>
          <w:i/>
        </w:rPr>
        <w:t xml:space="preserve">The New Media Book</w:t>
      </w:r>
    </w:p>
    <w:bookmarkEnd w:id="532"/>
    <w:bookmarkStart w:id="533"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3"/>
    <w:bookmarkStart w:id="53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4">
        <w:r>
          <w:rPr>
            <w:rStyle w:val="Hyperlink"/>
          </w:rPr>
          <w:t xml:space="preserve">http://ismir2008.ismir.net/papers/ISMIR2008_158.pdf</w:t>
        </w:r>
      </w:hyperlink>
    </w:p>
    <w:bookmarkEnd w:id="535"/>
    <w:bookmarkStart w:id="53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6"/>
    <w:bookmarkStart w:id="53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7"/>
    <w:bookmarkStart w:id="53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8"/>
    <w:bookmarkStart w:id="539" w:name="ref-csoundMethods"/>
    <w:p>
      <w:pPr>
        <w:pStyle w:val="Bibliography"/>
      </w:pPr>
      <w:r>
        <w:t xml:space="preserve">McCurdy I, Heintz J, Joaquin J, Knevel M. 2015. Methods of writing csound scores.</w:t>
      </w:r>
      <w:r>
        <w:t xml:space="preserve"> </w:t>
      </w:r>
      <w:r>
        <w:rPr>
          <w:i/>
        </w:rPr>
        <w:t xml:space="preserve">FLOSS Manuals</w:t>
      </w:r>
    </w:p>
    <w:bookmarkEnd w:id="539"/>
    <w:bookmarkStart w:id="54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0"/>
    <w:bookmarkStart w:id="54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1">
        <w:r>
          <w:rPr>
            <w:rStyle w:val="Hyperlink"/>
          </w:rPr>
          <w:t xml:space="preserve">http://ismir2018.ircam.fr/doc/pdfs/35_Paper.pdf</w:t>
        </w:r>
      </w:hyperlink>
    </w:p>
    <w:bookmarkEnd w:id="542"/>
    <w:bookmarkStart w:id="54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3"/>
    <w:bookmarkStart w:id="54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4"/>
    <w:bookmarkStart w:id="54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5"/>
    <w:bookmarkStart w:id="54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6"/>
    <w:bookmarkStart w:id="547" w:name="ref-ods-cpp"/>
    <w:p>
      <w:pPr>
        <w:pStyle w:val="Bibliography"/>
      </w:pPr>
      <w:r>
        <w:t xml:space="preserve">Morin P. 2019.</w:t>
      </w:r>
      <w:r>
        <w:t xml:space="preserve"> </w:t>
      </w:r>
      <w:r>
        <w:rPr>
          <w:i/>
        </w:rPr>
        <w:t xml:space="preserve">Open Data Structures</w:t>
      </w:r>
      <w:r>
        <w:t xml:space="preserve">. Creative Commons. ed.</w:t>
      </w:r>
    </w:p>
    <w:bookmarkEnd w:id="547"/>
    <w:bookmarkStart w:id="54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8"/>
    <w:bookmarkStart w:id="54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9"/>
    <w:bookmarkStart w:id="55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0"/>
    <w:bookmarkStart w:id="55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1">
        <w:r>
          <w:rPr>
            <w:rStyle w:val="Hyperlink"/>
          </w:rPr>
          <w:t xml:space="preserve">http://www.nime.org/proceedings/2007/nime2007_409.pdf</w:t>
        </w:r>
      </w:hyperlink>
    </w:p>
    <w:bookmarkEnd w:id="552"/>
    <w:bookmarkStart w:id="55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3"/>
    <w:bookmarkStart w:id="554" w:name="ref-Nan07:Lis"/>
    <w:p>
      <w:pPr>
        <w:pStyle w:val="Bibliography"/>
      </w:pPr>
      <w:r>
        <w:t xml:space="preserve">Nancy J-L. 2007.</w:t>
      </w:r>
      <w:r>
        <w:t xml:space="preserve"> </w:t>
      </w:r>
      <w:r>
        <w:rPr>
          <w:i/>
        </w:rPr>
        <w:t xml:space="preserve">Listening</w:t>
      </w:r>
      <w:r>
        <w:t xml:space="preserve">. Fordham University Place. ed.</w:t>
      </w:r>
    </w:p>
    <w:bookmarkEnd w:id="554"/>
    <w:bookmarkStart w:id="55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5"/>
    <w:bookmarkStart w:id="55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6">
        <w:r>
          <w:rPr>
            <w:rStyle w:val="Hyperlink"/>
          </w:rPr>
          <w:t xml:space="preserve">http://www.nime.org/proceedings/2007/nime2007_112.pdf</w:t>
        </w:r>
      </w:hyperlink>
    </w:p>
    <w:bookmarkEnd w:id="557"/>
    <w:bookmarkStart w:id="55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8"/>
    <w:bookmarkStart w:id="55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9"/>
    <w:bookmarkStart w:id="56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0"/>
    <w:bookmarkStart w:id="56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1"/>
    <w:bookmarkStart w:id="56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2"/>
    <w:bookmarkStart w:id="56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12:MP3"/>
    <w:p>
      <w:pPr>
        <w:pStyle w:val="Bibliography"/>
      </w:pPr>
      <w:r>
        <w:t xml:space="preserve">Sterne J. 2012.</w:t>
      </w:r>
      <w:r>
        <w:t xml:space="preserve"> </w:t>
      </w:r>
      <w:r>
        <w:rPr>
          <w:i/>
        </w:rPr>
        <w:t xml:space="preserve">MP3: The Meaning of a Format</w:t>
      </w:r>
      <w:r>
        <w:t xml:space="preserve">. Duke University Press. ed.</w:t>
      </w:r>
    </w:p>
    <w:bookmarkEnd w:id="623"/>
    <w:bookmarkStart w:id="624"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4"/>
    <w:bookmarkStart w:id="625" w:name="ref-Stu04:Mat"/>
    <w:p>
      <w:pPr>
        <w:pStyle w:val="Bibliography"/>
      </w:pPr>
      <w:r>
        <w:t xml:space="preserve">Sturm B. 2004. MATConcat: An application for exploring concatenative sound synthesis using matlab</w:t>
      </w:r>
    </w:p>
    <w:bookmarkEnd w:id="625"/>
    <w:bookmarkStart w:id="626"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6"/>
    <w:bookmarkStart w:id="627" w:name="ref-Sze08:Lis"/>
    <w:p>
      <w:pPr>
        <w:pStyle w:val="Bibliography"/>
      </w:pPr>
      <w:r>
        <w:t xml:space="preserve">Szendy P. 2008.</w:t>
      </w:r>
      <w:r>
        <w:t xml:space="preserve"> </w:t>
      </w:r>
      <w:r>
        <w:rPr>
          <w:i/>
        </w:rPr>
        <w:t xml:space="preserve">Listen: A History of Our Ears</w:t>
      </w:r>
      <w:r>
        <w:t xml:space="preserve">. Fordham University. ed.</w:t>
      </w:r>
    </w:p>
    <w:bookmarkEnd w:id="627"/>
    <w:bookmarkStart w:id="628"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8"/>
    <w:bookmarkStart w:id="629" w:name="ref-Sch07:How"/>
    <w:p>
      <w:pPr>
        <w:pStyle w:val="Bibliography"/>
      </w:pPr>
      <w:r>
        <w:t xml:space="preserve">Thiebaut J-B, Bello J, Schwarz D. 2007. How musical are images? From sound representation to image sonification: An eco systemic approach</w:t>
      </w:r>
    </w:p>
    <w:bookmarkEnd w:id="629"/>
    <w:bookmarkStart w:id="630"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0"/>
    <w:bookmarkStart w:id="631"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1"/>
    <w:bookmarkStart w:id="632"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2"/>
    <w:bookmarkStart w:id="633"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3"/>
    <w:bookmarkStart w:id="634"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4"/>
    <w:bookmarkStart w:id="635"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5"/>
    <w:bookmarkStart w:id="636"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6"/>
    <w:bookmarkStart w:id="637" w:name="ref-Var04:The"/>
    <w:p>
      <w:pPr>
        <w:pStyle w:val="Bibliography"/>
      </w:pPr>
      <w:r>
        <w:t xml:space="preserve">Varese E. 2004. The liberation of sound.</w:t>
      </w:r>
      <w:r>
        <w:t xml:space="preserve"> </w:t>
      </w:r>
      <w:r>
        <w:rPr>
          <w:i/>
        </w:rPr>
        <w:t xml:space="preserve">Audio Culture: Readings in Modern Music</w:t>
      </w:r>
    </w:p>
    <w:bookmarkEnd w:id="637"/>
    <w:bookmarkStart w:id="638" w:name="ref-Ver84:The"/>
    <w:p>
      <w:pPr>
        <w:pStyle w:val="Bibliography"/>
      </w:pPr>
      <w:r>
        <w:t xml:space="preserve">Vercoe B. 1984. The synthetic performer in the context of live performance</w:t>
      </w:r>
    </w:p>
    <w:bookmarkEnd w:id="638"/>
    <w:bookmarkStart w:id="639" w:name="ref-Ves07:See"/>
    <w:p>
      <w:pPr>
        <w:pStyle w:val="Bibliography"/>
      </w:pPr>
      <w:r>
        <w:t xml:space="preserve">Vesna V. 2007. Seeing the world in a grain of sand: The database aesthetics of everything.</w:t>
      </w:r>
      <w:r>
        <w:t xml:space="preserve"> </w:t>
      </w:r>
      <w:r>
        <w:rPr>
          <w:i/>
        </w:rPr>
        <w:t xml:space="preserve">Database Aesthetics: Art in the Age of Information Overflow</w:t>
      </w:r>
    </w:p>
    <w:bookmarkEnd w:id="639"/>
    <w:bookmarkStart w:id="64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0"/>
    <w:bookmarkStart w:id="64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1">
        <w:r>
          <w:rPr>
            <w:rStyle w:val="Hyperlink"/>
          </w:rPr>
          <w:t xml:space="preserve">https://ismir2017.smcnus.org/wp-content/uploads/2017/10/180_Paper.pdf</w:t>
        </w:r>
      </w:hyperlink>
    </w:p>
    <w:bookmarkEnd w:id="642"/>
    <w:bookmarkStart w:id="64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3"/>
    <w:bookmarkStart w:id="64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4">
        <w:r>
          <w:rPr>
            <w:rStyle w:val="Hyperlink"/>
          </w:rPr>
          <w:t xml:space="preserve">http://ismir2002.ismir.net/proceedings/02-FP06-3.pdf</w:t>
        </w:r>
      </w:hyperlink>
    </w:p>
    <w:bookmarkEnd w:id="645"/>
    <w:bookmarkStart w:id="64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6"/>
    <w:bookmarkStart w:id="64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7"/>
    <w:bookmarkStart w:id="64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8"/>
    <w:bookmarkStart w:id="64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9"/>
    <w:bookmarkStart w:id="65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0"/>
    <w:bookmarkStart w:id="65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1"/>
    <w:bookmarkStart w:id="65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2"/>
    <w:bookmarkStart w:id="65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3"/>
    <w:bookmarkStart w:id="65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4"/>
    <w:bookmarkStart w:id="655" w:name="ref-Wei07:Oce"/>
    <w:p>
      <w:pPr>
        <w:pStyle w:val="Bibliography"/>
      </w:pPr>
      <w:r>
        <w:t xml:space="preserve">Weinbren G. 2007. Ocean, database, recut.</w:t>
      </w:r>
      <w:r>
        <w:t xml:space="preserve"> </w:t>
      </w:r>
      <w:r>
        <w:rPr>
          <w:i/>
        </w:rPr>
        <w:t xml:space="preserve">Database Aesthetics: Art in the Age of Information Overflow</w:t>
      </w:r>
    </w:p>
    <w:bookmarkEnd w:id="655"/>
    <w:bookmarkStart w:id="656"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56"/>
    <w:bookmarkStart w:id="65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7"/>
    <w:bookmarkStart w:id="65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8">
        <w:r>
          <w:rPr>
            <w:rStyle w:val="Hyperlink"/>
          </w:rPr>
          <w:t xml:space="preserve">http://ismir2018.ircam.fr/doc/pdfs/114_Paper.pdf</w:t>
        </w:r>
      </w:hyperlink>
    </w:p>
    <w:bookmarkEnd w:id="659"/>
    <w:bookmarkStart w:id="66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0"/>
    <w:bookmarkStart w:id="66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1">
        <w:r>
          <w:rPr>
            <w:rStyle w:val="Hyperlink"/>
          </w:rPr>
          <w:t xml:space="preserve">http://ismir2004.ismir.net/proceedings/p010-page-48-paper227.pdf</w:t>
        </w:r>
      </w:hyperlink>
    </w:p>
    <w:bookmarkEnd w:id="662"/>
    <w:bookmarkStart w:id="66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3"/>
    <w:bookmarkStart w:id="66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4"/>
    <w:bookmarkStart w:id="66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5"/>
    <w:bookmarkStart w:id="66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6">
        <w:r>
          <w:rPr>
            <w:rStyle w:val="Hyperlink"/>
          </w:rPr>
          <w:t xml:space="preserve">http://ismir2018.ircam.fr/doc/pdfs/188_Paper.pdf</w:t>
        </w:r>
      </w:hyperlink>
    </w:p>
    <w:bookmarkEnd w:id="667"/>
    <w:bookmarkStart w:id="66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8"/>
    <w:bookmarkStart w:id="66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9"/>
    <w:bookmarkStart w:id="67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0"/>
    <w:bookmarkStart w:id="67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1"/>
    <w:bookmarkStart w:id="67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2"/>
    <w:bookmarkStart w:id="67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3"/>
    <w:bookmarkStart w:id="67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4">
        <w:r>
          <w:rPr>
            <w:rStyle w:val="Hyperlink"/>
          </w:rPr>
          <w:t xml:space="preserve">http://www.nime.org/proceedings/2007/nime2007_352.pdf</w:t>
        </w:r>
      </w:hyperlink>
    </w:p>
    <w:bookmarkEnd w:id="675"/>
    <w:bookmarkStart w:id="67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6"/>
    <w:bookmarkStart w:id="677" w:name="ref-Zmo15:Liv"/>
    <w:p>
      <w:pPr>
        <w:pStyle w:val="Bibliography"/>
      </w:pPr>
      <w:r>
        <w:t xml:space="preserve">zmölnig I m, Eckel G. 2015.</w:t>
      </w:r>
      <w:r>
        <w:t xml:space="preserve"> </w:t>
      </w:r>
      <w:r>
        <w:rPr>
          <w:i/>
        </w:rPr>
        <w:t xml:space="preserve">LIVE coding: AN overview</w:t>
      </w:r>
      <w:r>
        <w:t xml:space="preserve">. Work. Pap.</w:t>
      </w:r>
    </w:p>
    <w:bookmarkEnd w:id="677"/>
    <w:bookmarkEnd w:id="6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07">
    <w:p>
      <w:pPr>
        <w:pStyle w:val="FootnoteText"/>
      </w:pPr>
      <w:r>
        <w:rPr>
          <w:rStyle w:val="FootnoteReference"/>
        </w:rPr>
        <w:footnoteRef/>
      </w:r>
      <w:r>
        <w:t xml:space="preserve"> </w:t>
      </w:r>
      <w:hyperlink r:id="rId208">
        <w:r>
          <w:rPr>
            <w:rStyle w:val="Hyperlink"/>
          </w:rPr>
          <w:t xml:space="preserve">https://en.wikipedia.org/wiki/Leo_Beranek</w:t>
        </w:r>
      </w:hyperlink>
    </w:p>
  </w:footnote>
  <w:footnote w:id="21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6">
    <w:p>
      <w:pPr>
        <w:pStyle w:val="FootnoteText"/>
      </w:pPr>
      <w:r>
        <w:rPr>
          <w:rStyle w:val="FootnoteReference"/>
        </w:rPr>
        <w:footnoteRef/>
      </w:r>
      <w:r>
        <w:t xml:space="preserve"> </w:t>
      </w:r>
      <w:hyperlink r:id="rId227">
        <w:r>
          <w:rPr>
            <w:rStyle w:val="Hyperlink"/>
          </w:rPr>
          <w:t xml:space="preserve">https://en.cppreference.com/w/cpp/language/destructor</w:t>
        </w:r>
      </w:hyperlink>
    </w:p>
  </w:footnote>
  <w:footnote w:id="233">
    <w:p>
      <w:pPr>
        <w:pStyle w:val="FootnoteText"/>
      </w:pPr>
      <w:r>
        <w:rPr>
          <w:rStyle w:val="FootnoteReference"/>
        </w:rPr>
        <w:footnoteRef/>
      </w:r>
      <w:r>
        <w:t xml:space="preserve"> </w:t>
      </w:r>
      <w:hyperlink r:id="rId234">
        <w:r>
          <w:rPr>
            <w:rStyle w:val="Hyperlink"/>
          </w:rPr>
          <w:t xml:space="preserve">https://mpc.chs.harvard.edu/</w:t>
        </w:r>
      </w:hyperlink>
    </w:p>
  </w:footnote>
  <w:footnote w:id="23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0">
        <w:r>
          <w:rPr>
            <w:rStyle w:val="Hyperlink"/>
          </w:rPr>
          <w:t xml:space="preserve">https://en.wikipedia.org/wiki/Dr._Strangelove</w:t>
        </w:r>
      </w:hyperlink>
    </w:p>
  </w:footnote>
  <w:footnote w:id="29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58" Target="media/rId25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4"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1"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8" Target="http://ismir2018.ircam.fr/doc/pdfs/114_Paper.pdf" TargetMode="External" /><Relationship Type="http://schemas.openxmlformats.org/officeDocument/2006/relationships/hyperlink" Id="rId666"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4"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1"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2019-04-07T19:48:41Z</dcterms:created>
  <dcterms:modified xsi:type="dcterms:W3CDTF">2019-04-07T19:48:41Z</dcterms:modified>
</cp:coreProperties>
</file>

<file path=docProps/custom.xml><?xml version="1.0" encoding="utf-8"?>
<Properties xmlns="http://schemas.openxmlformats.org/officeDocument/2006/custom-properties" xmlns:vt="http://schemas.openxmlformats.org/officeDocument/2006/docPropsVTypes"/>
</file>