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5.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5" w:name="sonorous-presence"/>
      <w:r>
        <w:t xml:space="preserve">Sonorous presence</w:t>
      </w:r>
      <w:bookmarkEnd w:id="185"/>
    </w:p>
    <w:p>
      <w:pPr>
        <w:pStyle w:val="FirstParagraph"/>
      </w:pPr>
      <w:r>
        <w:t xml:space="preserve">Philosopher</w:t>
      </w:r>
      <w:r>
        <w:t xml:space="preserve"> </w:t>
      </w:r>
      <w:r>
        <w:t xml:space="preserve">Nancy (2007)</w:t>
      </w:r>
      <w:r>
        <w:t xml:space="preserve"> </w:t>
      </w:r>
      <w:r>
        <w:t xml:space="preserve">brings forth an ontology of sound that can be understood in terms of a performativity of listening that links an embodied theory of listening with a phenomenology of the self.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5"/>
      </w:pPr>
      <w:bookmarkStart w:id="186" w:name="an-a-priori-filter"/>
      <w:r>
        <w:t xml:space="preserve">An a priori filter</w:t>
      </w:r>
      <w:bookmarkEnd w:id="186"/>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5"/>
      </w:pPr>
      <w:bookmarkStart w:id="187" w:name="sonorous-presence-in-an-attack"/>
      <w:r>
        <w:t xml:space="preserve">Sonorous presence in an attack</w:t>
      </w:r>
      <w:bookmarkEnd w:id="187"/>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8" w:name="referrals-and-deferrals"/>
      <w:r>
        <w:t xml:space="preserve">Referrals and Deferrals</w:t>
      </w:r>
      <w:bookmarkEnd w:id="188"/>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5.2.2</w:t>
        </w:r>
      </w:hyperlink>
      <w:r>
        <w:t xml:space="preserve">).</w:t>
      </w:r>
      <w:r>
        <w:rPr>
          <w:rStyle w:val="FootnoteReference"/>
        </w:rPr>
        <w:footnoteReference w:id="189"/>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0" w:name="a-loop"/>
      <w:r>
        <w:t xml:space="preserve">A Loop</w:t>
      </w:r>
      <w:bookmarkEnd w:id="190"/>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91" w:name="an-approach-to-self"/>
      <w:r>
        <w:t xml:space="preserve">An Approach to Self</w:t>
      </w:r>
      <w:bookmarkEnd w:id="191"/>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2"/>
      </w:r>
    </w:p>
    <w:p>
      <w:pPr>
        <w:pStyle w:val="Heading3"/>
      </w:pPr>
      <w:bookmarkStart w:id="193" w:name="network"/>
      <w:r>
        <w:t xml:space="preserve">Resonant Network</w:t>
      </w:r>
      <w:bookmarkEnd w:id="193"/>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4" w:name="an-illusory-violin"/>
      <w:r>
        <w:t xml:space="preserve">An Illusory Violin</w:t>
      </w:r>
      <w:bookmarkEnd w:id="194"/>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5" w:name="virtuality"/>
      <w:r>
        <w:t xml:space="preserve">Virtuality</w:t>
      </w:r>
      <w:bookmarkEnd w:id="195"/>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6" w:name="performativity-of-networks"/>
      <w:r>
        <w:t xml:space="preserve">Performativity of Networks</w:t>
      </w:r>
      <w:bookmarkEnd w:id="196"/>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7" w:name="a-resonant-movement-of-a-thing"/>
      <w:r>
        <w:t xml:space="preserve">A Resonant Movement of a Thing</w:t>
      </w:r>
      <w:bookmarkEnd w:id="197"/>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8" w:name="positive-feedback"/>
      <w:r>
        <w:t xml:space="preserve">Positive Feedback</w:t>
      </w:r>
      <w:bookmarkEnd w:id="198"/>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9" w:name="the-work-of-actors"/>
      <w:r>
        <w:t xml:space="preserve">The Work of Actors</w:t>
      </w:r>
      <w:bookmarkEnd w:id="199"/>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0" w:name="inoperativity"/>
      <w:r>
        <w:t xml:space="preserve">The Unworking Network</w:t>
      </w:r>
      <w:bookmarkEnd w:id="200"/>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1" w:name="community-as-unwork"/>
      <w:r>
        <w:t xml:space="preserve">Community as unwork</w:t>
      </w:r>
      <w:bookmarkEnd w:id="201"/>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2" w:name="resonant-inoperativity"/>
      <w:r>
        <w:t xml:space="preserve">Resonant Inoperativity</w:t>
      </w:r>
      <w:bookmarkEnd w:id="202"/>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3" w:name="space-of-community"/>
      <w:r>
        <w:t xml:space="preserve">Space of Community</w:t>
      </w:r>
      <w:bookmarkEnd w:id="203"/>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4" w:name="at-the-limit"/>
      <w:r>
        <w:t xml:space="preserve">At the Limit</w:t>
      </w:r>
      <w:bookmarkEnd w:id="204"/>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5" w:name="reticulated-skin"/>
      <w:r>
        <w:t xml:space="preserve">Reticulated Skin</w:t>
      </w:r>
      <w:bookmarkEnd w:id="205"/>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6" w:name="resistance-in-database-music"/>
      <w:r>
        <w:t xml:space="preserve">Resistance in Database Music</w:t>
      </w:r>
      <w:bookmarkEnd w:id="206"/>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7" w:name="section:Databases_And_Memory"/>
      <w:r>
        <w:t xml:space="preserve">Databases And Memory</w:t>
      </w:r>
      <w:bookmarkEnd w:id="207"/>
    </w:p>
    <w:p>
      <w:pPr>
        <w:pStyle w:val="Heading3"/>
      </w:pPr>
      <w:bookmarkStart w:id="208" w:name="funeslude"/>
      <w:r>
        <w:t xml:space="preserve">Interlude: Embodied Memory</w:t>
      </w:r>
      <w:bookmarkEnd w:id="20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9"/>
      </w:r>
      <w:r>
        <w:t xml:space="preserve"> </w:t>
      </w:r>
      <w:r>
        <w:t xml:space="preserve">he was secluded in a dark and enclosed space so as not to perceive the world.</w:t>
      </w:r>
      <w:r>
        <w:rPr>
          <w:rStyle w:val="FootnoteReference"/>
        </w:rPr>
        <w:footnoteReference w:id="210"/>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1"/>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2"/>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3"/>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4"/>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6" w:name="human"/>
      <w:r>
        <w:t xml:space="preserve">The Effraction Of The Trace</w:t>
      </w:r>
      <w:bookmarkEnd w:id="216"/>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7"/>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8" w:name="memory-as-breaching"/>
      <w:r>
        <w:t xml:space="preserve">Memory as Breaching</w:t>
      </w:r>
      <w:bookmarkEnd w:id="218"/>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9" w:name="breaching-and-différance"/>
      <w:r>
        <w:t xml:space="preserve">Breaching and</w:t>
      </w:r>
      <w:r>
        <w:t xml:space="preserve"> </w:t>
      </w:r>
      <w:r>
        <w:rPr>
          <w:i/>
        </w:rPr>
        <w:t xml:space="preserve">différance</w:t>
      </w:r>
      <w:bookmarkEnd w:id="219"/>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0" w:name="hypomnesis-and-the-mystic-pad"/>
      <w:r>
        <w:t xml:space="preserve">Hypomnesis and the Mystic Pad</w:t>
      </w:r>
      <w:bookmarkEnd w:id="220"/>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1" w:name="nonhuman-authors"/>
      <w:r>
        <w:t xml:space="preserve">Nonhuman Authors</w:t>
      </w:r>
      <w:bookmarkEnd w:id="221"/>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2" w:name="database-as-agents"/>
      <w:r>
        <w:t xml:space="preserve">Database as Agents</w:t>
      </w:r>
      <w:bookmarkEnd w:id="222"/>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3" w:name="archontic"/>
      <w:r>
        <w:t xml:space="preserve">The Archontic Principle</w:t>
      </w:r>
      <w:bookmarkEnd w:id="223"/>
    </w:p>
    <w:p>
      <w:pPr>
        <w:pStyle w:val="Heading5"/>
      </w:pPr>
      <w:bookmarkStart w:id="224" w:name="archives-and-memory"/>
      <w:r>
        <w:t xml:space="preserve">Archives and Memory</w:t>
      </w:r>
      <w:bookmarkEnd w:id="224"/>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5" w:name="hierarchies"/>
      <w:r>
        <w:t xml:space="preserve">Hierarchies</w:t>
      </w:r>
      <w:bookmarkEnd w:id="225"/>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6" w:name="archontic-principle"/>
      <w:r>
        <w:t xml:space="preserve">Archontic Principle</w:t>
      </w:r>
      <w:bookmarkEnd w:id="226"/>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7" w:name="patriarchy"/>
      <w:r>
        <w:t xml:space="preserve">Patriarchy</w:t>
      </w:r>
      <w:bookmarkEnd w:id="227"/>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8" w:name="institutional-passage"/>
      <w:r>
        <w:t xml:space="preserve">Institutional Passage</w:t>
      </w:r>
      <w:bookmarkEnd w:id="228"/>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9" w:name="authorities"/>
      <w:r>
        <w:t xml:space="preserve">Authorities</w:t>
      </w:r>
      <w:bookmarkEnd w:id="229"/>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0" w:name="anarchic-memory"/>
      <w:r>
        <w:t xml:space="preserve">Anarchic Memory</w:t>
      </w:r>
      <w:bookmarkEnd w:id="230"/>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1" w:name="collective-memory"/>
      <w:r>
        <w:t xml:space="preserve">Collective Memory</w:t>
      </w:r>
      <w:bookmarkEnd w:id="231"/>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2" w:name="writing-code"/>
      <w:r>
        <w:t xml:space="preserve">Writing Code</w:t>
      </w:r>
      <w:bookmarkEnd w:id="232"/>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3"/>
      </w:r>
    </w:p>
    <w:p>
      <w:pPr>
        <w:pStyle w:val="Heading5"/>
      </w:pPr>
      <w:bookmarkStart w:id="235" w:name="anarchic-computer-memory"/>
      <w:r>
        <w:t xml:space="preserve">Anarchic Computer Memory</w:t>
      </w:r>
      <w:bookmarkEnd w:id="235"/>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6" w:name="spectrality"/>
      <w:r>
        <w:t xml:space="preserve">The Spectral Database</w:t>
      </w:r>
      <w:bookmarkEnd w:id="23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7" w:name="computer-memory-and-writing"/>
      <w:r>
        <w:t xml:space="preserve">Computer Memory and Writing</w:t>
      </w:r>
      <w:bookmarkEnd w:id="237"/>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8" w:name="memory-replacement"/>
      <w:r>
        <w:t xml:space="preserve">Memory Replacement</w:t>
      </w:r>
      <w:bookmarkEnd w:id="238"/>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9" w:name="anarchic-records"/>
      <w:r>
        <w:t xml:space="preserve">Anarchic Records</w:t>
      </w:r>
      <w:bookmarkEnd w:id="239"/>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0"/>
      </w:r>
      <w:r>
        <w:t xml:space="preserve"> </w:t>
      </w:r>
      <w:r>
        <w:t xml:space="preserve">becomes an archivization process, that is, a process by which symbolic transcription leads to an ordered archive, i.e., a score.</w:t>
      </w:r>
      <w:r>
        <w:rPr>
          <w:rStyle w:val="FootnoteReference"/>
        </w:rPr>
        <w:footnoteReference w:id="242"/>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3" w:name="memory-and-framing"/>
      <w:r>
        <w:t xml:space="preserve">Memory and Framing</w:t>
      </w:r>
      <w:bookmarkEnd w:id="243"/>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4" w:name="nonhuman-tympans"/>
      <w:r>
        <w:t xml:space="preserve">Nonhuman Tympans</w:t>
      </w:r>
      <w:bookmarkEnd w:id="244"/>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5" w:name="spectrality-of-archives"/>
      <w:r>
        <w:t xml:space="preserve">Spectrality of Archives</w:t>
      </w:r>
      <w:bookmarkEnd w:id="245"/>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6" w:name="spectrality-of-databases"/>
      <w:r>
        <w:t xml:space="preserve">Spectrality of Databases</w:t>
      </w:r>
      <w:bookmarkEnd w:id="246"/>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7" w:name="agency-of-the-uncanny"/>
      <w:r>
        <w:t xml:space="preserve">Agency of the Uncanny</w:t>
      </w:r>
      <w:bookmarkEnd w:id="247"/>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8" w:name="section:Performativity_Of_Databases"/>
      <w:r>
        <w:t xml:space="preserve">Performativity Of Databases</w:t>
      </w:r>
      <w:bookmarkEnd w:id="248"/>
    </w:p>
    <w:p>
      <w:pPr>
        <w:pStyle w:val="Heading3"/>
      </w:pPr>
      <w:bookmarkStart w:id="249" w:name="gender"/>
      <w:r>
        <w:t xml:space="preserve">Gendered Database</w:t>
      </w:r>
      <w:bookmarkEnd w:id="24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0" w:name="skin-of-the-database"/>
      <w:r>
        <w:t xml:space="preserve">Skin of the Database</w:t>
      </w:r>
      <w:bookmarkEnd w:id="250"/>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1" w:name="expressing-nothing"/>
      <w:r>
        <w:t xml:space="preserve">Expressing Nothing</w:t>
      </w:r>
      <w:bookmarkEnd w:id="251"/>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2" w:name="a-historical-situation"/>
      <w:r>
        <w:t xml:space="preserve">A Historical Situation</w:t>
      </w:r>
      <w:bookmarkEnd w:id="252"/>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3" w:name="subversive-repetition"/>
      <w:r>
        <w:t xml:space="preserve">Subversive Repetition</w:t>
      </w:r>
      <w:bookmarkEnd w:id="253"/>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4" w:name="gendered-database"/>
      <w:r>
        <w:t xml:space="preserve">Gendered Database</w:t>
      </w:r>
      <w:bookmarkEnd w:id="254"/>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5" w:name="limits"/>
      <w:r>
        <w:t xml:space="preserve">Towards The Limits</w:t>
      </w:r>
      <w:bookmarkEnd w:id="255"/>
    </w:p>
    <w:p>
      <w:pPr>
        <w:pStyle w:val="Heading5"/>
      </w:pPr>
      <w:bookmarkStart w:id="256" w:name="exposure"/>
      <w:r>
        <w:t xml:space="preserve">Exposure</w:t>
      </w:r>
      <w:bookmarkEnd w:id="256"/>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7" w:name="anarchic-touch"/>
      <w:r>
        <w:t xml:space="preserve">Anarchic Touch</w:t>
      </w:r>
      <w:bookmarkEnd w:id="257"/>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8" w:name="communities-of-skin"/>
      <w:r>
        <w:t xml:space="preserve">Communities of Skin</w:t>
      </w:r>
      <w:bookmarkEnd w:id="258"/>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9" w:name="hybrid-pluralities"/>
      <w:r>
        <w:t xml:space="preserve">Hybrid Pluralities</w:t>
      </w:r>
      <w:bookmarkEnd w:id="259"/>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0" w:name="style"/>
      <w:r>
        <w:t xml:space="preserve">Contingencies Of Style</w:t>
      </w:r>
      <w:bookmarkEnd w:id="26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1" w:name="style-and-timbre"/>
      <w:r>
        <w:t xml:space="preserve">Style and Timbre</w:t>
      </w:r>
      <w:bookmarkEnd w:id="261"/>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2"/>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3" w:name="endless-databases"/>
      <w:r>
        <w:t xml:space="preserve">Endless Databases</w:t>
      </w:r>
      <w:bookmarkEnd w:id="263"/>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4" w:name="database-and-chaos"/>
      <w:r>
        <w:t xml:space="preserve">Database and Chaos</w:t>
      </w:r>
      <w:bookmarkEnd w:id="264"/>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6" w:name="img:lorenz_plotter"/>
      <w:r>
        <w:t xml:space="preserve">[img:lorenz_plotter]</w:t>
      </w:r>
      <w:bookmarkEnd w:id="266"/>
    </w:p>
    <w:p>
      <w:pPr>
        <w:pStyle w:val="BodyText"/>
      </w:pPr>
      <w:r>
        <w:t xml:space="preserve">Plotting of the Lorenz system in Pure Data.</w:t>
      </w:r>
    </w:p>
    <w:p>
      <w:pPr>
        <w:pStyle w:val="Heading5"/>
      </w:pPr>
      <w:bookmarkStart w:id="267" w:name="fractality"/>
      <w:r>
        <w:t xml:space="preserve">Fractality</w:t>
      </w:r>
      <w:bookmarkEnd w:id="267"/>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8" w:name="a-music-work-as-a-singularity"/>
      <w:r>
        <w:t xml:space="preserve">A Music Work as a Singularity</w:t>
      </w:r>
      <w:bookmarkEnd w:id="268"/>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9" w:name="arbitrariness"/>
      <w:r>
        <w:t xml:space="preserve">Arbitrariness</w:t>
      </w:r>
      <w:bookmarkEnd w:id="269"/>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0" w:name="inoperative-style"/>
      <w:r>
        <w:t xml:space="preserve">Inoperative Style</w:t>
      </w:r>
      <w:bookmarkEnd w:id="270"/>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1" w:name="authority"/>
      <w:r>
        <w:t xml:space="preserve">A Specter Of Authority</w:t>
      </w:r>
      <w:bookmarkEnd w:id="27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2" w:name="the-name"/>
      <w:r>
        <w:t xml:space="preserve">The Name</w:t>
      </w:r>
      <w:bookmarkEnd w:id="272"/>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3"/>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4" w:name="dictionaries"/>
      <w:r>
        <w:t xml:space="preserve">Dictionaries</w:t>
      </w:r>
      <w:bookmarkEnd w:id="274"/>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5" w:name="artistry"/>
      <w:r>
        <w:t xml:space="preserve">Artistry</w:t>
      </w:r>
      <w:bookmarkEnd w:id="275"/>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6"/>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7"/>
      </w:r>
    </w:p>
    <w:p>
      <w:pPr>
        <w:pStyle w:val="Heading5"/>
      </w:pPr>
      <w:bookmarkStart w:id="278" w:name="the-work-of-mice"/>
      <w:r>
        <w:t xml:space="preserve">The Work of Mice</w:t>
      </w:r>
      <w:bookmarkEnd w:id="278"/>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9" w:name="section:Rethinking_Composition"/>
      <w:r>
        <w:t xml:space="preserve">Rethinking Composition</w:t>
      </w:r>
      <w:bookmarkEnd w:id="279"/>
    </w:p>
    <w:p>
      <w:pPr>
        <w:pStyle w:val="Heading3"/>
      </w:pPr>
      <w:bookmarkStart w:id="280" w:name="performance"/>
      <w:r>
        <w:t xml:space="preserve">Interlude: Hyperbolic Reactions</w:t>
      </w:r>
      <w:bookmarkEnd w:id="280"/>
    </w:p>
    <w:p>
      <w:pPr>
        <w:pStyle w:val="Heading5"/>
      </w:pPr>
      <w:bookmarkStart w:id="281" w:name="imagining-composers"/>
      <w:r>
        <w:t xml:space="preserve">Imagining Composers</w:t>
      </w:r>
      <w:bookmarkEnd w:id="28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2" w:name="composers-and-technology"/>
      <w:r>
        <w:t xml:space="preserve">Composers and Technology</w:t>
      </w:r>
      <w:bookmarkEnd w:id="282"/>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3" w:name="playing-with-shadows"/>
      <w:r>
        <w:t xml:space="preserve">Playing with Shadows</w:t>
      </w:r>
      <w:bookmarkEnd w:id="28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4" w:name="composers-without-computers"/>
      <w:r>
        <w:t xml:space="preserve">Composers Without Computers</w:t>
      </w:r>
      <w:bookmarkEnd w:id="28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5" w:name="databasing-without-computers"/>
      <w:r>
        <w:t xml:space="preserve">Databasing Without Computers</w:t>
      </w:r>
      <w:bookmarkEnd w:id="28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6" w:name="organic"/>
      <w:r>
        <w:t xml:space="preserve">Working Composition</w:t>
      </w:r>
      <w:bookmarkEnd w:id="28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7" w:name="the-work-problem"/>
      <w:r>
        <w:t xml:space="preserve">The Work Problem</w:t>
      </w:r>
      <w:bookmarkEnd w:id="28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8" w:name="working-rules"/>
      <w:r>
        <w:t xml:space="preserve">Working Rules</w:t>
      </w:r>
      <w:bookmarkEnd w:id="28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9" w:name="a-space-of-difference"/>
      <w:r>
        <w:t xml:space="preserve">A Space of Difference</w:t>
      </w:r>
      <w:bookmarkEnd w:id="28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0"/>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1" w:name="a-severed-work"/>
      <w:r>
        <w:t xml:space="preserve">A Severed Work</w:t>
      </w:r>
      <w:bookmarkEnd w:id="291"/>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2" w:name="absorbption"/>
      <w:r>
        <w:t xml:space="preserve">Absorbption</w:t>
      </w:r>
      <w:bookmarkEnd w:id="292"/>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3" w:name="practice"/>
      <w:r>
        <w:t xml:space="preserve">The Composer As Navigator</w:t>
      </w:r>
      <w:bookmarkEnd w:id="29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4" w:name="querying-the-sieves"/>
      <w:r>
        <w:t xml:space="preserve">Querying the Sieves</w:t>
      </w:r>
      <w:bookmarkEnd w:id="294"/>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5"/>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8"/>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9"/>
      </w:r>
    </w:p>
    <w:p>
      <w:pPr>
        <w:pStyle w:val="Heading5"/>
      </w:pPr>
      <w:bookmarkStart w:id="300" w:name="sound-synthesis-parenthesis"/>
      <w:r>
        <w:t xml:space="preserve">Sound Synthesis Parenthesis</w:t>
      </w:r>
      <w:bookmarkEnd w:id="300"/>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1"/>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3" w:name="algebraic-abstractions-for-freedom"/>
      <w:r>
        <w:t xml:space="preserve">Algebraic Abstractions for Freedom</w:t>
      </w:r>
      <w:bookmarkEnd w:id="303"/>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4" w:name="a-cosmic-vessel-and-an-armchair"/>
      <w:r>
        <w:t xml:space="preserve">A Cosmic Vessel and an Armchair</w:t>
      </w:r>
      <w:bookmarkEnd w:id="304"/>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5"/>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6" w:name="improv"/>
      <w:r>
        <w:t xml:space="preserve">The Database As Performer</w:t>
      </w:r>
      <w:bookmarkEnd w:id="306"/>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7" w:name="the-computer-as-a-musical-instrument"/>
      <w:r>
        <w:t xml:space="preserve">The Computer as a Musical Instrument</w:t>
      </w:r>
      <w:bookmarkEnd w:id="307"/>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8" w:name="a-minor-liberty"/>
      <w:r>
        <w:t xml:space="preserve">A Minor Liberty</w:t>
      </w:r>
      <w:bookmarkEnd w:id="308"/>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9" w:name="the-computer-as-a-player"/>
      <w:r>
        <w:t xml:space="preserve">The Computer as a Player</w:t>
      </w:r>
      <w:bookmarkEnd w:id="309"/>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0" w:name="programming-decisions"/>
      <w:r>
        <w:t xml:space="preserve">Programming Decisions</w:t>
      </w:r>
      <w:bookmarkEnd w:id="310"/>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1" w:name="anachronic-composers"/>
      <w:r>
        <w:t xml:space="preserve">Anachronic Composers</w:t>
      </w:r>
      <w:bookmarkEnd w:id="311"/>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2" w:name="section"/>
      <w:bookmarkEnd w:id="312"/>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3"/>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4" w:name="nonhuman-composers"/>
      <w:r>
        <w:t xml:space="preserve">Nonhuman composers</w:t>
      </w:r>
      <w:bookmarkEnd w:id="314"/>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5" w:name="fractured-works"/>
      <w:r>
        <w:t xml:space="preserve">Fractured Works</w:t>
      </w:r>
      <w:bookmarkEnd w:id="315"/>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6" w:name="databasing-vessel"/>
      <w:r>
        <w:t xml:space="preserve">Databasing Vessel</w:t>
      </w:r>
      <w:bookmarkEnd w:id="316"/>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7" w:name="music"/>
      <w:r>
        <w:t xml:space="preserve">The Severed Object Of Music</w:t>
      </w:r>
      <w:bookmarkEnd w:id="317"/>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8" w:name="an-incomplete-object"/>
      <w:r>
        <w:t xml:space="preserve">An Incomplete Object</w:t>
      </w:r>
      <w:bookmarkEnd w:id="318"/>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9"/>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0" w:name="remains-of-listening"/>
      <w:r>
        <w:t xml:space="preserve">Remains of Listening</w:t>
      </w:r>
      <w:bookmarkEnd w:id="320"/>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1" w:name="sources-and-sorcerers"/>
      <w:r>
        <w:t xml:space="preserve">Sources and Sorcerers</w:t>
      </w:r>
      <w:bookmarkEnd w:id="321"/>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CommentTok"/>
        </w:rPr>
        <w:t xml:space="preserve">#!/bin/bash</w:t>
      </w:r>
      <w:r>
        <w:br w:type="textWrapping"/>
      </w:r>
      <w:r>
        <w:br w:type="textWrapping"/>
      </w:r>
      <w:r>
        <w:rPr>
          <w:rStyle w:val="CommentTok"/>
        </w:rPr>
        <w:t xml:space="preserve"># Palabritas que hacen cosas</w:t>
      </w:r>
      <w:r>
        <w:br w:type="textWrapping"/>
      </w:r>
      <w:r>
        <w:br w:type="textWrapping"/>
      </w:r>
      <w:r>
        <w:rPr>
          <w:rStyle w:val="KeywordTok"/>
        </w:rPr>
        <w:t xml:space="preserve">while</w:t>
      </w:r>
      <w:r>
        <w:rPr>
          <w:rStyle w:val="NormalTok"/>
        </w:rPr>
        <w:t xml:space="preserve"> </w:t>
      </w:r>
      <w:r>
        <w:rPr>
          <w:rStyle w:val="FunctionTok"/>
        </w:rPr>
        <w:t xml:space="preserve">true</w:t>
      </w:r>
      <w:r>
        <w:br w:type="textWrapping"/>
      </w:r>
      <w:r>
        <w:rPr>
          <w:rStyle w:val="KeywordTok"/>
        </w:rPr>
        <w:t xml:space="preserve">do</w:t>
      </w:r>
      <w:r>
        <w:br w:type="textWrapping"/>
      </w:r>
      <w:r>
        <w:rPr>
          <w:rStyle w:val="NormalTok"/>
        </w:rPr>
        <w:t xml:space="preserve">    </w:t>
      </w:r>
      <w:r>
        <w:rPr>
          <w:rStyle w:val="KeywordTok"/>
        </w:rPr>
        <w:t xml:space="preserve">for</w:t>
      </w:r>
      <w:r>
        <w:rPr>
          <w:rStyle w:val="NormalTok"/>
        </w:rPr>
        <w:t xml:space="preserve"> </w:t>
      </w:r>
      <w:r>
        <w:rPr>
          <w:rStyle w:val="ExtensionTok"/>
        </w:rPr>
        <w:t xml:space="preserve">ever</w:t>
      </w:r>
      <w:r>
        <w:rPr>
          <w:rStyle w:val="NormalTok"/>
        </w:rPr>
        <w:t xml:space="preserve"> in rose is a</w:t>
      </w:r>
      <w:r>
        <w:br w:type="textWrapping"/>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ExtensionTok"/>
        </w:rPr>
        <w:t xml:space="preserve">say</w:t>
      </w:r>
      <w:r>
        <w:rPr>
          <w:rStyle w:val="NormalTok"/>
        </w:rPr>
        <w:t xml:space="preserve"> </w:t>
      </w:r>
      <w:r>
        <w:rPr>
          <w:rStyle w:val="VariableTok"/>
        </w:rPr>
        <w:t xml:space="preserve">$ever</w:t>
      </w:r>
      <w:r>
        <w:br w:type="textWrapping"/>
      </w:r>
      <w:r>
        <w:rPr>
          <w:rStyle w:val="NormalTok"/>
        </w:rPr>
        <w:t xml:space="preserve">        </w:t>
      </w:r>
      <w:r>
        <w:rPr>
          <w:rStyle w:val="FunctionTok"/>
        </w:rPr>
        <w:t xml:space="preserve">sleep</w:t>
      </w:r>
      <w:r>
        <w:rPr>
          <w:rStyle w:val="NormalTok"/>
        </w:rPr>
        <w:t xml:space="preserve"> </w:t>
      </w:r>
      <w:r>
        <w:rPr>
          <w:rStyle w:val="VariableTok"/>
        </w:rPr>
        <w:t xml:space="preserve">$((</w:t>
      </w:r>
      <w:r>
        <w:rPr>
          <w:rStyle w:val="NormalTok"/>
        </w:rPr>
        <w:t xml:space="preserve">RANDOM/10000</w:t>
      </w:r>
      <w:r>
        <w:rPr>
          <w:rStyle w:val="VariableTok"/>
        </w:rPr>
        <w:t xml:space="preserve">))</w:t>
      </w:r>
      <w:r>
        <w:br w:type="textWrapping"/>
      </w:r>
      <w:r>
        <w:rPr>
          <w:rStyle w:val="NormalTok"/>
        </w:rPr>
        <w:t xml:space="preserve">    </w:t>
      </w:r>
      <w:r>
        <w:rPr>
          <w:rStyle w:val="KeywordTok"/>
        </w:rPr>
        <w:t xml:space="preserve">done</w:t>
      </w:r>
      <w:r>
        <w:br w:type="textWrapping"/>
      </w:r>
      <w:r>
        <w:rPr>
          <w:rStyle w:val="KeywordTok"/>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2" w:name="naming"/>
      <w:r>
        <w:t xml:space="preserve">Naming</w:t>
      </w:r>
      <w:bookmarkEnd w:id="322"/>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3"/>
      </w:r>
    </w:p>
    <w:p>
      <w:pPr>
        <w:pStyle w:val="Heading5"/>
      </w:pPr>
      <w:bookmarkStart w:id="324" w:name="dynamics"/>
      <w:r>
        <w:t xml:space="preserve">Dynamics</w:t>
      </w:r>
      <w:bookmarkEnd w:id="324"/>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5" w:name="masterwork"/>
      <w:r>
        <w:t xml:space="preserve">Masterwork</w:t>
      </w:r>
      <w:bookmarkEnd w:id="325"/>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6" w:name="architecture-of-obedience"/>
      <w:r>
        <w:t xml:space="preserve">Architecture of Obedience</w:t>
      </w:r>
      <w:bookmarkEnd w:id="326"/>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7" w:name="anarchy"/>
      <w:r>
        <w:t xml:space="preserve">Anarchy And The Unwork</w:t>
      </w:r>
      <w:bookmarkEnd w:id="32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8" w:name="place-in-common"/>
      <w:r>
        <w:t xml:space="preserve">Place in Common</w:t>
      </w:r>
      <w:bookmarkEnd w:id="328"/>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9" w:name="disintegrated-imperative"/>
      <w:r>
        <w:t xml:space="preserve">Disintegrated Imperative</w:t>
      </w:r>
      <w:bookmarkEnd w:id="329"/>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0" w:name="blind-experimentation"/>
      <w:r>
        <w:t xml:space="preserve">Blind Experimentation</w:t>
      </w:r>
      <w:bookmarkEnd w:id="330"/>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1" w:name="doctoring-the-glitch"/>
      <w:r>
        <w:t xml:space="preserve">Doctoring the Glitch</w:t>
      </w:r>
      <w:bookmarkEnd w:id="331"/>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2" w:name="unnecessary-blindfolds"/>
      <w:r>
        <w:t xml:space="preserve">Unnecessary Blindfolds</w:t>
      </w:r>
      <w:bookmarkEnd w:id="332"/>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3" w:name="spectral-remains"/>
      <w:r>
        <w:t xml:space="preserve">Spectral Remains</w:t>
      </w:r>
      <w:bookmarkEnd w:id="333"/>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4" w:name="macroforma"/>
      <w:r>
        <w:t xml:space="preserve">Macroforma</w:t>
      </w:r>
      <w:bookmarkEnd w:id="334"/>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5" w:name="overfitting"/>
      <w:r>
        <w:t xml:space="preserve">Overfitting</w:t>
      </w:r>
      <w:bookmarkEnd w:id="335"/>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6" w:name="worker"/>
      <w:r>
        <w:t xml:space="preserve">[Wip] Work In Progress</w:t>
      </w:r>
      <w:bookmarkEnd w:id="336"/>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7" w:name="chapter:Conclusion"/>
      <w:r>
        <w:t xml:space="preserve">Conclusion</w:t>
      </w:r>
      <w:bookmarkEnd w:id="337"/>
    </w:p>
    <w:p>
      <w:pPr>
        <w:pStyle w:val="FirstParagraph"/>
      </w:pPr>
      <w:r>
        <w:t xml:space="preserve">…</w:t>
      </w:r>
      <w:r>
        <w:t xml:space="preserve"> </w:t>
      </w:r>
      <w:r>
        <w:t xml:space="preserve">placeholder for conclusion abstract</w:t>
      </w:r>
      <w:r>
        <w:t xml:space="preserve"> </w:t>
      </w:r>
      <w:r>
        <w:t xml:space="preserve">…</w:t>
      </w:r>
    </w:p>
    <w:p>
      <w:pPr>
        <w:pStyle w:val="Heading1"/>
      </w:pPr>
      <w:bookmarkStart w:id="338" w:name="chapter:Appendices"/>
      <w:r>
        <w:t xml:space="preserve">Appendices</w:t>
      </w:r>
      <w:bookmarkEnd w:id="338"/>
    </w:p>
    <w:p>
      <w:pPr>
        <w:pStyle w:val="FirstParagraph"/>
      </w:pPr>
      <w:r>
        <w:t xml:space="preserve">abstract of appendices</w:t>
      </w:r>
    </w:p>
    <w:p>
      <w:pPr>
        <w:pStyle w:val="Heading2"/>
      </w:pPr>
      <w:bookmarkStart w:id="339" w:name="X9928d5a4298d9156e673c83842d96a99bfb66d7"/>
      <w:r>
        <w:t xml:space="preserve">DIANA: Database for Image and Audio Navigation</w:t>
      </w:r>
      <w:bookmarkEnd w:id="33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0" w:name="dbmodel"/>
      <w:r>
        <w:t xml:space="preserve">A Database Model</w:t>
      </w:r>
      <w:bookmarkEnd w:id="34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1" w:name="X7616598f194c52ee6f4c09f01c755a7090177ba"/>
      <w:r>
        <w:t xml:space="preserve">ABBY: An Online Environment for Annotated Bibliographies</w:t>
      </w:r>
      <w:bookmarkEnd w:id="341"/>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42" w:name="texdb"/>
      <w:r>
        <w:t xml:space="preserve">A Text Database</w:t>
      </w:r>
      <w:bookmarkEnd w:id="342"/>
    </w:p>
    <w:p>
      <w:pPr>
        <w:pStyle w:val="FirstParagraph"/>
      </w:pPr>
      <w:r>
        <w:t xml:space="preserve">A detailed description of the text database model…</w:t>
      </w:r>
    </w:p>
    <w:bookmarkStart w:id="683" w:name="refs"/>
    <w:bookmarkStart w:id="34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3"/>
    <w:bookmarkStart w:id="34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4"/>
    <w:bookmarkStart w:id="34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5"/>
    <w:bookmarkStart w:id="34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6"/>
    <w:bookmarkStart w:id="34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7"/>
    <w:bookmarkStart w:id="34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8">
        <w:r>
          <w:rPr>
            <w:rStyle w:val="Hyperlink"/>
          </w:rPr>
          <w:t xml:space="preserve">http://www.terasoft.com.tw/conf/ismir2014/proceedings/T014_162_Paper.pdf</w:t>
        </w:r>
      </w:hyperlink>
    </w:p>
    <w:bookmarkEnd w:id="349"/>
    <w:bookmarkStart w:id="35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0"/>
    <w:bookmarkStart w:id="35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1"/>
    <w:bookmarkStart w:id="35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2"/>
    <w:bookmarkStart w:id="3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3"/>
    <w:bookmarkStart w:id="35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4"/>
    <w:bookmarkStart w:id="35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5"/>
    <w:bookmarkStart w:id="35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6"/>
    <w:bookmarkStart w:id="35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7"/>
    <w:bookmarkStart w:id="35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8"/>
    <w:bookmarkStart w:id="359"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9"/>
    <w:bookmarkStart w:id="360" w:name="ref-Bar20:Viv"/>
    <w:p>
      <w:pPr>
        <w:pStyle w:val="Bibliography"/>
      </w:pPr>
      <w:r>
        <w:t xml:space="preserve">Barrett N. 2000b. Viva la selva</w:t>
      </w:r>
    </w:p>
    <w:bookmarkEnd w:id="360"/>
    <w:bookmarkStart w:id="361" w:name="ref-Bar68:Ele"/>
    <w:p>
      <w:pPr>
        <w:pStyle w:val="Bibliography"/>
      </w:pPr>
      <w:r>
        <w:t xml:space="preserve">Barthes R, Lavers A, Smith C. 1968.</w:t>
      </w:r>
      <w:r>
        <w:t xml:space="preserve"> </w:t>
      </w:r>
      <w:r>
        <w:rPr>
          <w:i/>
        </w:rPr>
        <w:t xml:space="preserve">Elements of Semiology</w:t>
      </w:r>
      <w:r>
        <w:t xml:space="preserve">. Hill; Wang, New York. ed.</w:t>
      </w:r>
    </w:p>
    <w:bookmarkEnd w:id="361"/>
    <w:bookmarkStart w:id="362"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2"/>
    <w:bookmarkStart w:id="363"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3"/>
    <w:bookmarkStart w:id="364"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4"/>
    <w:bookmarkStart w:id="366"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5">
        <w:r>
          <w:rPr>
            <w:rStyle w:val="Hyperlink"/>
          </w:rPr>
          <w:t xml:space="preserve">http://www.terasoft.com.tw/conf/ismir2014/proceedings/T028_322_Paper.pdf</w:t>
        </w:r>
      </w:hyperlink>
    </w:p>
    <w:bookmarkEnd w:id="366"/>
    <w:bookmarkStart w:id="367"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7"/>
    <w:bookmarkStart w:id="369"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8">
        <w:r>
          <w:rPr>
            <w:rStyle w:val="Hyperlink"/>
          </w:rPr>
          <w:t xml:space="preserve">http://www.ppgia.pucpr.br/ismir2013/wp-content/uploads/2013/09/177\_Paper.pdf</w:t>
        </w:r>
      </w:hyperlink>
    </w:p>
    <w:bookmarkEnd w:id="369"/>
    <w:bookmarkStart w:id="370"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0"/>
    <w:bookmarkStart w:id="371" w:name="ref-Bor42:Fun"/>
    <w:p>
      <w:pPr>
        <w:pStyle w:val="Bibliography"/>
      </w:pPr>
      <w:r>
        <w:t xml:space="preserve">Borges JL. 1942. Funes el memorioso.</w:t>
      </w:r>
      <w:r>
        <w:t xml:space="preserve"> </w:t>
      </w:r>
      <w:r>
        <w:rPr>
          <w:i/>
        </w:rPr>
        <w:t xml:space="preserve">Ficciones</w:t>
      </w:r>
    </w:p>
    <w:bookmarkEnd w:id="371"/>
    <w:bookmarkStart w:id="372" w:name="ref-Bor95:Rat"/>
    <w:p>
      <w:pPr>
        <w:pStyle w:val="Bibliography"/>
      </w:pPr>
      <w:r>
        <w:t xml:space="preserve">Born G. 1995.</w:t>
      </w:r>
      <w:r>
        <w:t xml:space="preserve"> </w:t>
      </w:r>
      <w:r>
        <w:rPr>
          <w:i/>
        </w:rPr>
        <w:t xml:space="preserve">Rationalizing Culture</w:t>
      </w:r>
      <w:r>
        <w:t xml:space="preserve">. University of California Press. ed.</w:t>
      </w:r>
    </w:p>
    <w:bookmarkEnd w:id="372"/>
    <w:bookmarkStart w:id="37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3"/>
    <w:bookmarkStart w:id="37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4"/>
    <w:bookmarkStart w:id="375"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5"/>
    <w:bookmarkStart w:id="37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6"/>
    <w:bookmarkStart w:id="37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7"/>
    <w:bookmarkStart w:id="37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8"/>
    <w:bookmarkStart w:id="379" w:name="ref-score11manual"/>
    <w:p>
      <w:pPr>
        <w:pStyle w:val="Bibliography"/>
      </w:pPr>
      <w:r>
        <w:t xml:space="preserve">Brinkman AR. 1982. Original version of the score11 manual.</w:t>
      </w:r>
      <w:r>
        <w:t xml:space="preserve"> </w:t>
      </w:r>
      <w:r>
        <w:rPr>
          <w:i/>
        </w:rPr>
        <w:t xml:space="preserve">Score11 Manual</w:t>
      </w:r>
    </w:p>
    <w:bookmarkEnd w:id="379"/>
    <w:bookmarkStart w:id="38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0"/>
    <w:bookmarkStart w:id="38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1"/>
    <w:bookmarkStart w:id="38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2"/>
    <w:bookmarkStart w:id="38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3">
        <w:r>
          <w:rPr>
            <w:rStyle w:val="Hyperlink"/>
          </w:rPr>
          <w:t xml:space="preserve">http://www.nime.org/proceedings/2011/nime2011_387.pdf</w:t>
        </w:r>
      </w:hyperlink>
    </w:p>
    <w:bookmarkEnd w:id="384"/>
    <w:bookmarkStart w:id="38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5">
        <w:r>
          <w:rPr>
            <w:rStyle w:val="Hyperlink"/>
          </w:rPr>
          <w:t xml:space="preserve">http://www.nime.org/proceedings/2009/nime2009_266.pdf</w:t>
        </w:r>
      </w:hyperlink>
    </w:p>
    <w:bookmarkEnd w:id="386"/>
    <w:bookmarkStart w:id="38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7"/>
    <w:bookmarkStart w:id="38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8"/>
    <w:bookmarkStart w:id="38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9"/>
    <w:bookmarkStart w:id="390" w:name="ref-Bux77:Aco"/>
    <w:p>
      <w:pPr>
        <w:pStyle w:val="Bibliography"/>
      </w:pPr>
      <w:r>
        <w:t xml:space="preserve">Buxton W. 1977. A composer’s introduction to computer music.</w:t>
      </w:r>
      <w:r>
        <w:t xml:space="preserve"> </w:t>
      </w:r>
      <w:r>
        <w:rPr>
          <w:i/>
        </w:rPr>
        <w:t xml:space="preserve">Interface</w:t>
      </w:r>
      <w:r>
        <w:t xml:space="preserve">. 6:57–72</w:t>
      </w:r>
    </w:p>
    <w:bookmarkEnd w:id="390"/>
    <w:bookmarkStart w:id="391" w:name="ref-youtube/buxton10"/>
    <w:p>
      <w:pPr>
        <w:pStyle w:val="Bibliography"/>
      </w:pPr>
      <w:r>
        <w:t xml:space="preserve">Buxton W. 2016a. Objed: The sssp sound editing tool.</w:t>
      </w:r>
      <w:r>
        <w:t xml:space="preserve"> </w:t>
      </w:r>
      <w:r>
        <w:rPr>
          <w:i/>
        </w:rPr>
        <w:t xml:space="preserve">Youtube</w:t>
      </w:r>
    </w:p>
    <w:bookmarkEnd w:id="391"/>
    <w:bookmarkStart w:id="39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2"/>
    <w:bookmarkStart w:id="3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3"/>
    <w:bookmarkStart w:id="3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9">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2">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9">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0">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1">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2">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3">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4">
    <w:p>
      <w:pPr>
        <w:pStyle w:val="FootnoteText"/>
      </w:pPr>
      <w:r>
        <w:rPr>
          <w:rStyle w:val="FootnoteReference"/>
        </w:rPr>
        <w:footnoteRef/>
      </w:r>
      <w:r>
        <w:t xml:space="preserve"> </w:t>
      </w:r>
      <w:hyperlink r:id="rId215">
        <w:r>
          <w:rPr>
            <w:rStyle w:val="Hyperlink"/>
          </w:rPr>
          <w:t xml:space="preserve">https://en.wikipedia.org/wiki/Leo_Beranek</w:t>
        </w:r>
      </w:hyperlink>
    </w:p>
  </w:footnote>
  <w:footnote w:id="217">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3">
    <w:p>
      <w:pPr>
        <w:pStyle w:val="FootnoteText"/>
      </w:pPr>
      <w:r>
        <w:rPr>
          <w:rStyle w:val="FootnoteReference"/>
        </w:rPr>
        <w:footnoteRef/>
      </w:r>
      <w:r>
        <w:t xml:space="preserve"> </w:t>
      </w:r>
      <w:hyperlink r:id="rId234">
        <w:r>
          <w:rPr>
            <w:rStyle w:val="Hyperlink"/>
          </w:rPr>
          <w:t xml:space="preserve">https://en.cppreference.com/w/cpp/language/destructor</w:t>
        </w:r>
      </w:hyperlink>
    </w:p>
  </w:footnote>
  <w:footnote w:id="240">
    <w:p>
      <w:pPr>
        <w:pStyle w:val="FootnoteText"/>
      </w:pPr>
      <w:r>
        <w:rPr>
          <w:rStyle w:val="FootnoteReference"/>
        </w:rPr>
        <w:footnoteRef/>
      </w:r>
      <w:r>
        <w:t xml:space="preserve"> </w:t>
      </w:r>
      <w:hyperlink r:id="rId241">
        <w:r>
          <w:rPr>
            <w:rStyle w:val="Hyperlink"/>
          </w:rPr>
          <w:t xml:space="preserve">https://mpc.chs.harvard.edu/</w:t>
        </w:r>
      </w:hyperlink>
    </w:p>
  </w:footnote>
  <w:footnote w:id="242">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2">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3">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6">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7">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0">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5">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6">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7">
        <w:r>
          <w:rPr>
            <w:rStyle w:val="Hyperlink"/>
          </w:rPr>
          <w:t xml:space="preserve">https://en.wikipedia.org/wiki/Dr._Strangelove</w:t>
        </w:r>
      </w:hyperlink>
    </w:p>
  </w:footnote>
  <w:footnote w:id="298">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9">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1">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2">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5">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3">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9">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3">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5" Target="media/rId265.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2019-04-06T20:39:16Z</dcterms:created>
  <dcterms:modified xsi:type="dcterms:W3CDTF">2019-04-06T20:39:16Z</dcterms:modified>
</cp:coreProperties>
</file>

<file path=docProps/custom.xml><?xml version="1.0" encoding="utf-8"?>
<Properties xmlns="http://schemas.openxmlformats.org/officeDocument/2006/custom-properties" xmlns:vt="http://schemas.openxmlformats.org/officeDocument/2006/docPropsVTypes"/>
</file>