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6.png" ContentType="image/png"/>
  <Override PartName="/word/media/rId20.png" ContentType="image/png"/>
  <Override PartName="/word/media/rId206.png" ContentType="image/png"/>
  <Override PartName="/word/media/rId68.png" ContentType="image/png"/>
  <Override PartName="/word/media/rId178.png" ContentType="image/png"/>
  <Override PartName="/word/media/rId268.png" ContentType="image/png"/>
  <Override PartName="/word/media/rId91.png" ContentType="image/png"/>
  <Override PartName="/word/media/rId88.png" ContentType="image/png"/>
  <Override PartName="/word/media/rId71.png" ContentType="image/png"/>
  <Override PartName="/word/media/rId80.png" ContentType="image/png"/>
  <Override PartName="/word/media/rId32.png" ContentType="image/png"/>
  <Override PartName="/word/media/rId143.png" ContentType="image/png"/>
  <Override PartName="/word/media/rId75.png" ContentType="image/png"/>
  <Override PartName="/word/media/rId83.png" ContentType="image/png"/>
  <Override PartName="/word/media/rId97.png" ContentType="image/png"/>
  <Override PartName="/word/media/rId136.png" ContentType="image/png"/>
  <Override PartName="/word/media/rId203.png" ContentType="image/png"/>
  <Override PartName="/word/media/rId20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read-this"/>
      <w:r>
        <w:t xml:space="preserve">Dataloquy (you don’t need to read 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 and ,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wearhouses, repositories,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This dissertation begins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accross the two nodes that compose the focus of this text:</w:t>
      </w:r>
      <w:r>
        <w:t xml:space="preserve"> </w:t>
      </w:r>
      <w:r>
        <w:rPr>
          <w:i/>
        </w:rPr>
        <w:t xml:space="preserve">database and music</w:t>
      </w:r>
      <w:r>
        <w:t xml:space="preserve">. Both nodes have their historical, technical, and aesthetical idiosyncracies.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where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2007a)</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theroy, and the its corresponding exploration witihin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implicatoins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of the clumsiness of a composer in the midst of writing, but that should not discourage neither academic rigor, nor literary thirst. I have thus included an exhaustive bibliography, two interludes, a transcription, and a poslude (work in progress), together with graphs, tables, and some snippets of pseudocode and sometimes working code. In the hope that you will continue reading these p{age,ixel}s, I will (simply) end these remarks.</w:t>
      </w:r>
    </w:p>
    <w:p>
      <w:pPr>
        <w:pStyle w:val="Heading1"/>
      </w:pPr>
      <w:bookmarkStart w:id="27" w:name="chapter:Database_Art"/>
      <w:r>
        <w:t xml:space="preserve">Database Art</w:t>
      </w:r>
      <w:bookmarkEnd w:id="27"/>
    </w:p>
    <w:p>
      <w:pPr>
        <w:pStyle w:val="Heading2"/>
      </w:pPr>
      <w:bookmarkStart w:id="28" w:name="section:The_Database_In_New_Media_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database_aesthetics"/>
      <w:r>
        <w:t xml:space="preserve">Database As Aesthetics</w:t>
      </w:r>
      <w:bookmarkEnd w:id="40"/>
    </w:p>
    <w:p>
      <w:pPr>
        <w:pStyle w:val="FirstParagraph"/>
      </w:pPr>
      <w:r>
        <w:t xml:space="preserve">The Internet is a place of unlimited access, it is a database in continuous and exponential growth, that reconfigures the grounds on which art has traditionally been built on. One of these grounds is the role of the author. The collaborative approach in the work of media artist Sharon Daniel</w:t>
      </w:r>
      <w:r>
        <w:t xml:space="preserve"> </w:t>
      </w:r>
      <w:r>
        <w:t xml:space="preserve">(Daniel 2007)</w:t>
      </w:r>
      <w:r>
        <w:t xml:space="preserve">, is an example of a different kind of authorial reconfiguration. Daniel raises questions about authority and politics in collaborative art by means of a social model based on the concepts of emergence and</w:t>
      </w:r>
      <w:r>
        <w:t xml:space="preserve"> </w:t>
      </w:r>
      <w:r>
        <w:rPr>
          <w:i/>
        </w:rPr>
        <w:t xml:space="preserve">cellular automata</w:t>
      </w:r>
      <w:r>
        <w:t xml:space="preserve">. Cellular automata are systems that reveal emergent (global) behavior from (local) rules. That is to say, each automaton changes states according to its surrounding neighborhood, resulting on an emergent behavior on the global level that precludes top-down behavior. Brought to the social plane, cellular automata result in an inverted hierarchic system: instead of a top-down authority, there exists an emergent, bottom-up behavior. Daniel thus removes her authorial role as artist granting participants a shared authority with the work itself at every stage. Differing from Klein’s blurring of the authorial roles, Sharon’s participants engage in performative actions that shape the outcome of the artwork in ways she could not anticipate. Therefore, authority is decentered, that is, it does not sediment itself in a single unity.</w:t>
      </w:r>
    </w:p>
    <w:p>
      <w:pPr>
        <w:pStyle w:val="Heading3"/>
      </w:pPr>
      <w:bookmarkStart w:id="41" w:name="generated"/>
      <w:r>
        <w:t xml:space="preserve">Databasing: Database As Performance</w:t>
      </w:r>
      <w:bookmarkEnd w:id="41"/>
    </w:p>
    <w:p>
      <w:pPr>
        <w:pStyle w:val="BlockText"/>
      </w:pPr>
      <w:r>
        <w:t xml:space="preserve">Data creators have to collect data and organize it, or create it from scratch. Texts need to be written, photographs need to be taken, video and audio need to be recorded. Or they need to be digitized from already existing media…Once digitized, the data has to be cleaned up, organized, and indexed.</w:t>
      </w:r>
      <w:r>
        <w:t xml:space="preserve"> </w:t>
      </w:r>
      <w:r>
        <w:t xml:space="preserve">(Manovich 2001, p. 224)</w:t>
      </w:r>
    </w:p>
    <w:p>
      <w:pPr>
        <w:pStyle w:val="FirstParagraph"/>
      </w:pPr>
      <w:r>
        <w:t xml:space="preserve">Despite Manovich’s technologically determined considerations of the database as form, he notes a fundamental aspect of the use of the database when he expresses that data need to be generated</w:t>
      </w:r>
      <w:r>
        <w:t xml:space="preserve"> </w:t>
      </w:r>
      <w:r>
        <w:t xml:space="preserve">(Manovich 2001, p. 224)</w:t>
      </w:r>
      <w:r>
        <w:t xml:space="preserve">. In this sense, he begins to describe the actions that need to be performed around data, or what I call databasing (See</w:t>
      </w:r>
      <w:r>
        <w:t xml:space="preserve"> </w:t>
      </w:r>
      <w:hyperlink w:anchor="databasing">
        <w:r>
          <w:rPr>
            <w:rStyle w:val="Hyperlink"/>
          </w:rPr>
          <w:t xml:space="preserve">4.2.1</w:t>
        </w:r>
      </w:hyperlink>
      <w:r>
        <w:t xml:space="preserve">), which connotes the use of databases in terms of their performativity.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which I reinterpret here as a single subroutine with one argument for input: the world (See Listing</w:t>
      </w:r>
      <w:r>
        <w:t xml:space="preserve"> </w:t>
      </w:r>
      <w:hyperlink w:anchor="lst:manovich">
        <w:r>
          <w:rPr>
            <w:rStyle w:val="Hyperlink"/>
          </w:rPr>
          <w:t xml:space="preserve">[lst:manovich]</w:t>
        </w:r>
      </w:hyperlink>
      <w:r>
        <w:t xml:space="preserve">). Following this line of thought, artist Victoria Vesna</w:t>
      </w:r>
      <w:r>
        <w:t xml:space="preserve"> </w:t>
      </w:r>
      <w:r>
        <w:t xml:space="preserve">(Vesna 2007b)</w:t>
      </w:r>
      <w:r>
        <w:t xml:space="preserve"> </w:t>
      </w:r>
      <w:r>
        <w:t xml:space="preserve">argues that creating a memory bank is a means of testifying to our existence</w:t>
      </w:r>
      <w:r>
        <w:t xml:space="preserve"> </w:t>
      </w:r>
      <w:r>
        <w:t xml:space="preserve">(Vesna 2007b, p. 25)</w:t>
      </w:r>
      <w:r>
        <w:t xml:space="preserve">.</w:t>
      </w:r>
    </w:p>
    <w:bookmarkStart w:id="42" w:name="lst:manovich"/>
    <w:p>
      <w:pPr>
        <w:pStyle w:val="SourceCode"/>
      </w:pPr>
      <w:r>
        <w:rPr>
          <w:rStyle w:val="VerbatimChar"/>
        </w:rPr>
        <w:t xml:space="preserve">function new_cultural_algorithm(world) </w:t>
      </w:r>
      <w:r>
        <w:br w:type="textWrapping"/>
      </w:r>
      <w:r>
        <w:rPr>
          <w:rStyle w:val="VerbatimChar"/>
        </w:rPr>
        <w:t xml:space="preserve">{</w:t>
      </w:r>
      <w:r>
        <w:br w:type="textWrapping"/>
      </w:r>
      <w:r>
        <w:rPr>
          <w:rStyle w:val="VerbatimChar"/>
        </w:rPr>
        <w:t xml:space="preserve">    database = data = media = world</w:t>
      </w:r>
      <w:r>
        <w:br w:type="textWrapping"/>
      </w:r>
      <w:r>
        <w:rPr>
          <w:rStyle w:val="VerbatimChar"/>
        </w:rPr>
        <w:t xml:space="preserve">    return database</w:t>
      </w:r>
      <w:r>
        <w:br w:type="textWrapping"/>
      </w:r>
      <w:r>
        <w:rPr>
          <w:rStyle w:val="VerbatimChar"/>
        </w:rPr>
        <w:t xml:space="preserve">}</w:t>
      </w:r>
    </w:p>
    <w:bookmarkEnd w:id="42"/>
    <w:p>
      <w:pPr>
        <w:pStyle w:val="FirstParagraph"/>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w:t>
      </w:r>
    </w:p>
    <w:p>
      <w:pPr>
        <w:pStyle w:val="Heading2"/>
      </w:pPr>
      <w:bookmarkStart w:id="43" w:name="Xdc6db904ad977d5b954cf3c9c455f3f4fa43e5b"/>
      <w:r>
        <w:t xml:space="preserve">Databasing And The History Of Databases</w:t>
      </w:r>
      <w:bookmarkEnd w:id="43"/>
    </w:p>
    <w:p>
      <w:pPr>
        <w:pStyle w:val="Heading3"/>
      </w:pPr>
      <w:bookmarkStart w:id="44" w:name="databasing"/>
      <w:r>
        <w:t xml:space="preserve">Databasing: The Performance Of The Database</w:t>
      </w:r>
      <w:bookmarkEnd w:id="4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45" w:name="data-types-and-structures"/>
      <w:r>
        <w:t xml:space="preserve">Data types and structures</w:t>
      </w:r>
      <w:bookmarkEnd w:id="4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4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46"/>
    <w:p>
      <w:pPr>
        <w:pStyle w:val="Heading4"/>
      </w:pPr>
      <w:bookmarkStart w:id="47" w:name="temporality-of-databasing"/>
      <w:r>
        <w:t xml:space="preserve">Temporality of Databasing</w:t>
      </w:r>
      <w:bookmarkEnd w:id="4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48" w:name="databasing-and-writing"/>
      <w:r>
        <w:t xml:space="preserve">Databasing and Writing</w:t>
      </w:r>
      <w:bookmarkEnd w:id="48"/>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4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49"/>
    <w:p>
      <w:pPr>
        <w:pStyle w:val="Heading4"/>
      </w:pPr>
      <w:bookmarkStart w:id="50" w:name="the-von-neumann-architecture"/>
      <w:r>
        <w:t xml:space="preserve">The Von Neumann Architecture</w:t>
      </w:r>
      <w:bookmarkEnd w:id="5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1" w:name="programming"/>
      <w:r>
        <w:t xml:space="preserve">A Database Tree</w:t>
      </w:r>
      <w:bookmarkEnd w:id="5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4.2</w:t>
        </w:r>
      </w:hyperlink>
      <w:r>
        <w:t xml:space="preserve">), starting from basic data structures to more elaborate database systems, and then present a brief history of how databases were designed.</w:t>
      </w:r>
    </w:p>
    <w:p>
      <w:pPr>
        <w:pStyle w:val="CaptionedFigure"/>
      </w:pPr>
      <w:bookmarkStart w:id="52" w:name="img:dbtree"/>
      <w:r>
        <w:drawing>
          <wp:inline>
            <wp:extent cx="5334000" cy="5887267"/>
            <wp:effectExtent b="0" l="0" r="0" t="0"/>
            <wp:docPr descr=" A very simple sketch of a tree representing the database tree of computer evolution "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2"/>
    </w:p>
    <w:p>
      <w:pPr>
        <w:pStyle w:val="ImageCaption"/>
      </w:pPr>
      <w:r>
        <w:t xml:space="preserve"> </w:t>
      </w:r>
      <w:r>
        <w:t xml:space="preserve">A very simple sketch of a tree representing the database tree of computer evolution</w:t>
      </w:r>
      <w:r>
        <w:t xml:space="preserve"> </w:t>
      </w:r>
    </w:p>
    <w:p>
      <w:pPr>
        <w:pStyle w:val="BodyText"/>
      </w:pPr>
      <w:r>
        <w:t xml:space="preserve">0.4</w:t>
      </w:r>
    </w:p>
    <w:p>
      <w:pPr>
        <w:pStyle w:val="Heading5"/>
      </w:pPr>
      <w:bookmarkStart w:id="53" w:name="ground"/>
      <w:r>
        <w:t xml:space="preserve">Ground</w:t>
      </w:r>
      <w:bookmarkEnd w:id="5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54" w:name="roots"/>
      <w:r>
        <w:t xml:space="preserve">Roots</w:t>
      </w:r>
      <w:bookmarkEnd w:id="54"/>
    </w:p>
    <w:p>
      <w:pPr>
        <w:pStyle w:val="FirstParagraph"/>
      </w:pPr>
      <w:r>
        <w:t xml:space="preserve">The below-ground level is accessed through machine and assembly code, which constitutes the core of low-level programming languages and are, to a certain extent, humanly un-readable: the world of bits. Above the ground, readability by humans is the main feature.</w:t>
      </w:r>
    </w:p>
    <w:p>
      <w:pPr>
        <w:pStyle w:val="Heading5"/>
      </w:pPr>
      <w:bookmarkStart w:id="55" w:name="portability"/>
      <w:r>
        <w:t xml:space="preserve">Macros</w:t>
      </w:r>
      <w:bookmarkEnd w:id="5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grounds.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56" w:name="trunk"/>
      <w:r>
        <w:t xml:space="preserve">Trunk</w:t>
      </w:r>
      <w:bookmarkEnd w:id="5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57" w:name="branches"/>
      <w:r>
        <w:t xml:space="preserve">Branches</w:t>
      </w:r>
      <w:bookmarkEnd w:id="5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58" w:name="twigs"/>
      <w:r>
        <w:t xml:space="preserve">Twigs</w:t>
      </w:r>
      <w:bookmarkEnd w:id="5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59" w:name="leaves"/>
      <w:r>
        <w:t xml:space="preserve">Leaves</w:t>
      </w:r>
      <w:bookmarkEnd w:id="5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generally used in businesses for data processing and editing, for example:</w:t>
      </w:r>
      <w:r>
        <w:t xml:space="preserve"> </w:t>
      </w:r>
      <w:r>
        <w:t xml:space="preserve">mysql</w:t>
      </w:r>
      <w:r>
        <w:t xml:space="preserve">,</w:t>
      </w:r>
      <w:r>
        <w:t xml:space="preserve"> </w:t>
      </w:r>
      <w:r>
        <w:t xml:space="preserve">postgresql</w:t>
      </w:r>
      <w:r>
        <w:t xml:space="preserve">,</w:t>
      </w:r>
      <w:r>
        <w:t xml:space="preserve"> </w:t>
      </w:r>
      <w:r>
        <w:t xml:space="preserve">nosql</w:t>
      </w:r>
      <w:r>
        <w:t xml:space="preserve">,</w:t>
      </w:r>
      <w:r>
        <w:t xml:space="preserve"> </w:t>
      </w:r>
      <w:r>
        <w:t xml:space="preserve">couchdb</w:t>
      </w:r>
      <w:r>
        <w:t xml:space="preserve"> </w:t>
      </w:r>
      <w:r>
        <w:t xml:space="preserve">and</w:t>
      </w:r>
      <w:r>
        <w:t xml:space="preserve"> </w:t>
      </w:r>
      <w:r>
        <w:t xml:space="preserve">mongodb</w:t>
      </w:r>
      <w:r>
        <w:t xml:space="preserve">.</w:t>
      </w:r>
    </w:p>
    <w:p>
      <w:pPr>
        <w:pStyle w:val="Heading5"/>
      </w:pPr>
      <w:bookmarkStart w:id="60" w:name="networks"/>
      <w:r>
        <w:t xml:space="preserve">Networks</w:t>
      </w:r>
      <w:bookmarkEnd w:id="6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1" w:name="clouds"/>
      <w:r>
        <w:t xml:space="preserve">Clouds</w:t>
      </w:r>
      <w:bookmarkEnd w:id="6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2" w:name="models"/>
      <w:r>
        <w:t xml:space="preserve">The Realm Of Data Structures</w:t>
      </w:r>
      <w:bookmarkEnd w:id="6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63" w:name="array-data-structure"/>
      <w:r>
        <w:t xml:space="preserve">Array data structure</w:t>
      </w:r>
      <w:bookmarkEnd w:id="6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64" w:name="computer:linked"/>
      <w:r>
        <w:t xml:space="preserve">Linked Lists</w:t>
      </w:r>
      <w:bookmarkEnd w:id="6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65" w:name="computer:audacity"/>
      <w:r>
        <w:t xml:space="preserve">Sequences</w:t>
      </w:r>
      <w:bookmarkEnd w:id="6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66" w:name="descriptions"/>
      <w:r>
        <w:t xml:space="preserve">A Brief History Of Database Models</w:t>
      </w:r>
      <w:bookmarkEnd w:id="6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67" w:name="model:hierarchical"/>
      <w:r>
        <w:t xml:space="preserve">Hierarchical</w:t>
      </w:r>
      <w:bookmarkEnd w:id="67"/>
    </w:p>
    <w:p>
      <w:pPr>
        <w:pStyle w:val="CaptionedFigure"/>
      </w:pPr>
      <w:bookmarkStart w:id="6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68"/>
                    <a:stretch>
                      <a:fillRect/>
                    </a:stretch>
                  </pic:blipFill>
                  <pic:spPr bwMode="auto">
                    <a:xfrm>
                      <a:off x="0" y="0"/>
                      <a:ext cx="2692400" cy="1866900"/>
                    </a:xfrm>
                    <a:prstGeom prst="rect">
                      <a:avLst/>
                    </a:prstGeom>
                    <a:noFill/>
                    <a:ln w="9525">
                      <a:noFill/>
                      <a:headEnd/>
                      <a:tailEnd/>
                    </a:ln>
                  </pic:spPr>
                </pic:pic>
              </a:graphicData>
            </a:graphic>
          </wp:inline>
        </w:drawing>
      </w:r>
      <w:bookmarkEnd w:id="6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0" w:name="model:network"/>
      <w:r>
        <w:t xml:space="preserve">Network</w:t>
      </w:r>
      <w:bookmarkEnd w:id="70"/>
    </w:p>
    <w:p>
      <w:pPr>
        <w:pStyle w:val="CaptionedFigure"/>
      </w:pPr>
      <w:bookmarkStart w:id="7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1"/>
                    <a:stretch>
                      <a:fillRect/>
                    </a:stretch>
                  </pic:blipFill>
                  <pic:spPr bwMode="auto">
                    <a:xfrm>
                      <a:off x="0" y="0"/>
                      <a:ext cx="2298700" cy="2552700"/>
                    </a:xfrm>
                    <a:prstGeom prst="rect">
                      <a:avLst/>
                    </a:prstGeom>
                    <a:noFill/>
                    <a:ln w="9525">
                      <a:noFill/>
                      <a:headEnd/>
                      <a:tailEnd/>
                    </a:ln>
                  </pic:spPr>
                </pic:pic>
              </a:graphicData>
            </a:graphic>
          </wp:inline>
        </w:drawing>
      </w:r>
      <w:bookmarkEnd w:id="7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hiearachical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73" w:name="navigational-paradigm"/>
      <w:r>
        <w:t xml:space="preserve">Navigational Paradigm</w:t>
      </w:r>
      <w:bookmarkEnd w:id="7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hierarchicalstructure, they can be accessed using this navigational paradigm.</w:t>
      </w:r>
    </w:p>
    <w:p>
      <w:pPr>
        <w:pStyle w:val="Heading4"/>
      </w:pPr>
      <w:bookmarkStart w:id="74" w:name="model:relational"/>
      <w:r>
        <w:t xml:space="preserve">Relational</w:t>
      </w:r>
      <w:bookmarkEnd w:id="74"/>
    </w:p>
    <w:p>
      <w:pPr>
        <w:pStyle w:val="CaptionedFigure"/>
      </w:pPr>
      <w:bookmarkStart w:id="7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75"/>
                    <a:stretch>
                      <a:fillRect/>
                    </a:stretch>
                  </pic:blipFill>
                  <pic:spPr bwMode="auto">
                    <a:xfrm>
                      <a:off x="0" y="0"/>
                      <a:ext cx="2540000" cy="1676400"/>
                    </a:xfrm>
                    <a:prstGeom prst="rect">
                      <a:avLst/>
                    </a:prstGeom>
                    <a:noFill/>
                    <a:ln w="9525">
                      <a:noFill/>
                      <a:headEnd/>
                      <a:tailEnd/>
                    </a:ln>
                  </pic:spPr>
                </pic:pic>
              </a:graphicData>
            </a:graphic>
          </wp:inline>
        </w:drawing>
      </w:r>
      <w:bookmarkEnd w:id="7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In recent years, object relational database have emerged such as</w:t>
      </w:r>
      <w:r>
        <w:t xml:space="preserve"> </w:t>
      </w:r>
      <w:r>
        <w:t xml:space="preserve">sqlobject</w:t>
      </w:r>
      <w:r>
        <w:t xml:space="preserve">, intepreting relations as classes in the object-oriented programming paradigm.</w:t>
      </w:r>
    </w:p>
    <w:p>
      <w:pPr>
        <w:pStyle w:val="Heading4"/>
      </w:pPr>
      <w:bookmarkStart w:id="77" w:name="model:nonrelational"/>
      <w:r>
        <w:t xml:space="preserve">Non-Relational</w:t>
      </w:r>
      <w:bookmarkEnd w:id="77"/>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w:t>
      </w:r>
      <w:r>
        <w:t xml:space="preserve"> </w:t>
      </w:r>
      <w:r>
        <w:t xml:space="preserve">yaml</w:t>
      </w:r>
      <w:r>
        <w:t xml:space="preserve">, and</w:t>
      </w:r>
      <w:r>
        <w:t xml:space="preserve"> </w:t>
      </w:r>
      <w:r>
        <w:t xml:space="preserve">json</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78" w:name="model:graph"/>
      <w:r>
        <w:t xml:space="preserve">Graph</w:t>
      </w:r>
      <w:bookmarkEnd w:id="7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Kyma, among others, present their objects as a directed graph on a canvas.</w:t>
      </w:r>
    </w:p>
    <w:p>
      <w:pPr>
        <w:pStyle w:val="Heading4"/>
      </w:pPr>
      <w:bookmarkStart w:id="79" w:name="model:object"/>
      <w:r>
        <w:t xml:space="preserve">Object</w:t>
      </w:r>
      <w:bookmarkEnd w:id="79"/>
    </w:p>
    <w:p>
      <w:pPr>
        <w:pStyle w:val="CaptionedFigure"/>
      </w:pPr>
      <w:bookmarkStart w:id="8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0"/>
                    <a:stretch>
                      <a:fillRect/>
                    </a:stretch>
                  </pic:blipFill>
                  <pic:spPr bwMode="auto">
                    <a:xfrm>
                      <a:off x="0" y="0"/>
                      <a:ext cx="3073400" cy="3111500"/>
                    </a:xfrm>
                    <a:prstGeom prst="rect">
                      <a:avLst/>
                    </a:prstGeom>
                    <a:noFill/>
                    <a:ln w="9525">
                      <a:noFill/>
                      <a:headEnd/>
                      <a:tailEnd/>
                    </a:ln>
                  </pic:spPr>
                </pic:pic>
              </a:graphicData>
            </a:graphic>
          </wp:inline>
        </w:drawing>
      </w:r>
      <w:bookmarkEnd w:id="8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2" w:name="model:semistructured"/>
      <w:r>
        <w:t xml:space="preserve">Semi-structured</w:t>
      </w:r>
      <w:bookmarkEnd w:id="82"/>
    </w:p>
    <w:p>
      <w:pPr>
        <w:pStyle w:val="CaptionedFigure"/>
      </w:pPr>
      <w:bookmarkStart w:id="8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83"/>
                    <a:stretch>
                      <a:fillRect/>
                    </a:stretch>
                  </pic:blipFill>
                  <pic:spPr bwMode="auto">
                    <a:xfrm>
                      <a:off x="0" y="0"/>
                      <a:ext cx="5334000" cy="2873505"/>
                    </a:xfrm>
                    <a:prstGeom prst="rect">
                      <a:avLst/>
                    </a:prstGeom>
                    <a:noFill/>
                    <a:ln w="9525">
                      <a:noFill/>
                      <a:headEnd/>
                      <a:tailEnd/>
                    </a:ln>
                  </pic:spPr>
                </pic:pic>
              </a:graphicData>
            </a:graphic>
          </wp:inline>
        </w:drawing>
      </w:r>
      <w:bookmarkEnd w:id="8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w:t>
      </w:r>
    </w:p>
    <w:p>
      <w:pPr>
        <w:pStyle w:val="Heading4"/>
      </w:pPr>
      <w:bookmarkStart w:id="85" w:name="model:puredata"/>
      <w:r>
        <w:t xml:space="preserve">Pure Data as Database System</w:t>
      </w:r>
      <w:bookmarkEnd w:id="8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8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General Electric;</w:t>
            </w:r>
            <w:r>
              <w:t xml:space="preserve"> </w:t>
            </w:r>
            <w:r>
              <w:t xml:space="preserve">hp</w:t>
            </w:r>
            <w:r>
              <w:t xml:space="preserve">;</w:t>
            </w:r>
            <w:r>
              <w:t xml:space="preserve"> </w:t>
            </w:r>
            <w:r>
              <w:t xml:space="preserve">unisys</w:t>
            </w:r>
            <w:r>
              <w:t xml:space="preserve"> </w:t>
            </w:r>
            <w:r>
              <w:t xml:space="preserve"> </w:t>
            </w:r>
          </w:p>
        </w:tc>
        <w:tc>
          <w:p>
            <w:pPr>
              <w:pStyle w:val="Compact"/>
              <w:jc w:val="left"/>
            </w:pPr>
            <w:r>
              <w:t xml:space="preserve">ids</w:t>
            </w:r>
            <w:r>
              <w:t xml:space="preserve">;</w:t>
            </w:r>
            <w:r>
              <w:t xml:space="preserve"> </w:t>
            </w:r>
            <w:r>
              <w:t xml:space="preserve">idms</w:t>
            </w:r>
            <w:r>
              <w:t xml:space="preserve">;</w:t>
            </w:r>
            <w:r>
              <w:t xml:space="preserve"> </w:t>
            </w:r>
            <w:r>
              <w:t xml:space="preserve">rdm</w:t>
            </w:r>
            <w:r>
              <w:t xml:space="preserve">;</w:t>
            </w:r>
            <w:r>
              <w:t xml:space="preserve"> </w:t>
            </w:r>
            <w:r>
              <w:t xml:space="preserve">turboimage</w:t>
            </w:r>
            <w:r>
              <w:t xml:space="preserve">;</w:t>
            </w:r>
            <w:r>
              <w:t xml:space="preserve"> </w:t>
            </w:r>
            <w:r>
              <w:t xml:space="preserve">os_2200</w:t>
            </w:r>
            <w:r>
              <w:t xml:space="preserve">;</w:t>
            </w:r>
            <w:r>
              <w:t xml:space="preserve"> </w:t>
            </w:r>
            <w:r>
              <w:t xml:space="preserve">nosql</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w:t>
            </w:r>
            <w:r>
              <w:t xml:space="preserve"> </w:t>
            </w:r>
            <w:r>
              <w:t xml:space="preserve">sparsity</w:t>
            </w:r>
            <w:r>
              <w:t xml:space="preserve">;  </w:t>
            </w:r>
          </w:p>
        </w:tc>
        <w:tc>
          <w:p>
            <w:pPr>
              <w:pStyle w:val="Compact"/>
              <w:jc w:val="left"/>
            </w:pPr>
            <w:r>
              <w:t xml:space="preserve">mongodb</w:t>
            </w:r>
            <w:r>
              <w:t xml:space="preserve">;</w:t>
            </w:r>
            <w:r>
              <w:t xml:space="preserve"> </w:t>
            </w:r>
            <w:r>
              <w:t xml:space="preserve">redis</w:t>
            </w:r>
            <w:r>
              <w:t xml:space="preserve">;</w:t>
            </w:r>
            <w:r>
              <w:t xml:space="preserve"> </w:t>
            </w:r>
            <w:r>
              <w:t xml:space="preserve">cassandra</w:t>
            </w:r>
            <w:r>
              <w:t xml:space="preserve">;</w:t>
            </w:r>
            <w:r>
              <w:t xml:space="preserve"> </w:t>
            </w:r>
            <w:r>
              <w:t xml:space="preserve">sparksee</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w:t>
            </w:r>
            <w:r>
              <w:t xml:space="preserve"> </w:t>
            </w:r>
            <w:r>
              <w:t xml:space="preserve">oracle</w:t>
            </w:r>
            <w:r>
              <w:t xml:space="preserve">;</w:t>
            </w:r>
            <w:r>
              <w:t xml:space="preserve"> </w:t>
            </w:r>
            <w:r>
              <w:t xml:space="preserve">postgresql</w:t>
            </w:r>
            <w:r>
              <w:t xml:space="preserve">;</w:t>
            </w:r>
            <w:r>
              <w:t xml:space="preserve"> </w:t>
            </w:r>
            <w:r>
              <w:t xml:space="preserve">access</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w:t>
            </w:r>
            <w:r>
              <w:t xml:space="preserve"> </w:t>
            </w:r>
            <w:r>
              <w:t xml:space="preserve">apache</w:t>
            </w:r>
            <w:r>
              <w:t xml:space="preserve">; Amazon  </w:t>
            </w:r>
          </w:p>
        </w:tc>
        <w:tc>
          <w:p>
            <w:pPr>
              <w:pStyle w:val="Compact"/>
              <w:jc w:val="left"/>
            </w:pPr>
            <w:r>
              <w:t xml:space="preserve">neo4j</w:t>
            </w:r>
            <w:r>
              <w:t xml:space="preserve">; Oracle Spatial and Graph;</w:t>
            </w:r>
            <w:r>
              <w:t xml:space="preserve"> </w:t>
            </w:r>
            <w:r>
              <w:t xml:space="preserve">arangodb</w:t>
            </w:r>
            <w:r>
              <w:t xml:space="preserve">; Amazon Neptune;</w:t>
            </w:r>
            <w:r>
              <w:t xml:space="preserve"> </w:t>
            </w:r>
            <w:r>
              <w:t xml:space="preserve">boost</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smalltalk</w:t>
            </w:r>
            <w:r>
              <w:t xml:space="preserve">); Gbase (</w:t>
            </w:r>
            <w:r>
              <w:t xml:space="preserve">lisp</w:t>
            </w:r>
            <w:r>
              <w:t xml:space="preserve">);</w:t>
            </w:r>
            <w:r>
              <w:t xml:space="preserve"> </w:t>
            </w:r>
            <w:r>
              <w:t xml:space="preserve">couchdb</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w:t>
            </w:r>
            <w:r>
              <w:t xml:space="preserve"> </w:t>
            </w:r>
            <w:r>
              <w:t xml:space="preserve">sap_hana</w:t>
            </w:r>
            <w:r>
              <w:t xml:space="preserve">; EXASolution; WebDNA</w:t>
            </w:r>
          </w:p>
        </w:tc>
      </w:tr>
    </w:tbl>
    <w:p>
      <w:pPr>
        <w:pStyle w:val="Heading2"/>
      </w:pPr>
      <w:bookmarkStart w:id="87" w:name="Xec68453c8cc129b4ce436d3f67f46ba702f92a5"/>
      <w:r>
        <w:t xml:space="preserve">Databasing Sound: Applications Of Databases In Sound</w:t>
      </w:r>
      <w:bookmarkEnd w:id="8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8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89" w:name="img:mir_comp_sonif_interaction"/>
      <w:r>
        <w:t xml:space="preserve">[img:mir_comp_sonif_interaction]</w:t>
      </w:r>
      <w:bookmarkEnd w:id="8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sheding some light to this inherent aspect of computers we can arrive at a clearer notion of how databases sound. Praticularly,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sonification, and computer music.</w:t>
      </w:r>
    </w:p>
    <w:p>
      <w:pPr>
        <w:pStyle w:val="Heading3"/>
      </w:pPr>
      <w:bookmarkStart w:id="90" w:name="mir"/>
      <w:r>
        <w:t xml:space="preserve">Music Information Retrieval</w:t>
      </w:r>
      <w:bookmarkEnd w:id="90"/>
    </w:p>
    <w:p>
      <w:pPr>
        <w:pStyle w:val="FirstParagraph"/>
      </w:pPr>
      <w:r>
        <w:t xml:space="preserve">In</w:t>
      </w:r>
      <w:r>
        <w:t xml:space="preserve"> </w:t>
      </w:r>
      <w:r>
        <w:t xml:space="preserve">mir</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1"/>
                    <a:stretch>
                      <a:fillRect/>
                    </a:stretch>
                  </pic:blipFill>
                  <pic:spPr bwMode="auto">
                    <a:xfrm>
                      <a:off x="0" y="0"/>
                      <a:ext cx="2743200" cy="1435100"/>
                    </a:xfrm>
                    <a:prstGeom prst="rect">
                      <a:avLst/>
                    </a:prstGeom>
                    <a:noFill/>
                    <a:ln w="9525">
                      <a:noFill/>
                      <a:headEnd/>
                      <a:tailEnd/>
                    </a:ln>
                  </pic:spPr>
                </pic:pic>
              </a:graphicData>
            </a:graphic>
          </wp:inline>
        </w:drawing>
      </w:r>
      <w:bookmarkEnd w:id="9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’s</w:t>
      </w:r>
      <w:r>
        <w:t xml:space="preserve"> </w:t>
      </w:r>
      <w:r>
        <w:t xml:space="preserve">telemeta</w:t>
      </w:r>
      <w:r>
        <w:t xml:space="preserve">, both collaborative database systems: the first two for general sound file sharing and classification, the latter for ethno-musicological pursposes.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9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9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96" w:name="sonification"/>
      <w:r>
        <w:t xml:space="preserve">Sonification</w:t>
      </w:r>
      <w:bookmarkEnd w:id="96"/>
    </w:p>
    <w:p>
      <w:pPr>
        <w:pStyle w:val="CaptionedFigure"/>
      </w:pPr>
      <w:bookmarkStart w:id="9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97"/>
                    <a:stretch>
                      <a:fillRect/>
                    </a:stretch>
                  </pic:blipFill>
                  <pic:spPr bwMode="auto">
                    <a:xfrm>
                      <a:off x="0" y="0"/>
                      <a:ext cx="2019300" cy="1879600"/>
                    </a:xfrm>
                    <a:prstGeom prst="rect">
                      <a:avLst/>
                    </a:prstGeom>
                    <a:noFill/>
                    <a:ln w="9525">
                      <a:noFill/>
                      <a:headEnd/>
                      <a:tailEnd/>
                    </a:ln>
                  </pic:spPr>
                </pic:pic>
              </a:graphicData>
            </a:graphic>
          </wp:inline>
        </w:drawing>
      </w:r>
      <w:bookmarkEnd w:id="9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9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0" w:name="sonification:parametermapping"/>
      <w:r>
        <w:t xml:space="preserve">Parameter mapping</w:t>
      </w:r>
      <w:bookmarkEnd w:id="100"/>
    </w:p>
    <w:p>
      <w:pPr>
        <w:pStyle w:val="Heading5"/>
      </w:pPr>
      <w:bookmarkStart w:id="101" w:name="dow"/>
      <w:r>
        <w:t xml:space="preserve">DOW</w:t>
      </w:r>
      <w:bookmarkEnd w:id="10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2"/>
      </w:r>
    </w:p>
    <w:p>
      <w:pPr>
        <w:pStyle w:val="Heading5"/>
      </w:pPr>
      <w:bookmarkStart w:id="103" w:name="medical-images"/>
      <w:r>
        <w:t xml:space="preserve">Medical Images</w:t>
      </w:r>
      <w:bookmarkEnd w:id="10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04" w:name="sonification:model"/>
      <w:r>
        <w:t xml:space="preserve">Model-based sonification</w:t>
      </w:r>
      <w:bookmarkEnd w:id="104"/>
    </w:p>
    <w:p>
      <w:pPr>
        <w:pStyle w:val="Heading5"/>
      </w:pPr>
      <w:bookmarkStart w:id="105" w:name="space"/>
      <w:r>
        <w:t xml:space="preserve">Space</w:t>
      </w:r>
      <w:bookmarkEnd w:id="10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06" w:name="sonification:artistic"/>
      <w:r>
        <w:t xml:space="preserve">Artistic sonification</w:t>
      </w:r>
      <w:bookmarkEnd w:id="106"/>
    </w:p>
    <w:p>
      <w:pPr>
        <w:pStyle w:val="Heading5"/>
      </w:pPr>
      <w:bookmarkStart w:id="107" w:name="wolves"/>
      <w:r>
        <w:t xml:space="preserve">Wolves</w:t>
      </w:r>
      <w:bookmarkEnd w:id="107"/>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08" w:name="selva"/>
      <w:r>
        <w:t xml:space="preserve">Selva</w:t>
      </w:r>
      <w:bookmarkEnd w:id="10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09" w:name="ocean"/>
      <w:r>
        <w:t xml:space="preserve">Ocean</w:t>
      </w:r>
      <w:bookmarkEnd w:id="10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0" w:name="molecules"/>
      <w:r>
        <w:t xml:space="preserve">Molecules</w:t>
      </w:r>
      <w:bookmarkEnd w:id="110"/>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a database holding</w:t>
      </w:r>
      <w:r>
        <w:t xml:space="preserve"> </w:t>
      </w:r>
      <w:r>
        <w:t xml:space="preserve">nmr</w:t>
      </w:r>
      <w:r>
        <w:t xml:space="preserve"> </w:t>
      </w:r>
      <w:r>
        <w:t xml:space="preserve">spectroscopies of molecules.</w:t>
      </w:r>
    </w:p>
    <w:p>
      <w:pPr>
        <w:pStyle w:val="Heading5"/>
      </w:pPr>
      <w:bookmarkStart w:id="111" w:name="gender-distribution"/>
      <w:r>
        <w:t xml:space="preserve">Gender Distribution</w:t>
      </w:r>
      <w:bookmarkEnd w:id="111"/>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w:t>
      </w:r>
      <w:r>
        <w:t xml:space="preserve"> </w:t>
      </w:r>
      <w:r>
        <w:t xml:space="preserve">nime</w:t>
      </w:r>
      <w:r>
        <w:t xml:space="preserve">, and</w:t>
      </w:r>
      <w:r>
        <w:t xml:space="preserve"> </w:t>
      </w:r>
      <w:r>
        <w:t xml:space="preserve">smc</w:t>
      </w:r>
      <w:r>
        <w:t xml:space="preserve">. By assigning polar frequency ranges for each group (male and female), her sonification emphasizes the significant inequality of gender in the resulting acoustic stream segregation into male backround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2" w:name="sonification:installations"/>
      <w:r>
        <w:t xml:space="preserve">Sonification Installations</w:t>
      </w:r>
      <w:bookmarkEnd w:id="112"/>
    </w:p>
    <w:p>
      <w:pPr>
        <w:pStyle w:val="Heading5"/>
      </w:pPr>
      <w:bookmarkStart w:id="113" w:name="ip-based-soundscape"/>
      <w:r>
        <w:t xml:space="preserve">IP-based soundscape</w:t>
      </w:r>
      <w:bookmarkEnd w:id="11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ip</w:t>
      </w:r>
      <w:r>
        <w:t xml:space="preserve"> </w:t>
      </w:r>
      <w:r>
        <w:t xml:space="preserve">to frequency) to the more abstract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14" w:name="earthquakes"/>
      <w:r>
        <w:t xml:space="preserve">Earthquakes</w:t>
      </w:r>
      <w:bookmarkEnd w:id="11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15" w:name="gpu-based-waveforms"/>
      <w:r>
        <w:t xml:space="preserve">GPU-based waveforms</w:t>
      </w:r>
      <w:bookmarkEnd w:id="11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In order to carry this out, they used the Metal API</w:t>
      </w:r>
      <w:r>
        <w:rPr>
          <w:rStyle w:val="FootnoteReference"/>
        </w:rPr>
        <w:footnoteReference w:id="11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18"/>
      </w:r>
      <w:r>
        <w:t xml:space="preserve">, they used the generated waveforms as a database, composing each waveform together with their visual generators as a collage.</w:t>
      </w:r>
    </w:p>
    <w:p>
      <w:pPr>
        <w:pStyle w:val="Heading5"/>
      </w:pPr>
      <w:bookmarkStart w:id="120" w:name="ucanny-faces"/>
      <w:r>
        <w:t xml:space="preserve">Ucanny Faces</w:t>
      </w:r>
      <w:bookmarkEnd w:id="12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1" w:name="sonification:software"/>
      <w:r>
        <w:t xml:space="preserve">Sonification Software</w:t>
      </w:r>
      <w:bookmarkEnd w:id="121"/>
    </w:p>
    <w:p>
      <w:pPr>
        <w:pStyle w:val="Heading5"/>
      </w:pPr>
      <w:bookmarkStart w:id="122" w:name="sonart"/>
      <w:r>
        <w:t xml:space="preserve">SonArt</w:t>
      </w:r>
      <w:bookmarkEnd w:id="12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23" w:name="dataplayer"/>
      <w:r>
        <w:t xml:space="preserve">DataPlayer</w:t>
      </w:r>
      <w:bookmarkEnd w:id="12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24" w:name="madbpm"/>
      <w:r>
        <w:t xml:space="preserve">madBPM</w:t>
      </w:r>
      <w:bookmarkEnd w:id="124"/>
    </w:p>
    <w:p>
      <w:pPr>
        <w:pStyle w:val="FirstParagraph"/>
      </w:pPr>
      <w:r>
        <w:t xml:space="preserve">Fox et al. (2017)</w:t>
      </w:r>
      <w:r>
        <w:t xml:space="preserve"> </w:t>
      </w:r>
      <w:r>
        <w:t xml:space="preserve">devised</w:t>
      </w:r>
      <w:r>
        <w:t xml:space="preserve"> </w:t>
      </w:r>
      <w:r>
        <w:t xml:space="preserve">madbpm</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25" w:name="computer_music"/>
      <w:r>
        <w:t xml:space="preserve">Computer Music</w:t>
      </w:r>
      <w:bookmarkEnd w:id="125"/>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2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26"/>
                    <a:stretch>
                      <a:fillRect/>
                    </a:stretch>
                  </pic:blipFill>
                  <pic:spPr bwMode="auto">
                    <a:xfrm>
                      <a:off x="0" y="0"/>
                      <a:ext cx="1181100" cy="863600"/>
                    </a:xfrm>
                    <a:prstGeom prst="rect">
                      <a:avLst/>
                    </a:prstGeom>
                    <a:noFill/>
                    <a:ln w="9525">
                      <a:noFill/>
                      <a:headEnd/>
                      <a:tailEnd/>
                    </a:ln>
                  </pic:spPr>
                </pic:pic>
              </a:graphicData>
            </a:graphic>
          </wp:inline>
        </w:drawing>
      </w:r>
      <w:bookmarkEnd w:id="12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28" w:name="computer:sssp"/>
      <w:r>
        <w:t xml:space="preserve">Hierarchical environments</w:t>
      </w:r>
      <w:bookmarkEnd w:id="12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29" w:name="reducing-cognitive-burden"/>
      <w:r>
        <w:t xml:space="preserve">Reducing cognitive burden</w:t>
      </w:r>
      <w:bookmarkEnd w:id="12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he focused on</w:t>
      </w:r>
      <w:r>
        <w:t xml:space="preserve"> </w:t>
      </w:r>
      <w:r>
        <w:t xml:space="preserve">hci</w:t>
      </w:r>
      <w:r>
        <w:t xml:space="preserve"> </w:t>
      </w:r>
      <w:r>
        <w:t xml:space="preserve">—a field in its very early stages in 1978—</w:t>
      </w:r>
      <w:r>
        <w:rPr>
          <w:rStyle w:val="FootnoteReference"/>
        </w:rPr>
        <w:footnoteReference w:id="13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1" w:name="a-hierarchical-representation"/>
      <w:r>
        <w:t xml:space="preserve">A Hierarchical Representation</w:t>
      </w:r>
      <w:bookmarkEnd w:id="13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2" w:name="black-boxing"/>
      <w:r>
        <w:t xml:space="preserve">Black-boxing</w:t>
      </w:r>
      <w:bookmarkEnd w:id="13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33" w:name="computer:free"/>
      <w:r>
        <w:t xml:space="preserve">Generality and Portability</w:t>
      </w:r>
      <w:bookmarkEnd w:id="13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Free’s programming philosophy called for generality, portability, and simplicity. Due to</w:t>
      </w:r>
      <w:r>
        <w:t xml:space="preserve"> </w:t>
      </w:r>
      <w:r>
        <w:t xml:space="preserve">sssp</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w:t>
      </w:r>
      <w:r>
        <w:t xml:space="preserve"> </w:t>
      </w:r>
      <w:r>
        <w:t xml:space="preserve">sssp</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34" w:name="computer:vanilla"/>
      <w:r>
        <w:t xml:space="preserve">Simplification</w:t>
      </w:r>
      <w:bookmarkEnd w:id="13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35" w:name="computer:balance"/>
      <w:r>
        <w:t xml:space="preserve">Balance</w:t>
      </w:r>
      <w:bookmarkEnd w:id="13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3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37" w:name="img:truax_generality_b"/>
      <w:r>
        <w:t xml:space="preserve">[img:truax_generality_b]</w:t>
      </w:r>
      <w:bookmarkEnd w:id="13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structuresm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38" w:name="applications:notation"/>
      <w:r>
        <w:t xml:space="preserve">Music Notation Software</w:t>
      </w:r>
      <w:bookmarkEnd w:id="13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w:t>
      </w:r>
      <w:r>
        <w:t xml:space="preserve"> </w:t>
      </w:r>
      <w:r>
        <w:t xml:space="preserve">musicxml</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39" w:name="darms-and-score"/>
      <w:r>
        <w:t xml:space="preserve">DARMS and SCORE</w:t>
      </w:r>
      <w:bookmarkEnd w:id="13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0" w:name="from-staves-to-speakers"/>
      <w:r>
        <w:t xml:space="preserve">From Staves to Speakers</w:t>
      </w:r>
      <w:bookmarkEnd w:id="14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1" w:name="theoretical-performance"/>
      <w:r>
        <w:t xml:space="preserve">Theoretical Performance</w:t>
      </w:r>
      <w:bookmarkEnd w:id="14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2" w:name="enter-objects"/>
      <w:r>
        <w:t xml:space="preserve">Enter Objects</w:t>
      </w:r>
      <w:bookmarkEnd w:id="142"/>
    </w:p>
    <w:p>
      <w:pPr>
        <w:pStyle w:val="CaptionedFigure"/>
      </w:pPr>
      <w:bookmarkStart w:id="144" w:name="img:realtime"/>
      <w:r>
        <w:drawing>
          <wp:inline>
            <wp:extent cx="5334000" cy="1616153"/>
            <wp:effectExtent b="0" l="0" r="0" t="0"/>
            <wp:docPr descr="A real-time version of music-11."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43"/>
                    <a:stretch>
                      <a:fillRect/>
                    </a:stretch>
                  </pic:blipFill>
                  <pic:spPr bwMode="auto">
                    <a:xfrm>
                      <a:off x="0" y="0"/>
                      <a:ext cx="5334000" cy="1616153"/>
                    </a:xfrm>
                    <a:prstGeom prst="rect">
                      <a:avLst/>
                    </a:prstGeom>
                    <a:noFill/>
                    <a:ln w="9525">
                      <a:noFill/>
                      <a:headEnd/>
                      <a:tailEnd/>
                    </a:ln>
                  </pic:spPr>
                </pic:pic>
              </a:graphicData>
            </a:graphic>
          </wp:inline>
        </w:drawing>
      </w:r>
      <w:bookmarkEnd w:id="144"/>
    </w:p>
    <w:p>
      <w:pPr>
        <w:pStyle w:val="ImageCaption"/>
      </w:pPr>
      <w:r>
        <w:t xml:space="preserve">A real-time version of</w:t>
      </w:r>
      <w:r>
        <w:t xml:space="preserve"> </w:t>
      </w:r>
      <w:r>
        <w:t xml:space="preserve">music-11</w:t>
      </w:r>
      <w:r>
        <w:t xml:space="preserve">.</w:t>
      </w:r>
    </w:p>
    <w:p>
      <w:pPr>
        <w:pStyle w:val="BodyText"/>
      </w:pPr>
      <w:r>
        <w:t xml:space="preserve">A bodyless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45" w:name="computer:real-time"/>
      <w:r>
        <w:t xml:space="preserve">Max</w:t>
      </w:r>
      <w:bookmarkEnd w:id="14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and a growing interest among composers and programmers circled around real-time computer music software (See Figure</w:t>
      </w:r>
      <w:r>
        <w:t xml:space="preserve"> </w:t>
      </w:r>
      <w:hyperlink w:anchor="img:realtime">
        <w:r>
          <w:rPr>
            <w:rStyle w:val="Hyperlink"/>
          </w:rPr>
          <w:t xml:space="preserve">4.11</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4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47" w:name="computer:kyma"/>
      <w:r>
        <w:t xml:space="preserve">Kyma</w:t>
      </w:r>
      <w:bookmarkEnd w:id="14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circunvent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48"/>
      </w:r>
    </w:p>
    <w:p>
      <w:pPr>
        <w:pStyle w:val="Heading5"/>
      </w:pPr>
      <w:bookmarkStart w:id="150" w:name="computer:puredata"/>
      <w:r>
        <w:t xml:space="preserve">Pure Data</w:t>
      </w:r>
      <w:bookmarkEnd w:id="150"/>
    </w:p>
    <w:p>
      <w:pPr>
        <w:pStyle w:val="FirstParagraph"/>
      </w:pPr>
      <w:r>
        <w:t xml:space="preserve">Ten years after</w:t>
      </w:r>
      <w:r>
        <w:t xml:space="preserve"> </w:t>
      </w:r>
      <w:r>
        <w:t xml:space="preserve">max</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1" w:name="graphic_scores"/>
      <w:r>
        <w:t xml:space="preserve">Graphic Scores</w:t>
      </w:r>
      <w:bookmarkEnd w:id="15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2"/>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53" w:name="openmusic"/>
      <w:r>
        <w:t xml:space="preserve">OpenMusic</w:t>
      </w:r>
      <w:bookmarkEnd w:id="153"/>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54" w:name="heaps-and-nodes"/>
      <w:r>
        <w:t xml:space="preserve">Heaps and Nodes</w:t>
      </w:r>
      <w:bookmarkEnd w:id="154"/>
    </w:p>
    <w:p>
      <w:pPr>
        <w:pStyle w:val="FirstParagraph"/>
      </w:pPr>
      <w:r>
        <w:t xml:space="preserve">Garton &amp; Topper (1997)</w:t>
      </w:r>
      <w:r>
        <w:t xml:space="preserve"> </w:t>
      </w:r>
      <w:r>
        <w:t xml:space="preserve">presented</w:t>
      </w:r>
      <w:r>
        <w:t xml:space="preserve"> </w:t>
      </w:r>
      <w:r>
        <w:t xml:space="preserve">rtcmix</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hierarhcy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55" w:name="applications"/>
      <w:r>
        <w:t xml:space="preserve">Intersections</w:t>
      </w:r>
      <w:bookmarkEnd w:id="155"/>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56" w:name="corpus-based-approaches"/>
      <w:r>
        <w:t xml:space="preserve">Corpus-based Approaches</w:t>
      </w:r>
      <w:bookmarkEnd w:id="156"/>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57" w:name="concatenative-synthesis"/>
      <w:r>
        <w:t xml:space="preserve">Concatenative Synthesis</w:t>
      </w:r>
      <w:bookmarkEnd w:id="157"/>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algorithim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58" w:name="other-approaches"/>
      <w:r>
        <w:t xml:space="preserve">Other approaches</w:t>
      </w:r>
      <w:bookmarkEnd w:id="158"/>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59"/>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0" w:name="software-libraries"/>
      <w:r>
        <w:t xml:space="preserve">Software Libraries</w:t>
      </w:r>
      <w:bookmarkEnd w:id="160"/>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William Brent’s research on timbre analysis developed into a timbre description library for Pure Data called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ony one of them is concatenative synthesis.</w:t>
      </w:r>
    </w:p>
    <w:p>
      <w:pPr>
        <w:pStyle w:val="Heading4"/>
      </w:pPr>
      <w:bookmarkStart w:id="161" w:name="querying-methods"/>
      <w:r>
        <w:t xml:space="preserve">Querying Methods</w:t>
      </w:r>
      <w:bookmarkEnd w:id="161"/>
    </w:p>
    <w:p>
      <w:pPr>
        <w:pStyle w:val="Heading5"/>
      </w:pPr>
      <w:bookmarkStart w:id="162" w:name="query-by-content"/>
      <w:r>
        <w:t xml:space="preserve">Query-by-content</w:t>
      </w:r>
      <w:bookmarkEnd w:id="162"/>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63" w:name="similarity-based"/>
      <w:r>
        <w:t xml:space="preserve">Similarity-based</w:t>
      </w:r>
      <w:bookmarkEnd w:id="163"/>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64"/>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65"/>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66" w:name="applications:hybrid_queries"/>
      <w:r>
        <w:t xml:space="preserve">Hybrid Queries</w:t>
      </w:r>
      <w:bookmarkEnd w:id="166"/>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 , and later moved on to ,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67" w:name="traversing-methods"/>
      <w:r>
        <w:t xml:space="preserve">Traversing Methods</w:t>
      </w:r>
      <w:bookmarkEnd w:id="167"/>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-dimentional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68" w:name="sensorial-networks"/>
      <w:r>
        <w:t xml:space="preserve">Sensorial Networks</w:t>
      </w:r>
      <w:bookmarkEnd w:id="168"/>
    </w:p>
    <w:p>
      <w:pPr>
        <w:pStyle w:val="FirstParagraph"/>
      </w:pPr>
      <w:r>
        <w:t xml:space="preserve">Choi (2000, Choi et al. 2000)</w:t>
      </w:r>
      <w:r>
        <w:t xml:space="preserve"> </w:t>
      </w:r>
      <w:r>
        <w:t xml:space="preserve">presented an interactive installation 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69" w:name="involuntary-navigation"/>
      <w:r>
        <w:t xml:space="preserve">Involuntary Navigation</w:t>
      </w:r>
      <w:bookmarkEnd w:id="169"/>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throuth voluntary and involuntary agents that intertwine composition, interaction, and performance.</w:t>
      </w:r>
    </w:p>
    <w:p>
      <w:pPr>
        <w:pStyle w:val="Heading5"/>
      </w:pPr>
      <w:bookmarkStart w:id="170" w:name="networked-collaborations"/>
      <w:r>
        <w:t xml:space="preserve">Networked Collaborations</w:t>
      </w:r>
      <w:bookmarkEnd w:id="170"/>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w:t>
      </w:r>
      <w:r>
        <w:t xml:space="preserve">mysql</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1" w:name="mobile-devices"/>
      <w:r>
        <w:t xml:space="preserve">Mobile Devices</w:t>
      </w:r>
      <w:bookmarkEnd w:id="171"/>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cellphones. By accessing a website that loads custom synthesizers made with the Web Audio</w:t>
      </w:r>
      <w:r>
        <w:t xml:space="preserve"> </w:t>
      </w:r>
      <w:r>
        <w:t xml:space="preserve">api</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2" w:name="resource-sharing"/>
      <w:r>
        <w:t xml:space="preserve">Resource Sharing</w:t>
      </w:r>
      <w:bookmarkEnd w:id="172"/>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publishig results like in research or academic communities. This is the case of the multiple datasets that exist.</w:t>
      </w:r>
      <w:r>
        <w:rPr>
          <w:rStyle w:val="FootnoteReference"/>
        </w:rPr>
        <w:footnoteReference w:id="173"/>
      </w:r>
      <w:r>
        <w:t xml:space="preserve"> </w:t>
      </w:r>
      <w:r>
        <w:t xml:space="preserve">In any case, what is common between these forms of sharing is an entropic and endless plurality.</w:t>
      </w:r>
    </w:p>
    <w:p>
      <w:pPr>
        <w:pStyle w:val="Heading5"/>
      </w:pPr>
      <w:bookmarkStart w:id="174" w:name="multimodal-datasets"/>
      <w:r>
        <w:t xml:space="preserve">Multimodal Datasets</w:t>
      </w:r>
      <w:bookmarkEnd w:id="174"/>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r>
        <w:t xml:space="preserve"> </w:t>
      </w:r>
      <w:r>
        <w:t xml:space="preserve">dbms</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75" w:name="formats"/>
      <w:r>
        <w:t xml:space="preserve">Formats</w:t>
      </w:r>
      <w:bookmarkEnd w:id="175"/>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w:t>
      </w:r>
      <w:r>
        <w:t xml:space="preserve"> </w:t>
      </w:r>
      <w:r>
        <w:t xml:space="preserve">yaml</w:t>
      </w:r>
      <w:r>
        <w:t xml:space="preserve">, or</w:t>
      </w:r>
      <w:r>
        <w:t xml:space="preserve"> </w:t>
      </w:r>
      <w:r>
        <w:rPr>
          <w:rStyle w:val="VerbatimChar"/>
        </w:rPr>
        <w:t xml:space="preserve">.bib</w:t>
      </w:r>
      <w:r>
        <w:t xml:space="preserve"> </w:t>
      </w:r>
      <w:r>
        <w:t xml:space="preserve">(LaTeXbibliography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76" w:name="live-coding"/>
      <w:r>
        <w:t xml:space="preserve">Live Coding</w:t>
      </w:r>
      <w:bookmarkEnd w:id="176"/>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77" w:name="closing-remarks"/>
      <w:r>
        <w:t xml:space="preserve">Closing Remarks</w:t>
      </w:r>
      <w:bookmarkEnd w:id="177"/>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learninc. For example, in iteractive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4.12</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79"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78"/>
                    <a:stretch>
                      <a:fillRect/>
                    </a:stretch>
                  </pic:blipFill>
                  <pic:spPr bwMode="auto">
                    <a:xfrm>
                      <a:off x="0" y="0"/>
                      <a:ext cx="3759200" cy="2438400"/>
                    </a:xfrm>
                    <a:prstGeom prst="rect">
                      <a:avLst/>
                    </a:prstGeom>
                    <a:noFill/>
                    <a:ln w="9525">
                      <a:noFill/>
                      <a:headEnd/>
                      <a:tailEnd/>
                    </a:ln>
                  </pic:spPr>
                </pic:pic>
              </a:graphicData>
            </a:graphic>
          </wp:inline>
        </w:drawing>
      </w:r>
      <w:bookmarkEnd w:id="179"/>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0" w:name="chapter:Database_Aesthetics"/>
      <w:r>
        <w:t xml:space="preserve">Database Aesthetics</w:t>
      </w:r>
      <w:bookmarkEnd w:id="180"/>
    </w:p>
    <w:p>
      <w:pPr>
        <w:pStyle w:val="Heading2"/>
      </w:pPr>
      <w:bookmarkStart w:id="181" w:name="section:Listening_Databases"/>
      <w:r>
        <w:t xml:space="preserve">Listening Databases</w:t>
      </w:r>
      <w:bookmarkEnd w:id="181"/>
    </w:p>
    <w:p>
      <w:pPr>
        <w:pStyle w:val="Heading3"/>
      </w:pPr>
      <w:bookmarkStart w:id="182" w:name="lucierlude"/>
      <w:r>
        <w:t xml:space="preserve">Interlude: I Am Sitting In A Room</w:t>
      </w:r>
      <w:bookmarkEnd w:id="182"/>
    </w:p>
    <w:p>
      <w:pPr>
        <w:pStyle w:val="FirstParagraph"/>
      </w:pPr>
      <w:r>
        <w:t xml:space="preserve">The following transcription was made from a recording made at Lovely Music, Ltd (1981) of Alvin Lucier’s work</w:t>
      </w:r>
      <w:r>
        <w:t xml:space="preserve"> </w:t>
      </w:r>
      <w:r>
        <w:t xml:space="preserve">“</w:t>
      </w:r>
      <w:r>
        <w:t xml:space="preserve">I am sitting in a room</w:t>
      </w:r>
      <w:r>
        <w:t xml:space="preserve">”</w:t>
      </w:r>
      <w:r>
        <w:t xml:space="preserve"> </w:t>
      </w:r>
      <w:r>
        <w:t xml:space="preserve">(Lucier 1970)</w:t>
      </w:r>
      <w:r>
        <w:t xml:space="preserve">. It is meant to indicate the many</w:t>
      </w:r>
      <w:r>
        <w:t xml:space="preserve"> </w:t>
      </w:r>
      <w:r>
        <w:t xml:space="preserve">“</w:t>
      </w:r>
      <w:r>
        <w:t xml:space="preserve">irregularities</w:t>
      </w:r>
      <w:r>
        <w:t xml:space="preserve">”</w:t>
      </w:r>
      <w:r>
        <w:t xml:space="preserve"> </w:t>
      </w:r>
      <w:r>
        <w:t xml:space="preserve">that differ from the text. The recording is available online.</w:t>
      </w:r>
      <w:r>
        <w:rPr>
          <w:rStyle w:val="FootnoteReference"/>
        </w:rPr>
        <w:footnoteReference w:id="183"/>
      </w:r>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$\cancelto{kh}{c}$</w:t>
      </w:r>
      <w:r>
        <w:t xml:space="preserve">ording the</w:t>
      </w:r>
      <w:r>
        <w:t xml:space="preserve"> </w:t>
      </w:r>
      <w:r>
        <w:t xml:space="preserve">$\cancelto{ss}{s}$</w:t>
      </w:r>
      <w:r>
        <w:t xml:space="preserve">ound of my</w:t>
      </w:r>
      <w:r>
        <w:rPr>
          <w:i/>
        </w:rPr>
        <w:t xml:space="preserve">hh</w:t>
      </w:r>
      <w:r>
        <w:t xml:space="preserve"> </w:t>
      </w:r>
      <w:r>
        <w:t xml:space="preserve">speaking</w:t>
      </w:r>
      <w:r>
        <w:t xml:space="preserve"> </w:t>
      </w:r>
      <w:r>
        <w:t xml:space="preserve">$\cancelto{voisss}{voice}$</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$\cancelto{an}{and}$</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$\cancelto{tx!}{t}$</w:t>
      </w:r>
      <w:r>
        <w:t xml:space="preserve">il the</w:t>
      </w:r>
    </w:p>
    <w:p>
      <w:pPr>
        <w:pStyle w:val="BlockText"/>
      </w:pPr>
      <w:r>
        <w:t xml:space="preserve">re</w:t>
      </w:r>
      <w:r>
        <w:t xml:space="preserve">$\cancelto{ss}{s}$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$\cancelto{sss}{c}\xcancel{e}$</w:t>
      </w:r>
      <w:r>
        <w:t xml:space="preserve"> </w:t>
      </w:r>
      <w:r>
        <w:t xml:space="preserve">them</w:t>
      </w:r>
      <w:r>
        <w:t xml:space="preserve">$\cancelto{ss}{s}$</w:t>
      </w:r>
      <w:r>
        <w:t xml:space="preserve">elve</w:t>
      </w:r>
      <w:r>
        <w:t xml:space="preserve">$\cancelto{sss}{s}$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$\cancelto{sss}{s}$</w:t>
      </w:r>
      <w:r>
        <w:t xml:space="preserve">pee</w:t>
      </w:r>
      <w:r>
        <w:t xml:space="preserve">$\cancelto{ch\rightarrow shwh}{ch}$</w:t>
      </w:r>
    </w:p>
    <w:p>
      <w:pPr>
        <w:pStyle w:val="BlockText"/>
      </w:pPr>
      <w:r>
        <w:rPr>
          <w:i/>
        </w:rPr>
        <w:t xml:space="preserve">inhale</w:t>
      </w:r>
      <w:r>
        <w:t xml:space="preserve"> </w:t>
      </w:r>
      <w:r>
        <w:t xml:space="preserve">(long)</w:t>
      </w:r>
    </w:p>
    <w:p>
      <w:pPr>
        <w:pStyle w:val="BlockText"/>
      </w:pPr>
      <w:r>
        <w:t xml:space="preserve">with per</w:t>
      </w:r>
      <w:r>
        <w:t xml:space="preserve">$\cancelto{hhhh}{h}$</w:t>
      </w:r>
      <w:r>
        <w:t xml:space="preserve">ap</w:t>
      </w:r>
      <w:r>
        <w:t xml:space="preserve">$\cancelto{s!}{s}$</w:t>
      </w:r>
      <w:r>
        <w:t xml:space="preserve"> </w:t>
      </w:r>
      <w:r>
        <w:t xml:space="preserve">the excep</w:t>
      </w:r>
      <w:r>
        <w:t xml:space="preserve">$\cancelto{shh}{t}$</w:t>
      </w:r>
      <w:r>
        <w:t xml:space="preserve">ion of</w:t>
      </w:r>
    </w:p>
    <w:p>
      <w:pPr>
        <w:pStyle w:val="BlockText"/>
      </w:pPr>
      <w:r>
        <w:t xml:space="preserve">$\cancelto{rhythm}{\texttt{rwh\_\_$\cdot$\cdot$.$\cdot$-ythm}}$</w:t>
      </w:r>
    </w:p>
    <w:p>
      <w:pPr>
        <w:pStyle w:val="BlockText"/>
      </w:pPr>
      <w:r>
        <w:t xml:space="preserve">is</w:t>
      </w:r>
      <w:r>
        <w:rPr>
          <w:i/>
        </w:rPr>
        <w:t xml:space="preserve">s</w:t>
      </w:r>
      <w:r>
        <w:t xml:space="preserve"> </w:t>
      </w:r>
      <w:r>
        <w:t xml:space="preserve">de</w:t>
      </w:r>
      <w:r>
        <w:t xml:space="preserve">$\cancelto{ss}{s}$</w:t>
      </w:r>
      <w:r>
        <w:t xml:space="preserve">troye</w:t>
      </w:r>
      <w:r>
        <w:t xml:space="preserve">$\cancelto{dh}{d}$</w:t>
      </w:r>
    </w:p>
    <w:p>
      <w:pPr>
        <w:pStyle w:val="BlockText"/>
      </w:pPr>
      <w:r>
        <w:t xml:space="preserve">$\cancelto{ou}{Wh}$</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$\cancelto{tzsh!}{t}$</w:t>
      </w:r>
      <w:r>
        <w:t xml:space="preserve">iculated by</w:t>
      </w:r>
      <w:r>
        <w:rPr>
          <w:i/>
        </w:rPr>
        <w:t xml:space="preserve">sss</w:t>
      </w:r>
      <w:r>
        <w:t xml:space="preserve">speech</w:t>
      </w:r>
      <w:r>
        <w:rPr>
          <w:i/>
        </w:rPr>
        <w:t xml:space="preserve">hhh</w:t>
      </w:r>
    </w:p>
    <w:p>
      <w:pPr>
        <w:pStyle w:val="BlockText"/>
      </w:pPr>
      <w:r>
        <w:t xml:space="preserve">I regard … this-</w:t>
      </w:r>
      <w:r>
        <w:t xml:space="preserve">$\cancelto{a!}{a}$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$\cancelto{ss}{s}$</w:t>
      </w:r>
      <w:r>
        <w:t xml:space="preserve">tra</w:t>
      </w:r>
      <w:r>
        <w:t xml:space="preserve">$\cancelto{shh}{t}$</w:t>
      </w:r>
      <w:r>
        <w:t xml:space="preserve">ion of a physical f</w:t>
      </w:r>
      <w:r>
        <w:t xml:space="preserve">$\cancelto{aa}{a}$</w:t>
      </w:r>
      <w:r>
        <w:t xml:space="preserve">c</w:t>
      </w:r>
      <w:r>
        <w:t xml:space="preserve">$\cancelto{t\rightarrow h}{t}$</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$\cancelto{z}{s}$</w:t>
      </w:r>
      <w:r>
        <w:t xml:space="preserve">a way to</w:t>
      </w:r>
      <w:r>
        <w:t xml:space="preserve">$\rightarrow\cancelto{smooth}{\textit{{\normal S }{\large S }{\normal SS }{\small SSss }{\normal s }{\footnotesize sss  }{\scriptsize s  }{\tiny s }}}$</w:t>
      </w:r>
      <w:r>
        <w:t xml:space="preserve">out</w:t>
      </w:r>
    </w:p>
    <w:p>
      <w:pPr>
        <w:pStyle w:val="BlockText"/>
      </w:pPr>
      <w:r>
        <w:t xml:space="preserve">any irregularities</w:t>
      </w:r>
      <w:r>
        <w:t xml:space="preserve">$\rightarrowmy$</w:t>
      </w:r>
      <w:r>
        <w:t xml:space="preserve">my</w:t>
      </w:r>
      <w:r>
        <w:rPr>
          <w:i/>
        </w:rPr>
        <w:t xml:space="preserve">hs</w:t>
      </w:r>
      <w:r>
        <w:t xml:space="preserve">speech</w:t>
      </w:r>
      <w:r>
        <w:rPr>
          <w:i/>
        </w:rPr>
        <w:t xml:space="preserve">hh</w:t>
      </w:r>
      <w:r>
        <w:t xml:space="preserve"> </w:t>
      </w:r>
      <w:r>
        <w:t xml:space="preserve">might hav</w:t>
      </w:r>
      <w:r>
        <w:t xml:space="preserve">$\cancelto{f}{e}$</w:t>
      </w:r>
    </w:p>
    <w:p>
      <w:pPr>
        <w:pStyle w:val="Heading3"/>
      </w:pPr>
      <w:bookmarkStart w:id="185" w:name="resonance_of_a_return"/>
      <w:r>
        <w:t xml:space="preserve">The Resonance Of A Return</w:t>
      </w:r>
      <w:bookmarkEnd w:id="185"/>
    </w:p>
    <w:p>
      <w:pPr>
        <w:pStyle w:val="Heading5"/>
      </w:pPr>
      <w:bookmarkStart w:id="186" w:name="a-reverb"/>
      <w:r>
        <w:t xml:space="preserve">A Reverb</w:t>
      </w:r>
      <w:bookmarkEnd w:id="18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87" w:name="a-filter"/>
      <w:r>
        <w:t xml:space="preserve">A Filter</w:t>
      </w:r>
      <w:bookmarkEnd w:id="18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88" w:name="a-loop"/>
      <w:r>
        <w:t xml:space="preserve">A Loop</w:t>
      </w:r>
      <w:bookmarkEnd w:id="18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89" w:name="an-attack"/>
      <w:r>
        <w:t xml:space="preserve">An Attack</w:t>
      </w:r>
      <w:bookmarkEnd w:id="18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0" w:name="a-sampler"/>
      <w:r>
        <w:t xml:space="preserve">A Sampler</w:t>
      </w:r>
      <w:bookmarkEnd w:id="190"/>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capacitiy for virtuality. The ghostly qualities of this force will be addressed further down this text (See</w:t>
      </w:r>
      <w:r>
        <w:t xml:space="preserve"> </w:t>
      </w:r>
      <w:hyperlink w:anchor="spectrality">
        <w:r>
          <w:rPr>
            <w:rStyle w:val="Hyperlink"/>
          </w:rPr>
          <w:t xml:space="preserve">5.2.4</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1" w:name="a-texture"/>
      <w:r>
        <w:t xml:space="preserve">A Texture</w:t>
      </w:r>
      <w:bookmarkEnd w:id="19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ressemble each other, thus they can be understood as a spatial distribution of references.</w:t>
      </w:r>
    </w:p>
    <w:p>
      <w:pPr>
        <w:pStyle w:val="Heading5"/>
      </w:pPr>
      <w:bookmarkStart w:id="192" w:name="a-return"/>
      <w:r>
        <w:t xml:space="preserve">A Return</w:t>
      </w:r>
      <w:bookmarkEnd w:id="19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193" w:name="network"/>
      <w:r>
        <w:t xml:space="preserve">Resonant Network</w:t>
      </w:r>
      <w:bookmarkEnd w:id="193"/>
    </w:p>
    <w:p>
      <w:pPr>
        <w:pStyle w:val="Heading5"/>
      </w:pPr>
      <w:bookmarkStart w:id="194" w:name="the-recorded-movement-of-a-thing"/>
      <w:r>
        <w:t xml:space="preserve">The Recorded Movement of a Thing</w:t>
      </w:r>
      <w:bookmarkEnd w:id="19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ant</w:t>
      </w:r>
      <w:r>
        <w:t xml:space="preserve">.</w:t>
      </w:r>
      <w:r>
        <w:t xml:space="preserve"> </w:t>
      </w:r>
      <w:r>
        <w:t xml:space="preserve">ant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two-dimentional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ant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ant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ant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ant</w:t>
      </w:r>
      <w:r>
        <w:t xml:space="preserve"> </w:t>
      </w:r>
      <w:r>
        <w:t xml:space="preserve">is a tool aimed at describing the nature of society. However, in this description,</w:t>
      </w:r>
      <w:r>
        <w:t xml:space="preserve"> </w:t>
      </w:r>
      <w:r>
        <w:t xml:space="preserve">ant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195" w:name="howling"/>
      <w:r>
        <w:t xml:space="preserve">Howling</w:t>
      </w:r>
      <w:bookmarkEnd w:id="195"/>
    </w:p>
    <w:p>
      <w:pPr>
        <w:pStyle w:val="FirstParagraph"/>
      </w:pPr>
      <w:r>
        <w:t xml:space="preserve">Thinking networks in terms of a (sonic) three-dimentional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ant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196" w:name="the-resonant-movement-of-a-thing"/>
      <w:r>
        <w:t xml:space="preserve">The Resonant Movement of a Thing</w:t>
      </w:r>
      <w:bookmarkEnd w:id="19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197" w:name="i-am-sitting-in-a-database"/>
      <w:r>
        <w:t xml:space="preserve">I am sitting in a database…</w:t>
      </w:r>
      <w:bookmarkEnd w:id="19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 in the loop.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Thinking as a composer, this score (with all its notated irregularities) would explain the first minutes so fiercefully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5.2.4</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database</w:t>
      </w:r>
      <w:r>
        <w:t xml:space="preserve"> </w:t>
      </w:r>
      <w:r>
        <w:t xml:space="preserve">returns to us (resonates back) putting into question a relationship (a difference): what is the difference between the two ‘I’s? Is is this same difference at stake between the human and the nonhumam?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198" w:name="inoperativity"/>
      <w:r>
        <w:t xml:space="preserve">The Unworking Network</w:t>
      </w:r>
      <w:bookmarkEnd w:id="198"/>
    </w:p>
    <w:p>
      <w:pPr>
        <w:pStyle w:val="Heading5"/>
      </w:pPr>
      <w:bookmarkStart w:id="199" w:name="community-as-unwork"/>
      <w:r>
        <w:t xml:space="preserve">Community as unwork</w:t>
      </w:r>
      <w:bookmarkEnd w:id="19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understsand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0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0"/>
                    <a:stretch>
                      <a:fillRect/>
                    </a:stretch>
                  </pic:blipFill>
                  <pic:spPr bwMode="auto">
                    <a:xfrm>
                      <a:off x="0" y="0"/>
                      <a:ext cx="5016500" cy="1892300"/>
                    </a:xfrm>
                    <a:prstGeom prst="rect">
                      <a:avLst/>
                    </a:prstGeom>
                    <a:noFill/>
                    <a:ln w="9525">
                      <a:noFill/>
                      <a:headEnd/>
                      <a:tailEnd/>
                    </a:ln>
                  </pic:spPr>
                </pic:pic>
              </a:graphicData>
            </a:graphic>
          </wp:inline>
        </w:drawing>
      </w:r>
      <w:bookmarkEnd w:id="20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Furhtermore,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02" w:name="at-the-limit"/>
      <w:r>
        <w:t xml:space="preserve">At the Limit</w:t>
      </w:r>
      <w:bookmarkEnd w:id="20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0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03"/>
                    <a:stretch>
                      <a:fillRect/>
                    </a:stretch>
                  </pic:blipFill>
                  <pic:spPr bwMode="auto">
                    <a:xfrm>
                      <a:off x="0" y="0"/>
                      <a:ext cx="2184400" cy="1866900"/>
                    </a:xfrm>
                    <a:prstGeom prst="rect">
                      <a:avLst/>
                    </a:prstGeom>
                    <a:noFill/>
                    <a:ln w="9525">
                      <a:noFill/>
                      <a:headEnd/>
                      <a:tailEnd/>
                    </a:ln>
                  </pic:spPr>
                </pic:pic>
              </a:graphicData>
            </a:graphic>
          </wp:inline>
        </w:drawing>
      </w:r>
      <w:bookmarkEnd w:id="20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itself: actor-network at the limit.</w:t>
      </w:r>
    </w:p>
    <w:p>
      <w:pPr>
        <w:pStyle w:val="Heading5"/>
      </w:pPr>
      <w:bookmarkStart w:id="205" w:name="infralanguage"/>
      <w:r>
        <w:t xml:space="preserve">Infralanguage</w:t>
      </w:r>
      <w:bookmarkEnd w:id="205"/>
    </w:p>
    <w:p>
      <w:pPr>
        <w:pStyle w:val="FirstParagraph"/>
      </w:pPr>
      <w:r>
        <w:t xml:space="preserve">Latour considers that the descriptive project in</w:t>
      </w:r>
      <w:r>
        <w:t xml:space="preserve"> </w:t>
      </w:r>
      <w:r>
        <w:t xml:space="preserve">ant</w:t>
      </w:r>
      <w:r>
        <w:t xml:space="preserve"> </w:t>
      </w:r>
      <w:r>
        <w:t xml:space="preserve">does not compose a metalanguage with which to define overarching explanations. Instead,</w:t>
      </w:r>
      <w:r>
        <w:t xml:space="preserve"> </w:t>
      </w:r>
      <w:r>
        <w:t xml:space="preserve">ant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ant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ant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0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06"/>
                    <a:stretch>
                      <a:fillRect/>
                    </a:stretch>
                  </pic:blipFill>
                  <pic:spPr bwMode="auto">
                    <a:xfrm>
                      <a:off x="0" y="0"/>
                      <a:ext cx="2446555" cy="1837974"/>
                    </a:xfrm>
                    <a:prstGeom prst="rect">
                      <a:avLst/>
                    </a:prstGeom>
                    <a:noFill/>
                    <a:ln w="9525">
                      <a:noFill/>
                      <a:headEnd/>
                      <a:tailEnd/>
                    </a:ln>
                  </pic:spPr>
                </pic:pic>
              </a:graphicData>
            </a:graphic>
          </wp:inline>
        </w:drawing>
      </w:r>
      <w:bookmarkEnd w:id="20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BodyText"/>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ant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(humands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08"/>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ant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Slient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09" w:name="database-community"/>
      <w:r>
        <w:t xml:space="preserve">Database Community</w:t>
      </w:r>
      <w:bookmarkEnd w:id="209"/>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strenghth of connectivity itself:</w:t>
      </w:r>
      <w:r>
        <w:t xml:space="preserve"> </w:t>
      </w:r>
      <w:r>
        <w:t xml:space="preserve">“</w:t>
      </w:r>
      <w:r>
        <w:t xml:space="preserve">strenght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emerges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10" w:name="section:Databases_And_Memory"/>
      <w:r>
        <w:t xml:space="preserve">Databases And Memory</w:t>
      </w:r>
      <w:bookmarkEnd w:id="210"/>
    </w:p>
    <w:p>
      <w:pPr>
        <w:pStyle w:val="Heading3"/>
      </w:pPr>
      <w:bookmarkStart w:id="211" w:name="funeslude"/>
      <w:r>
        <w:t xml:space="preserve">Interlude: Embodied Memory</w:t>
      </w:r>
      <w:bookmarkEnd w:id="211"/>
    </w:p>
    <w:p>
      <w:pPr>
        <w:pStyle w:val="BlockText"/>
      </w:pPr>
      <w:r>
        <w:t xml:space="preserve">I suspect, nevertheless, that he was not very capable of thought. To think is to forget differences, to generalize, to abstract.</w:t>
      </w:r>
      <w:r>
        <w:t xml:space="preserve"> </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remember, to dream, to imagine. Throughout the years, he became condemned to absolute memory, and so to its consequence, insomnia:</w:t>
      </w:r>
      <w:r>
        <w:rPr>
          <w:rStyle w:val="FootnoteReference"/>
        </w:rPr>
        <w:footnoteReference w:id="212"/>
      </w:r>
      <w:r>
        <w:t xml:space="preserve"> </w:t>
      </w:r>
      <w:r>
        <w:t xml:space="preserve">he was secluded in a dark and enclosed space so as not to perceive the world.</w:t>
      </w:r>
      <w:r>
        <w:rPr>
          <w:rStyle w:val="FootnoteReference"/>
        </w:rPr>
        <w:footnoteReference w:id="213"/>
      </w:r>
      <w:r>
        <w:t xml:space="preserve"> </w:t>
      </w:r>
      <w:r>
        <w:t xml:space="preserve">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w:t>
      </w:r>
    </w:p>
    <w:p>
      <w:pPr>
        <w:pStyle w:val="BodyText"/>
      </w:pPr>
      <w:r>
        <w:t xml:space="preserve">Therefore, the point that she is touching is that of the limits and fragility of embodied memory.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Borges’ 1942 character’s mind was aiming at. This capability of accumulation without the need of erasure is enabled by the database structure inherent in computers.</w:t>
      </w:r>
      <w:r>
        <w:rPr>
          <w:rStyle w:val="FootnoteReference"/>
        </w:rPr>
        <w:footnoteReference w:id="214"/>
      </w:r>
      <w:r>
        <w:t xml:space="preserve"> </w:t>
      </w:r>
      <w:r>
        <w:t xml:space="preserve">However, the distinction that Hayles presents —which has been discussed before (See</w:t>
      </w:r>
      <w:r>
        <w:t xml:space="preserve"> </w:t>
      </w:r>
      <w:hyperlink w:anchor="bodiless_information">
        <w:r>
          <w:rPr>
            <w:rStyle w:val="Hyperlink"/>
          </w:rPr>
          <w:t xml:space="preserve">4.1.4</w:t>
        </w:r>
      </w:hyperlink>
      <w:r>
        <w:t xml:space="preserve">)— is crucial: data is not information because information needs to be embodied. Therefore, on one hand, a disembodied data bank can have all the uniqueness and difference that is available by the sum of all cloud computing and storage to date; however, on the other hand, an embodied memory is only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precisely to the negation of narrativity itself, thus finding in the image of Funes a hyperbole for contemporary subjectivity</w:t>
      </w:r>
      <w:r>
        <w:t xml:space="preserve"> </w:t>
      </w:r>
      <w:r>
        <w:t xml:space="preserve">(Oviedo 2019, p. 5)</w:t>
      </w:r>
      <w:r>
        <w:t xml:space="preserve">, where there is no room for narration, only accumulation of data. In this sense, narrativity can be seen as that which resides in the threshold between knowledge (i.e., memory) and storage (i.e., archives, databases). I believe this distinction stems precisely from the difference between information and data. The process of information, of giving form, requires a certain temporality that is not that of the immediate and extremely operative zero-time of the (computer) processor. Within the zero-time of computer operations, there simply is no time for narrative, only for addition, for an increment. With this in mind, I would like to question Manovich’s opposition of narrative and database, precisely on the grounds that narrative is temporal —happening as a historical process— and algorithms are atemporal —operating in an effervescent now. Therefore, Funes’ accumulative memory represents the overflow of the now that precludes narration: neither data structures nor algorithms can forget to count.</w:t>
      </w:r>
    </w:p>
    <w:p>
      <w:pPr>
        <w:pStyle w:val="BodyText"/>
      </w:pPr>
      <w:r>
        <w:t xml:space="preserve">Studies in cognitive psychology might have something to add here. In Wessel and Moulds’ commentary</w:t>
      </w:r>
      <w:r>
        <w:t xml:space="preserve"> </w:t>
      </w:r>
      <w:r>
        <w:t xml:space="preserve">(Wessel &amp; Moulds 2008)</w:t>
      </w:r>
      <w:r>
        <w:t xml:space="preserve"> </w:t>
      </w:r>
      <w:r>
        <w:t xml:space="preserve">on Paul Connerton’s</w:t>
      </w:r>
      <w:r>
        <w:t xml:space="preserve"> </w:t>
      </w:r>
      <w:r>
        <w:rPr>
          <w:i/>
        </w:rPr>
        <w:t xml:space="preserve">Seven Types of Forgetting</w:t>
      </w:r>
      <w:r>
        <w:t xml:space="preserve">, the authors consider forgetting to be the</w:t>
      </w:r>
      <w:r>
        <w:t xml:space="preserve"> </w:t>
      </w:r>
      <w:r>
        <w:t xml:space="preserve">“</w:t>
      </w:r>
      <w:r>
        <w:t xml:space="preserve">failure</w:t>
      </w:r>
      <w:r>
        <w:t xml:space="preserve">”</w:t>
      </w:r>
      <w:r>
        <w:t xml:space="preserve"> </w:t>
      </w:r>
      <w:r>
        <w:t xml:space="preserve">of certain search processes on account of an inability to recall information from memory. While pointing to current psychological models of memory which consider forgetting to be an adaptive and functional activity, the authors acknowledge the mystery of certain aspects of memory:</w:t>
      </w:r>
      <w:r>
        <w:t xml:space="preserve"> </w:t>
      </w:r>
      <w:r>
        <w:t xml:space="preserve">“</w:t>
      </w:r>
      <w:r>
        <w:t xml:space="preserve">In human memory, it is unclear what really happens to old, disused or deliberately ignored memory traces —they might be retrievable, they might be lost, but no-one can tell</w:t>
      </w:r>
      <w:r>
        <w:t xml:space="preserve">”</w:t>
      </w:r>
      <w:r>
        <w:t xml:space="preserve"> </w:t>
      </w:r>
      <w:r>
        <w:t xml:space="preserve">(Wessel &amp; Moulds 2008, p. 292)</w:t>
      </w:r>
      <w:r>
        <w:t xml:space="preserve">.</w:t>
      </w:r>
    </w:p>
    <w:p>
      <w:pPr>
        <w:pStyle w:val="BodyText"/>
      </w:pPr>
      <w:r>
        <w:t xml:space="preserve">Thus, considering this distinction between embodied and disembodied memory, I propose an imaginary experiment, one that I believe was missing from Borges’ short story, however utterly fantastic his writing was.</w:t>
      </w:r>
    </w:p>
    <w:p>
      <w:pPr>
        <w:pStyle w:val="BodyText"/>
      </w:pPr>
      <w:r>
        <w:t xml:space="preserve">One thing that can be read from the story is that, in order to seclude himself from perceiving the world, or better, in order to forget the world altogether, Irineo stayed in the dark. This is how he cancelled light, a quite powerful stimuli if memory-space is to be optimized —for the purpose of, say, getting some sleep.</w:t>
      </w:r>
      <w:r>
        <w:rPr>
          <w:rStyle w:val="FootnoteReference"/>
        </w:rPr>
        <w:footnoteReference w:id="215"/>
      </w:r>
      <w:r>
        <w:t xml:space="preserve"> </w:t>
      </w:r>
      <w:r>
        <w:t xml:space="preserve">However, there is little to no mention of the sonic environment in which Funes was embedded —probably in the outskirts of the quiet Uruguayan city of Fray Bentos. In fact, the only sonic references are focused on the narrator’s perspective, referring to Funes’ high-pitched and —due to his being in the darkness— acousmatic voice.</w:t>
      </w:r>
      <w:r>
        <w:rPr>
          <w:rStyle w:val="FootnoteReference"/>
        </w:rPr>
        <w:footnoteReference w:id="216"/>
      </w:r>
      <w:r>
        <w:t xml:space="preserve"> </w:t>
      </w:r>
      <w:r>
        <w:t xml:space="preserve">Therefore, focusing on Funes’ listening, by locking himself inside a room he would have managed to attenuate sound waves coming in from outside. Notwithstanding his isolation —or, better, his self-imprisonment—, sound waves are actually very difficult to cancel. An interesting experiment would have been to have John Cage take Irineo to an anechoic chamber and ask him what he can remember then. From Cage’s own experience, we can guess that Funes would effectively remember his own sounding body.</w:t>
      </w:r>
    </w:p>
    <w:p>
      <w:pPr>
        <w:pStyle w:val="BodyText"/>
      </w:pPr>
      <w:r>
        <w:t xml:space="preserve">(It is interesting to compare Funes’ search for filtering out the world with John Cage’s search for silence. Kim Cascone 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p>
    <w:p>
      <w:pPr>
        <w:pStyle w:val="BodyText"/>
      </w:pPr>
      <w:r>
        <w:t xml:space="preserve">However, it is very unlikely —but nonetheless possible— that Borges was aware of American acoustician Leo Beranek’s research for the US Army during World War II, that is, when the first anechoic chamber was built.</w:t>
      </w:r>
      <w:r>
        <w:rPr>
          <w:rStyle w:val="FootnoteReference"/>
        </w:rPr>
        <w:footnoteReference w:id="217"/>
      </w:r>
      <w:r>
        <w:t xml:space="preserve"> </w:t>
      </w:r>
      <w:r>
        <w:t xml:space="preserve">Furthermore, even if he managed to isolate himself perfectly from the world, cancelling perception altogether, Funes would have been with his memories, which are not discrete, but continuous iterations of the world he had accumulated over the years. What this means is that all the sounds he had listened to would be available to his imagination.</w:t>
      </w:r>
    </w:p>
    <w:p>
      <w:pPr>
        <w:pStyle w:val="BodyText"/>
      </w:pPr>
      <w:r>
        <w:t xml:space="preserve">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completely out of Funes’ concerns. Therefore, the question is how would the world sound for Irineo Funes? The task is not difficult to imagine: the world would be inscribed in poor Irineo’s memory in such an infinitely continuous way that each fraction of wave oscillation would be different, unique, leaving no space for repetition of any kind. All sounds would be listened completely, with every infinitesimal fraction of oscillation of the waves pointing to the most utterly complete scope of imaginable references. It would not be inaccurate to compare this type of memory saturation with CPU saturation, for example, the way a computer would —even the most gigantic multi-core imagined—, if it was commanded to compute, with accuracy, the wave equation. In this complete state of listening, there would be no possibility for thought, no processing of any kind, only infinite accumulation and storage.</w:t>
      </w:r>
    </w:p>
    <w:p>
      <w:pPr>
        <w:pStyle w:val="BodyText"/>
      </w:pPr>
      <w:r>
        <w:t xml:space="preserve">In this sense, an infinitesimal incorporation of sound is unthinkable. This is not to be confused with the infinite structure of referrals and deferrals that Nancy’s resonance points to. The problem here —and this is evident in the story itself— is in the intersection of the finite with the infinite. While the structure of sound itself is infinite, in the sense that it is an ongoing process —i.e., circular loop— of delays and references, the singularity of the listening subject is finite: its limit exists as its possibility condition. This is to say that, given such an ontology of sound, the emergence of a resonant subject occurs</w:t>
      </w:r>
      <w:r>
        <w:t xml:space="preserve"> </w:t>
      </w:r>
      <w:r>
        <w:rPr>
          <w:i/>
        </w:rPr>
        <w:t xml:space="preserve">at</w:t>
      </w:r>
      <w:r>
        <w:t xml:space="preserve"> </w:t>
      </w:r>
      <w:r>
        <w:t xml:space="preserve">the limit, that is, at the liminality of an exposure to itself, to others, to waves, etc. In the case of the story, while Funes’ nonhuman qualities correspond to dynamics of the infinite, his human body is just like any other that was thrown in the world. Therefore, no matter what the narrator has the reader believe, Funes is not deprived of this liminality. Throughout the story, Funes’ liminality grows more and more evidently, all the way until the end —an ending that, despite all his nonhumanly infinite qualities, is, nonetheless —be it a blessing or a curse—, utterly human.</w:t>
      </w:r>
    </w:p>
    <w:p>
      <w:pPr>
        <w:pStyle w:val="BodyText"/>
      </w:pPr>
      <w:r>
        <w:t xml:space="preserve">Less than focusing on literary analysis, in this interlude I take the concept of an absolute memory within a human being to be at an intersection between disembodied theories of information and, precisely, the concept of an embodied memory. The aim is to differentiate between human and nonhuman in terms of memory and databases, so as to provide a link between Latour’s</w:t>
      </w:r>
      <w:r>
        <w:t xml:space="preserve"> </w:t>
      </w:r>
      <w:r>
        <w:t xml:space="preserve">‘</w:t>
      </w:r>
      <w:r>
        <w:t xml:space="preserve">recorded movement</w:t>
      </w:r>
      <w:r>
        <w:t xml:space="preserve">’</w:t>
      </w:r>
      <w:r>
        <w:t xml:space="preserve"> </w:t>
      </w:r>
      <w:r>
        <w:t xml:space="preserve">of the network, and Derrida’s concept of the archive.</w:t>
      </w:r>
    </w:p>
    <w:p>
      <w:pPr>
        <w:pStyle w:val="Heading3"/>
      </w:pPr>
      <w:bookmarkStart w:id="219" w:name="human"/>
      <w:r>
        <w:t xml:space="preserve">The Effraction Of The Trace</w:t>
      </w:r>
      <w:bookmarkEnd w:id="219"/>
    </w:p>
    <w:p>
      <w:pPr>
        <w:pStyle w:val="BlockText"/>
      </w:pPr>
      <w:r>
        <w:t xml:space="preserve">Lo cierto es que vivimos postergando todo lo postergable; tal vez todos sabemos profundamente que somos inmortales y que tarde o temprano, todo hombre hará todas las cosas y sabrá todo.</w:t>
      </w:r>
      <w:r>
        <w:rPr>
          <w:rStyle w:val="FootnoteReference"/>
        </w:rPr>
        <w:footnoteReference w:id="220"/>
      </w:r>
      <w:r>
        <w:t xml:space="preserve"> </w:t>
      </w:r>
      <w:r>
        <w:t xml:space="preserve">(Borges 1942)</w:t>
      </w:r>
    </w:p>
    <w:p>
      <w:pPr>
        <w:pStyle w:val="BlockText"/>
      </w:pPr>
      <w:r>
        <w:t xml:space="preserve">All these differences in the production of the trace may be reinterpreted as moments of deferring…Is it not already death at the origin of life which can defend itself against death only through an</w:t>
      </w:r>
      <w:r>
        <w:t xml:space="preserve"> </w:t>
      </w:r>
      <w:r>
        <w:rPr>
          <w:i/>
        </w:rPr>
        <w:t xml:space="preserve">economy</w:t>
      </w:r>
      <w:r>
        <w:t xml:space="preserve"> </w:t>
      </w:r>
      <w:r>
        <w:t xml:space="preserve">of death, through deferment, repetition, reserve?</w:t>
      </w:r>
      <w:r>
        <w:t xml:space="preserve"> </w:t>
      </w:r>
      <w:r>
        <w:t xml:space="preserve">(Derrida 1978, p. 202)</w:t>
      </w:r>
    </w:p>
    <w:p>
      <w:pPr>
        <w:pStyle w:val="FirstParagraph"/>
      </w:pPr>
      <w:r>
        <w:t xml:space="preserve">I would like to take a brief, but necessary, psychoanalytic detour, so as to set some context for the concept of memory. For this purpose, I take Derrida’s reading of Freud’s conceptualization of memory as a starting point towards distinguishing between human and nonhuman memory.</w:t>
      </w:r>
    </w:p>
    <w:p>
      <w:pPr>
        <w:pStyle w:val="Heading5"/>
      </w:pPr>
      <w:bookmarkStart w:id="221" w:name="memory-as-breaching"/>
      <w:r>
        <w:t xml:space="preserve">Memory as Breaching</w:t>
      </w:r>
      <w:bookmarkEnd w:id="221"/>
    </w:p>
    <w:p>
      <w:pPr>
        <w:pStyle w:val="FirstParagraph"/>
      </w:pPr>
      <w:r>
        <w:t xml:space="preserve">According to Derrida</w:t>
      </w:r>
      <w:r>
        <w:t xml:space="preserve"> </w:t>
      </w:r>
      <w:r>
        <w:t xml:space="preserve">(Derrida 1978)</w:t>
      </w:r>
      <w:r>
        <w:t xml:space="preserve">, Freud understood memory as the essence of the psyche:</w:t>
      </w:r>
      <w:r>
        <w:t xml:space="preserve"> </w:t>
      </w:r>
      <w:r>
        <w:t xml:space="preserve">“</w:t>
      </w:r>
      <w:r>
        <w:t xml:space="preserve">Memory, thus, 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 In this sense, the perceived world enters as a force of effraction into the resisting unconscious, resulting in the inscription of a trace, that is, a memory. By definition, this is a violent process of impression (pressing</w:t>
      </w:r>
      <w:r>
        <w:t xml:space="preserve"> </w:t>
      </w:r>
      <w:r>
        <w:rPr>
          <w:i/>
        </w:rPr>
        <w:t xml:space="preserve">in</w:t>
      </w:r>
      <w:r>
        <w:t xml:space="preserve">), which is only possible by the notion of resistance. Thus, in order for something to leave a mark, there has to be some force acting against an other. In this case, one force is the world with its constantly changing images; another, the unconscious with its resistance to change. In this sense, Freud describes memory as breaching, or better, a state of being opened to this effraction. Memories are inscribed with incredible violence, one that can define the extent to which the inscription can be recalled later on, for instance, the case of repression, which is not forgetfulness but the deferred case of a force of containment. Furthermore, this breaching can be equally thought of as a fracture, hence the notion of effraction, which speaks of a the violent rupture. Despite, however, this violent image of path-breaking, Derrida writes of memory as an opening, in a paradoxical game between the resistance of the unconscious and the unavoidable (unclosing) state of being innocently ready for the next perception.</w:t>
      </w:r>
    </w:p>
    <w:p>
      <w:pPr>
        <w:pStyle w:val="Heading5"/>
      </w:pPr>
      <w:bookmarkStart w:id="222" w:name="breaching-and-différance"/>
      <w:r>
        <w:t xml:space="preserve">Breaching and</w:t>
      </w:r>
      <w:r>
        <w:t xml:space="preserve"> </w:t>
      </w:r>
      <w:r>
        <w:rPr>
          <w:i/>
        </w:rPr>
        <w:t xml:space="preserve">différance</w:t>
      </w:r>
      <w:bookmarkEnd w:id="222"/>
    </w:p>
    <w:p>
      <w:pPr>
        <w:pStyle w:val="FirstParagraph"/>
      </w:pPr>
      <w:r>
        <w:t xml:space="preserve">Derrida points to one issue in Freud’s opposing forces: the case where resisting forces meet equally strong forces, which would result in a paralysis of memory. Therefore, he proposes that it is</w:t>
      </w:r>
      <w:r>
        <w:t xml:space="preserve"> </w:t>
      </w:r>
      <w:r>
        <w:t xml:space="preserve">“</w:t>
      </w:r>
      <w:r>
        <w:t xml:space="preserve">the difference between breaches which is the true origin of memory, and thus of the psyche</w:t>
      </w:r>
      <w:r>
        <w:t xml:space="preserve">”</w:t>
      </w:r>
      <w:r>
        <w:t xml:space="preserve"> </w:t>
      </w:r>
      <w:r>
        <w:t xml:space="preserve">(Derrida 1978, p. 201)</w:t>
      </w:r>
      <w:r>
        <w:t xml:space="preserve">. In other words, Derrida reconfigures the psyche with the interplay of</w:t>
      </w:r>
      <w:r>
        <w:t xml:space="preserve"> </w:t>
      </w:r>
      <w:r>
        <w:rPr>
          <w:i/>
        </w:rPr>
        <w:t xml:space="preserve">différance</w:t>
      </w:r>
      <w:r>
        <w:t xml:space="preserve">, that is, a structure of infinite referrals and deferrals:</w:t>
      </w:r>
      <w:r>
        <w:t xml:space="preserve"> </w:t>
      </w:r>
      <w:r>
        <w:t xml:space="preserve">“</w:t>
      </w:r>
      <w:r>
        <w:t xml:space="preserve">trace as memory is not a pure breaching that might be reappropriated at any time as simple presence; it is rather the ungraspable and invisible difference between breaches</w:t>
      </w:r>
      <w:r>
        <w:t xml:space="preserve">”</w:t>
      </w:r>
      <w:r>
        <w:t xml:space="preserve"> </w:t>
      </w:r>
      <w:r>
        <w:t xml:space="preserve">(Derrida 1978, p. 201)</w:t>
      </w:r>
      <w:r>
        <w:t xml:space="preserve"> </w:t>
      </w:r>
      <w:r>
        <w:t xml:space="preserve">Therefore, since the essence of the psyche (memory) is breaching (tracing) and the space and temporal dislocation of traces (</w:t>
      </w:r>
      <w:r>
        <w:rPr>
          <w:i/>
        </w:rPr>
        <w:t xml:space="preserve">différance</w:t>
      </w:r>
      <w:r>
        <w:t xml:space="preserve">), a link between human and nonhuman can be established: writing.</w:t>
      </w:r>
    </w:p>
    <w:p>
      <w:pPr>
        <w:pStyle w:val="Heading5"/>
      </w:pPr>
      <w:bookmarkStart w:id="223" w:name="hypomnesis-and-the-mystic-pad"/>
      <w:r>
        <w:t xml:space="preserve">Hypomnesis and the Mystic Pad</w:t>
      </w:r>
      <w:bookmarkEnd w:id="223"/>
    </w:p>
    <w:p>
      <w:pPr>
        <w:pStyle w:val="FirstParagraph"/>
      </w:pPr>
      <w:r>
        <w:t xml:space="preserve">As Derrida points out, writing as</w:t>
      </w:r>
      <w:r>
        <w:t xml:space="preserve"> </w:t>
      </w:r>
      <w:r>
        <w:rPr>
          <w:i/>
        </w:rPr>
        <w:t xml:space="preserve">hypomnesis</w:t>
      </w:r>
      <w:r>
        <w:t xml:space="preserve"> </w:t>
      </w:r>
      <w:r>
        <w:t xml:space="preserve">(as an externalization of memory) has been considered since Plato</w:t>
      </w:r>
      <w:r>
        <w:t xml:space="preserve"> </w:t>
      </w:r>
      <w:r>
        <w:t xml:space="preserve">(Derrida 1978, p. 221)</w:t>
      </w:r>
      <w:r>
        <w:t xml:space="preserve">. However, Freud’s metaphor for the perceptual system found yet another place: the Mystic Pad. There were many derivations of this device, but it consists in something like a writable surface board. When you write on it, a thin layer on top sticks to a sort of wax on the back, thus leaving a trace; when you lift the upper layer, the traces vanish completely. This special device came to represent, for Freud, the structure of the perceptual apparatus itself, or as Derrida says, it is where</w:t>
      </w:r>
      <w:r>
        <w:t xml:space="preserve"> </w:t>
      </w:r>
      <w:r>
        <w:t xml:space="preserve">“</w:t>
      </w:r>
      <w:r>
        <w:t xml:space="preserve">the psychical is caught up in an apparatus, and what is written will be more readily represented as a part extracted from the apparatus and</w:t>
      </w:r>
      <w:r>
        <w:t xml:space="preserve"> </w:t>
      </w:r>
      <w:r>
        <w:t xml:space="preserve">‘</w:t>
      </w:r>
      <w:r>
        <w:t xml:space="preserve">materialized</w:t>
      </w:r>
      <w:r>
        <w:t xml:space="preserve">’</w:t>
      </w:r>
      <w:r>
        <w:t xml:space="preserve">”</w:t>
      </w:r>
      <w:r>
        <w:t xml:space="preserve"> </w:t>
      </w:r>
      <w:r>
        <w:t xml:space="preserve">(Derrida 1978, p. 222)</w:t>
      </w:r>
      <w:r>
        <w:t xml:space="preserve">. Therefore, this new (1925) hypomnesic device allowed Freud to shift from considering regular writable surfaces (paper), to a combination of resisting textures in a device which allowed for</w:t>
      </w:r>
      <w:r>
        <w:t xml:space="preserve"> </w:t>
      </w:r>
      <w:r>
        <w:t xml:space="preserve">“</w:t>
      </w:r>
      <w:r>
        <w:t xml:space="preserve">a perpetually available innocence and an infinite reserve of traces</w:t>
      </w:r>
      <w:r>
        <w:t xml:space="preserve">”</w:t>
      </w:r>
      <w:r>
        <w:t xml:space="preserve"> </w:t>
      </w:r>
      <w:r>
        <w:t xml:space="preserve">(Derrida 1978, p. 223)</w:t>
      </w:r>
      <w:r>
        <w:t xml:space="preserve">. Derrida, however, reconceptualized this differently. The crucial distinction he finds on this writing device is the notion of erasure, but most pressingly, that of repetition. In this sense, traces</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This means that tracing constitutes a process whose only possibility is its own negation, that is, its own undoing of itself. Furthermore, these traces are, from the first moment, that is, from the beginning of the process of impression,</w:t>
      </w:r>
      <w:r>
        <w:t xml:space="preserve"> </w:t>
      </w:r>
      <w:r>
        <w:t xml:space="preserve">“</w:t>
      </w:r>
      <w:r>
        <w:t xml:space="preserve">constituted by the double force of repetition and erasure, legibility and illegibility</w:t>
      </w:r>
      <w:r>
        <w:t xml:space="preserve">”</w:t>
      </w:r>
      <w:r>
        <w:t xml:space="preserve"> </w:t>
      </w:r>
      <w:r>
        <w:t xml:space="preserve">(Derrida 1978, p. 226)</w:t>
      </w:r>
      <w:r>
        <w:t xml:space="preserve">. Hence, the spatio-temporal duality of the concept of</w:t>
      </w:r>
      <w:r>
        <w:t xml:space="preserve"> </w:t>
      </w:r>
      <w:r>
        <w:rPr>
          <w:i/>
        </w:rPr>
        <w:t xml:space="preserve">différance</w:t>
      </w:r>
      <w:r>
        <w:t xml:space="preserve">, that is, the interplay between spacing and deferments, which comes to be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p>
    <w:p>
      <w:pPr>
        <w:pStyle w:val="BlockText"/>
      </w:pPr>
      <w:r>
        <w:t xml:space="preserve">The</w:t>
      </w:r>
      <w:r>
        <w:t xml:space="preserve"> </w:t>
      </w:r>
      <w:r>
        <w:t xml:space="preserve">‘</w:t>
      </w:r>
      <w:r>
        <w:t xml:space="preserve">subject</w:t>
      </w:r>
      <w:r>
        <w:t xml:space="preserve">’</w:t>
      </w:r>
      <w:r>
        <w:t xml:space="preserve"> </w:t>
      </w:r>
      <w:r>
        <w:t xml:space="preserve">of writing does not exist if we mean by that some sovereign solitude of the author.</w:t>
      </w:r>
      <w:r>
        <w:t xml:space="preserve"> </w:t>
      </w:r>
      <w:r>
        <w:rPr>
          <w:i/>
        </w:rPr>
        <w:t xml:space="preserve">The subject of writing is a system of relations between strata</w:t>
      </w:r>
      <w:r>
        <w:t xml:space="preserve">: the Mystic Pad, the psyche, society, the world. Within that scene, on that stage, the punctual simplicity of the classical subject is not to be found. In order to describe the structure, it is not enough to recall that one always writes for someone; and the oppositions sender-receiver, code-message, etc., remain extremely coarse instruments. We would search the</w:t>
      </w:r>
      <w:r>
        <w:t xml:space="preserve"> </w:t>
      </w:r>
      <w:r>
        <w:t xml:space="preserve">‘</w:t>
      </w:r>
      <w:r>
        <w:t xml:space="preserve">public</w:t>
      </w:r>
      <w:r>
        <w:t xml:space="preserve">’</w:t>
      </w:r>
      <w:r>
        <w:t xml:space="preserve"> </w:t>
      </w:r>
      <w:r>
        <w:t xml:space="preserve">in vain for the first reader: i.e., the first author of a work. [emphasis added]</w:t>
      </w:r>
      <w:r>
        <w:t xml:space="preserve"> </w:t>
      </w:r>
      <w:r>
        <w:t xml:space="preserve">(Derrida 1978, p. 227)</w:t>
      </w:r>
    </w:p>
    <w:p>
      <w:pPr>
        <w:pStyle w:val="Heading5"/>
      </w:pPr>
      <w:bookmarkStart w:id="224" w:name="nonhuman-authors"/>
      <w:r>
        <w:t xml:space="preserve">Nonhuman Authors</w:t>
      </w:r>
      <w:bookmarkEnd w:id="224"/>
    </w:p>
    <w:p>
      <w:pPr>
        <w:pStyle w:val="FirstParagraph"/>
      </w:pPr>
      <w:r>
        <w:t xml:space="preserve">Since the structure of memory, as I outlined above, can be comprehended as path breaking and</w:t>
      </w:r>
      <w:r>
        <w:t xml:space="preserve"> </w:t>
      </w:r>
      <w:r>
        <w:rPr>
          <w:i/>
        </w:rPr>
        <w:t xml:space="preserve">différance</w:t>
      </w:r>
      <w:r>
        <w:t xml:space="preserve">, the concepts of resistance, referrals, and deferrals play an important role in its definition. Furthermore, the externalization of memory comes as an instantiation of the very structure of not only our perceptual machine, but also of the structure of the psyche itself. This hypomnesis allows for a materialization of the psyche that is constituted as a tool, that is, as an apparatus to be handled. With this conceptualization of memory as writing, Derrida reconfigures the notion of the self of writing, that is, of an author. Therefore, when memory is thought of as writing, the classical notion of self begins to disappear, opening up the space for the nonhuman. In what sense can this disappearance of the self be accounted for if we substitute writing for databasing? How does the databasing self emerges in this non-origin of the originary moment of writing that Derrida describes above? How is this</w:t>
      </w:r>
      <w:r>
        <w:t xml:space="preserve"> </w:t>
      </w:r>
      <w:r>
        <w:t xml:space="preserve">“</w:t>
      </w:r>
      <w:r>
        <w:t xml:space="preserve">system of relations between strata</w:t>
      </w:r>
      <w:r>
        <w:t xml:space="preserve">”</w:t>
      </w:r>
      <w:r>
        <w:t xml:space="preserve"> </w:t>
      </w:r>
      <w:r>
        <w:t xml:space="preserve">to be understood in terms of the work of databasers? This is how a further step into the conceptualization of memory can be of aid, one that considers memory as resonance, and writing as databasing. I have already described above how resonance and memory constitute processes of</w:t>
      </w:r>
      <w:r>
        <w:t xml:space="preserve"> </w:t>
      </w:r>
      <w:r>
        <w:rPr>
          <w:i/>
        </w:rPr>
        <w:t xml:space="preserve">différance</w:t>
      </w:r>
      <w:r>
        <w:t xml:space="preserve">, that is, how the structure of sound, on the one hand, and traces, on the other, relate to spatiality and temporality. This is to say that, while the infinite situations of reference create a space of multiple situations, connections, associations, etc., which constitute an instance of signification, simultaneously, the ongoing process of deferral creates the oscillatory condition of perception, which constitutes the infinite return, the repetition, and the reverberation of a self. This self, however, is not an essential one, that is, it is not a substance, but it is understood as a resonant subject,</w:t>
      </w:r>
      <w:r>
        <w:t xml:space="preserve"> </w:t>
      </w:r>
      <w:r>
        <w:rPr>
          <w:i/>
        </w:rPr>
        <w:t xml:space="preserve">the resonance of a return</w:t>
      </w:r>
      <w:r>
        <w:t xml:space="preserve">, which, like Derrida’s</w:t>
      </w:r>
      <w:r>
        <w:t xml:space="preserve"> </w:t>
      </w:r>
      <w:r>
        <w:t xml:space="preserve">“</w:t>
      </w:r>
      <w:r>
        <w:t xml:space="preserve">subject of writing</w:t>
      </w:r>
      <w:r>
        <w:t xml:space="preserve">”</w:t>
      </w:r>
      <w:r>
        <w:t xml:space="preserve">, does not exist in itself, and only appears as a result of a resonant</w:t>
      </w:r>
      <w:r>
        <w:t xml:space="preserve"> </w:t>
      </w:r>
      <w:r>
        <w:t xml:space="preserve">“</w:t>
      </w:r>
      <w:r>
        <w:t xml:space="preserve">system of relations between strata.</w:t>
      </w:r>
      <w:r>
        <w:t xml:space="preserve">”</w:t>
      </w:r>
    </w:p>
    <w:p>
      <w:pPr>
        <w:pStyle w:val="Heading5"/>
      </w:pPr>
      <w:bookmarkStart w:id="225" w:name="database-as-agents"/>
      <w:r>
        <w:t xml:space="preserve">Database as Agents</w:t>
      </w:r>
      <w:bookmarkEnd w:id="225"/>
    </w:p>
    <w:p>
      <w:pPr>
        <w:pStyle w:val="FirstParagraph"/>
      </w:pPr>
      <w:r>
        <w:t xml:space="preserve">Therefore, if this resonant self can only emerge out of this system —or better, network— of relations, then, every resonant point of the network must be considered as an agent in the constitution of a self. This means not only that the database, in this particular case of database music, becomes an agent of self-hood —and, for that matter, an agent of authorship relating to the resulting work of database music. It also means that, as an instance of hypomnesis, that is, as technology that externalizes memory, the database appropriates the qualities relating to memory itself that were described above: breaching and</w:t>
      </w:r>
      <w:r>
        <w:t xml:space="preserve"> </w:t>
      </w:r>
      <w:r>
        <w:rPr>
          <w:i/>
        </w:rPr>
        <w:t xml:space="preserve">différance</w:t>
      </w:r>
      <w:r>
        <w:t xml:space="preserve">. Thus, not only can the nonhuman be reconceptualized within these qualities, also the human itself becomes reconfigured when faced upon the situation that memory, as breaching and</w:t>
      </w:r>
      <w:r>
        <w:t xml:space="preserve"> </w:t>
      </w:r>
      <w:r>
        <w:rPr>
          <w:i/>
        </w:rPr>
        <w:t xml:space="preserve">différance</w:t>
      </w:r>
      <w:r>
        <w:t xml:space="preserve"> </w:t>
      </w:r>
      <w:r>
        <w:t xml:space="preserve">can also be found in the nonhuman. Therefore, given that the nonhuman and the human are engaged in this resonant network that cancels the classical notion of self, then, distinguishing between the human and the nonhuman cannot be carried out in classical terms, that is, in terms of substance, essence, etc., since they do not apply anymore. The only thing that remains is, basically, the body, the singular instance of a resonant skin, whether it be of a human or a nonhuman, of a databaser or a database; a skin, but also an open resistance to the forces of change.</w:t>
      </w:r>
    </w:p>
    <w:p>
      <w:pPr>
        <w:pStyle w:val="Heading3"/>
      </w:pPr>
      <w:bookmarkStart w:id="226" w:name="archontic"/>
      <w:r>
        <w:t xml:space="preserve">The Archontic Principle</w:t>
      </w:r>
      <w:bookmarkEnd w:id="226"/>
    </w:p>
    <w:p>
      <w:pPr>
        <w:pStyle w:val="Heading5"/>
      </w:pPr>
      <w:bookmarkStart w:id="227" w:name="archives-and-memory"/>
      <w:r>
        <w:t xml:space="preserve">Archives and Memory</w:t>
      </w:r>
      <w:bookmarkEnd w:id="227"/>
    </w:p>
    <w:p>
      <w:pPr>
        <w:pStyle w:val="FirstParagraph"/>
      </w:pPr>
      <w:r>
        <w:t xml:space="preserve">For Derrida, the archive cannot be reduced to memory, it is is neither a form of rememoration nor a</w:t>
      </w:r>
      <w:r>
        <w:t xml:space="preserve"> </w:t>
      </w:r>
      <w:r>
        <w:t xml:space="preserve">“</w:t>
      </w:r>
      <w:r>
        <w:t xml:space="preserve">conscious reserve,</w:t>
      </w:r>
      <w:r>
        <w:t xml:space="preserve">”</w:t>
      </w:r>
      <w:r>
        <w:t xml:space="preserve"> </w:t>
      </w:r>
      <w:r>
        <w:t xml:space="preserve">but simply a place where</w:t>
      </w:r>
      <w:r>
        <w:t xml:space="preserve"> </w:t>
      </w:r>
      <w:r>
        <w:t xml:space="preserve">“</w:t>
      </w:r>
      <w:r>
        <w:t xml:space="preserve">the origin speaks by itself</w:t>
      </w:r>
      <w:r>
        <w:t xml:space="preserve">”</w:t>
      </w:r>
      <w:r>
        <w:t xml:space="preserve"> </w:t>
      </w:r>
      <w:r>
        <w:t xml:space="preserve">(Derrida &amp; Prenowitz 1995, p. 60)</w:t>
      </w:r>
      <w:r>
        <w:t xml:space="preserve">. In this definition, the word</w:t>
      </w:r>
      <w:r>
        <w:t xml:space="preserve"> </w:t>
      </w:r>
      <w:r>
        <w:t xml:space="preserve">‘</w:t>
      </w:r>
      <w:r>
        <w:t xml:space="preserve">origin</w:t>
      </w:r>
      <w:r>
        <w:t xml:space="preserve">’</w:t>
      </w:r>
      <w:r>
        <w:t xml:space="preserve"> </w:t>
      </w:r>
      <w:r>
        <w:t xml:space="preserve">refers to the greek root of the word</w:t>
      </w:r>
      <w:r>
        <w:t xml:space="preserve"> </w:t>
      </w:r>
      <w:r>
        <w:t xml:space="preserve">‘</w:t>
      </w:r>
      <w:r>
        <w:t xml:space="preserve">archive</w:t>
      </w:r>
      <w:r>
        <w:t xml:space="preserve">’</w:t>
      </w:r>
      <w:r>
        <w:t xml:space="preserve"> </w:t>
      </w:r>
      <w:r>
        <w:t xml:space="preserve">[arkhē], whose meaning is twofold: on one hand, its definition is topological (space) on the other, it is nomological (law). In the topological sense,</w:t>
      </w:r>
      <w:r>
        <w:t xml:space="preserve"> </w:t>
      </w:r>
      <w:r>
        <w:rPr>
          <w:i/>
        </w:rPr>
        <w:t xml:space="preserve">arkhē</w:t>
      </w:r>
      <w:r>
        <w:t xml:space="preserve"> </w:t>
      </w:r>
      <w:r>
        <w:t xml:space="preserve">is related to the greek word arkheion, which, in turn, refers to</w:t>
      </w:r>
      <w:r>
        <w:t xml:space="preserve"> </w:t>
      </w:r>
      <w:r>
        <w:t xml:space="preserve">“</w:t>
      </w:r>
      <w:r>
        <w:t xml:space="preserve">a house, a domicile, an address, the residence of the superior magistrates, the</w:t>
      </w:r>
      <w:r>
        <w:t xml:space="preserve"> </w:t>
      </w:r>
      <w:r>
        <w:rPr>
          <w:i/>
        </w:rPr>
        <w:t xml:space="preserve">archons</w:t>
      </w:r>
      <w:r>
        <w:t xml:space="preserve">, those who commanded</w:t>
      </w:r>
      <w:r>
        <w:t xml:space="preserve">”</w:t>
      </w:r>
      <w:r>
        <w:t xml:space="preserve"> </w:t>
      </w:r>
      <w:r>
        <w:t xml:space="preserve">(Derrida &amp; Prenowitz 1995, p. 9)</w:t>
      </w:r>
      <w:r>
        <w:t xml:space="preserve">. In the nomological sense,</w:t>
      </w:r>
      <w:r>
        <w:t xml:space="preserve"> </w:t>
      </w:r>
      <w:r>
        <w:rPr>
          <w:i/>
        </w:rPr>
        <w:t xml:space="preserve">arkhē</w:t>
      </w:r>
      <w:r>
        <w:t xml:space="preserve"> </w:t>
      </w:r>
      <w:r>
        <w:t xml:space="preserve">refers to the ruling, to authority, to the command or commandment, i.e., the law. Thus, the magistrates [archons] are those who</w:t>
      </w:r>
      <w:r>
        <w:t xml:space="preserve"> </w:t>
      </w:r>
      <w:r>
        <w:t xml:space="preserve">“</w:t>
      </w:r>
      <w:r>
        <w:t xml:space="preserve">have the power to interpret the archives,</w:t>
      </w:r>
      <w:r>
        <w:t xml:space="preserve">”</w:t>
      </w:r>
      <w:r>
        <w:t xml:space="preserve"> </w:t>
      </w:r>
      <w:r>
        <w:t xml:space="preserve">and they indeed reside inside this place called</w:t>
      </w:r>
      <w:r>
        <w:t xml:space="preserve"> </w:t>
      </w:r>
      <w:r>
        <w:rPr>
          <w:i/>
        </w:rPr>
        <w:t xml:space="preserve">archeion</w:t>
      </w:r>
      <w:r>
        <w:t xml:space="preserve"> </w:t>
      </w:r>
      <w:r>
        <w:t xml:space="preserve">(Derrida &amp; Prenowitz 1995, p. 9)</w:t>
      </w:r>
      <w:r>
        <w:t xml:space="preserve">. Therefore, considering the fact that these magistrates actually reside in place of the archive, Derrida refers to an</w:t>
      </w:r>
      <w:r>
        <w:t xml:space="preserve"> </w:t>
      </w:r>
      <w:r>
        <w:t xml:space="preserve">“</w:t>
      </w:r>
      <w:r>
        <w:t xml:space="preserve">institutional passage from the private to the public</w:t>
      </w:r>
      <w:r>
        <w:t xml:space="preserve">”</w:t>
      </w:r>
      <w:r>
        <w:t xml:space="preserve"> </w:t>
      </w:r>
      <w:r>
        <w:t xml:space="preserve">which is constitutive of the archive itself</w:t>
      </w:r>
      <w:r>
        <w:t xml:space="preserve"> </w:t>
      </w:r>
      <w:r>
        <w:t xml:space="preserve">(Derrida &amp; Prenowitz 1995, p. 9)</w:t>
      </w:r>
      <w:r>
        <w:t xml:space="preserve">.</w:t>
      </w:r>
    </w:p>
    <w:p>
      <w:pPr>
        <w:pStyle w:val="Heading5"/>
      </w:pPr>
      <w:bookmarkStart w:id="228" w:name="hierarchies"/>
      <w:r>
        <w:t xml:space="preserve">Hierarchies</w:t>
      </w:r>
      <w:bookmarkEnd w:id="228"/>
    </w:p>
    <w:p>
      <w:pPr>
        <w:pStyle w:val="FirstParagraph"/>
      </w:pPr>
      <w:r>
        <w:t xml:space="preserve">From this definition of the archive, what is alluded is the hierarchical structure of civilization itself, that is, of government and legislation. Going further into this aspect of the concept of the archive would extend the limits of this text. Derrida, with this conceptualization of the archive, focused on the exponential growth of archives that spawned during the 20th century, defining it as an impulse, or better, as a</w:t>
      </w:r>
      <w:r>
        <w:t xml:space="preserve"> </w:t>
      </w:r>
      <w:r>
        <w:t xml:space="preserve">‘</w:t>
      </w:r>
      <w:r>
        <w:t xml:space="preserve">fever</w:t>
      </w:r>
      <w:r>
        <w:t xml:space="preserve">’</w:t>
      </w:r>
      <w:r>
        <w:t xml:space="preserve"> </w:t>
      </w:r>
      <w:r>
        <w:t xml:space="preserve">and a drive. Thus, he proceeded to perform a psychoanalysis of this symptomatic condition of mid-1990 society, beginning with the archivization of the house of the</w:t>
      </w:r>
      <w:r>
        <w:t xml:space="preserve"> </w:t>
      </w:r>
      <w:r>
        <w:rPr>
          <w:i/>
        </w:rPr>
        <w:t xml:space="preserve">father</w:t>
      </w:r>
      <w:r>
        <w:t xml:space="preserve"> </w:t>
      </w:r>
      <w:r>
        <w:t xml:space="preserve">of psychoanalysis, Sigmund Freud. Therefore, I would like to focus on one principle that Derrida described as belonging to the concept of the archive, what he calls the</w:t>
      </w:r>
      <w:r>
        <w:t xml:space="preserve"> </w:t>
      </w:r>
      <w:r>
        <w:rPr>
          <w:i/>
        </w:rPr>
        <w:t xml:space="preserve">archontic</w:t>
      </w:r>
      <w:r>
        <w:t xml:space="preserve"> </w:t>
      </w:r>
      <w:r>
        <w:t xml:space="preserve">principle.</w:t>
      </w:r>
    </w:p>
    <w:p>
      <w:pPr>
        <w:pStyle w:val="Heading5"/>
      </w:pPr>
      <w:bookmarkStart w:id="229" w:name="archontic-principle"/>
      <w:r>
        <w:t xml:space="preserve">Archontic Principle</w:t>
      </w:r>
      <w:bookmarkEnd w:id="229"/>
    </w:p>
    <w:p>
      <w:pPr>
        <w:pStyle w:val="FirstParagraph"/>
      </w:pPr>
      <w:r>
        <w:t xml:space="preserve">The archontic principle is a type of authority that the archive projects, which can be understood as powerful dictating rule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(e.g., principal, prince, etc.). For Derrida, this principle is constitutive of all words deriving from</w:t>
      </w:r>
      <w:r>
        <w:t xml:space="preserve"> </w:t>
      </w:r>
      <w:r>
        <w:rPr>
          <w:i/>
        </w:rPr>
        <w:t xml:space="preserve">archē</w:t>
      </w:r>
      <w:r>
        <w:t xml:space="preserve">, which is why he understands the archive, for example, as being patriarchic. Since the archontic principle is present in the etymology of the word</w:t>
      </w:r>
      <w:r>
        <w:t xml:space="preserve"> </w:t>
      </w:r>
      <w:r>
        <w:t xml:space="preserve">‘</w:t>
      </w:r>
      <w:r>
        <w:t xml:space="preserve">patriarchy</w:t>
      </w:r>
      <w:r>
        <w:t xml:space="preserve">’</w:t>
      </w:r>
      <w:r>
        <w:t xml:space="preserve"> </w:t>
      </w:r>
      <w:r>
        <w:t xml:space="preserve">—which refers, likewise, to</w:t>
      </w:r>
      <w:r>
        <w:t xml:space="preserve"> </w:t>
      </w:r>
      <w:r>
        <w:t xml:space="preserve">‘</w:t>
      </w:r>
      <w:r>
        <w:t xml:space="preserve">lineage,</w:t>
      </w:r>
      <w:r>
        <w:t xml:space="preserve">’</w:t>
      </w:r>
      <w:r>
        <w:t xml:space="preserve"> </w:t>
      </w:r>
      <w:r>
        <w:t xml:space="preserve">‘</w:t>
      </w:r>
      <w:r>
        <w:t xml:space="preserve">father,</w:t>
      </w:r>
      <w:r>
        <w:t xml:space="preserve">’</w:t>
      </w:r>
      <w:r>
        <w:t xml:space="preserve"> </w:t>
      </w:r>
      <w:r>
        <w:t xml:space="preserve">and</w:t>
      </w:r>
      <w:r>
        <w:t xml:space="preserve"> </w:t>
      </w:r>
      <w:r>
        <w:t xml:space="preserve">‘</w:t>
      </w:r>
      <w:r>
        <w:t xml:space="preserve">I rule</w:t>
      </w:r>
      <w:r>
        <w:t xml:space="preserve">’</w:t>
      </w:r>
      <w:r>
        <w:t xml:space="preserve">—, therefore, he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w:t>
      </w:r>
    </w:p>
    <w:p>
      <w:pPr>
        <w:pStyle w:val="Heading5"/>
      </w:pPr>
      <w:bookmarkStart w:id="230" w:name="patriarchy"/>
      <w:r>
        <w:t xml:space="preserve">Patriarchy</w:t>
      </w:r>
      <w:bookmarkEnd w:id="230"/>
    </w:p>
    <w:p>
      <w:pPr>
        <w:pStyle w:val="FirstParagraph"/>
      </w:pPr>
      <w:r>
        <w:t xml:space="preserve">What follows is that this patriarchy is grounded in a domicile (house) or an institution (family). Within this domiciliation or institutionalization is from where rules are prescribed, and where the ruling takes place. In the case of the patriarchic concept of family, the father is the ruler; in the case of civilization, the governor is the ruler. Therefore, this is what Derrida means when he performs a psychoanalysis of the archive: the topo-nomological aspect of the archive comes precisely from a —strategically male-centered— concept of fatherhood. In this sense, Derrida discovers that the archontic has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 Derrida notes that this complex has the form of an infinite loop between father and child, which is bound to repeat itself, just as is the case with Freud’s definition of the complex, which, according to the greek drama, is articulated by the figure of the parricide. In this sense, Derrida claims that Freud</w:t>
      </w:r>
      <w:r>
        <w:t xml:space="preserve"> </w:t>
      </w:r>
      <w:r>
        <w:t xml:space="preserve">“</w:t>
      </w:r>
      <w:r>
        <w:t xml:space="preserve">has shown how 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Heading5"/>
      </w:pPr>
      <w:bookmarkStart w:id="231" w:name="institutional-passage"/>
      <w:r>
        <w:t xml:space="preserve">Institutional Passage</w:t>
      </w:r>
      <w:bookmarkEnd w:id="231"/>
    </w:p>
    <w:p>
      <w:pPr>
        <w:pStyle w:val="FirstParagraph"/>
      </w:pPr>
      <w:r>
        <w:t xml:space="preserve">What is the case when this patriarchic principle is found on archives? I mentioned above the passage from the private to the public that Derrida recognized in the concept of the archive. This fact resonates with the plurality that is condensed in the place of the archive, which is opposed to the singularity that is condensed in the plurality of memory. In other words, while archives are a singular place where documents —made by a plurality of authors, that is, by different people, technologies, etc— are singularly kept, in the case of human memory, the reverse occurs. While the psyche is singular, that is, while there is only</w:t>
      </w:r>
      <w:r>
        <w:t xml:space="preserve"> </w:t>
      </w:r>
      <w:r>
        <w:t xml:space="preserve">‘</w:t>
      </w:r>
      <w:r>
        <w:t xml:space="preserve">myself</w:t>
      </w:r>
      <w:r>
        <w:t xml:space="preserve">’</w:t>
      </w:r>
      <w:r>
        <w:t xml:space="preserve"> </w:t>
      </w:r>
      <w:r>
        <w:t xml:space="preserve">remembering, the difference between each trace of memory is indeed a plurality. While I remember, the memory I rememorate is composed out the set of differences of traces that I have effracted in the moment of remembering.</w:t>
      </w:r>
    </w:p>
    <w:p>
      <w:pPr>
        <w:pStyle w:val="BodyText"/>
      </w:pPr>
      <w:r>
        <w:t xml:space="preserve">The following pseudocode may help in this distinction:</w:t>
      </w:r>
    </w:p>
    <w:p>
      <w:pPr>
        <w:pStyle w:val="SourceCode"/>
      </w:pPr>
      <w:r>
        <w:rPr>
          <w:rStyle w:val="VerbatimChar"/>
        </w:rPr>
        <w:t xml:space="preserve">function make_an_archive() {</w:t>
      </w:r>
      <w:r>
        <w:br w:type="textWrapping"/>
      </w:r>
      <w:r>
        <w:rPr>
          <w:rStyle w:val="VerbatimChar"/>
        </w:rPr>
        <w:t xml:space="preserve">    public      = PRIVATE</w:t>
      </w:r>
      <w:r>
        <w:br w:type="textWrapping"/>
      </w:r>
      <w:r>
        <w:rPr>
          <w:rStyle w:val="VerbatimChar"/>
        </w:rPr>
        <w:t xml:space="preserve">    singular    = PLURAL</w:t>
      </w:r>
      <w:r>
        <w:br w:type="textWrapping"/>
      </w:r>
      <w:r>
        <w:rPr>
          <w:rStyle w:val="VerbatimChar"/>
        </w:rPr>
        <w:t xml:space="preserve">    place       = COMMUNITY</w:t>
      </w:r>
      <w:r>
        <w:br w:type="textWrapping"/>
      </w:r>
      <w:r>
        <w:rPr>
          <w:rStyle w:val="VerbatimChar"/>
        </w:rPr>
        <w:t xml:space="preserve">    archive     = place = singular = public</w:t>
      </w:r>
      <w:r>
        <w:br w:type="textWrapping"/>
      </w:r>
      <w:r>
        <w:rPr>
          <w:rStyle w:val="VerbatimChar"/>
        </w:rPr>
        <w:t xml:space="preserve">    return archive</w:t>
      </w:r>
      <w:r>
        <w:br w:type="textWrapping"/>
      </w:r>
      <w:r>
        <w:rPr>
          <w:rStyle w:val="VerbatimChar"/>
        </w:rPr>
        <w:t xml:space="preserve">    }</w:t>
      </w:r>
      <w:r>
        <w:br w:type="textWrapping"/>
      </w:r>
      <w:r>
        <w:br w:type="textWrapping"/>
      </w:r>
      <w:r>
        <w:rPr>
          <w:rStyle w:val="VerbatimChar"/>
        </w:rPr>
        <w:t xml:space="preserve">function make_a_memory() {</w:t>
      </w:r>
      <w:r>
        <w:br w:type="textWrapping"/>
      </w:r>
      <w:r>
        <w:rPr>
          <w:rStyle w:val="VerbatimChar"/>
        </w:rPr>
        <w:t xml:space="preserve">    private     = PUBLIC</w:t>
      </w:r>
      <w:r>
        <w:br w:type="textWrapping"/>
      </w:r>
      <w:r>
        <w:rPr>
          <w:rStyle w:val="VerbatimChar"/>
        </w:rPr>
        <w:t xml:space="preserve">    plural      = SINGULAR</w:t>
      </w:r>
      <w:r>
        <w:br w:type="textWrapping"/>
      </w:r>
      <w:r>
        <w:rPr>
          <w:rStyle w:val="VerbatimChar"/>
        </w:rPr>
        <w:t xml:space="preserve">    trace       = SELF</w:t>
      </w:r>
      <w:r>
        <w:br w:type="textWrapping"/>
      </w:r>
      <w:r>
        <w:rPr>
          <w:rStyle w:val="VerbatimChar"/>
        </w:rPr>
        <w:t xml:space="preserve">    memory      = trace = plural = private </w:t>
      </w:r>
      <w:r>
        <w:br w:type="textWrapping"/>
      </w:r>
      <w:r>
        <w:rPr>
          <w:rStyle w:val="VerbatimChar"/>
        </w:rPr>
        <w:t xml:space="preserve">    return memory</w:t>
      </w:r>
      <w:r>
        <w:br w:type="textWrapping"/>
      </w:r>
      <w:r>
        <w:rPr>
          <w:rStyle w:val="VerbatimChar"/>
        </w:rPr>
        <w:t xml:space="preserve">}</w:t>
      </w:r>
    </w:p>
    <w:p>
      <w:pPr>
        <w:pStyle w:val="Heading5"/>
      </w:pPr>
      <w:bookmarkStart w:id="232" w:name="authorities"/>
      <w:r>
        <w:t xml:space="preserve">Authorities</w:t>
      </w:r>
      <w:bookmarkEnd w:id="232"/>
    </w:p>
    <w:p>
      <w:pPr>
        <w:pStyle w:val="FirstParagraph"/>
      </w:pPr>
      <w:r>
        <w:t xml:space="preserve">For example, the case of making an archive can be exemplified with the passing of a law or the signing of a contract. Derrida speaks of the act of consignation as constitutive of the archontic principle, since it is an act of</w:t>
      </w:r>
      <w:r>
        <w:t xml:space="preserve"> </w:t>
      </w:r>
      <w:r>
        <w:t xml:space="preserve">“</w:t>
      </w:r>
      <w:r>
        <w:t xml:space="preserve">gathering together signs</w:t>
      </w:r>
      <w:r>
        <w:t xml:space="preserve">”</w:t>
      </w:r>
      <w:r>
        <w:t xml:space="preserve"> </w:t>
      </w:r>
      <w:r>
        <w:t xml:space="preserve">(Derrida &amp; Prenowitz 1995, p. 10)</w:t>
      </w:r>
      <w:r>
        <w:t xml:space="preserve">, as is the case of the signatures on a bill or a contract. One’s signature is private, therefore, the moment one signs a document one makes it public. Furthermore, in making a contract, multiple signatures need to be gathered into the same space: the plurality of the community needs to be condensed in the singularity of the document. Finally, the document itself comes to be a place, but it itself needs yet another place where it is stored, which comes to be the archive. What this act of consignation entails is, precisely, the archontic principle, since the contract itself now becomes an authoritative presence that emerged out of this function of making an archive. The structure of this presence will be discussed in the following section (See</w:t>
      </w:r>
      <w:r>
        <w:t xml:space="preserve"> </w:t>
      </w:r>
      <w:hyperlink w:anchor="spectrality">
        <w:r>
          <w:rPr>
            <w:rStyle w:val="Hyperlink"/>
          </w:rPr>
          <w:t xml:space="preserve">5.2.4</w:t>
        </w:r>
      </w:hyperlink>
      <w:r>
        <w:t xml:space="preserve">). For now, let us continue with the case of making a memory. The moment one perceives the world, one makes it private, inasmuch as one engages with remembering it. When one begin remembering, oneself begins the process of pathbreaking and effraction of traces —and of forgetting, as I will continue to develop below–, which results in the plurality of the condition of traces, that is, on the difference between traces constitutive of memory.</w:t>
      </w:r>
    </w:p>
    <w:p>
      <w:pPr>
        <w:pStyle w:val="BodyText"/>
      </w:pPr>
      <w:r>
        <w:t xml:space="preserve">So, given that if this constitution of archive and memory are indeed reflections of each other, that is, one being the reverse of the other, how is the archontic present in the making of a memory? What would a reversed archontic principle look like? How would it act? These questions deserve a few paragraphs because they will explain the relationship between database, memory, and archive.</w:t>
      </w:r>
    </w:p>
    <w:p>
      <w:pPr>
        <w:pStyle w:val="Heading5"/>
      </w:pPr>
      <w:bookmarkStart w:id="233" w:name="anarchic-memory"/>
      <w:r>
        <w:t xml:space="preserve">Anarchic Memory</w:t>
      </w:r>
      <w:bookmarkEnd w:id="233"/>
    </w:p>
    <w:p>
      <w:pPr>
        <w:pStyle w:val="FirstParagraph"/>
      </w:pPr>
      <w:r>
        <w:t xml:space="preserve">What is important to note here, before continuing, is that just as memory is in a state of fracture and rupture, an archive is also in such state of discontinuity, and thus it is this condition of being in the form of disconnected gaps that makes memories and archives so alike. Spieker notes is that of discontinuity and rupture:</w:t>
      </w:r>
      <w:r>
        <w:t xml:space="preserve"> </w:t>
      </w:r>
      <w:r>
        <w:t xml:space="preserve">“</w:t>
      </w:r>
      <w:r>
        <w:t xml:space="preserve">Like all kinds of data banks, [the archive]</w:t>
      </w:r>
      <w:r>
        <w:t xml:space="preserve"> </w:t>
      </w:r>
      <w:r>
        <w:t xml:space="preserve">‘</w:t>
      </w:r>
      <w:r>
        <w:t xml:space="preserve">forms relationships not on the basis of causes and effects, but through networks</w:t>
      </w:r>
      <w:r>
        <w:t xml:space="preserve">’</w:t>
      </w:r>
      <w:r>
        <w:t xml:space="preserve">”</w:t>
      </w:r>
      <w:r>
        <w:t xml:space="preserve"> </w:t>
      </w:r>
      <w:r>
        <w:t xml:space="preserve">(Ernst 2013, p. 113)</w:t>
      </w:r>
      <w:r>
        <w:t xml:space="preserve">. From these two qualities of archives (filtering and fracture), their resemblance to memory can be drawn. However, while the archive is indeed patriarchic, memory, on the other hand, in terms of the archontic principle, it can only be described as an-archic. While there is indeed oneself remembering, there is no possibility of ruling over the plurality of traces that one has in memory. There is no place to go to remember things, one may try to trick the body into feeling similar things as when one was remembering so as to make a memory resurface, but in the end, memories remember themselves. One has no control over neither remembering nor forgetting. Memories forget themselves.</w:t>
      </w:r>
    </w:p>
    <w:p>
      <w:pPr>
        <w:pStyle w:val="Heading5"/>
      </w:pPr>
      <w:bookmarkStart w:id="234" w:name="collective-memory"/>
      <w:r>
        <w:t xml:space="preserve">Collective Memory</w:t>
      </w:r>
      <w:bookmarkEnd w:id="234"/>
    </w:p>
    <w:p>
      <w:pPr>
        <w:pStyle w:val="FirstParagraph"/>
      </w:pPr>
      <w:r>
        <w:t xml:space="preserve">In the fantastic case of Funes (See</w:t>
      </w:r>
      <w:r>
        <w:t xml:space="preserve"> </w:t>
      </w:r>
      <w:hyperlink w:anchor="funeslude">
        <w:r>
          <w:rPr>
            <w:rStyle w:val="Hyperlink"/>
          </w:rPr>
          <w:t xml:space="preserve">5.2.1</w:t>
        </w:r>
      </w:hyperlink>
      <w:r>
        <w:t xml:space="preserve">), for example, forgetting is a mysterious lack that cannot be reduced to a simple loss of information. It is also a necessary condition for memory to be considered as trace, given that the moment a trace begins is when its own erasure begins. Thus, every memory comes with its own forgetting mechanism, a mechanism that is triggered on its own, and, further, that it is still not fully understood</w:t>
      </w:r>
      <w:r>
        <w:t xml:space="preserve"> </w:t>
      </w:r>
      <w:r>
        <w:t xml:space="preserve">(Wessel &amp; Moulds 2008, p. 292)</w:t>
      </w:r>
      <w:r>
        <w:t xml:space="preserve">. However, in the case of an archive or, what some (perhaps wrongfully) refer to as</w:t>
      </w:r>
      <w:r>
        <w:t xml:space="preserve"> </w:t>
      </w:r>
      <w:r>
        <w:t xml:space="preserve">‘</w:t>
      </w:r>
      <w:r>
        <w:t xml:space="preserve">collective</w:t>
      </w:r>
      <w:r>
        <w:t xml:space="preserve">’</w:t>
      </w:r>
      <w:r>
        <w:t xml:space="preserve"> </w:t>
      </w:r>
      <w:r>
        <w:t xml:space="preserve">memory, the opposite occurs: data loss consists of plain and simple erasure, that is, a destruction that cannot be considered an instance of forgetting:</w:t>
      </w:r>
      <w:r>
        <w:t xml:space="preserve"> </w:t>
      </w:r>
      <w:r>
        <w:t xml:space="preserve">“</w:t>
      </w:r>
      <w:r>
        <w:t xml:space="preserve">in collectivistic memory, where the database has a tangible form, it is more apparent that permanent loss is a possibility. In archives, ink may fade, paper may crumble and entire files may end up in the shredder.</w:t>
      </w:r>
      <w:r>
        <w:t xml:space="preserve"> </w:t>
      </w:r>
      <w:r>
        <w:t xml:space="preserve">(Wessel &amp; Moulds 2008, p. 292)</w:t>
      </w:r>
      <w:r>
        <w:t xml:space="preserve">”</w:t>
      </w:r>
    </w:p>
    <w:p>
      <w:pPr>
        <w:pStyle w:val="Heading5"/>
      </w:pPr>
      <w:bookmarkStart w:id="235" w:name="writing-code"/>
      <w:r>
        <w:t xml:space="preserve">Writing Code</w:t>
      </w:r>
      <w:bookmarkEnd w:id="235"/>
    </w:p>
    <w:p>
      <w:pPr>
        <w:pStyle w:val="FirstParagraph"/>
      </w:pPr>
      <w:r>
        <w:t xml:space="preserve">Since writing can function as a link between human and the nonhuman memory (See</w:t>
      </w:r>
      <w:r>
        <w:t xml:space="preserve"> </w:t>
      </w:r>
      <w:hyperlink w:anchor="human">
        <w:r>
          <w:rPr>
            <w:rStyle w:val="Hyperlink"/>
          </w:rPr>
          <w:t xml:space="preserve">5.2.2</w:t>
        </w:r>
      </w:hyperlink>
      <w:r>
        <w:t xml:space="preserve">), several instances of the metaphor of writing need to be explained in relation to databasing. For example, not only programming languages imply writing in terms of symbols (words and characters), also data structures appropriate the concepts of writing and erasing. Furthermore, in resonance to the Derridean trace, erasure is embedded in the structure of writing. This is to say, that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 lifetime.</w:t>
      </w:r>
      <w:r>
        <w:rPr>
          <w:rStyle w:val="FootnoteReference"/>
        </w:rPr>
        <w:footnoteReference w:id="236"/>
      </w:r>
    </w:p>
    <w:p>
      <w:pPr>
        <w:pStyle w:val="Heading5"/>
      </w:pPr>
      <w:bookmarkStart w:id="238" w:name="anarchic-computer-memory"/>
      <w:r>
        <w:t xml:space="preserve">Anarchic Computer Memory</w:t>
      </w:r>
      <w:bookmarkEnd w:id="238"/>
    </w:p>
    <w:p>
      <w:pPr>
        <w:pStyle w:val="FirstParagraph"/>
      </w:pPr>
      <w:r>
        <w:t xml:space="preserve">This comparison between</w:t>
      </w:r>
      <w:r>
        <w:t xml:space="preserve"> </w:t>
      </w:r>
      <w:r>
        <w:rPr>
          <w:rStyle w:val="VerbatimChar"/>
        </w:rPr>
        <w:t xml:space="preserve">destructor</w:t>
      </w:r>
      <w:r>
        <w:t xml:space="preserve">s and forgetting serves as a starting point to determine the extent to which computer memory —i.e., data structure handling in restricted, discrete space— can be thought of as human memory itself, and, if so, the extent to which it also constitutes an instance of an-archic structure. (The first thing that comes to mind is an an-archic program written in C++ with self-destructing classes that fire at will, in complete unpredictability, rendering the software utterly anarchic, but utterly useless.) Therefore, there has to be a different way to think of an-archy in software. In what follows, I address the extent to which databases can be understood in terms of memory and anarchy, taking German media theorist Wolfgang Ernst’s concept of the</w:t>
      </w:r>
      <w:r>
        <w:t xml:space="preserve"> </w:t>
      </w:r>
      <w:r>
        <w:rPr>
          <w:i/>
        </w:rPr>
        <w:t xml:space="preserve">anarchoarchive</w:t>
      </w:r>
      <w:r>
        <w:t xml:space="preserve"> </w:t>
      </w:r>
      <w:r>
        <w:t xml:space="preserve">to a different dimension.</w:t>
      </w:r>
    </w:p>
    <w:p>
      <w:pPr>
        <w:pStyle w:val="Heading3"/>
      </w:pPr>
      <w:bookmarkStart w:id="239" w:name="spectrality"/>
      <w:r>
        <w:t xml:space="preserve">The Spectral Database</w:t>
      </w:r>
      <w:bookmarkEnd w:id="239"/>
    </w:p>
    <w:p>
      <w:pPr>
        <w:pStyle w:val="BlockText"/>
      </w:pP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 </w:t>
      </w:r>
      <w:r>
        <w:t xml:space="preserve">(Derrida &amp; Prenowitz 1995, p. 54)</w:t>
      </w:r>
    </w:p>
    <w:p>
      <w:pPr>
        <w:pStyle w:val="Heading5"/>
      </w:pPr>
      <w:bookmarkStart w:id="240" w:name="computer-memory-and-writing"/>
      <w:r>
        <w:t xml:space="preserve">Computer Memory and Writing</w:t>
      </w:r>
      <w:bookmarkEnd w:id="240"/>
    </w:p>
    <w:p>
      <w:pPr>
        <w:pStyle w:val="FirstParagraph"/>
      </w:pPr>
      <w:r>
        <w:t xml:space="preserve">Despite the multiplicity of elements that constitute software programming, such as compiler instructions, hardware stipulations, collaboration platforms, etc., the concepts of inscription and erasure (writing) are still in place. Because of this, the concept of the Derridean trace applies to programming. This fact can be linked further back to the conception of the computer itself, as it was previously discussed (See</w:t>
      </w:r>
      <w:r>
        <w:t xml:space="preserve"> </w:t>
      </w:r>
      <w:hyperlink w:anchor="databasing">
        <w:r>
          <w:rPr>
            <w:rStyle w:val="Hyperlink"/>
          </w:rPr>
          <w:t xml:space="preserve">4.2.1</w:t>
        </w:r>
      </w:hyperlink>
      <w:r>
        <w:t xml:space="preserve">). In his architecture, Von Neumann proposes that the storage unit of the computer allowed data to be written and erased in different locations and times. In fact,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Therefore, these setting and unsetting movements represent inscription and erasure, to the point that, as Kittler notes, quoted by Ernst:</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w:t>
      </w:r>
    </w:p>
    <w:p>
      <w:pPr>
        <w:pStyle w:val="Heading5"/>
      </w:pPr>
      <w:bookmarkStart w:id="241" w:name="memory-replacement"/>
      <w:r>
        <w:t xml:space="preserve">Memory Replacement</w:t>
      </w:r>
      <w:bookmarkEnd w:id="241"/>
    </w:p>
    <w:p>
      <w:pPr>
        <w:pStyle w:val="FirstParagraph"/>
      </w:pPr>
      <w:r>
        <w:t xml:space="preserve">However, an important distinction needs to be made here. While I am arguing for the similarities that exist between memory and database, Ernst proposes that databases —i.e., what he refers to as digital an-archives— enter as a form of replacement. This is to say that, given the convergence of all media into digital media,</w:t>
      </w:r>
      <w:r>
        <w:t xml:space="preserve"> </w:t>
      </w:r>
      <w:r>
        <w:t xml:space="preserve">‘</w:t>
      </w:r>
      <w:r>
        <w:t xml:space="preserve">reading</w:t>
      </w:r>
      <w:r>
        <w:t xml:space="preserve">’</w:t>
      </w:r>
      <w:r>
        <w:t xml:space="preserve"> </w:t>
      </w:r>
      <w:r>
        <w:t xml:space="preserve">is rendered null, giving way to mathematical processes that come to interpret the data. In Ernst’s words,</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is only valid within the Kittlerian, disembodied worldview (See</w:t>
      </w:r>
      <w:r>
        <w:t xml:space="preserve"> </w:t>
      </w:r>
      <w:hyperlink w:anchor="convergence">
        <w:r>
          <w:rPr>
            <w:rStyle w:val="Hyperlink"/>
          </w:rPr>
          <w:t xml:space="preserve">4.1.3</w:t>
        </w:r>
      </w:hyperlink>
      <w:r>
        <w:t xml:space="preserve">), which would also allow to convey the following: signal processing replaces</w:t>
      </w:r>
      <w:r>
        <w:t xml:space="preserve"> </w:t>
      </w:r>
      <w:r>
        <w:rPr>
          <w:i/>
        </w:rPr>
        <w:t xml:space="preserve">listening</w:t>
      </w:r>
      <w:r>
        <w:t xml:space="preserve">. Thus, in such a world where data structures and algorithms perform our own capacities to create and, by doing so, remove our bodies from ourselves, there would be no need for neither reading nor writing. Since, if the database reads itself, it also writes itself, and, in the case of music, if it listens to itself, it also sounds itself, removing listening altogether. Therefore, in order to arrive at the point of resonance that enables both the nonhuman and the human to coexist, a reconceptualization of the anarchic in relation to databases needs to be made; specifically, one that is grounded not on substitution, but on difference, and one that explains how authority enters into the sphere of databases.</w:t>
      </w:r>
    </w:p>
    <w:p>
      <w:pPr>
        <w:pStyle w:val="Heading5"/>
      </w:pPr>
      <w:bookmarkStart w:id="242" w:name="anarchic-records"/>
      <w:r>
        <w:t xml:space="preserve">Anarchic Records</w:t>
      </w:r>
      <w:bookmarkEnd w:id="242"/>
    </w:p>
    <w:p>
      <w:pPr>
        <w:pStyle w:val="FirstParagraph"/>
      </w:pPr>
      <w:r>
        <w:t xml:space="preserve">In his conceptualization of the</w:t>
      </w:r>
      <w:r>
        <w:t xml:space="preserve"> </w:t>
      </w:r>
      <w:r>
        <w:rPr>
          <w:i/>
        </w:rPr>
        <w:t xml:space="preserve">anarchoarchive</w:t>
      </w:r>
      <w:r>
        <w:t xml:space="preserve">, Ernst</w:t>
      </w:r>
      <w:r>
        <w:t xml:space="preserve"> </w:t>
      </w:r>
      <w:r>
        <w:t xml:space="preserve">(Ernst 2013)</w:t>
      </w:r>
      <w:r>
        <w:t xml:space="preserve"> </w:t>
      </w:r>
      <w:r>
        <w:t xml:space="preserve">opposes technical recording with symbolic transcription. Given the fact that a microphone captures the entire sonic environment, this involuntary memory —of</w:t>
      </w:r>
      <w:r>
        <w:t xml:space="preserve"> </w:t>
      </w:r>
      <w:r>
        <w:t xml:space="preserve">“</w:t>
      </w:r>
      <w:r>
        <w:t xml:space="preserve">past acoustic, not intended for tradition: a noisy memory</w:t>
      </w:r>
      <w:r>
        <w:t xml:space="preserve">”</w:t>
      </w:r>
      <w:r>
        <w:t xml:space="preserve"> </w:t>
      </w:r>
      <w:r>
        <w:t xml:space="preserve">(Ernst 2013, p. 174)</w:t>
      </w:r>
      <w:r>
        <w:t xml:space="preserve">— comes to be a form of anarchic archive, or</w:t>
      </w:r>
      <w:r>
        <w:t xml:space="preserve"> </w:t>
      </w:r>
      <w:r>
        <w:rPr>
          <w:i/>
        </w:rPr>
        <w:t xml:space="preserve">an-archive</w:t>
      </w:r>
      <w:r>
        <w:t xml:space="preserve">. Therefore, for example, he claims that Bela Bartok’s transcriptions to musical notation of Milman Parry’s Serbian epic song recordings</w:t>
      </w:r>
      <w:r>
        <w:rPr>
          <w:rStyle w:val="FootnoteReference"/>
        </w:rPr>
        <w:footnoteReference w:id="243"/>
      </w:r>
      <w:r>
        <w:t xml:space="preserve"> </w:t>
      </w:r>
      <w:r>
        <w:t xml:space="preserve">becomes an archivization process, that is, a process by which symbolic transcription leads to an ordered archive, i.e., a score.</w:t>
      </w:r>
      <w:r>
        <w:rPr>
          <w:rStyle w:val="FootnoteReference"/>
        </w:rPr>
        <w:footnoteReference w:id="245"/>
      </w:r>
      <w:r>
        <w:t xml:space="preserve"> </w:t>
      </w:r>
      <w:r>
        <w:t xml:space="preserve">In Ernst’s sense, a sound file storing samples of the recorded world is anarchic because of the unfiltered (</w:t>
      </w:r>
      <w:r>
        <w:t xml:space="preserve">‘</w:t>
      </w:r>
      <w:r>
        <w:t xml:space="preserve">pure</w:t>
      </w:r>
      <w:r>
        <w:t xml:space="preserve">’</w:t>
      </w:r>
      <w:r>
        <w:t xml:space="preserve">) way in which the world is inscribed by the recorder. He bases this idea on another media theorist, Sven Spieker, who claims that, following Derrida’s conceptualization of the archive, a central feature of archives is not memory,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the possibility condition of an archive is filtering, or better: framing. The problem is that, the moment Ernst deposits on the recording technology the disappearance of the body, he dislocates framing altogether, and thus is how the concept of</w:t>
      </w:r>
      <w:r>
        <w:t xml:space="preserve"> </w:t>
      </w:r>
      <w:r>
        <w:t xml:space="preserve">‘</w:t>
      </w:r>
      <w:r>
        <w:t xml:space="preserve">pure</w:t>
      </w:r>
      <w:r>
        <w:t xml:space="preserve">’</w:t>
      </w:r>
      <w:r>
        <w:t xml:space="preserve"> </w:t>
      </w:r>
      <w:r>
        <w:t xml:space="preserve">recording comes in. Therefore, if for Ernst, Parry’s audio recordings are anarchic, this is because they are constructed upon a Kittlerian idea of purity that leaves the human out of the equation.</w:t>
      </w:r>
    </w:p>
    <w:p>
      <w:pPr>
        <w:pStyle w:val="Heading5"/>
      </w:pPr>
      <w:bookmarkStart w:id="246" w:name="memory-and-framing"/>
      <w:r>
        <w:t xml:space="preserve">Memory and Framing</w:t>
      </w:r>
      <w:bookmarkEnd w:id="246"/>
    </w:p>
    <w:p>
      <w:pPr>
        <w:pStyle w:val="FirstParagraph"/>
      </w:pPr>
      <w:r>
        <w:t xml:space="preserve">If we consider the body’s capacity to create images from the world of images, then framing is also a possibility condition for human memory. In fact, we have seen with the Derridean trace that it is a resisting force what first enables the violent rupture of traces, and thus, this force can also be considered as an instance of framing itself. Resistance of the psyche as creativity taking action as the moment of framing. In the an-archic memory graph that I am conceptualizing here, framing can be thought of as the edge (the arrow) that thus connects the public to the private. Furthermore, framing can also be inversely considered as the arrow between the private and the public in the case of archives, since, for example, in the case of a contract, only a limited amount of signatures are needed, thus a frame needs to be an active part of the process of archivization.</w:t>
      </w:r>
    </w:p>
    <w:p>
      <w:pPr>
        <w:pStyle w:val="Heading5"/>
      </w:pPr>
      <w:bookmarkStart w:id="247" w:name="nonhuman-tympans"/>
      <w:r>
        <w:t xml:space="preserve">Nonhuman Tympans</w:t>
      </w:r>
      <w:bookmarkEnd w:id="247"/>
    </w:p>
    <w:p>
      <w:pPr>
        <w:pStyle w:val="FirstParagraph"/>
      </w:pPr>
      <w:r>
        <w:t xml:space="preserve">Therefore, given that framing is in between the public and the private, in order to consider the case of audio recording as either memory or archive, these two categories, privacy and publicness need to be taken into account in relation to nonhumans. In other words, given that the world can be considered public, because it is in a constant state of availability at any time, then, a microphone can be considered an actor of privacy, since it deprives some sounds from being recorded —e.g., because it has not been designed for certain frequency bands— while recording other sounds. Therefore, if transducers have a filtering capacity, they engage with the passage from the public to the private —and vice versa, since both speakers and microphones are transducers. Consider, for example, Jonathan Sterne’s definition of the</w:t>
      </w:r>
      <w:r>
        <w:t xml:space="preserve"> </w:t>
      </w:r>
      <w:r>
        <w:t xml:space="preserve">‘</w:t>
      </w:r>
      <w:r>
        <w:t xml:space="preserve">tympanic</w:t>
      </w:r>
      <w:r>
        <w:t xml:space="preserve">’</w:t>
      </w:r>
      <w:r>
        <w:t xml:space="preserve"> </w:t>
      </w:r>
      <w:r>
        <w:t xml:space="preserve">function of transducers, as quoted by Cathy Van Eyck in her PhD dissertation on microphones and loudspeakers:</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(Eck 2013, p. 107)</w:t>
      </w:r>
      <w:r>
        <w:t xml:space="preserve">. Therefore, considering these nonhuman tympans as actors of privacy and publicness, audio reproduction technology can be compared to the structure of memory and archives. For example, audio recording can be conceived as a form of memory, only to the extent that its inscription is singular yet reproducible. This is because a magnetic tape or a hard drive cannot be considered in the same (plural) way as Derridean traces, since once data is stored, it exists only once in discrete, limited space, unless copied to another location, in which case it becomes a duplicate, an identical (in-different) clone of itself. Furthermore, the case of audio playback can be a form of archive, since it consists of the passage from the private —the stored air pressure waves— to the public —the reproduced air pressure waves in space—, only to the extent that the latter is not considered space as such, but resonance within space. In this sense, Ernst’ consideration of the Parry’s recordings as anarchic needs to be reconfigured.</w:t>
      </w:r>
    </w:p>
    <w:p>
      <w:pPr>
        <w:pStyle w:val="Heading5"/>
      </w:pPr>
      <w:bookmarkStart w:id="248" w:name="spectrality-of-archives"/>
      <w:r>
        <w:t xml:space="preserve">Spectrality of Archives</w:t>
      </w:r>
      <w:bookmarkEnd w:id="248"/>
    </w:p>
    <w:p>
      <w:pPr>
        <w:pStyle w:val="FirstParagraph"/>
      </w:pPr>
      <w:r>
        <w:t xml:space="preserve">Given that these nonhuman tympans constitute the limit between sonic —but also tactile</w:t>
      </w:r>
      <w:r>
        <w:t xml:space="preserve"> </w:t>
      </w:r>
      <w:r>
        <w:t xml:space="preserve">(Eck 2013, p. 223)</w:t>
      </w:r>
      <w:r>
        <w:t xml:space="preserve">— world and the binary world of databases, their comparison to memory and archives renders a hybrid object: one that, on the one side, becomes a private and singular</w:t>
      </w:r>
      <w:r>
        <w:t xml:space="preserve"> </w:t>
      </w:r>
      <w:r>
        <w:t xml:space="preserve">‘</w:t>
      </w:r>
      <w:r>
        <w:t xml:space="preserve">trace</w:t>
      </w:r>
      <w:r>
        <w:t xml:space="preserve">’</w:t>
      </w:r>
      <w:r>
        <w:t xml:space="preserve">, and, on the other, becomes a public, resonant</w:t>
      </w:r>
      <w:r>
        <w:t xml:space="preserve"> </w:t>
      </w:r>
      <w:r>
        <w:t xml:space="preserve">‘</w:t>
      </w:r>
      <w:r>
        <w:t xml:space="preserve">space.</w:t>
      </w:r>
      <w:r>
        <w:t xml:space="preserve">’</w:t>
      </w:r>
      <w:r>
        <w:t xml:space="preserve"> </w:t>
      </w:r>
      <w:r>
        <w:t xml:space="preserve">Thus, databases represent neither a trace nor a space. At this point it is important to address the quote at the beginning of this section, that is, the structure of the archontic that Derrida assigned to archives: spectrality. 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—Derrida points to the greek root</w:t>
      </w:r>
      <w:r>
        <w:t xml:space="preserve"> </w:t>
      </w:r>
      <w:r>
        <w:rPr>
          <w:i/>
        </w:rPr>
        <w:t xml:space="preserve">oikos</w:t>
      </w:r>
      <w:r>
        <w:t xml:space="preserve">, meaning</w:t>
      </w:r>
      <w:r>
        <w:t xml:space="preserve"> </w:t>
      </w:r>
      <w:r>
        <w:t xml:space="preserve">‘</w:t>
      </w:r>
      <w:r>
        <w:t xml:space="preserve">house</w:t>
      </w:r>
      <w:r>
        <w:t xml:space="preserve">’</w:t>
      </w:r>
      <w:r>
        <w:t xml:space="preserve">—, that is, to the passing through (trans-action) of signs, but also de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 addressing, that is of transaction. Finally, what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To bring back our database, the hybridity that the database projects when compared to memory or archives points to a certain uncanniness, that is, precisely to the hauntedness that comes from its spectrality. 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49" w:name="spectrality-of-databases"/>
      <w:r>
        <w:t xml:space="preserve">Spectrality of Databases</w:t>
      </w:r>
      <w:bookmarkEnd w:id="249"/>
    </w:p>
    <w:p>
      <w:pPr>
        <w:pStyle w:val="FirstParagraph"/>
      </w:pPr>
      <w:r>
        <w:t xml:space="preserve">Therefore, given that Derrida considers the structure of the archive to be indeed spectral, I can bring this spectrality to the database itself, and consider it just as spectral but in a different sense. The spectrality of the database comes not from its hauntedness, that is, it is not domiciled since, as humans, we have no access to data space (address space) directly with our bodies. As humans, we cannot engage in transaction with the specter directly: we need transducers. In the case of audio playback, we need loudspeakers because we need to create, with our bodies, the image that was recorded in the first place. In consequence, while embodying stored data, we embody its specter. Therefore, the hauntedness needs to be</w:t>
      </w:r>
      <w:r>
        <w:t xml:space="preserve"> </w:t>
      </w:r>
      <w:r>
        <w:t xml:space="preserve">‘</w:t>
      </w:r>
      <w:r>
        <w:t xml:space="preserve">transduced</w:t>
      </w:r>
      <w:r>
        <w:t xml:space="preserve">’</w:t>
      </w:r>
      <w:r>
        <w:t xml:space="preserve"> </w:t>
      </w:r>
      <w:r>
        <w:t xml:space="preserve">into space, and with this transduction the agency of the database can be effectively felt. Likewise, the uncanniness of the case of audio recording can be felt as the ghost that will</w:t>
      </w:r>
      <w:r>
        <w:t xml:space="preserve"> </w:t>
      </w:r>
      <w:r>
        <w:t xml:space="preserve">‘</w:t>
      </w:r>
      <w:r>
        <w:t xml:space="preserve">remember us,</w:t>
      </w:r>
      <w:r>
        <w:t xml:space="preserve">’</w:t>
      </w:r>
      <w:r>
        <w:t xml:space="preserve"> </w:t>
      </w:r>
      <w:r>
        <w:t xml:space="preserve">because of this computer</w:t>
      </w:r>
      <w:r>
        <w:t xml:space="preserve"> </w:t>
      </w:r>
      <w:r>
        <w:t xml:space="preserve">‘</w:t>
      </w:r>
      <w:r>
        <w:t xml:space="preserve">memory</w:t>
      </w:r>
      <w:r>
        <w:t xml:space="preserve">’</w:t>
      </w:r>
      <w:r>
        <w:t xml:space="preserve"> </w:t>
      </w:r>
      <w:r>
        <w:t xml:space="preserve">that will keep (to its own privacy) the sonic environment that attests to our presence in space —because we sing, we make sounds, etc. Hence, the haunting that resides in-memory, together with the stored data and pointers.</w:t>
      </w:r>
    </w:p>
    <w:p>
      <w:pPr>
        <w:pStyle w:val="Heading5"/>
      </w:pPr>
      <w:bookmarkStart w:id="250" w:name="agency-of-the-uncanny"/>
      <w:r>
        <w:t xml:space="preserve">Agency of the Uncanny</w:t>
      </w:r>
      <w:bookmarkEnd w:id="250"/>
    </w:p>
    <w:p>
      <w:pPr>
        <w:pStyle w:val="FirstParagraph"/>
      </w:pPr>
      <w:r>
        <w:t xml:space="preserve">In recognizing this presence, which is the archontic specter of the database, comes the recognition of the agency of the database itself, and, furthermore, of the quality of the aesthetic experience that we encounter whenever there is a database in art. As Timothy Morton</w:t>
      </w:r>
      <w:r>
        <w:t xml:space="preserve"> </w:t>
      </w:r>
      <w:r>
        <w:t xml:space="preserve">(Morton 2013)</w:t>
      </w:r>
      <w:r>
        <w:t xml:space="preserve"> </w:t>
      </w:r>
      <w:r>
        <w:t xml:space="preserve">writes in relation to what he calls hyperobjects:</w:t>
      </w:r>
    </w:p>
    <w:p>
      <w:pPr>
        <w:pStyle w:val="BlockText"/>
      </w:pPr>
      <w:r>
        <w:t xml:space="preserve">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 as Adorno says, the primordial aesthetic experience is goose bumps. Yet this is precisely the aesthetic experience of the hyperobject, which can only be detected as a ghostly spectrality that comes in and out of phase with normalized human spacetime.</w:t>
      </w:r>
      <w:r>
        <w:t xml:space="preserve"> </w:t>
      </w:r>
      <w:r>
        <w:t xml:space="preserve">(Morton 2013, p. 169)</w:t>
      </w:r>
    </w:p>
    <w:p>
      <w:pPr>
        <w:pStyle w:val="FirstParagraph"/>
      </w:pPr>
      <w:r>
        <w:t xml:space="preserve">To the point that databases are spectral, they can be considered hyperobjects in Morton’s sense, and thus, agents translating through aesthetic networks. However, I will not dwell much longer on this definition in this text. If we consider the</w:t>
      </w:r>
      <w:r>
        <w:t xml:space="preserve"> </w:t>
      </w:r>
      <w:r>
        <w:t xml:space="preserve">“</w:t>
      </w:r>
      <w:r>
        <w:t xml:space="preserve">recorded movement of a thing</w:t>
      </w:r>
      <w:r>
        <w:t xml:space="preserve">”</w:t>
      </w:r>
      <w:r>
        <w:t xml:space="preserve"> </w:t>
      </w:r>
      <w:r>
        <w:t xml:space="preserve">with which Latour identified his concept of the network, databases are agents not only of recording, also of motility, and of thing-hood itself. This is to say that, in the constitution of networks, the spectrality of the database expands in multiple directions. Bringing back the illusory violin of the acousmatic concert I mentioned earlier (See</w:t>
      </w:r>
      <w:r>
        <w:t xml:space="preserve"> </w:t>
      </w:r>
      <w:hyperlink w:anchor="resonance_of_a_return">
        <w:r>
          <w:rPr>
            <w:rStyle w:val="Hyperlink"/>
          </w:rPr>
          <w:t xml:space="preserve">5.1.2</w:t>
        </w:r>
      </w:hyperlink>
      <w:r>
        <w:t xml:space="preserve">), it exemplified Hansen’s concept of the creation of images our brain’s capacity for virtuality has, that is, our imagination. The sound of a violin can be recorded —but also synthesized— into the privacy of a database. Then, it can be played back with loudspeakers located in such a way that they emulate the location of an actual violin player. As a result, the listener could very likely imagine a physically present violin in the room, that is, a ghost. This ghost comes in as the phantom of a human player; of the violin itself; of the histories and traditions that those two elements bring forth; of the presence of the nonhuman that the database implies; of the privacy that is not human but that it is still uncannily private; of the plurality that is embedded in the construction of databases;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In what follows, a crucial aspect of the database will be addressed, one that defines the condition of possibility of this hauntedness to be indeed instantiated into appearance, not only in the form of authority, as I have shown in the case of its archontic presence, but also in the form of style, and most important, gender: the performativity of the database.</w:t>
      </w:r>
    </w:p>
    <w:p>
      <w:pPr>
        <w:pStyle w:val="Heading2"/>
      </w:pPr>
      <w:bookmarkStart w:id="251" w:name="section:Performativity_Of_Databases"/>
      <w:r>
        <w:t xml:space="preserve">Performativity Of Databases</w:t>
      </w:r>
      <w:bookmarkEnd w:id="251"/>
    </w:p>
    <w:p>
      <w:pPr>
        <w:pStyle w:val="Heading3"/>
      </w:pPr>
      <w:bookmarkStart w:id="252" w:name="gender"/>
      <w:r>
        <w:t xml:space="preserve">Gendered Database</w:t>
      </w:r>
      <w:bookmarkEnd w:id="252"/>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Judith Butler</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Listening_Databases">
        <w:r>
          <w:rPr>
            <w:rStyle w:val="Hyperlink"/>
          </w:rPr>
          <w:t xml:space="preserve">5.1</w:t>
        </w:r>
      </w:hyperlink>
      <w:r>
        <w:t xml:space="preserve">).</w:t>
      </w:r>
    </w:p>
    <w:p>
      <w:pPr>
        <w:pStyle w:val="Heading5"/>
      </w:pPr>
      <w:bookmarkStart w:id="253" w:name="skin-of-the-database"/>
      <w:r>
        <w:t xml:space="preserve">Skin of the Database</w:t>
      </w:r>
      <w:bookmarkEnd w:id="253"/>
    </w:p>
    <w:p>
      <w:pPr>
        <w:pStyle w:val="FirstParagraph"/>
      </w:pPr>
      <w:r>
        <w:t xml:space="preserve">In the performativity of databasing resides the possibility for the skin of the database to emerge. On the one hand, this skin is the spectral surface of the database’s illusory self. On the other, it is the limit towards which the human and the nonhuman engage in resonance. The skin of the database carries the mark of a style. That is to say, in defining style as a repetition of acts, it is a form of embodiment that is ascribed to databases. Because the self of the database is inscribed on its skin, we can assign yet another quality of the database: an authorial subject. This subject relates to the uncanny, not only because of its nonhuman spectrality, also because of its gendered appearance which comes to redefine our own social categories such as reality itself. Therefore, I claim that, given that databasing is the performative condition of databases, the database becomes gendered.</w:t>
      </w:r>
    </w:p>
    <w:p>
      <w:pPr>
        <w:pStyle w:val="Heading5"/>
      </w:pPr>
      <w:bookmarkStart w:id="254" w:name="expressing-nothing"/>
      <w:r>
        <w:t xml:space="preserve">Expressing Nothing</w:t>
      </w:r>
      <w:bookmarkEnd w:id="254"/>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Furthermore,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this terms of performativity, to the point that, while having the capacity to store millions of data, a database can in deed express nothing?</w:t>
      </w:r>
    </w:p>
    <w:p>
      <w:pPr>
        <w:pStyle w:val="Heading5"/>
      </w:pPr>
      <w:bookmarkStart w:id="255" w:name="a-historical-situation"/>
      <w:r>
        <w:t xml:space="preserve">A Historical Situation</w:t>
      </w:r>
      <w:bookmarkEnd w:id="255"/>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56" w:name="subversive-repetition"/>
      <w:r>
        <w:t xml:space="preserve">Subversive Repetition</w:t>
      </w:r>
      <w:bookmarkEnd w:id="256"/>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layerers that deposit themselves in time. Furthermore, within this notion of temporality there is the need for repetition, but a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 these acts are necessarily discontinuous, and it is because of this discontinuity that exists the possibility of gender transformation. In this sense, gender performance is neither linear nor nonlinear. It resides along an anarachic temporality that replaces teleology with the multiplicity of resonant nows. It is an inline iterative function with random breaks.</w:t>
      </w:r>
    </w:p>
    <w:p>
      <w:pPr>
        <w:pStyle w:val="Heading5"/>
      </w:pPr>
      <w:bookmarkStart w:id="257" w:name="gendered-database"/>
      <w:r>
        <w:t xml:space="preserve">Gendered Database</w:t>
      </w:r>
      <w:bookmarkEnd w:id="257"/>
    </w:p>
    <w:p>
      <w:pPr>
        <w:pStyle w:val="FirstParagraph"/>
      </w:pPr>
      <w:r>
        <w:t xml:space="preserve">The database is a collection of facts. It is facticity itself.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human. It is simply a nonhuman fabrication of selfhood: there, around, making its way through the rupture of the permanent condition of performativity to which we (humans and nonhumans) are phenomenologically bound. That is the how the style of the database appears. This nonhuman self, like Butler’s gendered self, is equally</w:t>
      </w:r>
      <w:r>
        <w:t xml:space="preserve"> </w:t>
      </w:r>
      <w:r>
        <w:t xml:space="preserve">‘</w:t>
      </w:r>
      <w:r>
        <w:t xml:space="preserve">outside,</w:t>
      </w:r>
      <w:r>
        <w:t xml:space="preserve">’</w:t>
      </w:r>
      <w:r>
        <w:t xml:space="preserve"> </w:t>
      </w:r>
      <w:r>
        <w:t xml:space="preserve">that is,</w:t>
      </w:r>
      <w:r>
        <w:t xml:space="preserve"> </w:t>
      </w:r>
      <w:r>
        <w:t xml:space="preserve">“</w:t>
      </w:r>
      <w:r>
        <w:t xml:space="preserve">constituted in social discourse</w:t>
      </w:r>
      <w:r>
        <w:t xml:space="preserve">”</w:t>
      </w:r>
      <w:r>
        <w:t xml:space="preserve"> </w:t>
      </w:r>
      <w:r>
        <w:t xml:space="preserve">(Butler 1988, p. 528)</w:t>
      </w:r>
      <w:r>
        <w:t xml:space="preserve">. That is to say, the skin of the database is open for perception outside of itself, and in fact, nothing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Turing himself:</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58" w:name="limits"/>
      <w:r>
        <w:t xml:space="preserve">Towards The Limits</w:t>
      </w:r>
      <w:bookmarkEnd w:id="258"/>
    </w:p>
    <w:p>
      <w:pPr>
        <w:pStyle w:val="Heading5"/>
      </w:pPr>
      <w:bookmarkStart w:id="259" w:name="exposure"/>
      <w:r>
        <w:t xml:space="preserve">Exposure</w:t>
      </w:r>
      <w:bookmarkEnd w:id="259"/>
    </w:p>
    <w:p>
      <w:pPr>
        <w:pStyle w:val="FirstParagraph"/>
      </w:pPr>
      <w:r>
        <w:t xml:space="preserve">The performativity of databasing can be understood in terms of what Nancy calls exposure</w:t>
      </w:r>
      <w:r>
        <w:t xml:space="preserve"> </w:t>
      </w:r>
      <w:r>
        <w:t xml:space="preserve">(Nancy 1991)</w:t>
      </w:r>
      <w:r>
        <w:t xml:space="preserve">. Exposure is the appearance of a limit and the finitud of a singularity. With this limit instantiated in the (public) moment of the performative act, is how communication emerges as that which is in common among singularities. That is to say, because it is itself nothing (</w:t>
      </w:r>
      <w:r>
        <w:t xml:space="preserve">“</w:t>
      </w:r>
      <w:r>
        <w:t xml:space="preserve">neither a ground, nor an essence, nor a substance</w:t>
      </w:r>
      <w:r>
        <w:t xml:space="preserve">”</w:t>
      </w:r>
      <w:r>
        <w:t xml:space="preserve"> </w:t>
      </w:r>
      <w:r>
        <w:t xml:space="preserve">(Nancy 1991, p. 31)</w:t>
      </w:r>
      <w:r>
        <w:t xml:space="preserve">) Nancy considers finitud to just appear in the form of communication:</w:t>
      </w:r>
      <w:r>
        <w:t xml:space="preserve"> </w:t>
      </w:r>
      <w:r>
        <w:t xml:space="preserve">“</w:t>
      </w:r>
      <w:r>
        <w:t xml:space="preserve">it presents itself, it exposes itself, and thus it exists as communication</w:t>
      </w:r>
      <w:r>
        <w:t xml:space="preserve">”</w:t>
      </w:r>
      <w:r>
        <w:t xml:space="preserve"> </w:t>
      </w:r>
      <w:r>
        <w:t xml:space="preserve">(Nancy 1991, p. 31)</w:t>
      </w:r>
      <w:r>
        <w:t xml:space="preserve">. His emphasis on communication as exposure marks a crucial distinction on the concept of community. For Nancy, as I have described above (See</w:t>
      </w:r>
      <w:r>
        <w:t xml:space="preserve"> </w:t>
      </w:r>
      <w:hyperlink w:anchor="inoperativity">
        <w:r>
          <w:rPr>
            <w:rStyle w:val="Hyperlink"/>
          </w:rPr>
          <w:t xml:space="preserve">5.1.4</w:t>
        </w:r>
      </w:hyperlink>
      <w:r>
        <w:t xml:space="preserve">), community cannot come from an instance of work: it emerges as an instance of the communicative action which is</w:t>
      </w:r>
      <w:r>
        <w:t xml:space="preserve"> </w:t>
      </w:r>
      <w:r>
        <w:t xml:space="preserve">“</w:t>
      </w:r>
      <w:r>
        <w:t xml:space="preserve">the unworking of a work that is social, economic, technical, and institutional</w:t>
      </w:r>
      <w:r>
        <w:t xml:space="preserve">”</w:t>
      </w:r>
      <w:r>
        <w:t xml:space="preserve"> </w:t>
      </w:r>
      <w:r>
        <w:t xml:space="preserve">(Nancy 1991, p. 31)</w:t>
      </w:r>
      <w:r>
        <w:t xml:space="preserve">. In other words, the performativity of this communicative act, the publicness and dramatic qualities with which it unfolds, result in exposure. This is why, in the case of databasing, what is exposed at the limit of its performance is the finitud of the database itself. Through this exposition of the limit is how the singularity of the database can be communicated; or, better, through this exposure is how communication expands our concept of community towards one that includes the database as an agent of community itself.</w:t>
      </w:r>
    </w:p>
    <w:p>
      <w:pPr>
        <w:pStyle w:val="Heading5"/>
      </w:pPr>
      <w:bookmarkStart w:id="260" w:name="anarchic-touch"/>
      <w:r>
        <w:t xml:space="preserve">Anarchic Touch</w:t>
      </w:r>
      <w:bookmarkEnd w:id="260"/>
    </w:p>
    <w:p>
      <w:pPr>
        <w:pStyle w:val="FirstParagraph"/>
      </w:pPr>
      <w:r>
        <w:t xml:space="preserve">As Nancy writes,</w:t>
      </w:r>
      <w:r>
        <w:t xml:space="preserve"> </w:t>
      </w:r>
      <w:r>
        <w:t xml:space="preserve">“</w:t>
      </w:r>
      <w:r>
        <w:t xml:space="preserve">a singular being does not emerge or rise up against the background of a chaotic, undifferentiated identity of beings</w:t>
      </w:r>
      <w:r>
        <w:t xml:space="preserve">”</w:t>
      </w:r>
      <w:r>
        <w:t xml:space="preserve"> </w:t>
      </w:r>
      <w:r>
        <w:t xml:space="preserve">(Nancy 1991, p. 28)</w:t>
      </w:r>
      <w:r>
        <w:t xml:space="preserve">. This is to say that, like Butler’s gendered self, there is no substance within singularity. The appearance of a database as finitud comes not from an originary</w:t>
      </w:r>
      <w:r>
        <w:t xml:space="preserve"> </w:t>
      </w:r>
      <w:r>
        <w:rPr>
          <w:i/>
        </w:rPr>
        <w:t xml:space="preserve">archē</w:t>
      </w:r>
      <w:r>
        <w:t xml:space="preserve"> </w:t>
      </w:r>
      <w:r>
        <w:t xml:space="preserve">which would impose its archontic power as is the case of archives. Further, the limit of the database is not instantiated out of the one, a</w:t>
      </w:r>
      <w:r>
        <w:t xml:space="preserve"> </w:t>
      </w:r>
      <w:r>
        <w:t xml:space="preserve">“</w:t>
      </w:r>
      <w:r>
        <w:t xml:space="preserve">unitary assumption</w:t>
      </w:r>
      <w:r>
        <w:t xml:space="preserve">”</w:t>
      </w:r>
      <w:r>
        <w:t xml:space="preserve"> </w:t>
      </w:r>
      <w:r>
        <w:t xml:space="preserve">(Nancy 1991, p. 28)</w:t>
      </w:r>
      <w:r>
        <w:t xml:space="preserve">, or the wholeness of a single one. This finitud does not come from intentionality or any essentialist notions: it simply appears, for Nancy, in the form of touch:</w:t>
      </w:r>
      <w:r>
        <w:t xml:space="preserve"> </w:t>
      </w:r>
      <w:r>
        <w:t xml:space="preserve">“</w:t>
      </w:r>
      <w:r>
        <w:t xml:space="preserve">…as finitude itself: at the end (or at the beginning), with the contact of the</w:t>
      </w:r>
      <w:r>
        <w:t xml:space="preserve"> </w:t>
      </w:r>
      <w:r>
        <w:rPr>
          <w:i/>
        </w:rPr>
        <w:t xml:space="preserve">skin</w:t>
      </w:r>
      <w:r>
        <w:t xml:space="preserve"> </w:t>
      </w:r>
      <w:r>
        <w:t xml:space="preserve">(or the heart) of another singular being, at the confines of the same singularity that is, as such, always other, always shared, always exposed…</w:t>
      </w:r>
      <w:r>
        <w:t xml:space="preserve">”</w:t>
      </w:r>
      <w:r>
        <w:t xml:space="preserve"> </w:t>
      </w:r>
      <w:r>
        <w:t xml:space="preserve">[emphasis added]</w:t>
      </w:r>
      <w:r>
        <w:t xml:space="preserve"> </w:t>
      </w:r>
      <w:r>
        <w:t xml:space="preserve">(Nancy 1991, p. 28)</w:t>
      </w:r>
      <w:r>
        <w:t xml:space="preserve">. The temporality of this touch, like that of gender, is anarchic.</w:t>
      </w:r>
    </w:p>
    <w:p>
      <w:pPr>
        <w:pStyle w:val="Heading5"/>
      </w:pPr>
      <w:bookmarkStart w:id="261" w:name="communities-of-skin"/>
      <w:r>
        <w:t xml:space="preserve">Communities of Skin</w:t>
      </w:r>
      <w:bookmarkEnd w:id="261"/>
    </w:p>
    <w:p>
      <w:pPr>
        <w:pStyle w:val="FirstParagraph"/>
      </w:pPr>
      <w:r>
        <w:t xml:space="preserve">The limit of the database, as performative, spectral skin, is the condition for community to emerges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doing so, that is, by exposing our own limits to ourselves and to each other, the database changes our definition, or, better, delimits the extent of our own singularity. However, this does not mean that it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—or, more accurately, anything that is not</w:t>
      </w:r>
      <w:r>
        <w:t xml:space="preserve"> </w:t>
      </w:r>
      <w:r>
        <w:t xml:space="preserve">‘</w:t>
      </w:r>
      <w:r>
        <w:t xml:space="preserve">man.</w:t>
      </w:r>
      <w:r>
        <w:t xml:space="preserve">’</w:t>
      </w:r>
      <w:r>
        <w:t xml:space="preserve"> </w:t>
      </w:r>
      <w:r>
        <w:t xml:space="preserve">As Nancy rightfully claims,</w:t>
      </w:r>
      <w:r>
        <w:t xml:space="preserve"> </w:t>
      </w:r>
      <w:r>
        <w:t xml:space="preserve">“</w:t>
      </w:r>
      <w:r>
        <w:t xml:space="preserve"> </w:t>
      </w:r>
      <w:r>
        <w:t xml:space="preserve">it is not obvious that the community of singularities is limited to</w:t>
      </w:r>
      <w:r>
        <w:t xml:space="preserve"> </w:t>
      </w:r>
      <w:r>
        <w:t xml:space="preserve">‘</w:t>
      </w:r>
      <w:r>
        <w:t xml:space="preserve">man</w:t>
      </w:r>
      <w:r>
        <w:t xml:space="preserve">’</w:t>
      </w:r>
      <w:r>
        <w:t xml:space="preserve">”</w:t>
      </w:r>
      <w:r>
        <w:t xml:space="preserve"> </w:t>
      </w:r>
      <w:r>
        <w:t xml:space="preserve">(Nancy 1991, p. 28)</w:t>
      </w:r>
      <w:r>
        <w:t xml:space="preserve">.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This is the community of resonance, the community of the resonant network, which has no purpose, no intentionality behind, no essence; only appearance and motility, performance and repetition: an activity that is the unworking with which community exposes itself.</w:t>
      </w:r>
    </w:p>
    <w:p>
      <w:pPr>
        <w:pStyle w:val="Heading5"/>
      </w:pPr>
      <w:bookmarkStart w:id="262" w:name="hybrid-pluralities"/>
      <w:r>
        <w:t xml:space="preserve">Hybrid Pluralities</w:t>
      </w:r>
      <w:bookmarkEnd w:id="262"/>
    </w:p>
    <w:p>
      <w:pPr>
        <w:pStyle w:val="FirstParagraph"/>
      </w:pPr>
      <w:r>
        <w:t xml:space="preserve">Database models tend to reside next to each other, either within a single database system or within an interconnected networked system. With this plurality of the model,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resonanting in such performativity, databasers approach (but do not reach) the limit of the database. This approach to the skin of the database exposes simultaneously the skin of the databaser to the database. What this exposure amounts to is not, however, an opposition of forces. It results in the fragmented state of community that resides in the different degrees of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63" w:name="style"/>
      <w:r>
        <w:t xml:space="preserve">Contingencies Of Style</w:t>
      </w:r>
      <w:bookmarkEnd w:id="263"/>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itself. Databasing projects its own style as a result of its performance, and through this projection comes the exposure of its skin. The</w:t>
      </w:r>
      <w:r>
        <w:t xml:space="preserve"> </w:t>
      </w:r>
      <w:r>
        <w:t xml:space="preserve">“</w:t>
      </w:r>
      <w:r>
        <w:t xml:space="preserve">stylistic repetition of acts</w:t>
      </w:r>
      <w:r>
        <w:t xml:space="preserve">”</w:t>
      </w:r>
      <w:r>
        <w:t xml:space="preserve"> </w:t>
      </w:r>
      <w:r>
        <w:t xml:space="preserve">in the dramatic case of the gendered database is now revealed as style itself. Like skin and voice, singularity emerges as style and timbre.</w:t>
      </w:r>
    </w:p>
    <w:p>
      <w:pPr>
        <w:pStyle w:val="Heading5"/>
      </w:pPr>
      <w:bookmarkStart w:id="264" w:name="style-and-timbre"/>
      <w:r>
        <w:t xml:space="preserve">Style and Timbre</w:t>
      </w:r>
      <w:bookmarkEnd w:id="264"/>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itself,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itself: timbre. That is to say, style and timbre can be understood equally as the presence of the singular: the signature that comes with the unique and irreproducible timbral quality:</w:t>
      </w:r>
      <w:r>
        <w:rPr>
          <w:rStyle w:val="FootnoteReference"/>
        </w:rPr>
        <w:footnoteReference w:id="265"/>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66" w:name="endless-databases"/>
      <w:r>
        <w:t xml:space="preserve">Endless Databases</w:t>
      </w:r>
      <w:bookmarkEnd w:id="266"/>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67" w:name="database-and-chaos"/>
      <w:r>
        <w:t xml:space="preserve">Database and Chaos</w:t>
      </w:r>
      <w:bookmarkEnd w:id="267"/>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Furthermore, a graph of a dynamic systems presents fractal properties. Considering, thus, databasing as a dynamic system, on the one hand, two performances can be exactly the same if given the same initial conditions and states. This is the case, for example, of the performance of fixed media (digital) works, which at least at the sample level, every bit of it is exactly the same of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6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69" w:name="img:lorenz_plotter"/>
      <w:r>
        <w:t xml:space="preserve">[img:lorenz_plotter]</w:t>
      </w:r>
      <w:bookmarkEnd w:id="269"/>
    </w:p>
    <w:p>
      <w:pPr>
        <w:pStyle w:val="BodyText"/>
      </w:pPr>
      <w:r>
        <w:t xml:space="preserve">Plotting of the Lorenz system in Pure Data.</w:t>
      </w:r>
    </w:p>
    <w:p>
      <w:pPr>
        <w:pStyle w:val="Heading5"/>
      </w:pPr>
      <w:bookmarkStart w:id="270" w:name="fractality"/>
      <w:r>
        <w:t xml:space="preserve">Fractality</w:t>
      </w:r>
      <w:bookmarkEnd w:id="270"/>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itself, which is the possibility condition for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On the one hand, because of the fractal dimension, it expands the definition of geometric figures to the infinite. On the other, it presents an unfolding symmetry (self-similarity), which relates to their shapes being replicated nearly exactly in different scales.</w:t>
      </w:r>
    </w:p>
    <w:p>
      <w:pPr>
        <w:pStyle w:val="Heading5"/>
      </w:pPr>
      <w:bookmarkStart w:id="271" w:name="a-music-work-as-a-singularity"/>
      <w:r>
        <w:t xml:space="preserve">A Music Work as a Singularity</w:t>
      </w:r>
      <w:bookmarkEnd w:id="271"/>
    </w:p>
    <w:p>
      <w:pPr>
        <w:pStyle w:val="FirstParagraph"/>
      </w:pPr>
      <w:r>
        <w:t xml:space="preserve">This aesthetic experience, it must be noted, is of a nature that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for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72" w:name="arbitrariness"/>
      <w:r>
        <w:t xml:space="preserve">Arbitrariness</w:t>
      </w:r>
      <w:bookmarkEnd w:id="272"/>
    </w:p>
    <w:p>
      <w:pPr>
        <w:pStyle w:val="FirstParagraph"/>
      </w:pPr>
      <w:r>
        <w:t xml:space="preserve">Despite the fact that, distinguishing between rules and constraints, that is, between socially and historically established canons —as stylistic conventions—, and locally established postulates to be carried out by the composer —as constraints—, is crucial in defining style in databasing, at the same time both ends collapse into the realm of arbitrariness that composition is made of, for, if any</w:t>
      </w:r>
      <w:r>
        <w:t xml:space="preserve"> </w:t>
      </w:r>
      <w:r>
        <w:t xml:space="preserve">“</w:t>
      </w:r>
      <w:r>
        <w:t xml:space="preserve">primitive</w:t>
      </w:r>
      <w:r>
        <w:t xml:space="preserve">”</w:t>
      </w:r>
      <w:r>
        <w:t xml:space="preserve"> </w:t>
      </w:r>
      <w:r>
        <w:t xml:space="preserve">of the composition is indeed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That is to say, given that style is the contingent skin that emerges out of the performative action of databasing, if it were considered productively, that is, in terms of a targeted object towards which work is oriented, then it would only result in closure, in a closed object, and thus, it cannot be considered contingent, precisely because it is stipulated from the start as a law to which every composable element abides. This is the case of, in Vaggione’s sense, formalized processes which act as global laws, and in which —comparing it with a marching army following the one-two directive:</w:t>
      </w:r>
      <w:r>
        <w:t xml:space="preserve"> </w:t>
      </w:r>
      <w:r>
        <w:t xml:space="preserve">“</w:t>
      </w:r>
      <w:r>
        <w:t xml:space="preserve">no singularities —and hence no specific formal (relational) properties— are here allowed</w:t>
      </w:r>
      <w:r>
        <w:t xml:space="preserve">”</w:t>
      </w:r>
      <w:r>
        <w:t xml:space="preserve"> </w:t>
      </w:r>
      <w:r>
        <w:t xml:space="preserve">(Vaggione 1993, p. 101)</w:t>
      </w:r>
      <w:r>
        <w:t xml:space="preserve">.</w:t>
      </w:r>
    </w:p>
    <w:p>
      <w:pPr>
        <w:pStyle w:val="Heading5"/>
      </w:pPr>
      <w:bookmarkStart w:id="273" w:name="inoperative-style"/>
      <w:r>
        <w:t xml:space="preserve">Inoperative Style</w:t>
      </w:r>
      <w:bookmarkEnd w:id="273"/>
    </w:p>
    <w:p>
      <w:pPr>
        <w:pStyle w:val="FirstParagraph"/>
      </w:pPr>
      <w:r>
        <w:t xml:space="preserve">However, if style is understood as inoperative, that is, as the unfolding of the performative act of composition, which implies equally the</w:t>
      </w:r>
      <w:r>
        <w:t xml:space="preserve"> </w:t>
      </w:r>
      <w:r>
        <w:t xml:space="preserve">‘</w:t>
      </w:r>
      <w:r>
        <w:t xml:space="preserve">composability</w:t>
      </w:r>
      <w:r>
        <w:t xml:space="preserve">’</w:t>
      </w:r>
      <w:r>
        <w:t xml:space="preserve"> </w:t>
      </w:r>
      <w:r>
        <w:t xml:space="preserve">of all primitives, then, its contingency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Like the marks on our skin, like its wounds; like the cracks of an old house, like debris, wreckages, or any form of residual mark that is the evidence of an event; with forensic intimacy, the contingent style of a musical unwork reveals itself as communication. This is what connects aesthetic experience of style with forensic (musical) analysis as well as with an encounter with the spectral. Furthermore, this is how the spectral itself cannot be but a result of the inoperative, of that which escapes the limits of the work, and that which, by releasing itself from itself, returns to itself like the timbre of the voice. This voice of the unwork is what is</w:t>
      </w:r>
      <w:r>
        <w:t xml:space="preserve"> </w:t>
      </w:r>
      <w:r>
        <w:t xml:space="preserve">‘</w:t>
      </w:r>
      <w:r>
        <w:t xml:space="preserve">invisible</w:t>
      </w:r>
      <w:r>
        <w:t xml:space="preserve">’</w:t>
      </w:r>
      <w:r>
        <w:t xml:space="preserve"> </w:t>
      </w:r>
      <w:r>
        <w:t xml:space="preserve">to it, or better, it is what it can never listen, and in being hidden or silenced from itself is how it becomes available for listening, what begins listening at the first staging of the waves.</w:t>
      </w:r>
    </w:p>
    <w:p>
      <w:pPr>
        <w:pStyle w:val="Heading3"/>
      </w:pPr>
      <w:bookmarkStart w:id="274" w:name="authority"/>
      <w:r>
        <w:t xml:space="preserve">A Specter Of Authority</w:t>
      </w:r>
      <w:bookmarkEnd w:id="274"/>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exploded as network by the complexity of the system. However, authority is reified into the name because of the interplay among work, productivity, and product. In this section I attempt an approach to the name 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75" w:name="the-name"/>
      <w:r>
        <w:t xml:space="preserve">The Name</w:t>
      </w:r>
      <w:bookmarkEnd w:id="275"/>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76"/>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5.2.3</w:t>
        </w:r>
      </w:hyperlink>
      <w:r>
        <w:t xml:space="preserve">), authority can be seen as the illusory resonance of an author. It is this illusion that I attempt to address here, this ghost which haunts music composition.</w:t>
      </w:r>
    </w:p>
    <w:p>
      <w:pPr>
        <w:pStyle w:val="Heading5"/>
      </w:pPr>
      <w:bookmarkStart w:id="277" w:name="dictionaries"/>
      <w:r>
        <w:t xml:space="preserve">Dictionaries</w:t>
      </w:r>
      <w:bookmarkEnd w:id="277"/>
    </w:p>
    <w:p>
      <w:pPr>
        <w:pStyle w:val="FirstParagraph"/>
      </w:pPr>
      <w:r>
        <w:t xml:space="preserve">Consider how style is used in some cases of</w:t>
      </w:r>
      <w:r>
        <w:t xml:space="preserve"> </w:t>
      </w:r>
      <w:r>
        <w:t xml:space="preserve">cac</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w:t>
      </w:r>
      <w:r>
        <w:t xml:space="preserve"> </w:t>
      </w:r>
      <w:r>
        <w:t xml:space="preserve">emi</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hirearchical,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78" w:name="artistry"/>
      <w:r>
        <w:t xml:space="preserve">Artistry</w:t>
      </w:r>
      <w:bookmarkEnd w:id="278"/>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(or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79"/>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abundandy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it is a point of departure to think of a branch of Argentinian electroacoustic identity that developed in France.</w:t>
      </w:r>
      <w:r>
        <w:rPr>
          <w:rStyle w:val="FootnoteReference"/>
        </w:rPr>
        <w:footnoteReference w:id="280"/>
      </w:r>
    </w:p>
    <w:p>
      <w:pPr>
        <w:pStyle w:val="Heading5"/>
      </w:pPr>
      <w:bookmarkStart w:id="281" w:name="the-work-of-mice"/>
      <w:r>
        <w:t xml:space="preserve">The Work of Mice</w:t>
      </w:r>
      <w:bookmarkEnd w:id="281"/>
    </w:p>
    <w:p>
      <w:pPr>
        <w:pStyle w:val="FirstParagraph"/>
      </w:pPr>
      <w:r>
        <w:t xml:space="preserve">Instead of being on the rule-based programming of formalization processes alone (keyboard-based input), the artistry of the composer resides in the use of the mouse. The timeline (sequence interface) workflow depends on the pointer. If the presence of the hand of the composer is evidenced by the trajectory (the course of the cursor), it shapes together with the historial of clicks, drag-n-drop motions, etc., the spectral presence of the author. This mouse, as the point of the pointer, the writing device, the ’stilus’, becomes that with which we resonate as listeners. Therefore, we perceive the marks of an authorial skin in the database music of pointers. The Vaggionian singularity-based approach to authority embeds composers and computers in a complex system, allowing for the world of music with computers to be a hybrid one. This is how the specter of the author coexists with the specter of the database, and thus, how databasing and composition reveal themselves to be instances of a performativity that resonates aesthetically through the work of music.</w:t>
      </w:r>
    </w:p>
    <w:p>
      <w:pPr>
        <w:pStyle w:val="Heading2"/>
      </w:pPr>
      <w:bookmarkStart w:id="282" w:name="section:Rethinking_Composition"/>
      <w:r>
        <w:t xml:space="preserve">Rethinking Composition</w:t>
      </w:r>
      <w:bookmarkEnd w:id="282"/>
    </w:p>
    <w:p>
      <w:pPr>
        <w:pStyle w:val="Heading3"/>
      </w:pPr>
      <w:bookmarkStart w:id="283" w:name="performance"/>
      <w:r>
        <w:t xml:space="preserve">Interlude: Hyperbolic Reactions</w:t>
      </w:r>
      <w:bookmarkEnd w:id="283"/>
    </w:p>
    <w:p>
      <w:pPr>
        <w:pStyle w:val="Heading5"/>
      </w:pPr>
      <w:bookmarkStart w:id="284" w:name="imagining-composers"/>
      <w:r>
        <w:t xml:space="preserve">Imagining Composers</w:t>
      </w:r>
      <w:bookmarkEnd w:id="284"/>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anachronic and obtrusive; anachronic, since the romantic quality of the scene would point to the fact that personal desktop computers were not available until late in the 20th century; obtrusive, in the sense that it would attempt against this composer, by interfering with the</w:t>
      </w:r>
      <w:r>
        <w:t xml:space="preserve"> </w:t>
      </w:r>
      <w:r>
        <w:t xml:space="preserve">‘</w:t>
      </w:r>
      <w:r>
        <w:t xml:space="preserve">ethereal</w:t>
      </w:r>
      <w:r>
        <w:t xml:space="preserve">’</w:t>
      </w:r>
      <w:r>
        <w:t xml:space="preserve"> </w:t>
      </w:r>
      <w:r>
        <w:t xml:space="preserve">link between imagination and notation. This reification of the composer already precludes not only the digital, also the many technological devices that have entered music composition over the years, such as tape recorders, or electronics in general. These technological devices have redefined the composer in many ways.</w:t>
      </w:r>
    </w:p>
    <w:p>
      <w:pPr>
        <w:pStyle w:val="Heading5"/>
      </w:pPr>
      <w:bookmarkStart w:id="285" w:name="composers-and-technology"/>
      <w:r>
        <w:t xml:space="preserve">Composers and Technology</w:t>
      </w:r>
      <w:bookmarkEnd w:id="285"/>
    </w:p>
    <w:p>
      <w:pPr>
        <w:pStyle w:val="FirstParagraph"/>
      </w:pPr>
      <w:r>
        <w:t xml:space="preserve">Georgina Born’s ethnography of</w:t>
      </w:r>
      <w:r>
        <w:t xml:space="preserve"> </w:t>
      </w:r>
      <w:r>
        <w:t xml:space="preserve">ircam</w:t>
      </w:r>
      <w:r>
        <w:t xml:space="preserve"> </w:t>
      </w:r>
      <w:r>
        <w:t xml:space="preserve">(Born 1995)</w:t>
      </w:r>
      <w:r>
        <w:t xml:space="preserve">, 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describes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knowing what they were doing or even whether they were working at all</w:t>
      </w:r>
      <w:r>
        <w:t xml:space="preserve">”</w:t>
      </w:r>
      <w:r>
        <w:t xml:space="preserve"> </w:t>
      </w:r>
      <w:r>
        <w:t xml:space="preserve">(Born 1995, p. 272)</w:t>
      </w:r>
      <w:r>
        <w:t xml:space="preserve">.</w:t>
      </w:r>
    </w:p>
    <w:p>
      <w:pPr>
        <w:pStyle w:val="Heading5"/>
      </w:pPr>
      <w:bookmarkStart w:id="286" w:name="playing-with-shadows"/>
      <w:r>
        <w:t xml:space="preserve">Playing with Shadows</w:t>
      </w:r>
      <w:bookmarkEnd w:id="286"/>
    </w:p>
    <w:p>
      <w:pPr>
        <w:pStyle w:val="FirstParagraph"/>
      </w:pPr>
      <w:r>
        <w:t xml:space="preserve">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anyone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 On the other hand, this shadow might also be that of the computer itself, the structural presence of a fictional intelligence constructed upon first wave cybernetics. That is to say, precisely because the computer projects an insurmountable power that comes from its calculations, the human is inevitably bound to be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as well as the reversal of the human-computer subordination evidenced in the social strata of the institution. In any case,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87" w:name="composers-without-computers"/>
      <w:r>
        <w:t xml:space="preserve">Composers Without Computers</w:t>
      </w:r>
      <w:bookmarkEnd w:id="287"/>
    </w:p>
    <w:p>
      <w:pPr>
        <w:pStyle w:val="FirstParagraph"/>
      </w:pPr>
      <w:r>
        <w:t xml:space="preserve">Composing with or without computers cannot be seen as poles on a continuum upon which the name of the composer writes and rewrites itself. Composing cannot be separated from computers, because the human cannot be separated from the non. At the risk of drawing a straw-man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The same can be said for digitized music listening, which,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88" w:name="databasing-without-computers"/>
      <w:r>
        <w:t xml:space="preserve">Databasing Without Computers</w:t>
      </w:r>
      <w:bookmarkEnd w:id="288"/>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5.2.3</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5.2.1</w:t>
        </w:r>
      </w:hyperlink>
      <w:r>
        <w:t xml:space="preserve">), and the only possible storage medium would be his memory. Hopefully, the reader would consider this resort to hyperbolic fictions less as a means of justification of the hybrid condition of composition and databasing, and more as an absurd parenthesis that brings nothing of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of their validity, only in terms of their definition, which, for the purposes of this text, is understood as built upon organicist notions of the human: the human as the one, indivisible, complete whole. These notions are precisely those that help reify the image of the composer in its essentiality.</w:t>
      </w:r>
    </w:p>
    <w:p>
      <w:pPr>
        <w:pStyle w:val="Heading3"/>
      </w:pPr>
      <w:bookmarkStart w:id="289" w:name="organic"/>
      <w:r>
        <w:t xml:space="preserve">Working Composition</w:t>
      </w:r>
      <w:bookmarkEnd w:id="289"/>
    </w:p>
    <w:p>
      <w:pPr>
        <w:pStyle w:val="BlockText"/>
      </w:pPr>
      <w:r>
        <w:t xml:space="preserve">And the listening in question here is not that of a given listener, or of a category of listeners one has to take into account; it is rather structural listening in Adorno’s sense —or even, beyond Adorno, a</w:t>
      </w:r>
      <w:r>
        <w:t xml:space="preserve"> </w:t>
      </w:r>
      <w:r>
        <w:rPr>
          <w:i/>
        </w:rPr>
        <w:t xml:space="preserve">listening without listener in which the work listens to itself</w:t>
      </w:r>
      <w:r>
        <w:t xml:space="preserve">. …we hear an organicist concept of the work being strongly articulated [by Schoenberg] (where the work is a whole that doesn’t allow any cuts) and a regime of listening whose ultimate, ideal aim is the absorption or resorption of the listener in the work. A listener who is somewhat distracted, inattentive, who would skip over a few tracks daydreaming —</w:t>
      </w:r>
      <w:r>
        <w:rPr>
          <w:i/>
        </w:rPr>
        <w:t xml:space="preserve">such a listener could fall away like a dead limb</w:t>
      </w:r>
      <w:r>
        <w:t xml:space="preserve">.</w:t>
      </w:r>
      <w:r>
        <w:t xml:space="preserve"> </w:t>
      </w:r>
      <w:r>
        <w:rPr>
          <w:i/>
        </w:rPr>
        <w:t xml:space="preserve">Useless</w:t>
      </w:r>
      <w:r>
        <w:t xml:space="preserve">. Bringing nothing to the great corpus of the work. This organicism, in the radical (or structural) tendency that Schoenberg gives it, forms the cornerstone of the construction of a modernist regime of listening. [emphasis added]</w:t>
      </w:r>
      <w:r>
        <w:t xml:space="preserve"> </w:t>
      </w:r>
      <w:r>
        <w:t xml:space="preserve">(Szendy 2008, p. 127)</w:t>
      </w:r>
    </w:p>
    <w:p>
      <w:pPr>
        <w:pStyle w:val="FirstParagraph"/>
      </w:pPr>
      <w:r>
        <w:t xml:space="preserve">In Peter Szendy’s discussion on Schoenberg’s modern organicism and what he calls</w:t>
      </w:r>
      <w:r>
        <w:t xml:space="preserve"> </w:t>
      </w:r>
      <w:r>
        <w:t xml:space="preserve">“</w:t>
      </w:r>
      <w:r>
        <w:t xml:space="preserve">the modernist regime of listening</w:t>
      </w:r>
      <w:r>
        <w:t xml:space="preserve">”</w:t>
      </w:r>
      <w:r>
        <w:t xml:space="preserve"> </w:t>
      </w:r>
      <w:r>
        <w:t xml:space="preserve">(Szendy 2008)</w:t>
      </w:r>
      <w:r>
        <w:t xml:space="preserve">,</w:t>
      </w:r>
      <w:r>
        <w:t xml:space="preserve"> </w:t>
      </w:r>
      <w:r>
        <w:t xml:space="preserve">‘</w:t>
      </w:r>
      <w:r>
        <w:t xml:space="preserve">listening</w:t>
      </w:r>
      <w:r>
        <w:t xml:space="preserve">’</w:t>
      </w:r>
      <w:r>
        <w:t xml:space="preserve"> </w:t>
      </w:r>
      <w:r>
        <w:t xml:space="preserve">and</w:t>
      </w:r>
      <w:r>
        <w:t xml:space="preserve"> </w:t>
      </w:r>
      <w:r>
        <w:t xml:space="preserve">‘</w:t>
      </w:r>
      <w:r>
        <w:t xml:space="preserve">work</w:t>
      </w:r>
      <w:r>
        <w:t xml:space="preserve">’</w:t>
      </w:r>
      <w:r>
        <w:t xml:space="preserve"> </w:t>
      </w:r>
      <w:r>
        <w:t xml:space="preserve">collapse into each other, and the problem of the music work can be articulated. The image of the composer and the practice of composition can be understood differently, and by extension, databasing will be reconfigured as well, and the database as that which is a product (or work) of databasing will in turn be seen differently.</w:t>
      </w:r>
    </w:p>
    <w:p>
      <w:pPr>
        <w:pStyle w:val="Heading5"/>
      </w:pPr>
      <w:bookmarkStart w:id="290" w:name="the-work-problem"/>
      <w:r>
        <w:t xml:space="preserve">The Work Problem</w:t>
      </w:r>
      <w:bookmarkEnd w:id="290"/>
    </w:p>
    <w:p>
      <w:pPr>
        <w:pStyle w:val="FirstParagraph"/>
      </w:pPr>
      <w:r>
        <w:t xml:space="preserve">In what does this articulation of the problem of the music work consist of? First of all, why is it a problem? As Szendy suggests with the metaphor of the the self-amputation of the listener, we as the body of listeners (the listening body) would be severed. Put differently, listening itself would be delineated from outside itself. That is to say, with the presence of an object (music work) which, in its interest of perfecting, polishing, and thus giving itself a</w:t>
      </w:r>
      <w:r>
        <w:t xml:space="preserve"> </w:t>
      </w:r>
      <w:r>
        <w:t xml:space="preserve">‘</w:t>
      </w:r>
      <w:r>
        <w:t xml:space="preserve">finish,</w:t>
      </w:r>
      <w:r>
        <w:t xml:space="preserve">’</w:t>
      </w:r>
      <w:r>
        <w:t xml:space="preserve"> </w:t>
      </w:r>
      <w:r>
        <w:t xml:space="preserve">would shape and reshape listening until an ideal listening was achieved. The work would work out listening as work. This is the point: the moment the work of music begins to act as</w:t>
      </w:r>
      <w:r>
        <w:t xml:space="preserve"> </w:t>
      </w:r>
      <w:r>
        <w:t xml:space="preserve">‘</w:t>
      </w:r>
      <w:r>
        <w:t xml:space="preserve">work</w:t>
      </w:r>
      <w:r>
        <w:t xml:space="preserve">’</w:t>
      </w:r>
      <w:r>
        <w:t xml:space="preserve"> </w:t>
      </w:r>
      <w:r>
        <w:t xml:space="preserve">itself, its listening is worked out as well, not by the physicality of the waves in media, nor by the virtuality of perception, but by the concept of</w:t>
      </w:r>
      <w:r>
        <w:t xml:space="preserve"> </w:t>
      </w:r>
      <w:r>
        <w:t xml:space="preserve">‘</w:t>
      </w:r>
      <w:r>
        <w:t xml:space="preserve">work</w:t>
      </w:r>
      <w:r>
        <w:t xml:space="preserve">’</w:t>
      </w:r>
      <w:r>
        <w:t xml:space="preserve"> </w:t>
      </w:r>
      <w:r>
        <w:t xml:space="preserve">itself. The</w:t>
      </w:r>
      <w:r>
        <w:t xml:space="preserve"> </w:t>
      </w:r>
      <w:r>
        <w:t xml:space="preserve">“</w:t>
      </w:r>
      <w:r>
        <w:t xml:space="preserve">modern regime of listening</w:t>
      </w:r>
      <w:r>
        <w:t xml:space="preserve">”</w:t>
      </w:r>
      <w:r>
        <w:t xml:space="preserve"> </w:t>
      </w:r>
      <w:r>
        <w:t xml:space="preserve">played this through and through, shaping its listeners into an idealized listener. In this sense, this listener displays a measured listening, tailored, developed into different degrees of listening like a</w:t>
      </w:r>
      <w:r>
        <w:t xml:space="preserve"> </w:t>
      </w:r>
      <w:r>
        <w:rPr>
          <w:i/>
        </w:rPr>
        <w:t xml:space="preserve">gradus ad auscultare</w:t>
      </w:r>
      <w:r>
        <w:t xml:space="preserve">, one existing beyond any psychoacoustic measuring.</w:t>
      </w:r>
    </w:p>
    <w:p>
      <w:pPr>
        <w:pStyle w:val="Heading5"/>
      </w:pPr>
      <w:bookmarkStart w:id="291" w:name="working-rules"/>
      <w:r>
        <w:t xml:space="preserve">Working Rules</w:t>
      </w:r>
      <w:bookmarkEnd w:id="291"/>
    </w:p>
    <w:p>
      <w:pPr>
        <w:pStyle w:val="FirstParagraph"/>
      </w:pPr>
      <w:r>
        <w:t xml:space="preserve">From the shaping of listening by the work, and from the working activity that is performed by the work itself, the presence of the work as an object can be thus traced. In other words, the work of the music work can be considered as the work of an agent in the composition network: the music-work-as-object and the listening-as-object become nodes. In the modernist regime, the hierarchy priorizes the ruler (work-node), and all that can be identified with listening-node is arrived at by subordinating the relations to the work-node, and by restricting the directionality of this relation to being</w:t>
      </w:r>
      <w:r>
        <w:t xml:space="preserve"> </w:t>
      </w:r>
      <m:oMath>
        <m:r>
          <m:t>→</m:t>
        </m:r>
      </m:oMath>
      <w:r>
        <w:t xml:space="preserve"> </w:t>
      </w:r>
      <w:r>
        <w:t xml:space="preserve">. The only exception is, of course, the extremely cultivated case of composers, which revert the arrow. This exception, however, is not so much an exception, as it is the prescription of the rule and of ruling itself, since it is this reversal what enables the structure in the first place: the ruling of the exception. This is what occurs when the work begins to listen to itself. Which is radically different from the case of a</w:t>
      </w:r>
      <w:r>
        <w:t xml:space="preserve"> </w:t>
      </w:r>
      <w:r>
        <w:rPr>
          <w:i/>
        </w:rPr>
        <w:t xml:space="preserve">listening</w:t>
      </w:r>
      <w:r>
        <w:t xml:space="preserve"> </w:t>
      </w:r>
      <w:r>
        <w:t xml:space="preserve">that listens to itself. Jean-Luc Nancy, in the foreword to Szendy’s text, considers that</w:t>
      </w:r>
      <w:r>
        <w:t xml:space="preserve"> </w:t>
      </w:r>
      <w:r>
        <w:t xml:space="preserve">“</w:t>
      </w:r>
      <w:r>
        <w:t xml:space="preserve">music places us outside of ourselves,</w:t>
      </w:r>
      <w:r>
        <w:t xml:space="preserve">”</w:t>
      </w:r>
      <w:r>
        <w:t xml:space="preserve"> </w:t>
      </w:r>
      <w:r>
        <w:t xml:space="preserve">because</w:t>
      </w:r>
      <w:r>
        <w:t xml:space="preserve"> </w:t>
      </w:r>
      <w:r>
        <w:t xml:space="preserve">“</w:t>
      </w:r>
      <w:r>
        <w:t xml:space="preserve">…what listens to itself is not just what resounds in the self and what rebounds to the self: this same movement, and this very movement, places it outside of self and makes its rebound overflow.</w:t>
      </w:r>
      <w:r>
        <w:t xml:space="preserve"> </w:t>
      </w:r>
      <w:r>
        <w:t xml:space="preserve">(Szendy 2008 xii)</w:t>
      </w:r>
      <w:r>
        <w:t xml:space="preserve">”</w:t>
      </w:r>
      <w:r>
        <w:t xml:space="preserve"> </w:t>
      </w:r>
      <w:r>
        <w:t xml:space="preserve">As I have explained before using Nancy’s concept of the resonance of a return (See</w:t>
      </w:r>
      <w:r>
        <w:t xml:space="preserve"> </w:t>
      </w:r>
      <w:hyperlink w:anchor="resonance_of_a_return">
        <w:r>
          <w:rPr>
            <w:rStyle w:val="Hyperlink"/>
          </w:rPr>
          <w:t xml:space="preserve">5.1.2</w:t>
        </w:r>
      </w:hyperlink>
      <w:r>
        <w:t xml:space="preserve">), listening is an approach to the relationship in self. Implementing this relationship within the dynamics of listening and work, the previous graph can be revised as follows.</w:t>
      </w:r>
      <w:r>
        <w:t xml:space="preserve"> </w:t>
      </w:r>
      <w:r>
        <w:t xml:space="preserve">‘</w:t>
      </w:r>
      <w:r>
        <w:t xml:space="preserve">Work</w:t>
      </w:r>
      <w:r>
        <w:t xml:space="preserve">’</w:t>
      </w:r>
      <w:r>
        <w:t xml:space="preserve"> </w:t>
      </w:r>
      <w:r>
        <w:t xml:space="preserve">and</w:t>
      </w:r>
      <w:r>
        <w:t xml:space="preserve"> </w:t>
      </w:r>
      <w:r>
        <w:t xml:space="preserve">‘</w:t>
      </w:r>
      <w:r>
        <w:t xml:space="preserve">listening</w:t>
      </w:r>
      <w:r>
        <w:t xml:space="preserve">’</w:t>
      </w:r>
      <w:r>
        <w:t xml:space="preserve"> </w:t>
      </w:r>
      <w:r>
        <w:t xml:space="preserve">would exist as well in relation, with the difference now that it is a relation that exists in a permanent state of overload, redundancy, or excess:</w:t>
      </w:r>
      <w:r>
        <w:t xml:space="preserve"> </w:t>
      </w:r>
      <m:oMath>
        <m:r>
          <m:t>←</m:t>
        </m:r>
        <m:r>
          <m:t>→</m:t>
        </m:r>
      </m:oMath>
      <w:r>
        <w:t xml:space="preserve"> </w:t>
      </w:r>
      <w:r>
        <w:t xml:space="preserve">.</w:t>
      </w:r>
    </w:p>
    <w:p>
      <w:pPr>
        <w:pStyle w:val="Heading5"/>
      </w:pPr>
      <w:bookmarkStart w:id="292" w:name="a-space-of-difference"/>
      <w:r>
        <w:t xml:space="preserve">A Space of Difference</w:t>
      </w:r>
      <w:bookmarkEnd w:id="292"/>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5.1.4</w:t>
        </w:r>
      </w:hyperlink>
      <w:r>
        <w:t xml:space="preserve">). That is to say, the relations between the different resonant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93"/>
      </w:r>
      <w:r>
        <w:t xml:space="preserve"> </w:t>
      </w:r>
      <w:r>
        <w:t xml:space="preserve">One would be tempted, equally, to place this inoperativity outside temporality itself, but then one would forget forgetfulness itself. Inoperativity is within the resonant space of an always.</w:t>
      </w:r>
    </w:p>
    <w:p>
      <w:pPr>
        <w:pStyle w:val="Heading5"/>
      </w:pPr>
      <w:bookmarkStart w:id="294" w:name="a-severed-work"/>
      <w:r>
        <w:t xml:space="preserve">A Severed Work</w:t>
      </w:r>
      <w:bookmarkEnd w:id="294"/>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95" w:name="absorbption"/>
      <w:r>
        <w:t xml:space="preserve">Absorbption</w:t>
      </w:r>
      <w:bookmarkEnd w:id="295"/>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96" w:name="practice"/>
      <w:r>
        <w:t xml:space="preserve">The Composer As Navigator</w:t>
      </w:r>
      <w:bookmarkEnd w:id="296"/>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97" w:name="querying-the-sieves"/>
      <w:r>
        <w:t xml:space="preserve">Querying the Sieves</w:t>
      </w:r>
      <w:bookmarkEnd w:id="297"/>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w:t>
      </w:r>
      <w:r>
        <w:rPr>
          <w:rStyle w:val="FootnoteReference"/>
        </w:rPr>
        <w:footnoteReference w:id="298"/>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301"/>
      </w:r>
      <w:r>
        <w:t xml:space="preserve"> </w:t>
      </w:r>
      <w:r>
        <w:t xml:space="preserve">Xenakis’s work on sieves came a few years after his experiments on the</w:t>
      </w:r>
      <w:r>
        <w:t xml:space="preserve"> </w:t>
      </w:r>
      <w:r>
        <w:t xml:space="preserve">ibm-7090</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302"/>
      </w:r>
    </w:p>
    <w:p>
      <w:pPr>
        <w:pStyle w:val="Heading5"/>
      </w:pPr>
      <w:bookmarkStart w:id="303" w:name="sound-synthesis-parenthesis"/>
      <w:r>
        <w:t xml:space="preserve">Sound Synthesis Parenthesis</w:t>
      </w:r>
      <w:bookmarkEnd w:id="303"/>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304"/>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306" w:name="algebraic-abstractions-for-freedom"/>
      <w:r>
        <w:t xml:space="preserve">Algebraic Abstractions for Freedom</w:t>
      </w:r>
      <w:bookmarkEnd w:id="306"/>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307" w:name="a-cosmic-vessel-and-an-armchair"/>
      <w:r>
        <w:t xml:space="preserve">A Cosmic Vessel and an Armchair</w:t>
      </w:r>
      <w:bookmarkEnd w:id="307"/>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308"/>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309" w:name="improv"/>
      <w:r>
        <w:t xml:space="preserve">The Database As Performer</w:t>
      </w:r>
      <w:bookmarkEnd w:id="309"/>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310" w:name="the-computer-as-a-musical-instrument"/>
      <w:r>
        <w:t xml:space="preserve">The Computer as a Musical Instrument</w:t>
      </w:r>
      <w:bookmarkEnd w:id="310"/>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ellision, the three missing human terms have collapsed into one another, forming a new hybrid definition of composer, performer, and programmer. In any case, this hybridity became evident in the music work itself, as can be read from a rethorics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311" w:name="a-minor-liberty"/>
      <w:r>
        <w:t xml:space="preserve">A Minor Liberty</w:t>
      </w:r>
      <w:bookmarkEnd w:id="311"/>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312" w:name="the-computer-as-a-player"/>
      <w:r>
        <w:t xml:space="preserve">The Computer as a Player</w:t>
      </w:r>
      <w:bookmarkEnd w:id="312"/>
    </w:p>
    <w:p>
      <w:pPr>
        <w:pStyle w:val="FirstParagraph"/>
      </w:pPr>
      <w:r>
        <w:t xml:space="preserve">Rowe (1992)</w:t>
      </w:r>
      <w:r>
        <w:t xml:space="preserve"> </w:t>
      </w:r>
      <w:r>
        <w:t xml:space="preserve">(Rowe 1992)</w:t>
      </w:r>
      <w:r>
        <w:t xml:space="preserve"> </w:t>
      </w:r>
      <w:r>
        <w:t xml:space="preserve">identified two paradimgs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as personal computers became affordable the type of negotiations no longer depeded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313" w:name="programming-decisions"/>
      <w:r>
        <w:t xml:space="preserve">Programming Decisions</w:t>
      </w:r>
      <w:bookmarkEnd w:id="313"/>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314" w:name="anachronic-composers"/>
      <w:r>
        <w:t xml:space="preserve">Anachronic Composers</w:t>
      </w:r>
      <w:bookmarkEnd w:id="314"/>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315" w:name="section"/>
      <w:bookmarkEnd w:id="315"/>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316"/>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317" w:name="nonhuman-composers"/>
      <w:r>
        <w:t xml:space="preserve">Nonhuman composers</w:t>
      </w:r>
      <w:bookmarkEnd w:id="317"/>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318" w:name="fractured-works"/>
      <w:r>
        <w:t xml:space="preserve">Fractured Works</w:t>
      </w:r>
      <w:bookmarkEnd w:id="318"/>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319" w:name="databasing-vessel"/>
      <w:r>
        <w:t xml:space="preserve">Databasing Vessel</w:t>
      </w:r>
      <w:bookmarkEnd w:id="319"/>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20" w:name="music"/>
      <w:r>
        <w:t xml:space="preserve">The Severed Object Of Music</w:t>
      </w:r>
      <w:bookmarkEnd w:id="320"/>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21" w:name="an-incomplete-object"/>
      <w:r>
        <w:t xml:space="preserve">An Incomplete Object</w:t>
      </w:r>
      <w:bookmarkEnd w:id="321"/>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22"/>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23" w:name="remains-of-listening"/>
      <w:r>
        <w:t xml:space="preserve">Remains of Listening</w:t>
      </w:r>
      <w:bookmarkEnd w:id="323"/>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24" w:name="sources-and-sorcerers"/>
      <w:r>
        <w:t xml:space="preserve">Sources and Sorcerers</w:t>
      </w:r>
      <w:bookmarkEnd w:id="324"/>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resonant is the object of music, which is never one and the same because it is a singularity resonanting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BlockText"/>
      </w:pPr>
      <w:r>
        <w:t xml:space="preserve">This is why for some years I have experimented with releasing music under other people’s names, so as to dilute their style, and under multiple versions of my own name, to case doubt on any claim to the future.</w:t>
      </w:r>
      <w:r>
        <w:t xml:space="preserve"> </w:t>
      </w:r>
      <w:r>
        <w:t xml:space="preserve">(Nilson 2016)</w:t>
      </w:r>
    </w:p>
    <w:p>
      <w:pPr>
        <w:pStyle w:val="Heading5"/>
      </w:pPr>
      <w:bookmarkStart w:id="325" w:name="naming"/>
      <w:r>
        <w:t xml:space="preserve">Naming</w:t>
      </w:r>
      <w:bookmarkEnd w:id="325"/>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differet names or anagrams would it take for Click Nilson’s style to dilute or to arrive at the unclaimable work of art?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26"/>
      </w:r>
    </w:p>
    <w:p>
      <w:pPr>
        <w:pStyle w:val="Heading5"/>
      </w:pPr>
      <w:bookmarkStart w:id="327" w:name="dynamics"/>
      <w:r>
        <w:t xml:space="preserve">Dynamics</w:t>
      </w:r>
      <w:bookmarkEnd w:id="327"/>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28" w:name="masterwork"/>
      <w:r>
        <w:t xml:space="preserve">Masterwork</w:t>
      </w:r>
      <w:bookmarkEnd w:id="328"/>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5.2.2</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29" w:name="architecture-of-obedience"/>
      <w:r>
        <w:t xml:space="preserve">Architecture of Obedience</w:t>
      </w:r>
      <w:bookmarkEnd w:id="329"/>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30" w:name="anarchy"/>
      <w:r>
        <w:t xml:space="preserve">Anarchy And The Unwork</w:t>
      </w:r>
      <w:bookmarkEnd w:id="330"/>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31" w:name="place-in-common"/>
      <w:r>
        <w:t xml:space="preserve">Place in Common</w:t>
      </w:r>
      <w:bookmarkEnd w:id="331"/>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32" w:name="disintegrated-imperative"/>
      <w:r>
        <w:t xml:space="preserve">Disintegrated Imperative</w:t>
      </w:r>
      <w:bookmarkEnd w:id="332"/>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33" w:name="blind-experimentation"/>
      <w:r>
        <w:t xml:space="preserve">Blind Experimentation</w:t>
      </w:r>
      <w:bookmarkEnd w:id="333"/>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34" w:name="doctoring-the-glitch"/>
      <w:r>
        <w:t xml:space="preserve">Doctoring the Glitch</w:t>
      </w:r>
      <w:bookmarkEnd w:id="334"/>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35" w:name="unnecessary-blindfolds"/>
      <w:r>
        <w:t xml:space="preserve">Unnecessary Blindfolds</w:t>
      </w:r>
      <w:bookmarkEnd w:id="335"/>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36" w:name="spectral-remains"/>
      <w:r>
        <w:t xml:space="preserve">Spectral Remains</w:t>
      </w:r>
      <w:bookmarkEnd w:id="336"/>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37" w:name="macroforma"/>
      <w:r>
        <w:t xml:space="preserve">Macroforma</w:t>
      </w:r>
      <w:bookmarkEnd w:id="337"/>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38" w:name="overfitting"/>
      <w:r>
        <w:t xml:space="preserve">Overfitting</w:t>
      </w:r>
      <w:bookmarkEnd w:id="338"/>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5.2.3</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39" w:name="worker"/>
      <w:r>
        <w:t xml:space="preserve">[Wip] Work In Progress</w:t>
      </w:r>
      <w:bookmarkEnd w:id="339"/>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40" w:name="chapter:Conclusion"/>
      <w:r>
        <w:t xml:space="preserve">Conclusion</w:t>
      </w:r>
      <w:bookmarkEnd w:id="340"/>
    </w:p>
    <w:p>
      <w:pPr>
        <w:pStyle w:val="FirstParagraph"/>
      </w:pPr>
      <w:r>
        <w:t xml:space="preserve">…</w:t>
      </w:r>
      <w:r>
        <w:t xml:space="preserve"> </w:t>
      </w:r>
      <w:r>
        <w:t xml:space="preserve">placeholder for conclusion abstract</w:t>
      </w:r>
      <w:r>
        <w:t xml:space="preserve"> </w:t>
      </w:r>
      <w:r>
        <w:t xml:space="preserve">…</w:t>
      </w:r>
    </w:p>
    <w:p>
      <w:pPr>
        <w:pStyle w:val="Heading1"/>
      </w:pPr>
      <w:bookmarkStart w:id="341" w:name="chapter:Appendices"/>
      <w:r>
        <w:t xml:space="preserve">Appendices</w:t>
      </w:r>
      <w:bookmarkEnd w:id="341"/>
    </w:p>
    <w:p>
      <w:pPr>
        <w:pStyle w:val="FirstParagraph"/>
      </w:pPr>
      <w:r>
        <w:t xml:space="preserve">abstract of appendices</w:t>
      </w:r>
    </w:p>
    <w:p>
      <w:pPr>
        <w:pStyle w:val="Heading2"/>
      </w:pPr>
      <w:bookmarkStart w:id="342" w:name="X9928d5a4298d9156e673c83842d96a99bfb66d7"/>
      <w:r>
        <w:t xml:space="preserve">DIANA: Database for Image and Audio Navigation</w:t>
      </w:r>
      <w:bookmarkEnd w:id="342"/>
    </w:p>
    <w:p>
      <w:pPr>
        <w:pStyle w:val="FirstParagraph"/>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43" w:name="dbmodel"/>
      <w:r>
        <w:t xml:space="preserve">A Database Model</w:t>
      </w:r>
      <w:bookmarkEnd w:id="343"/>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44" w:name="X7616598f194c52ee6f4c09f01c755a7090177ba"/>
      <w:r>
        <w:t xml:space="preserve">ABBY: An Online Environment for Annotated Bibliographies</w:t>
      </w:r>
      <w:bookmarkEnd w:id="344"/>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345">
        <w:r>
          <w:rPr>
            <w:rStyle w:val="Hyperlink"/>
          </w:rPr>
          <w:t xml:space="preserve">https://fdch.github.io/abby</w:t>
        </w:r>
      </w:hyperlink>
      <w:r>
        <w:t xml:space="preserve">, and the code can be accessed or cloned from</w:t>
      </w:r>
      <w:r>
        <w:t xml:space="preserve"> </w:t>
      </w:r>
      <w:hyperlink r:id="rId346">
        <w:r>
          <w:rPr>
            <w:rStyle w:val="Hyperlink"/>
          </w:rPr>
          <w:t xml:space="preserve">https://github.com/fdch/litrev</w:t>
        </w:r>
      </w:hyperlink>
      <w:r>
        <w:t xml:space="preserve">.</w:t>
      </w:r>
    </w:p>
    <w:p>
      <w:pPr>
        <w:pStyle w:val="Heading3"/>
      </w:pPr>
      <w:bookmarkStart w:id="347" w:name="texdb"/>
      <w:r>
        <w:t xml:space="preserve">A Text Database</w:t>
      </w:r>
      <w:bookmarkEnd w:id="347"/>
    </w:p>
    <w:p>
      <w:pPr>
        <w:pStyle w:val="FirstParagraph"/>
      </w:pPr>
      <w:r>
        <w:t xml:space="preserve">A detailed description of the text database model…</w:t>
      </w:r>
    </w:p>
    <w:bookmarkStart w:id="695" w:name="refs"/>
    <w:bookmarkStart w:id="348"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48"/>
    <w:bookmarkStart w:id="349"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49"/>
    <w:bookmarkStart w:id="350"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50"/>
    <w:bookmarkStart w:id="351"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51"/>
    <w:bookmarkStart w:id="352"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52"/>
    <w:bookmarkStart w:id="354"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53">
        <w:r>
          <w:rPr>
            <w:rStyle w:val="Hyperlink"/>
          </w:rPr>
          <w:t xml:space="preserve">http://www.terasoft.com.tw/conf/ismir2014/proceedings/T014_162_Paper.pdf</w:t>
        </w:r>
      </w:hyperlink>
    </w:p>
    <w:bookmarkEnd w:id="354"/>
    <w:bookmarkStart w:id="355"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55"/>
    <w:bookmarkStart w:id="356"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56"/>
    <w:bookmarkStart w:id="357"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57"/>
    <w:bookmarkStart w:id="358"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58"/>
    <w:bookmarkStart w:id="359"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59"/>
    <w:bookmarkStart w:id="360"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60"/>
    <w:bookmarkStart w:id="361"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61"/>
    <w:bookmarkStart w:id="362"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62"/>
    <w:bookmarkStart w:id="363"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63"/>
    <w:bookmarkStart w:id="364"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64"/>
    <w:bookmarkStart w:id="365" w:name="ref-Bar20:Viv"/>
    <w:p>
      <w:pPr>
        <w:pStyle w:val="Bibliography"/>
      </w:pPr>
      <w:r>
        <w:t xml:space="preserve">Barrett N. 2000b. Viva la selva</w:t>
      </w:r>
    </w:p>
    <w:bookmarkEnd w:id="365"/>
    <w:bookmarkStart w:id="366" w:name="ref-Bar68:Ele"/>
    <w:p>
      <w:pPr>
        <w:pStyle w:val="Bibliography"/>
      </w:pPr>
      <w:r>
        <w:t xml:space="preserve">Barthes R, Lavers A, Smith C. 1968.</w:t>
      </w:r>
      <w:r>
        <w:t xml:space="preserve"> </w:t>
      </w:r>
      <w:r>
        <w:rPr>
          <w:i/>
        </w:rPr>
        <w:t xml:space="preserve">Elements of Semiology</w:t>
      </w:r>
      <w:r>
        <w:t xml:space="preserve">. Hill; Wang, New York. ed.</w:t>
      </w:r>
    </w:p>
    <w:bookmarkEnd w:id="366"/>
    <w:bookmarkStart w:id="367"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67"/>
    <w:bookmarkStart w:id="368"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68"/>
    <w:bookmarkStart w:id="369"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69"/>
    <w:bookmarkStart w:id="371"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70">
        <w:r>
          <w:rPr>
            <w:rStyle w:val="Hyperlink"/>
          </w:rPr>
          <w:t xml:space="preserve">http://www.terasoft.com.tw/conf/ismir2014/proceedings/T028_322_Paper.pdf</w:t>
        </w:r>
      </w:hyperlink>
    </w:p>
    <w:bookmarkEnd w:id="371"/>
    <w:bookmarkStart w:id="372"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72"/>
    <w:bookmarkStart w:id="374"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73">
        <w:r>
          <w:rPr>
            <w:rStyle w:val="Hyperlink"/>
          </w:rPr>
          <w:t xml:space="preserve">http://www.ppgia.pucpr.br/ismir2013/wp-content/uploads/2013/09/177\_Paper.pdf</w:t>
        </w:r>
      </w:hyperlink>
    </w:p>
    <w:bookmarkEnd w:id="374"/>
    <w:bookmarkStart w:id="375"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75"/>
    <w:bookmarkStart w:id="376" w:name="ref-Bor42:Fun"/>
    <w:p>
      <w:pPr>
        <w:pStyle w:val="Bibliography"/>
      </w:pPr>
      <w:r>
        <w:t xml:space="preserve">Borges JL. 1942. Funes el memorioso.</w:t>
      </w:r>
      <w:r>
        <w:t xml:space="preserve"> </w:t>
      </w:r>
      <w:r>
        <w:rPr>
          <w:i/>
        </w:rPr>
        <w:t xml:space="preserve">Ficciones</w:t>
      </w:r>
    </w:p>
    <w:bookmarkEnd w:id="376"/>
    <w:bookmarkStart w:id="377" w:name="ref-Bor95:Rat"/>
    <w:p>
      <w:pPr>
        <w:pStyle w:val="Bibliography"/>
      </w:pPr>
      <w:r>
        <w:t xml:space="preserve">Born G. 1995.</w:t>
      </w:r>
      <w:r>
        <w:t xml:space="preserve"> </w:t>
      </w:r>
      <w:r>
        <w:rPr>
          <w:i/>
        </w:rPr>
        <w:t xml:space="preserve">Rationalizing Culture</w:t>
      </w:r>
      <w:r>
        <w:t xml:space="preserve">. University of California Press. ed.</w:t>
      </w:r>
    </w:p>
    <w:bookmarkEnd w:id="377"/>
    <w:bookmarkStart w:id="378"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78"/>
    <w:bookmarkStart w:id="379"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79"/>
    <w:bookmarkStart w:id="380"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80"/>
    <w:bookmarkStart w:id="381"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81"/>
    <w:bookmarkStart w:id="382"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82"/>
    <w:bookmarkStart w:id="383"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83"/>
    <w:bookmarkStart w:id="384" w:name="ref-score11manual"/>
    <w:p>
      <w:pPr>
        <w:pStyle w:val="Bibliography"/>
      </w:pPr>
      <w:r>
        <w:t xml:space="preserve">Brinkman AR. 1982. Original version of the score11 manual.</w:t>
      </w:r>
      <w:r>
        <w:t xml:space="preserve"> </w:t>
      </w:r>
      <w:r>
        <w:rPr>
          <w:i/>
        </w:rPr>
        <w:t xml:space="preserve">Score11 Manual</w:t>
      </w:r>
    </w:p>
    <w:bookmarkEnd w:id="384"/>
    <w:bookmarkStart w:id="385"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85"/>
    <w:bookmarkStart w:id="386"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86"/>
    <w:bookmarkStart w:id="387"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87"/>
    <w:bookmarkStart w:id="389"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88">
        <w:r>
          <w:rPr>
            <w:rStyle w:val="Hyperlink"/>
          </w:rPr>
          <w:t xml:space="preserve">http://www.nime.org/proceedings/2011/nime2011_387.pdf</w:t>
        </w:r>
      </w:hyperlink>
    </w:p>
    <w:bookmarkEnd w:id="389"/>
    <w:bookmarkStart w:id="391"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90">
        <w:r>
          <w:rPr>
            <w:rStyle w:val="Hyperlink"/>
          </w:rPr>
          <w:t xml:space="preserve">http://www.nime.org/proceedings/2009/nime2009_266.pdf</w:t>
        </w:r>
      </w:hyperlink>
    </w:p>
    <w:bookmarkEnd w:id="391"/>
    <w:bookmarkStart w:id="392"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92"/>
    <w:bookmarkStart w:id="393"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93"/>
    <w:bookmarkStart w:id="394"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94"/>
    <w:bookmarkStart w:id="395" w:name="ref-Bux77:Aco"/>
    <w:p>
      <w:pPr>
        <w:pStyle w:val="Bibliography"/>
      </w:pPr>
      <w:r>
        <w:t xml:space="preserve">Buxton W. 1977. A composer’s introduction to computer music.</w:t>
      </w:r>
      <w:r>
        <w:t xml:space="preserve"> </w:t>
      </w:r>
      <w:r>
        <w:rPr>
          <w:i/>
        </w:rPr>
        <w:t xml:space="preserve">Interface</w:t>
      </w:r>
      <w:r>
        <w:t xml:space="preserve">. 6:57–72</w:t>
      </w:r>
    </w:p>
    <w:bookmarkEnd w:id="395"/>
    <w:bookmarkStart w:id="396" w:name="ref-youtube/buxton10"/>
    <w:p>
      <w:pPr>
        <w:pStyle w:val="Bibliography"/>
      </w:pPr>
      <w:r>
        <w:t xml:space="preserve">Buxton W. 2016a. Objed: The sssp sound editing tool.</w:t>
      </w:r>
      <w:r>
        <w:t xml:space="preserve"> </w:t>
      </w:r>
      <w:r>
        <w:rPr>
          <w:i/>
        </w:rPr>
        <w:t xml:space="preserve">Youtube</w:t>
      </w:r>
    </w:p>
    <w:bookmarkEnd w:id="396"/>
    <w:bookmarkStart w:id="397"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97"/>
    <w:bookmarkStart w:id="398"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98"/>
    <w:bookmarkStart w:id="399"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99"/>
    <w:bookmarkStart w:id="400"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400"/>
    <w:bookmarkStart w:id="402"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401">
        <w:r>
          <w:rPr>
            <w:rStyle w:val="Hyperlink"/>
          </w:rPr>
          <w:t xml:space="preserve">http://www.nime.org/proceedings/2011/nime2011_329.pdf</w:t>
        </w:r>
      </w:hyperlink>
    </w:p>
    <w:bookmarkEnd w:id="402"/>
    <w:bookmarkStart w:id="403"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403"/>
    <w:bookmarkStart w:id="404"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04"/>
    <w:bookmarkStart w:id="405"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05"/>
    <w:bookmarkStart w:id="406" w:name="ref-Rya17:OnT"/>
    <w:p>
      <w:pPr>
        <w:pStyle w:val="Bibliography"/>
      </w:pPr>
      <w:r>
        <w:t xml:space="preserve">Carter R. 2017. On the expressive potential of suboptimal speakers</w:t>
      </w:r>
    </w:p>
    <w:bookmarkEnd w:id="406"/>
    <w:bookmarkStart w:id="407"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07"/>
    <w:bookmarkStart w:id="408"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08"/>
    <w:bookmarkStart w:id="409"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09"/>
    <w:bookmarkStart w:id="410"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10"/>
    <w:bookmarkStart w:id="411"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11"/>
    <w:bookmarkStart w:id="412"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12"/>
    <w:bookmarkStart w:id="413"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13"/>
    <w:bookmarkStart w:id="414"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14"/>
    <w:bookmarkStart w:id="415" w:name="ref-Cho00:Voi"/>
    <w:p>
      <w:pPr>
        <w:pStyle w:val="Bibliography"/>
      </w:pPr>
      <w:r>
        <w:t xml:space="preserve">Choi I. 2000. Voices in ruins — composition with residuals</w:t>
      </w:r>
    </w:p>
    <w:bookmarkEnd w:id="415"/>
    <w:bookmarkStart w:id="416"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16"/>
    <w:bookmarkStart w:id="417"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17"/>
    <w:bookmarkStart w:id="418"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18"/>
    <w:bookmarkStart w:id="419"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19"/>
    <w:bookmarkStart w:id="420"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20"/>
    <w:bookmarkStart w:id="421"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21"/>
    <w:bookmarkStart w:id="422"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22"/>
    <w:bookmarkStart w:id="423"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23"/>
    <w:bookmarkStart w:id="424"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24"/>
    <w:bookmarkStart w:id="425" w:name="ref-connes:shapes"/>
    <w:p>
      <w:pPr>
        <w:pStyle w:val="Bibliography"/>
      </w:pPr>
      <w:r>
        <w:t xml:space="preserve">Connes A. 2012. The music of shapes</w:t>
      </w:r>
    </w:p>
    <w:bookmarkEnd w:id="425"/>
    <w:bookmarkStart w:id="426"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26"/>
    <w:bookmarkStart w:id="427"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27"/>
    <w:bookmarkStart w:id="428"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28"/>
    <w:bookmarkStart w:id="429"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29"/>
    <w:bookmarkStart w:id="430"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30"/>
    <w:bookmarkStart w:id="432"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31">
        <w:r>
          <w:rPr>
            <w:rStyle w:val="Hyperlink"/>
          </w:rPr>
          <w:t xml:space="preserve">https://ismir2017.smcnus.org/wp-content/uploads/2017/10/235_Paper.pdf</w:t>
        </w:r>
      </w:hyperlink>
    </w:p>
    <w:bookmarkEnd w:id="432"/>
    <w:bookmarkStart w:id="434" w:name="ref-crowley98"/>
    <w:p>
      <w:pPr>
        <w:pStyle w:val="Bibliography"/>
      </w:pPr>
      <w:r>
        <w:t xml:space="preserve">Crowley C. 1998. Data structures for text sequences.</w:t>
      </w:r>
      <w:r>
        <w:t xml:space="preserve"> </w:t>
      </w:r>
      <w:hyperlink r:id="rId433">
        <w:r>
          <w:rPr>
            <w:rStyle w:val="Hyperlink"/>
          </w:rPr>
          <w:t xml:space="preserve">https://www.cs.unm.edu/~crowley/papers/sds.pdf</w:t>
        </w:r>
      </w:hyperlink>
    </w:p>
    <w:bookmarkEnd w:id="434"/>
    <w:bookmarkStart w:id="435"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35"/>
    <w:bookmarkStart w:id="437"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36">
        <w:r>
          <w:rPr>
            <w:rStyle w:val="Hyperlink"/>
          </w:rPr>
          <w:t xml:space="preserve">https://ismir2017.smcnus.org/wp-content/uploads/2017/10/75_Paper.pdf</w:t>
        </w:r>
      </w:hyperlink>
    </w:p>
    <w:bookmarkEnd w:id="437"/>
    <w:bookmarkStart w:id="438"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38"/>
    <w:bookmarkStart w:id="439"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39"/>
    <w:bookmarkStart w:id="440"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40"/>
    <w:bookmarkStart w:id="441" w:name="ref-Der78:Wri"/>
    <w:p>
      <w:pPr>
        <w:pStyle w:val="Bibliography"/>
      </w:pPr>
      <w:r>
        <w:t xml:space="preserve">Derrida J. 1978.</w:t>
      </w:r>
      <w:r>
        <w:t xml:space="preserve"> </w:t>
      </w:r>
      <w:r>
        <w:rPr>
          <w:i/>
        </w:rPr>
        <w:t xml:space="preserve">Writing and Difference</w:t>
      </w:r>
      <w:r>
        <w:t xml:space="preserve">. The University of Chicago. ed.</w:t>
      </w:r>
    </w:p>
    <w:bookmarkEnd w:id="441"/>
    <w:bookmarkStart w:id="442" w:name="ref-Der82:Mar"/>
    <w:p>
      <w:pPr>
        <w:pStyle w:val="Bibliography"/>
      </w:pPr>
      <w:r>
        <w:t xml:space="preserve">Derrida J. 1982.</w:t>
      </w:r>
      <w:r>
        <w:t xml:space="preserve"> </w:t>
      </w:r>
      <w:r>
        <w:rPr>
          <w:i/>
        </w:rPr>
        <w:t xml:space="preserve">Margins of Philosophy</w:t>
      </w:r>
      <w:r>
        <w:t xml:space="preserve">. The Harvester Press. ed.</w:t>
      </w:r>
    </w:p>
    <w:bookmarkEnd w:id="442"/>
    <w:bookmarkStart w:id="443" w:name="ref-Der95:Arc"/>
    <w:p>
      <w:pPr>
        <w:pStyle w:val="Bibliography"/>
      </w:pPr>
      <w:r>
        <w:t xml:space="preserve">Derrida J, Prenowitz E. 1995. Archive fever: A freudian impression.</w:t>
      </w:r>
      <w:r>
        <w:t xml:space="preserve"> </w:t>
      </w:r>
      <w:r>
        <w:rPr>
          <w:i/>
        </w:rPr>
        <w:t xml:space="preserve">Diacritics</w:t>
      </w:r>
      <w:r>
        <w:t xml:space="preserve">. 25(2):</w:t>
      </w:r>
    </w:p>
    <w:bookmarkEnd w:id="443"/>
    <w:bookmarkStart w:id="445"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44">
        <w:r>
          <w:rPr>
            <w:rStyle w:val="Hyperlink"/>
          </w:rPr>
          <w:t xml:space="preserve">http://ismir2015.uma.es/articles/261_Paper.pdf</w:t>
        </w:r>
      </w:hyperlink>
    </w:p>
    <w:bookmarkEnd w:id="445"/>
    <w:bookmarkStart w:id="446"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46"/>
    <w:bookmarkStart w:id="447"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47"/>
    <w:bookmarkStart w:id="448"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48"/>
    <w:bookmarkStart w:id="449"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49"/>
    <w:bookmarkStart w:id="450"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50"/>
    <w:bookmarkStart w:id="451"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51"/>
    <w:bookmarkStart w:id="453"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52">
        <w:r>
          <w:rPr>
            <w:rStyle w:val="Hyperlink"/>
          </w:rPr>
          <w:t xml:space="preserve">http://ismir2018.ircam.fr/doc/pdfs/265_Paper.pdf</w:t>
        </w:r>
      </w:hyperlink>
    </w:p>
    <w:bookmarkEnd w:id="453"/>
    <w:bookmarkStart w:id="454"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54"/>
    <w:bookmarkStart w:id="456"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55">
        <w:r>
          <w:rPr>
            <w:rStyle w:val="Hyperlink"/>
          </w:rPr>
          <w:t xml:space="preserve">http://ismir2000.ismir.net/papers/invites/dunn_invite.pdf</w:t>
        </w:r>
      </w:hyperlink>
    </w:p>
    <w:bookmarkEnd w:id="456"/>
    <w:bookmarkStart w:id="457"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57"/>
    <w:bookmarkStart w:id="458"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58"/>
    <w:bookmarkStart w:id="459" w:name="ref-Eco04:The"/>
    <w:p>
      <w:pPr>
        <w:pStyle w:val="Bibliography"/>
      </w:pPr>
      <w:r>
        <w:t xml:space="preserve">Eco U. 2004. The poetics of the open work.</w:t>
      </w:r>
      <w:r>
        <w:t xml:space="preserve"> </w:t>
      </w:r>
      <w:r>
        <w:rPr>
          <w:i/>
        </w:rPr>
        <w:t xml:space="preserve">Audio Culture: Readings in Modern Music</w:t>
      </w:r>
    </w:p>
    <w:bookmarkEnd w:id="459"/>
    <w:bookmarkStart w:id="460" w:name="ref-Emm86:The"/>
    <w:p>
      <w:pPr>
        <w:pStyle w:val="Bibliography"/>
      </w:pPr>
      <w:r>
        <w:t xml:space="preserve">Emmerson S. 1986.</w:t>
      </w:r>
      <w:r>
        <w:t xml:space="preserve"> </w:t>
      </w:r>
      <w:r>
        <w:rPr>
          <w:i/>
        </w:rPr>
        <w:t xml:space="preserve">The Language of Electroacoustic Music</w:t>
      </w:r>
      <w:r>
        <w:t xml:space="preserve">. ed.</w:t>
      </w:r>
    </w:p>
    <w:bookmarkEnd w:id="460"/>
    <w:bookmarkStart w:id="462"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61">
        <w:r>
          <w:rPr>
            <w:rStyle w:val="Hyperlink"/>
          </w:rPr>
          <w:t xml:space="preserve">http://ismir2018.ircam.fr/doc/pdfs/206_Paper.pdf</w:t>
        </w:r>
      </w:hyperlink>
    </w:p>
    <w:bookmarkEnd w:id="462"/>
    <w:bookmarkStart w:id="463"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63"/>
    <w:bookmarkStart w:id="464" w:name="ref-Ern13:Dig"/>
    <w:p>
      <w:pPr>
        <w:pStyle w:val="Bibliography"/>
      </w:pPr>
      <w:r>
        <w:t xml:space="preserve">Ernst W. 2013.</w:t>
      </w:r>
      <w:r>
        <w:t xml:space="preserve"> </w:t>
      </w:r>
      <w:r>
        <w:rPr>
          <w:i/>
        </w:rPr>
        <w:t xml:space="preserve">Digital Memory and the Archive</w:t>
      </w:r>
      <w:r>
        <w:t xml:space="preserve">. University of Minnesota Press. ed.</w:t>
      </w:r>
    </w:p>
    <w:bookmarkEnd w:id="464"/>
    <w:bookmarkStart w:id="465"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65"/>
    <w:bookmarkStart w:id="466"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66"/>
    <w:bookmarkStart w:id="468"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67">
        <w:r>
          <w:rPr>
            <w:rStyle w:val="Hyperlink"/>
          </w:rPr>
          <w:t xml:space="preserve">https://ismir2017.smcnus.org/wp-content/uploads/2017/10/161_Paper.pdf</w:t>
        </w:r>
      </w:hyperlink>
    </w:p>
    <w:bookmarkEnd w:id="468"/>
    <w:bookmarkStart w:id="469"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69"/>
    <w:bookmarkStart w:id="470"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70"/>
    <w:bookmarkStart w:id="471"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71"/>
    <w:bookmarkStart w:id="472"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72"/>
    <w:bookmarkStart w:id="473"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73"/>
    <w:bookmarkStart w:id="474"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74"/>
    <w:bookmarkStart w:id="476"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75">
        <w:r>
          <w:rPr>
            <w:rStyle w:val="Hyperlink"/>
          </w:rPr>
          <w:t xml:space="preserve">http://www.nime.org/proceedings/2011/nime2011_124.pdf</w:t>
        </w:r>
      </w:hyperlink>
    </w:p>
    <w:bookmarkEnd w:id="476"/>
    <w:bookmarkStart w:id="477"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77"/>
    <w:bookmarkStart w:id="479"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78">
        <w:r>
          <w:rPr>
            <w:rStyle w:val="Hyperlink"/>
          </w:rPr>
          <w:t xml:space="preserve">http://ismir2000.ismir.net/posters/good.pdf</w:t>
        </w:r>
      </w:hyperlink>
    </w:p>
    <w:bookmarkEnd w:id="479"/>
    <w:bookmarkStart w:id="481"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80">
        <w:r>
          <w:rPr>
            <w:rStyle w:val="Hyperlink"/>
          </w:rPr>
          <w:t xml:space="preserve">http://ismir2002.ismir.net/proceedings/03-SP04-1.pdf</w:t>
        </w:r>
      </w:hyperlink>
    </w:p>
    <w:bookmarkEnd w:id="481"/>
    <w:bookmarkStart w:id="483"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82">
        <w:r>
          <w:rPr>
            <w:rStyle w:val="Hyperlink"/>
          </w:rPr>
          <w:t xml:space="preserve">http://ismir2003.ismir.net/papers/Goto1.PDF</w:t>
        </w:r>
      </w:hyperlink>
    </w:p>
    <w:bookmarkEnd w:id="483"/>
    <w:bookmarkStart w:id="484" w:name="ref-Gra15:The"/>
    <w:p>
      <w:pPr>
        <w:pStyle w:val="Bibliography"/>
      </w:pPr>
      <w:r>
        <w:t xml:space="preserve">Gratton P, Morin M-E. 2015.</w:t>
      </w:r>
      <w:r>
        <w:t xml:space="preserve"> </w:t>
      </w:r>
      <w:r>
        <w:rPr>
          <w:i/>
        </w:rPr>
        <w:t xml:space="preserve">The Nancy Dictionary</w:t>
      </w:r>
      <w:r>
        <w:t xml:space="preserve">. Edinburgh University Press. ed.</w:t>
      </w:r>
    </w:p>
    <w:bookmarkEnd w:id="484"/>
    <w:bookmarkStart w:id="485"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85"/>
    <w:bookmarkStart w:id="487"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86">
        <w:r>
          <w:rPr>
            <w:rStyle w:val="Hyperlink"/>
          </w:rPr>
          <w:t xml:space="preserve">http://www.terasoft.com.tw/conf/ismir2014/proceedings/T059_257_Paper.pdf</w:t>
        </w:r>
      </w:hyperlink>
    </w:p>
    <w:bookmarkEnd w:id="487"/>
    <w:bookmarkStart w:id="488"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88"/>
    <w:bookmarkStart w:id="489"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89"/>
    <w:bookmarkStart w:id="490" w:name="ref-Han04:New"/>
    <w:p>
      <w:pPr>
        <w:pStyle w:val="Bibliography"/>
      </w:pPr>
      <w:r>
        <w:t xml:space="preserve">Hansen MBN. 2004.</w:t>
      </w:r>
      <w:r>
        <w:t xml:space="preserve"> </w:t>
      </w:r>
      <w:r>
        <w:rPr>
          <w:i/>
        </w:rPr>
        <w:t xml:space="preserve">New Philosophy for New Media</w:t>
      </w:r>
      <w:r>
        <w:t xml:space="preserve">. The MIT Press. ed.</w:t>
      </w:r>
    </w:p>
    <w:bookmarkEnd w:id="490"/>
    <w:bookmarkStart w:id="492"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91">
        <w:r>
          <w:rPr>
            <w:rStyle w:val="Hyperlink"/>
          </w:rPr>
          <w:t xml:space="preserve">http://ismir2008.ismir.net/papers/ISMIR2008_173.pdf</w:t>
        </w:r>
      </w:hyperlink>
    </w:p>
    <w:bookmarkEnd w:id="492"/>
    <w:bookmarkStart w:id="493"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93"/>
    <w:bookmarkStart w:id="494"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94"/>
    <w:bookmarkStart w:id="496"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95">
        <w:r>
          <w:rPr>
            <w:rStyle w:val="Hyperlink"/>
          </w:rPr>
          <w:t xml:space="preserve">http://www.ppgia.pucpr.br/ismir2013/wp-content/uploads/2013/09/85_Paper.pdf</w:t>
        </w:r>
      </w:hyperlink>
    </w:p>
    <w:bookmarkEnd w:id="496"/>
    <w:bookmarkStart w:id="497"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97"/>
    <w:bookmarkStart w:id="498" w:name="ref-Hay93:The"/>
    <w:p>
      <w:pPr>
        <w:pStyle w:val="Bibliography"/>
      </w:pPr>
      <w:r>
        <w:t xml:space="preserve">Hayles NK. 1993. The materiality of informatics.</w:t>
      </w:r>
      <w:r>
        <w:t xml:space="preserve"> </w:t>
      </w:r>
      <w:r>
        <w:rPr>
          <w:i/>
        </w:rPr>
        <w:t xml:space="preserve">Configurations</w:t>
      </w:r>
      <w:r>
        <w:t xml:space="preserve">. 1(1):</w:t>
      </w:r>
    </w:p>
    <w:bookmarkEnd w:id="498"/>
    <w:bookmarkStart w:id="499"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99"/>
    <w:bookmarkStart w:id="500"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500"/>
    <w:bookmarkStart w:id="501"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501"/>
    <w:bookmarkStart w:id="503"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502">
        <w:r>
          <w:rPr>
            <w:rStyle w:val="Hyperlink"/>
          </w:rPr>
          <w:t xml:space="preserve">http://www.nime.org/proceedings/2010/nime2010_233.pdf</w:t>
        </w:r>
      </w:hyperlink>
    </w:p>
    <w:bookmarkEnd w:id="503"/>
    <w:bookmarkStart w:id="505"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04">
        <w:r>
          <w:rPr>
            <w:rStyle w:val="Hyperlink"/>
          </w:rPr>
          <w:t xml:space="preserve">http://ismir2005.ismir.net/proceedings/2117.pdf</w:t>
        </w:r>
      </w:hyperlink>
    </w:p>
    <w:bookmarkEnd w:id="505"/>
    <w:bookmarkStart w:id="506"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06"/>
    <w:bookmarkStart w:id="508"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07">
        <w:r>
          <w:rPr>
            <w:rStyle w:val="Hyperlink"/>
          </w:rPr>
          <w:t xml:space="preserve">http://ismir2018.ircam.fr/doc/pdfs/248_Paper.pdf</w:t>
        </w:r>
      </w:hyperlink>
    </w:p>
    <w:bookmarkEnd w:id="508"/>
    <w:bookmarkStart w:id="509" w:name="ref-Mau99:Abr"/>
    <w:p>
      <w:pPr>
        <w:pStyle w:val="Bibliography"/>
      </w:pPr>
      <w:r>
        <w:t xml:space="preserve">IV JAM. 1999.</w:t>
      </w:r>
      <w:r>
        <w:t xml:space="preserve"> </w:t>
      </w:r>
      <w:r>
        <w:rPr>
          <w:i/>
        </w:rPr>
        <w:t xml:space="preserve">A Brief History of Algorithmic Composition</w:t>
      </w:r>
      <w:r>
        <w:t xml:space="preserve">. Online. ed.</w:t>
      </w:r>
    </w:p>
    <w:bookmarkEnd w:id="509"/>
    <w:bookmarkStart w:id="510"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10"/>
    <w:bookmarkStart w:id="511"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11"/>
    <w:bookmarkStart w:id="512"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12"/>
    <w:bookmarkStart w:id="514"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13">
        <w:r>
          <w:rPr>
            <w:rStyle w:val="Hyperlink"/>
          </w:rPr>
          <w:t xml:space="preserve">http://ismir2008.ismir.net/papers/ISMIR2008_106.pdf</w:t>
        </w:r>
      </w:hyperlink>
    </w:p>
    <w:bookmarkEnd w:id="514"/>
    <w:bookmarkStart w:id="515"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15"/>
    <w:bookmarkStart w:id="516"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16"/>
    <w:bookmarkStart w:id="517"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17"/>
    <w:bookmarkStart w:id="518"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18"/>
    <w:bookmarkStart w:id="520"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19">
        <w:r>
          <w:rPr>
            <w:rStyle w:val="Hyperlink"/>
          </w:rPr>
          <w:t xml:space="preserve">http://www.terasoft.com.tw/conf/ismir2014/proceedings/T039_344_Paper.pdf</w:t>
        </w:r>
      </w:hyperlink>
    </w:p>
    <w:bookmarkEnd w:id="520"/>
    <w:bookmarkStart w:id="521" w:name="ref-Kle98:The"/>
    <w:p>
      <w:pPr>
        <w:pStyle w:val="Bibliography"/>
      </w:pPr>
      <w:r>
        <w:t xml:space="preserve">Klein J. 1998. The wolves of bays mountain</w:t>
      </w:r>
    </w:p>
    <w:bookmarkEnd w:id="521"/>
    <w:bookmarkStart w:id="522" w:name="ref-Kle17:Lec"/>
    <w:p>
      <w:pPr>
        <w:pStyle w:val="Bibliography"/>
      </w:pPr>
      <w:r>
        <w:t xml:space="preserve">Klein J. 2017.</w:t>
      </w:r>
      <w:r>
        <w:t xml:space="preserve"> </w:t>
      </w:r>
      <w:r>
        <w:rPr>
          <w:i/>
        </w:rPr>
        <w:t xml:space="preserve">On my compositional approach</w:t>
      </w:r>
      <w:r>
        <w:t xml:space="preserve">. Work. Pap.</w:t>
      </w:r>
    </w:p>
    <w:bookmarkEnd w:id="522"/>
    <w:bookmarkStart w:id="523"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23"/>
    <w:bookmarkStart w:id="525"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24">
        <w:r>
          <w:rPr>
            <w:rStyle w:val="Hyperlink"/>
          </w:rPr>
          <w:t xml:space="preserve">http://ismir2015.uma.es/articles/246_Paper.pdf</w:t>
        </w:r>
      </w:hyperlink>
    </w:p>
    <w:bookmarkEnd w:id="525"/>
    <w:bookmarkStart w:id="526"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26"/>
    <w:bookmarkStart w:id="527"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27"/>
    <w:bookmarkStart w:id="528"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28"/>
    <w:bookmarkStart w:id="529"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29"/>
    <w:bookmarkStart w:id="530"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30"/>
    <w:bookmarkStart w:id="531"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31"/>
    <w:bookmarkStart w:id="532"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32"/>
    <w:bookmarkStart w:id="533"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33"/>
    <w:bookmarkStart w:id="534"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34"/>
    <w:bookmarkStart w:id="535"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35"/>
    <w:bookmarkStart w:id="536"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36"/>
    <w:bookmarkStart w:id="537" w:name="ref-Lod98:MUS"/>
    <w:p>
      <w:pPr>
        <w:pStyle w:val="Bibliography"/>
      </w:pPr>
      <w:r>
        <w:t xml:space="preserve">Lodha S, Beahan J, Joseph A, Zane-ulman B. 1998. MUSE: A musical data sonification toolkit</w:t>
      </w:r>
    </w:p>
    <w:bookmarkEnd w:id="537"/>
    <w:bookmarkStart w:id="538"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38"/>
    <w:bookmarkStart w:id="540"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39">
        <w:r>
          <w:rPr>
            <w:rStyle w:val="Hyperlink"/>
          </w:rPr>
          <w:t xml:space="preserve">http://www.nime.org/proceedings/2008/nime2008_221.pdf</w:t>
        </w:r>
      </w:hyperlink>
    </w:p>
    <w:bookmarkEnd w:id="540"/>
    <w:bookmarkStart w:id="541"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41"/>
    <w:bookmarkStart w:id="542" w:name="ref-Luc70:Iam"/>
    <w:p>
      <w:pPr>
        <w:pStyle w:val="Bibliography"/>
      </w:pPr>
      <w:r>
        <w:t xml:space="preserve">Lucier A. 1970. I am sitting in a room</w:t>
      </w:r>
    </w:p>
    <w:bookmarkEnd w:id="542"/>
    <w:bookmarkStart w:id="543" w:name="ref-Man01:The"/>
    <w:p>
      <w:pPr>
        <w:pStyle w:val="Bibliography"/>
      </w:pPr>
      <w:r>
        <w:t xml:space="preserve">Manovich L. 2001.</w:t>
      </w:r>
      <w:r>
        <w:t xml:space="preserve"> </w:t>
      </w:r>
      <w:r>
        <w:rPr>
          <w:i/>
        </w:rPr>
        <w:t xml:space="preserve">The Language of New Media</w:t>
      </w:r>
      <w:r>
        <w:t xml:space="preserve">. MIT Press. ed.</w:t>
      </w:r>
    </w:p>
    <w:bookmarkEnd w:id="543"/>
    <w:bookmarkStart w:id="544" w:name="ref-Man02:Old"/>
    <w:p>
      <w:pPr>
        <w:pStyle w:val="Bibliography"/>
      </w:pPr>
      <w:r>
        <w:t xml:space="preserve">Manovich L. 2002. Old media as new media: Cinema.</w:t>
      </w:r>
      <w:r>
        <w:t xml:space="preserve"> </w:t>
      </w:r>
      <w:r>
        <w:rPr>
          <w:i/>
        </w:rPr>
        <w:t xml:space="preserve">The New Media Book</w:t>
      </w:r>
    </w:p>
    <w:bookmarkEnd w:id="544"/>
    <w:bookmarkStart w:id="545"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45"/>
    <w:bookmarkStart w:id="547"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46">
        <w:r>
          <w:rPr>
            <w:rStyle w:val="Hyperlink"/>
          </w:rPr>
          <w:t xml:space="preserve">http://ismir2008.ismir.net/papers/ISMIR2008_158.pdf</w:t>
        </w:r>
      </w:hyperlink>
    </w:p>
    <w:bookmarkEnd w:id="547"/>
    <w:bookmarkStart w:id="548"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48"/>
    <w:bookmarkStart w:id="549"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49"/>
    <w:bookmarkStart w:id="550"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50"/>
    <w:bookmarkStart w:id="551" w:name="ref-csoundMethods"/>
    <w:p>
      <w:pPr>
        <w:pStyle w:val="Bibliography"/>
      </w:pPr>
      <w:r>
        <w:t xml:space="preserve">McCurdy I, Heintz J, Joaquin J, Knevel M. 2015. Methods of writing csound scores.</w:t>
      </w:r>
      <w:r>
        <w:t xml:space="preserve"> </w:t>
      </w:r>
      <w:r>
        <w:rPr>
          <w:i/>
        </w:rPr>
        <w:t xml:space="preserve">FLOSS Manuals</w:t>
      </w:r>
    </w:p>
    <w:bookmarkEnd w:id="551"/>
    <w:bookmarkStart w:id="552"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52"/>
    <w:bookmarkStart w:id="554"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53">
        <w:r>
          <w:rPr>
            <w:rStyle w:val="Hyperlink"/>
          </w:rPr>
          <w:t xml:space="preserve">http://ismir2018.ircam.fr/doc/pdfs/35_Paper.pdf</w:t>
        </w:r>
      </w:hyperlink>
    </w:p>
    <w:bookmarkEnd w:id="554"/>
    <w:bookmarkStart w:id="555"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55"/>
    <w:bookmarkStart w:id="556"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56"/>
    <w:bookmarkStart w:id="557"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57"/>
    <w:bookmarkStart w:id="558"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58"/>
    <w:bookmarkStart w:id="559" w:name="ref-ods-cpp"/>
    <w:p>
      <w:pPr>
        <w:pStyle w:val="Bibliography"/>
      </w:pPr>
      <w:r>
        <w:t xml:space="preserve">Morin P. 2019.</w:t>
      </w:r>
      <w:r>
        <w:t xml:space="preserve"> </w:t>
      </w:r>
      <w:r>
        <w:rPr>
          <w:i/>
        </w:rPr>
        <w:t xml:space="preserve">Open Data Structures</w:t>
      </w:r>
      <w:r>
        <w:t xml:space="preserve">. Creative Commons. ed.</w:t>
      </w:r>
    </w:p>
    <w:bookmarkEnd w:id="559"/>
    <w:bookmarkStart w:id="560"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60"/>
    <w:bookmarkStart w:id="561"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61"/>
    <w:bookmarkStart w:id="562"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62"/>
    <w:bookmarkStart w:id="564"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63">
        <w:r>
          <w:rPr>
            <w:rStyle w:val="Hyperlink"/>
          </w:rPr>
          <w:t xml:space="preserve">http://www.nime.org/proceedings/2007/nime2007_409.pdf</w:t>
        </w:r>
      </w:hyperlink>
    </w:p>
    <w:bookmarkEnd w:id="564"/>
    <w:bookmarkStart w:id="565"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65"/>
    <w:bookmarkStart w:id="566" w:name="ref-Nan07:Lis"/>
    <w:p>
      <w:pPr>
        <w:pStyle w:val="Bibliography"/>
      </w:pPr>
      <w:r>
        <w:t xml:space="preserve">Nancy J-L. 2007.</w:t>
      </w:r>
      <w:r>
        <w:t xml:space="preserve"> </w:t>
      </w:r>
      <w:r>
        <w:rPr>
          <w:i/>
        </w:rPr>
        <w:t xml:space="preserve">Listening</w:t>
      </w:r>
      <w:r>
        <w:t xml:space="preserve">. Fordham University Place. ed.</w:t>
      </w:r>
    </w:p>
    <w:bookmarkEnd w:id="566"/>
    <w:bookmarkStart w:id="567"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67"/>
    <w:bookmarkStart w:id="569"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68">
        <w:r>
          <w:rPr>
            <w:rStyle w:val="Hyperlink"/>
          </w:rPr>
          <w:t xml:space="preserve">http://www.nime.org/proceedings/2007/nime2007_112.pdf</w:t>
        </w:r>
      </w:hyperlink>
    </w:p>
    <w:bookmarkEnd w:id="569"/>
    <w:bookmarkStart w:id="570"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70"/>
    <w:bookmarkStart w:id="571"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71"/>
    <w:bookmarkStart w:id="572"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72"/>
    <w:bookmarkStart w:id="573"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73"/>
    <w:bookmarkStart w:id="574"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74"/>
    <w:bookmarkStart w:id="575"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75"/>
    <w:bookmarkStart w:id="576"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76"/>
    <w:bookmarkStart w:id="577"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77"/>
    <w:bookmarkStart w:id="578"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78"/>
    <w:bookmarkStart w:id="579"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79"/>
    <w:bookmarkStart w:id="580"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80"/>
    <w:bookmarkStart w:id="581"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81"/>
    <w:bookmarkStart w:id="582"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82"/>
    <w:bookmarkStart w:id="583"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83"/>
    <w:bookmarkStart w:id="585"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84">
        <w:r>
          <w:rPr>
            <w:rStyle w:val="Hyperlink"/>
          </w:rPr>
          <w:t xml:space="preserve">http://www.terasoft.com.tw/conf/ismir2014/proceedings/T064_307_Paper.pdf</w:t>
        </w:r>
      </w:hyperlink>
    </w:p>
    <w:bookmarkEnd w:id="585"/>
    <w:bookmarkStart w:id="586"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86"/>
    <w:bookmarkStart w:id="587" w:name="ref-Pos11:Int"/>
    <w:p>
      <w:pPr>
        <w:pStyle w:val="Bibliography"/>
      </w:pPr>
      <w:r>
        <w:t xml:space="preserve">Poster M. 2011. Introduction.</w:t>
      </w:r>
      <w:r>
        <w:t xml:space="preserve"> </w:t>
      </w:r>
      <w:r>
        <w:rPr>
          <w:i/>
        </w:rPr>
        <w:t xml:space="preserve">Into the Universe of Technical Images</w:t>
      </w:r>
    </w:p>
    <w:bookmarkEnd w:id="587"/>
    <w:bookmarkStart w:id="589"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88">
        <w:r>
          <w:rPr>
            <w:rStyle w:val="Hyperlink"/>
          </w:rPr>
          <w:t xml:space="preserve">http://www.nime.org/proceedings/2008/nime2008_311.pdf</w:t>
        </w:r>
      </w:hyperlink>
    </w:p>
    <w:bookmarkEnd w:id="589"/>
    <w:bookmarkStart w:id="590"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90"/>
    <w:bookmarkStart w:id="591"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91"/>
    <w:bookmarkStart w:id="592" w:name="ref-Puc91:Som"/>
    <w:p>
      <w:pPr>
        <w:pStyle w:val="Bibliography"/>
      </w:pPr>
      <w:r>
        <w:t xml:space="preserve">Puckette M. 1991. Something digital.</w:t>
      </w:r>
      <w:r>
        <w:t xml:space="preserve"> </w:t>
      </w:r>
      <w:r>
        <w:rPr>
          <w:i/>
        </w:rPr>
        <w:t xml:space="preserve">Computer Music Journal</w:t>
      </w:r>
      <w:r>
        <w:t xml:space="preserve">. 15(4):65–69</w:t>
      </w:r>
    </w:p>
    <w:bookmarkEnd w:id="592"/>
    <w:bookmarkStart w:id="593"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93"/>
    <w:bookmarkStart w:id="594"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94"/>
    <w:bookmarkStart w:id="595"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95"/>
    <w:bookmarkStart w:id="596"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96"/>
    <w:bookmarkStart w:id="597"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97"/>
    <w:bookmarkStart w:id="598"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98"/>
    <w:bookmarkStart w:id="599" w:name="ref-Roa04:Mic"/>
    <w:p>
      <w:pPr>
        <w:pStyle w:val="Bibliography"/>
      </w:pPr>
      <w:r>
        <w:t xml:space="preserve">Roads C. 2001.</w:t>
      </w:r>
      <w:r>
        <w:t xml:space="preserve"> </w:t>
      </w:r>
      <w:r>
        <w:rPr>
          <w:i/>
        </w:rPr>
        <w:t xml:space="preserve">Microsound</w:t>
      </w:r>
      <w:r>
        <w:t xml:space="preserve">. MIT Press. ed.</w:t>
      </w:r>
    </w:p>
    <w:bookmarkEnd w:id="599"/>
    <w:bookmarkStart w:id="600" w:name="ref-Roa80:Int"/>
    <w:p>
      <w:pPr>
        <w:pStyle w:val="Bibliography"/>
      </w:pPr>
      <w:r>
        <w:t xml:space="preserve">Roads C, Mathews M. 1980. Interview with max mathews.</w:t>
      </w:r>
      <w:r>
        <w:t xml:space="preserve"> </w:t>
      </w:r>
      <w:r>
        <w:rPr>
          <w:i/>
        </w:rPr>
        <w:t xml:space="preserve">Computer Music Journal</w:t>
      </w:r>
      <w:r>
        <w:t xml:space="preserve">. 4(4):15–22</w:t>
      </w:r>
    </w:p>
    <w:bookmarkEnd w:id="600"/>
    <w:bookmarkStart w:id="601"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601"/>
    <w:bookmarkStart w:id="602"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602"/>
    <w:bookmarkStart w:id="603"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03"/>
    <w:bookmarkStart w:id="604"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04"/>
    <w:bookmarkStart w:id="605"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05"/>
    <w:bookmarkStart w:id="606"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06"/>
    <w:bookmarkStart w:id="607"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07"/>
    <w:bookmarkStart w:id="608"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08"/>
    <w:bookmarkStart w:id="609"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09"/>
    <w:bookmarkStart w:id="610"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10"/>
    <w:bookmarkStart w:id="612"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11">
        <w:r>
          <w:rPr>
            <w:rStyle w:val="Hyperlink"/>
          </w:rPr>
          <w:t xml:space="preserve">http://ismir2005.ismir.net/proceedings/3123.pdf</w:t>
        </w:r>
      </w:hyperlink>
    </w:p>
    <w:bookmarkEnd w:id="612"/>
    <w:bookmarkStart w:id="613"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13"/>
    <w:bookmarkStart w:id="614"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14"/>
    <w:bookmarkStart w:id="615"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15"/>
    <w:bookmarkStart w:id="616"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16"/>
    <w:bookmarkStart w:id="617"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17"/>
    <w:bookmarkStart w:id="618"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18"/>
    <w:bookmarkStart w:id="619"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19"/>
    <w:bookmarkStart w:id="620"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20"/>
    <w:bookmarkStart w:id="621" w:name="ref-Sch06:Rea"/>
    <w:p>
      <w:pPr>
        <w:pStyle w:val="Bibliography"/>
      </w:pPr>
      <w:r>
        <w:t xml:space="preserve">Schwarz D. 2006b. Real-time corpus-based concatenative synthesis with catart., pp. 18–21</w:t>
      </w:r>
    </w:p>
    <w:bookmarkEnd w:id="621"/>
    <w:bookmarkStart w:id="622"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22"/>
    <w:bookmarkStart w:id="623"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23"/>
    <w:bookmarkStart w:id="624"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24"/>
    <w:bookmarkStart w:id="625" w:name="ref-scoremus"/>
    <w:p>
      <w:pPr>
        <w:pStyle w:val="Bibliography"/>
      </w:pPr>
      <w:r>
        <w:t xml:space="preserve">Selfridge-Field E. 1997. The score music publishing system.</w:t>
      </w:r>
      <w:r>
        <w:t xml:space="preserve"> </w:t>
      </w:r>
      <w:r>
        <w:rPr>
          <w:i/>
        </w:rPr>
        <w:t xml:space="preserve">SCORE</w:t>
      </w:r>
    </w:p>
    <w:bookmarkEnd w:id="625"/>
    <w:bookmarkStart w:id="626"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26"/>
    <w:bookmarkStart w:id="628"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27">
        <w:r>
          <w:rPr>
            <w:rStyle w:val="Hyperlink"/>
          </w:rPr>
          <w:t xml:space="preserve">https://hal.archives-ouvertes.fr/hal-01393959</w:t>
        </w:r>
      </w:hyperlink>
    </w:p>
    <w:bookmarkEnd w:id="628"/>
    <w:bookmarkStart w:id="629"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29"/>
    <w:bookmarkStart w:id="630"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30"/>
    <w:bookmarkStart w:id="631"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31"/>
    <w:bookmarkStart w:id="632" w:name="ref-10.2307/941442"/>
    <w:p>
      <w:pPr>
        <w:pStyle w:val="Bibliography"/>
      </w:pPr>
      <w:r>
        <w:t xml:space="preserve">Skinner R. 1990a. Music software.</w:t>
      </w:r>
      <w:r>
        <w:t xml:space="preserve"> </w:t>
      </w:r>
      <w:r>
        <w:rPr>
          <w:i/>
        </w:rPr>
        <w:t xml:space="preserve">Notes</w:t>
      </w:r>
      <w:r>
        <w:t xml:space="preserve">. 46(3):660–84</w:t>
      </w:r>
    </w:p>
    <w:bookmarkEnd w:id="632"/>
    <w:bookmarkStart w:id="633" w:name="ref-10.2307/940555"/>
    <w:p>
      <w:pPr>
        <w:pStyle w:val="Bibliography"/>
      </w:pPr>
      <w:r>
        <w:t xml:space="preserve">Skinner R. 1990b. Music software.</w:t>
      </w:r>
      <w:r>
        <w:t xml:space="preserve"> </w:t>
      </w:r>
      <w:r>
        <w:rPr>
          <w:i/>
        </w:rPr>
        <w:t xml:space="preserve">Notes</w:t>
      </w:r>
      <w:r>
        <w:t xml:space="preserve">. 47(1):91–101</w:t>
      </w:r>
    </w:p>
    <w:bookmarkEnd w:id="633"/>
    <w:bookmarkStart w:id="634"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34"/>
    <w:bookmarkStart w:id="635"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35"/>
    <w:bookmarkStart w:id="636"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36"/>
    <w:bookmarkStart w:id="637" w:name="ref-Ste12:MP3"/>
    <w:p>
      <w:pPr>
        <w:pStyle w:val="Bibliography"/>
      </w:pPr>
      <w:r>
        <w:t xml:space="preserve">Sterne J. 2012.</w:t>
      </w:r>
      <w:r>
        <w:t xml:space="preserve"> </w:t>
      </w:r>
      <w:r>
        <w:rPr>
          <w:i/>
        </w:rPr>
        <w:t xml:space="preserve">MP3: The Meaning of a Format</w:t>
      </w:r>
      <w:r>
        <w:t xml:space="preserve">. Duke University Press. ed.</w:t>
      </w:r>
    </w:p>
    <w:bookmarkEnd w:id="637"/>
    <w:bookmarkStart w:id="638"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38"/>
    <w:bookmarkStart w:id="639" w:name="ref-Stu04:Mat"/>
    <w:p>
      <w:pPr>
        <w:pStyle w:val="Bibliography"/>
      </w:pPr>
      <w:r>
        <w:t xml:space="preserve">Sturm B. 2004. MATConcat: An application for exploring concatenative sound synthesis using matlab</w:t>
      </w:r>
    </w:p>
    <w:bookmarkEnd w:id="639"/>
    <w:bookmarkStart w:id="640"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40"/>
    <w:bookmarkStart w:id="641" w:name="ref-Sze08:Lis"/>
    <w:p>
      <w:pPr>
        <w:pStyle w:val="Bibliography"/>
      </w:pPr>
      <w:r>
        <w:t xml:space="preserve">Szendy P. 2008.</w:t>
      </w:r>
      <w:r>
        <w:t xml:space="preserve"> </w:t>
      </w:r>
      <w:r>
        <w:rPr>
          <w:i/>
        </w:rPr>
        <w:t xml:space="preserve">Listen: A History of Our Ears</w:t>
      </w:r>
      <w:r>
        <w:t xml:space="preserve">. Fordham University. ed.</w:t>
      </w:r>
    </w:p>
    <w:bookmarkEnd w:id="641"/>
    <w:bookmarkStart w:id="642"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42"/>
    <w:bookmarkStart w:id="643" w:name="ref-Sch07:How"/>
    <w:p>
      <w:pPr>
        <w:pStyle w:val="Bibliography"/>
      </w:pPr>
      <w:r>
        <w:t xml:space="preserve">Thiebaut J-B, Bello J, Schwarz D. 2007. How musical are images? From sound representation to image sonification: An eco systemic approach</w:t>
      </w:r>
    </w:p>
    <w:bookmarkEnd w:id="643"/>
    <w:bookmarkStart w:id="644"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44"/>
    <w:bookmarkStart w:id="645"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45"/>
    <w:bookmarkStart w:id="646"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46"/>
    <w:bookmarkStart w:id="647"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47"/>
    <w:bookmarkStart w:id="648"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48"/>
    <w:bookmarkStart w:id="649"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49"/>
    <w:bookmarkStart w:id="650"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50"/>
    <w:bookmarkStart w:id="652"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51">
        <w:r>
          <w:rPr>
            <w:rStyle w:val="Hyperlink"/>
          </w:rPr>
          <w:t xml:space="preserve">https://quod.lib.umich.edu/i/icmc/bbp2372.2012.006</w:t>
        </w:r>
      </w:hyperlink>
    </w:p>
    <w:bookmarkEnd w:id="652"/>
    <w:bookmarkStart w:id="653" w:name="ref-Var04:The"/>
    <w:p>
      <w:pPr>
        <w:pStyle w:val="Bibliography"/>
      </w:pPr>
      <w:r>
        <w:t xml:space="preserve">Varese E. 2004. The liberation of sound.</w:t>
      </w:r>
      <w:r>
        <w:t xml:space="preserve"> </w:t>
      </w:r>
      <w:r>
        <w:rPr>
          <w:i/>
        </w:rPr>
        <w:t xml:space="preserve">Audio Culture: Readings in Modern Music</w:t>
      </w:r>
    </w:p>
    <w:bookmarkEnd w:id="653"/>
    <w:bookmarkStart w:id="654" w:name="ref-Ver84:The"/>
    <w:p>
      <w:pPr>
        <w:pStyle w:val="Bibliography"/>
      </w:pPr>
      <w:r>
        <w:t xml:space="preserve">Vercoe B. 1984. The synthetic performer in the context of live performance</w:t>
      </w:r>
    </w:p>
    <w:bookmarkEnd w:id="654"/>
    <w:bookmarkStart w:id="655" w:name="ref-Ves07:Dat"/>
    <w:p>
      <w:pPr>
        <w:pStyle w:val="Bibliography"/>
      </w:pPr>
      <w:r>
        <w:t xml:space="preserve">Vesna V. 2007a.</w:t>
      </w:r>
      <w:r>
        <w:t xml:space="preserve"> </w:t>
      </w:r>
      <w:r>
        <w:rPr>
          <w:i/>
        </w:rPr>
        <w:t xml:space="preserve">Database Aesthetics: Art in the Age of Information Overflow</w:t>
      </w:r>
      <w:r>
        <w:t xml:space="preserve">. University of Minnesotta Press. ed.</w:t>
      </w:r>
    </w:p>
    <w:bookmarkEnd w:id="655"/>
    <w:bookmarkStart w:id="656" w:name="ref-Ves07:See"/>
    <w:p>
      <w:pPr>
        <w:pStyle w:val="Bibliography"/>
      </w:pPr>
      <w:r>
        <w:t xml:space="preserve">Vesna V. 2007b. Seeing the world in a grain of sand: The database aesthetics of everything.</w:t>
      </w:r>
      <w:r>
        <w:t xml:space="preserve"> </w:t>
      </w:r>
      <w:r>
        <w:rPr>
          <w:i/>
        </w:rPr>
        <w:t xml:space="preserve">Database Aesthetics: Art in the Age of Information Overflow</w:t>
      </w:r>
    </w:p>
    <w:bookmarkEnd w:id="656"/>
    <w:bookmarkStart w:id="657"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57"/>
    <w:bookmarkStart w:id="659"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58">
        <w:r>
          <w:rPr>
            <w:rStyle w:val="Hyperlink"/>
          </w:rPr>
          <w:t xml:space="preserve">https://ismir2017.smcnus.org/wp-content/uploads/2017/10/180_Paper.pdf</w:t>
        </w:r>
      </w:hyperlink>
    </w:p>
    <w:bookmarkEnd w:id="659"/>
    <w:bookmarkStart w:id="660"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60"/>
    <w:bookmarkStart w:id="662"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61">
        <w:r>
          <w:rPr>
            <w:rStyle w:val="Hyperlink"/>
          </w:rPr>
          <w:t xml:space="preserve">http://ismir2002.ismir.net/proceedings/02-FP06-3.pdf</w:t>
        </w:r>
      </w:hyperlink>
    </w:p>
    <w:bookmarkEnd w:id="662"/>
    <w:bookmarkStart w:id="663"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63"/>
    <w:bookmarkStart w:id="664"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64"/>
    <w:bookmarkStart w:id="665"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65"/>
    <w:bookmarkStart w:id="666"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66"/>
    <w:bookmarkStart w:id="667"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67"/>
    <w:bookmarkStart w:id="668"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68"/>
    <w:bookmarkStart w:id="669"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69"/>
    <w:bookmarkStart w:id="670"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70"/>
    <w:bookmarkStart w:id="671"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71"/>
    <w:bookmarkStart w:id="672" w:name="ref-Wei07:Oce"/>
    <w:p>
      <w:pPr>
        <w:pStyle w:val="Bibliography"/>
      </w:pPr>
      <w:r>
        <w:t xml:space="preserve">Weinbren G. 2007. Ocean, database, recut.</w:t>
      </w:r>
      <w:r>
        <w:t xml:space="preserve"> </w:t>
      </w:r>
      <w:r>
        <w:rPr>
          <w:i/>
        </w:rPr>
        <w:t xml:space="preserve">Database Aesthetics: Art in the Age of Information Overflow</w:t>
      </w:r>
    </w:p>
    <w:bookmarkEnd w:id="672"/>
    <w:bookmarkStart w:id="673" w:name="ref-Wes08:How"/>
    <w:p>
      <w:pPr>
        <w:pStyle w:val="Bibliography"/>
      </w:pPr>
      <w:r>
        <w:t xml:space="preserve">Wessel I, Moulds ML. 2008. How many types of forgetting? Comments on connerton (2008).</w:t>
      </w:r>
      <w:r>
        <w:t xml:space="preserve"> </w:t>
      </w:r>
      <w:r>
        <w:rPr>
          <w:i/>
        </w:rPr>
        <w:t xml:space="preserve">Memory Studies</w:t>
      </w:r>
      <w:r>
        <w:t xml:space="preserve">. 1(3):</w:t>
      </w:r>
    </w:p>
    <w:bookmarkEnd w:id="673"/>
    <w:bookmarkStart w:id="674"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74"/>
    <w:bookmarkStart w:id="676"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75">
        <w:r>
          <w:rPr>
            <w:rStyle w:val="Hyperlink"/>
          </w:rPr>
          <w:t xml:space="preserve">http://ismir2018.ircam.fr/doc/pdfs/114_Paper.pdf</w:t>
        </w:r>
      </w:hyperlink>
    </w:p>
    <w:bookmarkEnd w:id="676"/>
    <w:bookmarkStart w:id="677"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77"/>
    <w:bookmarkStart w:id="679"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78">
        <w:r>
          <w:rPr>
            <w:rStyle w:val="Hyperlink"/>
          </w:rPr>
          <w:t xml:space="preserve">http://ismir2004.ismir.net/proceedings/p010-page-48-paper227.pdf</w:t>
        </w:r>
      </w:hyperlink>
    </w:p>
    <w:bookmarkEnd w:id="679"/>
    <w:bookmarkStart w:id="680"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80"/>
    <w:bookmarkStart w:id="681"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81"/>
    <w:bookmarkStart w:id="682"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82"/>
    <w:bookmarkStart w:id="684"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83">
        <w:r>
          <w:rPr>
            <w:rStyle w:val="Hyperlink"/>
          </w:rPr>
          <w:t xml:space="preserve">http://ismir2018.ircam.fr/doc/pdfs/188_Paper.pdf</w:t>
        </w:r>
      </w:hyperlink>
    </w:p>
    <w:bookmarkEnd w:id="684"/>
    <w:bookmarkStart w:id="685"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85"/>
    <w:bookmarkStart w:id="686"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86"/>
    <w:bookmarkStart w:id="687"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87"/>
    <w:bookmarkStart w:id="688"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88"/>
    <w:bookmarkStart w:id="689"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89"/>
    <w:bookmarkStart w:id="690"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90"/>
    <w:bookmarkStart w:id="692"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91">
        <w:r>
          <w:rPr>
            <w:rStyle w:val="Hyperlink"/>
          </w:rPr>
          <w:t xml:space="preserve">http://www.nime.org/proceedings/2007/nime2007_352.pdf</w:t>
        </w:r>
      </w:hyperlink>
    </w:p>
    <w:bookmarkEnd w:id="692"/>
    <w:bookmarkStart w:id="693"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93"/>
    <w:bookmarkStart w:id="694" w:name="ref-Zmo15:Liv"/>
    <w:p>
      <w:pPr>
        <w:pStyle w:val="Bibliography"/>
      </w:pPr>
      <w:r>
        <w:t xml:space="preserve">zmölnig I m, Eckel G. 2015.</w:t>
      </w:r>
      <w:r>
        <w:t xml:space="preserve"> </w:t>
      </w:r>
      <w:r>
        <w:rPr>
          <w:i/>
        </w:rPr>
        <w:t xml:space="preserve">LIVE coding: AN overview</w:t>
      </w:r>
      <w:r>
        <w:t xml:space="preserve">. Work. Pap.</w:t>
      </w:r>
    </w:p>
    <w:bookmarkEnd w:id="694"/>
    <w:bookmarkEnd w:id="6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86">
    <w:p>
      <w:pPr>
        <w:pStyle w:val="FootnoteText"/>
      </w:pPr>
      <w:r>
        <w:rPr>
          <w:rStyle w:val="FootnoteReference"/>
        </w:rPr>
        <w:footnoteRef/>
      </w:r>
      <w:r>
        <w:t xml:space="preserve"> </w:t>
      </w:r>
      <w:r>
        <w:t xml:space="preserve">Miller Puckette suggested this during an open discussion at</w:t>
      </w:r>
    </w:p>
  </w:footnote>
  <w:footnote w:id="93">
    <w:p>
      <w:pPr>
        <w:pStyle w:val="FootnoteText"/>
      </w:pPr>
      <w:r>
        <w:rPr>
          <w:rStyle w:val="FootnoteReference"/>
        </w:rPr>
        <w:footnoteRef/>
      </w:r>
      <w:r>
        <w:t xml:space="preserve"> </w:t>
      </w:r>
      <w:hyperlink r:id="rId94">
        <w:r>
          <w:rPr>
            <w:rStyle w:val="Hyperlink"/>
          </w:rPr>
          <w:t xml:space="preserve">http://kern.ccarh.org/</w:t>
        </w:r>
      </w:hyperlink>
    </w:p>
  </w:footnote>
  <w:footnote w:id="9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9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1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See</w:t>
      </w:r>
      <w:r>
        <w:t xml:space="preserve"> </w:t>
      </w:r>
      <w:hyperlink r:id="rId117">
        <w:r>
          <w:rPr>
            <w:rStyle w:val="Hyperlink"/>
          </w:rPr>
          <w:t xml:space="preserve">https://developer.apple.com/documentation/metal</w:t>
        </w:r>
      </w:hyperlink>
    </w:p>
  </w:footnote>
  <w:footnote w:id="118">
    <w:p>
      <w:pPr>
        <w:pStyle w:val="FootnoteText"/>
      </w:pPr>
      <w:r>
        <w:rPr>
          <w:rStyle w:val="FootnoteReference"/>
        </w:rPr>
        <w:footnoteRef/>
      </w:r>
      <w:r>
        <w:t xml:space="preserve"> </w:t>
      </w:r>
      <w:hyperlink r:id="rId119">
        <w:r>
          <w:rPr>
            <w:rStyle w:val="Hyperlink"/>
          </w:rPr>
          <w:t xml:space="preserve">https://vimeo.com/167646306</w:t>
        </w:r>
      </w:hyperlink>
    </w:p>
  </w:footnote>
  <w:footnote w:id="13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and he is now a major figure in the Microsoft Research department.</w:t>
      </w:r>
    </w:p>
  </w:footnote>
  <w:footnote w:id="146">
    <w:p>
      <w:pPr>
        <w:pStyle w:val="FootnoteText"/>
      </w:pPr>
      <w:r>
        <w:rPr>
          <w:rStyle w:val="FootnoteReference"/>
        </w:rPr>
        <w:footnoteRef/>
      </w:r>
      <w:r>
        <w:t xml:space="preserve"> </w:t>
      </w:r>
      <w:r>
        <w:t xml:space="preserve">“</w:t>
      </w:r>
      <w:r>
        <w:t xml:space="preserve">The scheduler always sends the first message in the lowest-latency nonempty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48">
    <w:p>
      <w:pPr>
        <w:pStyle w:val="FootnoteText"/>
      </w:pPr>
      <w:r>
        <w:rPr>
          <w:rStyle w:val="FootnoteReference"/>
        </w:rPr>
        <w:footnoteRef/>
      </w:r>
      <w:r>
        <w:t xml:space="preserve"> </w:t>
      </w:r>
      <w:hyperlink r:id="rId149">
        <w:r>
          <w:rPr>
            <w:rStyle w:val="Hyperlink"/>
          </w:rPr>
          <w:t xml:space="preserve">https://kyma.symbolicsound.com/</w:t>
        </w:r>
      </w:hyperlink>
    </w:p>
  </w:footnote>
  <w:footnote w:id="152">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’s user-defined features for graphical representations.</w:t>
      </w:r>
    </w:p>
  </w:footnote>
  <w:footnote w:id="159">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64">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65">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73">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83">
    <w:p>
      <w:pPr>
        <w:pStyle w:val="FootnoteText"/>
      </w:pPr>
      <w:r>
        <w:rPr>
          <w:rStyle w:val="FootnoteReference"/>
        </w:rPr>
        <w:footnoteRef/>
      </w:r>
      <w:r>
        <w:t xml:space="preserve"> </w:t>
      </w:r>
      <w:hyperlink r:id="rId184">
        <w:r>
          <w:rPr>
            <w:rStyle w:val="Hyperlink"/>
          </w:rPr>
          <w:t xml:space="preserve">https://www.youtube.com/watch?v=fAxHlLK3Oyk</w:t>
        </w:r>
      </w:hyperlink>
    </w:p>
  </w:footnote>
  <w:footnote w:id="208">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12">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213">
    <w:p>
      <w:pPr>
        <w:pStyle w:val="FootnoteText"/>
      </w:pPr>
      <w:r>
        <w:rPr>
          <w:rStyle w:val="FootnoteReference"/>
        </w:rPr>
        <w:footnoteRef/>
      </w:r>
      <w:r>
        <w:t xml:space="preserve"> </w:t>
      </w:r>
      <w:r>
        <w:t xml:space="preserve">Within this fictional universe, the only way for him to sleep was to imagine the opaqueness of an unknowable future…</w:t>
      </w:r>
    </w:p>
  </w:footnote>
  <w:footnote w:id="214">
    <w:p>
      <w:pPr>
        <w:pStyle w:val="FootnoteText"/>
      </w:pPr>
      <w:r>
        <w:rPr>
          <w:rStyle w:val="FootnoteReference"/>
        </w:rPr>
        <w:footnoteRef/>
      </w:r>
      <w:r>
        <w:t xml:space="preserve"> </w:t>
      </w:r>
      <w:r>
        <w:t xml:space="preserve">In fact, the demand when it comes to computers is less its ability to erase —or even compress data— than storage space, a hardware-dependent commodity that has circulated ever since Von Neumann’s architecture came into the picture (See</w:t>
      </w:r>
      <w:r>
        <w:t xml:space="preserve"> </w:t>
      </w:r>
      <w:hyperlink w:anchor="programming">
        <w:r>
          <w:rPr>
            <w:rStyle w:val="Hyperlink"/>
          </w:rPr>
          <w:t xml:space="preserve">4.2.2</w:t>
        </w:r>
      </w:hyperlink>
      <w:r>
        <w:t xml:space="preserve">).</w:t>
      </w:r>
    </w:p>
  </w:footnote>
  <w:footnote w:id="215">
    <w:p>
      <w:pPr>
        <w:pStyle w:val="FootnoteText"/>
      </w:pPr>
      <w:r>
        <w:rPr>
          <w:rStyle w:val="FootnoteReference"/>
        </w:rPr>
        <w:footnoteRef/>
      </w:r>
      <w:r>
        <w:t xml:space="preserve"> </w:t>
      </w:r>
      <w:r>
        <w:t xml:space="preserve">For example, one of Irineo’s concerns was to reduce the amount of memories on a single day, which he downsized to about seventy thousand…</w:t>
      </w:r>
    </w:p>
  </w:footnote>
  <w:footnote w:id="216">
    <w:p>
      <w:pPr>
        <w:pStyle w:val="FootnoteText"/>
      </w:pPr>
      <w:r>
        <w:rPr>
          <w:rStyle w:val="FootnoteReference"/>
        </w:rPr>
        <w:footnoteRef/>
      </w:r>
      <w:r>
        <w:t xml:space="preserve"> </w:t>
      </w:r>
      <w:r>
        <w:t xml:space="preserve">This acousmatic quality of Funes’ voice will not be touched here, but it is indeed a good point of departure for an essay.</w:t>
      </w:r>
    </w:p>
  </w:footnote>
  <w:footnote w:id="217">
    <w:p>
      <w:pPr>
        <w:pStyle w:val="FootnoteText"/>
      </w:pPr>
      <w:r>
        <w:rPr>
          <w:rStyle w:val="FootnoteReference"/>
        </w:rPr>
        <w:footnoteRef/>
      </w:r>
      <w:r>
        <w:t xml:space="preserve"> </w:t>
      </w:r>
      <w:hyperlink r:id="rId218">
        <w:r>
          <w:rPr>
            <w:rStyle w:val="Hyperlink"/>
          </w:rPr>
          <w:t xml:space="preserve">https://en.wikipedia.org/wiki/Leo_Beranek</w:t>
        </w:r>
      </w:hyperlink>
    </w:p>
  </w:footnote>
  <w:footnote w:id="220">
    <w:p>
      <w:pPr>
        <w:pStyle w:val="FootnoteText"/>
      </w:pPr>
      <w:r>
        <w:rPr>
          <w:rStyle w:val="FootnoteReference"/>
        </w:rPr>
        <w:footnoteRef/>
      </w:r>
      <w:r>
        <w:t xml:space="preserve"> </w:t>
      </w:r>
      <w:r>
        <w:t xml:space="preserve">Anthony Kerrigan translated this fragment as:</w:t>
      </w:r>
      <w:r>
        <w:t xml:space="preserve"> </w:t>
      </w:r>
      <w:r>
        <w:t xml:space="preserve">“</w:t>
      </w:r>
      <w:r>
        <w:t xml:space="preserve">The truth is that we all live by leaving behind; no doubt we all profoundly know that we are immortal and that sooner or later every man will do all things and know everything.</w:t>
      </w:r>
      <w:r>
        <w:t xml:space="preserve">”</w:t>
      </w:r>
      <w:r>
        <w:t xml:space="preserve"> </w:t>
      </w:r>
      <w:r>
        <w:t xml:space="preserve">In a more literal translation of the first sentence, it reads:</w:t>
      </w:r>
      <w:r>
        <w:t xml:space="preserve"> </w:t>
      </w:r>
      <w:r>
        <w:t xml:space="preserve">“</w:t>
      </w:r>
      <w:r>
        <w:t xml:space="preserve">What is certain is that we live deferring all that can be deferred.</w:t>
      </w:r>
      <w:r>
        <w:t xml:space="preserve">”</w:t>
      </w:r>
    </w:p>
  </w:footnote>
  <w:footnote w:id="236">
    <w:p>
      <w:pPr>
        <w:pStyle w:val="FootnoteText"/>
      </w:pPr>
      <w:r>
        <w:rPr>
          <w:rStyle w:val="FootnoteReference"/>
        </w:rPr>
        <w:footnoteRef/>
      </w:r>
      <w:r>
        <w:t xml:space="preserve"> </w:t>
      </w:r>
      <w:hyperlink r:id="rId237">
        <w:r>
          <w:rPr>
            <w:rStyle w:val="Hyperlink"/>
          </w:rPr>
          <w:t xml:space="preserve">https://en.cppreference.com/w/cpp/language/destructor</w:t>
        </w:r>
      </w:hyperlink>
    </w:p>
  </w:footnote>
  <w:footnote w:id="243">
    <w:p>
      <w:pPr>
        <w:pStyle w:val="FootnoteText"/>
      </w:pPr>
      <w:r>
        <w:rPr>
          <w:rStyle w:val="FootnoteReference"/>
        </w:rPr>
        <w:footnoteRef/>
      </w:r>
      <w:r>
        <w:t xml:space="preserve"> </w:t>
      </w:r>
      <w:hyperlink r:id="rId244">
        <w:r>
          <w:rPr>
            <w:rStyle w:val="Hyperlink"/>
          </w:rPr>
          <w:t xml:space="preserve">https://mpc.chs.harvard.edu/</w:t>
        </w:r>
      </w:hyperlink>
    </w:p>
  </w:footnote>
  <w:footnote w:id="245">
    <w:p>
      <w:pPr>
        <w:pStyle w:val="FootnoteText"/>
      </w:pPr>
      <w:r>
        <w:rPr>
          <w:rStyle w:val="FootnoteReference"/>
        </w:rPr>
        <w:footnoteRef/>
      </w:r>
      <w:r>
        <w:t xml:space="preserve"> </w:t>
      </w:r>
      <w:r>
        <w:t xml:space="preserve">Another example Ernst provides of the anarchive is the Internet itself:</w:t>
      </w:r>
      <w:r>
        <w:t xml:space="preserve"> </w:t>
      </w:r>
      <w:r>
        <w:t xml:space="preserve">“</w:t>
      </w:r>
      <w:r>
        <w:t xml:space="preserve"> </w:t>
      </w:r>
      <w:r>
        <w:t xml:space="preserve">[The Internet] is a collection not just of unforeseen texts but of sound and images as well, an anarchive of sensory data for which no genuine archival culture has been developed so far in the occident</w:t>
      </w:r>
      <w:r>
        <w:t xml:space="preserve">”</w:t>
      </w:r>
      <w:r>
        <w:t xml:space="preserve"> </w:t>
      </w:r>
      <w:r>
        <w:t xml:space="preserve">(Ernst 2013, p. 139)</w:t>
      </w:r>
      <w:r>
        <w:t xml:space="preserve">.</w:t>
      </w:r>
    </w:p>
  </w:footnote>
  <w:footnote w:id="265">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76">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79">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80">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93">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298">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99">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300">
        <w:r>
          <w:rPr>
            <w:rStyle w:val="Hyperlink"/>
          </w:rPr>
          <w:t xml:space="preserve">https://en.wikipedia.org/wiki/Dr._Strangelove</w:t>
        </w:r>
      </w:hyperlink>
    </w:p>
  </w:footnote>
  <w:footnote w:id="301">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302">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304">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305">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308">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16">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22">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26">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6" Target="media/rId126.png" /><Relationship Type="http://schemas.openxmlformats.org/officeDocument/2006/relationships/image" Id="rId20" Target="media/rId20.png" /><Relationship Type="http://schemas.openxmlformats.org/officeDocument/2006/relationships/image" Id="rId206" Target="media/rId206.png" /><Relationship Type="http://schemas.openxmlformats.org/officeDocument/2006/relationships/image" Id="rId68" Target="media/rId68.png" /><Relationship Type="http://schemas.openxmlformats.org/officeDocument/2006/relationships/image" Id="rId178" Target="media/rId178.png" /><Relationship Type="http://schemas.openxmlformats.org/officeDocument/2006/relationships/image" Id="rId268" Target="media/rId268.png" /><Relationship Type="http://schemas.openxmlformats.org/officeDocument/2006/relationships/image" Id="rId91" Target="media/rId91.png" /><Relationship Type="http://schemas.openxmlformats.org/officeDocument/2006/relationships/image" Id="rId88" Target="media/rId88.png" /><Relationship Type="http://schemas.openxmlformats.org/officeDocument/2006/relationships/image" Id="rId71" Target="media/rId71.png" /><Relationship Type="http://schemas.openxmlformats.org/officeDocument/2006/relationships/image" Id="rId80" Target="media/rId80.png" /><Relationship Type="http://schemas.openxmlformats.org/officeDocument/2006/relationships/image" Id="rId32" Target="media/rId32.png" /><Relationship Type="http://schemas.openxmlformats.org/officeDocument/2006/relationships/image" Id="rId143" Target="media/rId143.png" /><Relationship Type="http://schemas.openxmlformats.org/officeDocument/2006/relationships/image" Id="rId75" Target="media/rId75.png" /><Relationship Type="http://schemas.openxmlformats.org/officeDocument/2006/relationships/image" Id="rId83" Target="media/rId83.png" /><Relationship Type="http://schemas.openxmlformats.org/officeDocument/2006/relationships/image" Id="rId97" Target="media/rId97.png" /><Relationship Type="http://schemas.openxmlformats.org/officeDocument/2006/relationships/image" Id="rId136" Target="media/rId136.png" /><Relationship Type="http://schemas.openxmlformats.org/officeDocument/2006/relationships/image" Id="rId203" Target="media/rId203.png" /><Relationship Type="http://schemas.openxmlformats.org/officeDocument/2006/relationships/image" Id="rId200" Target="media/rId200.png" /><Relationship Type="http://schemas.openxmlformats.org/officeDocument/2006/relationships/hyperlink" Id="rId455" Target="http://ismir2000.ismir.net/papers/invites/dunn_invite.pdf" TargetMode="External" /><Relationship Type="http://schemas.openxmlformats.org/officeDocument/2006/relationships/hyperlink" Id="rId478" Target="http://ismir2000.ismir.net/posters/good.pdf" TargetMode="External" /><Relationship Type="http://schemas.openxmlformats.org/officeDocument/2006/relationships/hyperlink" Id="rId661" Target="http://ismir2002.ismir.net/proceedings/02-FP06-3.pdf" TargetMode="External" /><Relationship Type="http://schemas.openxmlformats.org/officeDocument/2006/relationships/hyperlink" Id="rId480" Target="http://ismir2002.ismir.net/proceedings/03-SP04-1.pdf" TargetMode="External" /><Relationship Type="http://schemas.openxmlformats.org/officeDocument/2006/relationships/hyperlink" Id="rId482" Target="http://ismir2003.ismir.net/papers/Goto1.PDF" TargetMode="External" /><Relationship Type="http://schemas.openxmlformats.org/officeDocument/2006/relationships/hyperlink" Id="rId678" Target="http://ismir2004.ismir.net/proceedings/p010-page-48-paper227.pdf" TargetMode="External" /><Relationship Type="http://schemas.openxmlformats.org/officeDocument/2006/relationships/hyperlink" Id="rId504" Target="http://ismir2005.ismir.net/proceedings/2117.pdf" TargetMode="External" /><Relationship Type="http://schemas.openxmlformats.org/officeDocument/2006/relationships/hyperlink" Id="rId611" Target="http://ismir2005.ismir.net/proceedings/3123.pdf" TargetMode="External" /><Relationship Type="http://schemas.openxmlformats.org/officeDocument/2006/relationships/hyperlink" Id="rId513" Target="http://ismir2008.ismir.net/papers/ISMIR2008_106.pdf" TargetMode="External" /><Relationship Type="http://schemas.openxmlformats.org/officeDocument/2006/relationships/hyperlink" Id="rId546" Target="http://ismir2008.ismir.net/papers/ISMIR2008_158.pdf" TargetMode="External" /><Relationship Type="http://schemas.openxmlformats.org/officeDocument/2006/relationships/hyperlink" Id="rId491" Target="http://ismir2008.ismir.net/papers/ISMIR2008_173.pdf" TargetMode="External" /><Relationship Type="http://schemas.openxmlformats.org/officeDocument/2006/relationships/hyperlink" Id="rId524" Target="http://ismir2015.uma.es/articles/246_Paper.pdf" TargetMode="External" /><Relationship Type="http://schemas.openxmlformats.org/officeDocument/2006/relationships/hyperlink" Id="rId444" Target="http://ismir2015.uma.es/articles/261_Paper.pdf" TargetMode="External" /><Relationship Type="http://schemas.openxmlformats.org/officeDocument/2006/relationships/hyperlink" Id="rId675" Target="http://ismir2018.ircam.fr/doc/pdfs/114_Paper.pdf" TargetMode="External" /><Relationship Type="http://schemas.openxmlformats.org/officeDocument/2006/relationships/hyperlink" Id="rId683" Target="http://ismir2018.ircam.fr/doc/pdfs/188_Paper.pdf" TargetMode="External" /><Relationship Type="http://schemas.openxmlformats.org/officeDocument/2006/relationships/hyperlink" Id="rId461" Target="http://ismir2018.ircam.fr/doc/pdfs/206_Paper.pdf" TargetMode="External" /><Relationship Type="http://schemas.openxmlformats.org/officeDocument/2006/relationships/hyperlink" Id="rId507" Target="http://ismir2018.ircam.fr/doc/pdfs/248_Paper.pdf" TargetMode="External" /><Relationship Type="http://schemas.openxmlformats.org/officeDocument/2006/relationships/hyperlink" Id="rId452" Target="http://ismir2018.ircam.fr/doc/pdfs/265_Paper.pdf" TargetMode="External" /><Relationship Type="http://schemas.openxmlformats.org/officeDocument/2006/relationships/hyperlink" Id="rId553"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68" Target="http://www.nime.org/proceedings/2007/nime2007_112.pdf" TargetMode="External" /><Relationship Type="http://schemas.openxmlformats.org/officeDocument/2006/relationships/hyperlink" Id="rId691" Target="http://www.nime.org/proceedings/2007/nime2007_352.pdf" TargetMode="External" /><Relationship Type="http://schemas.openxmlformats.org/officeDocument/2006/relationships/hyperlink" Id="rId563" Target="http://www.nime.org/proceedings/2007/nime2007_409.pdf" TargetMode="External" /><Relationship Type="http://schemas.openxmlformats.org/officeDocument/2006/relationships/hyperlink" Id="rId539" Target="http://www.nime.org/proceedings/2008/nime2008_221.pdf" TargetMode="External" /><Relationship Type="http://schemas.openxmlformats.org/officeDocument/2006/relationships/hyperlink" Id="rId588" Target="http://www.nime.org/proceedings/2008/nime2008_311.pdf" TargetMode="External" /><Relationship Type="http://schemas.openxmlformats.org/officeDocument/2006/relationships/hyperlink" Id="rId390" Target="http://www.nime.org/proceedings/2009/nime2009_266.pdf" TargetMode="External" /><Relationship Type="http://schemas.openxmlformats.org/officeDocument/2006/relationships/hyperlink" Id="rId502" Target="http://www.nime.org/proceedings/2010/nime2010_233.pdf" TargetMode="External" /><Relationship Type="http://schemas.openxmlformats.org/officeDocument/2006/relationships/hyperlink" Id="rId475" Target="http://www.nime.org/proceedings/2011/nime2011_124.pdf" TargetMode="External" /><Relationship Type="http://schemas.openxmlformats.org/officeDocument/2006/relationships/hyperlink" Id="rId401" Target="http://www.nime.org/proceedings/2011/nime2011_329.pdf" TargetMode="External" /><Relationship Type="http://schemas.openxmlformats.org/officeDocument/2006/relationships/hyperlink" Id="rId388" Target="http://www.nime.org/proceedings/2011/nime2011_387.pdf" TargetMode="External" /><Relationship Type="http://schemas.openxmlformats.org/officeDocument/2006/relationships/hyperlink" Id="rId373" Target="http://www.ppgia.pucpr.br/ismir2013/wp-content/uploads/2013/09/177\_Paper.pdf" TargetMode="External" /><Relationship Type="http://schemas.openxmlformats.org/officeDocument/2006/relationships/hyperlink" Id="rId495" Target="http://www.ppgia.pucpr.br/ismir2013/wp-content/uploads/2013/09/85_Paper.pdf" TargetMode="External" /><Relationship Type="http://schemas.openxmlformats.org/officeDocument/2006/relationships/hyperlink" Id="rId353" Target="http://www.terasoft.com.tw/conf/ismir2014/proceedings/T014_162_Paper.pdf" TargetMode="External" /><Relationship Type="http://schemas.openxmlformats.org/officeDocument/2006/relationships/hyperlink" Id="rId370" Target="http://www.terasoft.com.tw/conf/ismir2014/proceedings/T028_322_Paper.pdf" TargetMode="External" /><Relationship Type="http://schemas.openxmlformats.org/officeDocument/2006/relationships/hyperlink" Id="rId519" Target="http://www.terasoft.com.tw/conf/ismir2014/proceedings/T039_344_Paper.pdf" TargetMode="External" /><Relationship Type="http://schemas.openxmlformats.org/officeDocument/2006/relationships/hyperlink" Id="rId486" Target="http://www.terasoft.com.tw/conf/ismir2014/proceedings/T059_257_Paper.pdf" TargetMode="External" /><Relationship Type="http://schemas.openxmlformats.org/officeDocument/2006/relationships/hyperlink" Id="rId584"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37" Target="https://en.cppreference.com/w/cpp/language/destructor" TargetMode="External" /><Relationship Type="http://schemas.openxmlformats.org/officeDocument/2006/relationships/hyperlink" Id="rId300" Target="https://en.wikipedia.org/wiki/Dr._Strangelove" TargetMode="External" /><Relationship Type="http://schemas.openxmlformats.org/officeDocument/2006/relationships/hyperlink" Id="rId218" Target="https://en.wikipedia.org/wiki/Leo_Beranek" TargetMode="External" /><Relationship Type="http://schemas.openxmlformats.org/officeDocument/2006/relationships/hyperlink" Id="rId345" Target="https://fdch.github.io/abby" TargetMode="External" /><Relationship Type="http://schemas.openxmlformats.org/officeDocument/2006/relationships/hyperlink" Id="rId346" Target="https://github.com/fdch/litrev" TargetMode="External" /><Relationship Type="http://schemas.openxmlformats.org/officeDocument/2006/relationships/hyperlink" Id="rId627" Target="https://hal.archives-ouvertes.fr/hal-01393959" TargetMode="External" /><Relationship Type="http://schemas.openxmlformats.org/officeDocument/2006/relationships/hyperlink" Id="rId467" Target="https://ismir2017.smcnus.org/wp-content/uploads/2017/10/161_Paper.pdf" TargetMode="External" /><Relationship Type="http://schemas.openxmlformats.org/officeDocument/2006/relationships/hyperlink" Id="rId658" Target="https://ismir2017.smcnus.org/wp-content/uploads/2017/10/180_Paper.pdf" TargetMode="External" /><Relationship Type="http://schemas.openxmlformats.org/officeDocument/2006/relationships/hyperlink" Id="rId431" Target="https://ismir2017.smcnus.org/wp-content/uploads/2017/10/235_Paper.pdf" TargetMode="External" /><Relationship Type="http://schemas.openxmlformats.org/officeDocument/2006/relationships/hyperlink" Id="rId436"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44" Target="https://mpc.chs.harvard.edu/" TargetMode="External" /><Relationship Type="http://schemas.openxmlformats.org/officeDocument/2006/relationships/hyperlink" Id="rId651"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33" Target="https://www.cs.unm.edu/~crowley/papers/sds.pdf" TargetMode="External" /><Relationship Type="http://schemas.openxmlformats.org/officeDocument/2006/relationships/hyperlink" Id="rId299" Target="https://www.mersenne.org/primes/" TargetMode="External" /><Relationship Type="http://schemas.openxmlformats.org/officeDocument/2006/relationships/hyperlink" Id="rId305" Target="https://www.youtube.com/channel/UCEzSaoPnxCJVzXxA9obuRWg/videos" TargetMode="External" /><Relationship Type="http://schemas.openxmlformats.org/officeDocument/2006/relationships/hyperlink" Id="rId18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55" Target="http://ismir2000.ismir.net/papers/invites/dunn_invite.pdf" TargetMode="External" /><Relationship Type="http://schemas.openxmlformats.org/officeDocument/2006/relationships/hyperlink" Id="rId478" Target="http://ismir2000.ismir.net/posters/good.pdf" TargetMode="External" /><Relationship Type="http://schemas.openxmlformats.org/officeDocument/2006/relationships/hyperlink" Id="rId661" Target="http://ismir2002.ismir.net/proceedings/02-FP06-3.pdf" TargetMode="External" /><Relationship Type="http://schemas.openxmlformats.org/officeDocument/2006/relationships/hyperlink" Id="rId480" Target="http://ismir2002.ismir.net/proceedings/03-SP04-1.pdf" TargetMode="External" /><Relationship Type="http://schemas.openxmlformats.org/officeDocument/2006/relationships/hyperlink" Id="rId482" Target="http://ismir2003.ismir.net/papers/Goto1.PDF" TargetMode="External" /><Relationship Type="http://schemas.openxmlformats.org/officeDocument/2006/relationships/hyperlink" Id="rId678" Target="http://ismir2004.ismir.net/proceedings/p010-page-48-paper227.pdf" TargetMode="External" /><Relationship Type="http://schemas.openxmlformats.org/officeDocument/2006/relationships/hyperlink" Id="rId504" Target="http://ismir2005.ismir.net/proceedings/2117.pdf" TargetMode="External" /><Relationship Type="http://schemas.openxmlformats.org/officeDocument/2006/relationships/hyperlink" Id="rId611" Target="http://ismir2005.ismir.net/proceedings/3123.pdf" TargetMode="External" /><Relationship Type="http://schemas.openxmlformats.org/officeDocument/2006/relationships/hyperlink" Id="rId513" Target="http://ismir2008.ismir.net/papers/ISMIR2008_106.pdf" TargetMode="External" /><Relationship Type="http://schemas.openxmlformats.org/officeDocument/2006/relationships/hyperlink" Id="rId546" Target="http://ismir2008.ismir.net/papers/ISMIR2008_158.pdf" TargetMode="External" /><Relationship Type="http://schemas.openxmlformats.org/officeDocument/2006/relationships/hyperlink" Id="rId491" Target="http://ismir2008.ismir.net/papers/ISMIR2008_173.pdf" TargetMode="External" /><Relationship Type="http://schemas.openxmlformats.org/officeDocument/2006/relationships/hyperlink" Id="rId524" Target="http://ismir2015.uma.es/articles/246_Paper.pdf" TargetMode="External" /><Relationship Type="http://schemas.openxmlformats.org/officeDocument/2006/relationships/hyperlink" Id="rId444" Target="http://ismir2015.uma.es/articles/261_Paper.pdf" TargetMode="External" /><Relationship Type="http://schemas.openxmlformats.org/officeDocument/2006/relationships/hyperlink" Id="rId675" Target="http://ismir2018.ircam.fr/doc/pdfs/114_Paper.pdf" TargetMode="External" /><Relationship Type="http://schemas.openxmlformats.org/officeDocument/2006/relationships/hyperlink" Id="rId683" Target="http://ismir2018.ircam.fr/doc/pdfs/188_Paper.pdf" TargetMode="External" /><Relationship Type="http://schemas.openxmlformats.org/officeDocument/2006/relationships/hyperlink" Id="rId461" Target="http://ismir2018.ircam.fr/doc/pdfs/206_Paper.pdf" TargetMode="External" /><Relationship Type="http://schemas.openxmlformats.org/officeDocument/2006/relationships/hyperlink" Id="rId507" Target="http://ismir2018.ircam.fr/doc/pdfs/248_Paper.pdf" TargetMode="External" /><Relationship Type="http://schemas.openxmlformats.org/officeDocument/2006/relationships/hyperlink" Id="rId452" Target="http://ismir2018.ircam.fr/doc/pdfs/265_Paper.pdf" TargetMode="External" /><Relationship Type="http://schemas.openxmlformats.org/officeDocument/2006/relationships/hyperlink" Id="rId553"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68" Target="http://www.nime.org/proceedings/2007/nime2007_112.pdf" TargetMode="External" /><Relationship Type="http://schemas.openxmlformats.org/officeDocument/2006/relationships/hyperlink" Id="rId691" Target="http://www.nime.org/proceedings/2007/nime2007_352.pdf" TargetMode="External" /><Relationship Type="http://schemas.openxmlformats.org/officeDocument/2006/relationships/hyperlink" Id="rId563" Target="http://www.nime.org/proceedings/2007/nime2007_409.pdf" TargetMode="External" /><Relationship Type="http://schemas.openxmlformats.org/officeDocument/2006/relationships/hyperlink" Id="rId539" Target="http://www.nime.org/proceedings/2008/nime2008_221.pdf" TargetMode="External" /><Relationship Type="http://schemas.openxmlformats.org/officeDocument/2006/relationships/hyperlink" Id="rId588" Target="http://www.nime.org/proceedings/2008/nime2008_311.pdf" TargetMode="External" /><Relationship Type="http://schemas.openxmlformats.org/officeDocument/2006/relationships/hyperlink" Id="rId390" Target="http://www.nime.org/proceedings/2009/nime2009_266.pdf" TargetMode="External" /><Relationship Type="http://schemas.openxmlformats.org/officeDocument/2006/relationships/hyperlink" Id="rId502" Target="http://www.nime.org/proceedings/2010/nime2010_233.pdf" TargetMode="External" /><Relationship Type="http://schemas.openxmlformats.org/officeDocument/2006/relationships/hyperlink" Id="rId475" Target="http://www.nime.org/proceedings/2011/nime2011_124.pdf" TargetMode="External" /><Relationship Type="http://schemas.openxmlformats.org/officeDocument/2006/relationships/hyperlink" Id="rId401" Target="http://www.nime.org/proceedings/2011/nime2011_329.pdf" TargetMode="External" /><Relationship Type="http://schemas.openxmlformats.org/officeDocument/2006/relationships/hyperlink" Id="rId388" Target="http://www.nime.org/proceedings/2011/nime2011_387.pdf" TargetMode="External" /><Relationship Type="http://schemas.openxmlformats.org/officeDocument/2006/relationships/hyperlink" Id="rId373" Target="http://www.ppgia.pucpr.br/ismir2013/wp-content/uploads/2013/09/177\_Paper.pdf" TargetMode="External" /><Relationship Type="http://schemas.openxmlformats.org/officeDocument/2006/relationships/hyperlink" Id="rId495" Target="http://www.ppgia.pucpr.br/ismir2013/wp-content/uploads/2013/09/85_Paper.pdf" TargetMode="External" /><Relationship Type="http://schemas.openxmlformats.org/officeDocument/2006/relationships/hyperlink" Id="rId353" Target="http://www.terasoft.com.tw/conf/ismir2014/proceedings/T014_162_Paper.pdf" TargetMode="External" /><Relationship Type="http://schemas.openxmlformats.org/officeDocument/2006/relationships/hyperlink" Id="rId370" Target="http://www.terasoft.com.tw/conf/ismir2014/proceedings/T028_322_Paper.pdf" TargetMode="External" /><Relationship Type="http://schemas.openxmlformats.org/officeDocument/2006/relationships/hyperlink" Id="rId519" Target="http://www.terasoft.com.tw/conf/ismir2014/proceedings/T039_344_Paper.pdf" TargetMode="External" /><Relationship Type="http://schemas.openxmlformats.org/officeDocument/2006/relationships/hyperlink" Id="rId486" Target="http://www.terasoft.com.tw/conf/ismir2014/proceedings/T059_257_Paper.pdf" TargetMode="External" /><Relationship Type="http://schemas.openxmlformats.org/officeDocument/2006/relationships/hyperlink" Id="rId584"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37" Target="https://en.cppreference.com/w/cpp/language/destructor" TargetMode="External" /><Relationship Type="http://schemas.openxmlformats.org/officeDocument/2006/relationships/hyperlink" Id="rId300" Target="https://en.wikipedia.org/wiki/Dr._Strangelove" TargetMode="External" /><Relationship Type="http://schemas.openxmlformats.org/officeDocument/2006/relationships/hyperlink" Id="rId218" Target="https://en.wikipedia.org/wiki/Leo_Beranek" TargetMode="External" /><Relationship Type="http://schemas.openxmlformats.org/officeDocument/2006/relationships/hyperlink" Id="rId345" Target="https://fdch.github.io/abby" TargetMode="External" /><Relationship Type="http://schemas.openxmlformats.org/officeDocument/2006/relationships/hyperlink" Id="rId346" Target="https://github.com/fdch/litrev" TargetMode="External" /><Relationship Type="http://schemas.openxmlformats.org/officeDocument/2006/relationships/hyperlink" Id="rId627" Target="https://hal.archives-ouvertes.fr/hal-01393959" TargetMode="External" /><Relationship Type="http://schemas.openxmlformats.org/officeDocument/2006/relationships/hyperlink" Id="rId467" Target="https://ismir2017.smcnus.org/wp-content/uploads/2017/10/161_Paper.pdf" TargetMode="External" /><Relationship Type="http://schemas.openxmlformats.org/officeDocument/2006/relationships/hyperlink" Id="rId658" Target="https://ismir2017.smcnus.org/wp-content/uploads/2017/10/180_Paper.pdf" TargetMode="External" /><Relationship Type="http://schemas.openxmlformats.org/officeDocument/2006/relationships/hyperlink" Id="rId431" Target="https://ismir2017.smcnus.org/wp-content/uploads/2017/10/235_Paper.pdf" TargetMode="External" /><Relationship Type="http://schemas.openxmlformats.org/officeDocument/2006/relationships/hyperlink" Id="rId436"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44" Target="https://mpc.chs.harvard.edu/" TargetMode="External" /><Relationship Type="http://schemas.openxmlformats.org/officeDocument/2006/relationships/hyperlink" Id="rId651"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33" Target="https://www.cs.unm.edu/~crowley/papers/sds.pdf" TargetMode="External" /><Relationship Type="http://schemas.openxmlformats.org/officeDocument/2006/relationships/hyperlink" Id="rId299" Target="https://www.mersenne.org/primes/" TargetMode="External" /><Relationship Type="http://schemas.openxmlformats.org/officeDocument/2006/relationships/hyperlink" Id="rId305" Target="https://www.youtube.com/channel/UCEzSaoPnxCJVzXxA9obuRWg/videos" TargetMode="External" /><Relationship Type="http://schemas.openxmlformats.org/officeDocument/2006/relationships/hyperlink" Id="rId18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2019-04-10T15:52:15Z</dcterms:created>
  <dcterms:modified xsi:type="dcterms:W3CDTF">2019-04-10T15:52:15Z</dcterms:modified>
</cp:coreProperties>
</file>

<file path=docProps/custom.xml><?xml version="1.0" encoding="utf-8"?>
<Properties xmlns="http://schemas.openxmlformats.org/officeDocument/2006/custom-properties" xmlns:vt="http://schemas.openxmlformats.org/officeDocument/2006/docPropsVTypes"/>
</file>