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3.png" ContentType="image/png"/>
  <Override PartName="/word/media/rId20.png" ContentType="image/png"/>
  <Override PartName="/word/media/rId213.png" ContentType="image/png"/>
  <Override PartName="/word/media/rId75.png" ContentType="image/png"/>
  <Override PartName="/word/media/rId185.png" ContentType="image/png"/>
  <Override PartName="/word/media/rId256.png" ContentType="image/png"/>
  <Override PartName="/word/media/rId48.png" ContentType="image/png"/>
  <Override PartName="/word/media/rId98.png" ContentType="image/png"/>
  <Override PartName="/word/media/rId95.png" ContentType="image/png"/>
  <Override PartName="/word/media/rId78.png" ContentType="image/png"/>
  <Override PartName="/word/media/rId87.png" ContentType="image/png"/>
  <Override PartName="/word/media/rId32.png" ContentType="image/png"/>
  <Override PartName="/word/media/rId150.png" ContentType="image/png"/>
  <Override PartName="/word/media/rId82.png" ContentType="image/png"/>
  <Override PartName="/word/media/rId90.png" ContentType="image/png"/>
  <Override PartName="/word/media/rId104.png" ContentType="image/png"/>
  <Override PartName="/word/media/rId143.png" ContentType="image/png"/>
  <Override PartName="/word/media/rId210.png" ContentType="image/png"/>
  <Override PartName="/word/media/rId20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©2018–2019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1"/>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1"/>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1"/>
      </w:pPr>
      <w:bookmarkStart w:id="23" w:name="preface"/>
      <w:r>
        <w:t xml:space="preserve">Preface</w:t>
      </w:r>
      <w:bookmarkEnd w:id="23"/>
    </w:p>
    <w:p>
      <w:pPr>
        <w:pStyle w:val="Heading5"/>
      </w:pPr>
      <w:bookmarkStart w:id="24" w:name="dataloquy-you-dont-need-to-write-this"/>
      <w:r>
        <w:t xml:space="preserve">Dataloquy (you don’t need to</w:t>
      </w:r>
      <w:r>
        <w:t xml:space="preserve"> </w:t>
      </w:r>
      <w:r>
        <w:rPr>
          <w:strike/>
        </w:rPr>
        <w:t xml:space="preserve">write</w:t>
      </w:r>
      <w:r>
        <w:t xml:space="preserve"> </w:t>
      </w:r>
      <w:r>
        <w:t xml:space="preserve">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 and ,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wearhouses, repositories, their mining, and their subsequent data clouds, clusters, spacing out into the (in)famous big data leap from bit to big.</w:t>
      </w:r>
    </w:p>
    <w:p>
      <w:pPr>
        <w:pStyle w:val="Heading1"/>
      </w:pPr>
      <w:bookmarkStart w:id="25" w:name="abstract"/>
      <w:r>
        <w:t xml:space="preserve">Abstract</w:t>
      </w:r>
      <w:bookmarkEnd w:id="25"/>
    </w:p>
    <w:p>
      <w:pPr>
        <w:pStyle w:val="FirstParagraph"/>
      </w:pPr>
      <w:r>
        <w:t xml:space="preserve">The aim of this dissertation is to understand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section, I trace a history of database practices from three points of view. The first is from new media theory, emphasizing certain aspects of embodied theory which relate to the intersection between the database and the body. The second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section, I discuss this agency under the broader concepts of sound, self, and community. These three axes are addressed in four sections, each with a different perspective. First I focus on listening, delineating Jean-Luc Nancy’s ontology of sound in order to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Finally, I revise the notion of music work, reflecting on the consequences of the anarchic and the inoperative in the community of database music.</w:t>
      </w:r>
    </w:p>
    <w:p>
      <w:pPr>
        <w:pStyle w:val="Heading1"/>
      </w:pPr>
      <w:bookmarkStart w:id="26" w:name="chapter:Introduction"/>
      <w:r>
        <w:t xml:space="preserve">Introduction</w:t>
      </w:r>
      <w:bookmarkEnd w:id="26"/>
    </w:p>
    <w:p>
      <w:pPr>
        <w:pStyle w:val="FirstParagraph"/>
      </w:pPr>
      <w:r>
        <w:t xml:space="preserve">This dissertation begins with a word (</w:t>
      </w:r>
      <w:r>
        <w:t xml:space="preserve">‘</w:t>
      </w:r>
      <w:r>
        <w:t xml:space="preserve">database</w:t>
      </w:r>
      <w:r>
        <w:t xml:space="preserve">’</w:t>
      </w:r>
      <w:r>
        <w:t xml:space="preserve">) and a proposition: Is there something we can call database music? This sudden jump from noun to adjective comes not without its audible retaliation, and I make no attempt to muffle it. The reader would perhaps forgive the clumsiness of my condition of composer in the midst of writting his dissertation, which made me jump to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t xml:space="preserve">“</w:t>
      </w:r>
      <w:r>
        <w:t xml:space="preserve">a history….</w:t>
      </w:r>
      <w:r>
        <w:t xml:space="preserve">”</w:t>
      </w:r>
      <w:r>
        <w:t xml:space="preserve"> </w:t>
      </w:r>
      <w:r>
        <w:t xml:space="preserve">However, it is the</w:t>
      </w:r>
      <w:r>
        <w:t xml:space="preserve"> </w:t>
      </w:r>
      <w:r>
        <w:t xml:space="preserve">‘</w:t>
      </w:r>
      <w:r>
        <w:t xml:space="preserve">a</w:t>
      </w:r>
      <w:r>
        <w:t xml:space="preserve">’</w:t>
      </w:r>
      <w:r>
        <w:t xml:space="preserve"> </w:t>
      </w:r>
      <w:r>
        <w:t xml:space="preserve">that would account for the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accross the two nodes that compose the focus of this text:</w:t>
      </w:r>
      <w:r>
        <w:t xml:space="preserve"> </w:t>
      </w:r>
      <w:r>
        <w:rPr>
          <w:i/>
        </w:rPr>
        <w:t xml:space="preserve">database and music</w:t>
      </w:r>
      <w:r>
        <w:t xml:space="preserve">. Both nodes have their historical, technical, and aesthetical idiosyncracies. The primary goal of this dissertation (if I dare to say that it has one) is thus to find where these intersect. The</w:t>
      </w:r>
      <w:r>
        <w:t xml:space="preserve"> </w:t>
      </w:r>
      <w:r>
        <w:rPr>
          <w:rStyle w:val="VerbatimChar"/>
        </w:rPr>
        <w:t xml:space="preserve">AND</w:t>
      </w:r>
      <w:r>
        <w:t xml:space="preserve"> </w:t>
      </w:r>
      <w:r>
        <w:t xml:space="preserve">of the query had indeed much less results than the</w:t>
      </w:r>
      <w:r>
        <w:t xml:space="preserve"> </w:t>
      </w:r>
      <w:r>
        <w:rPr>
          <w:rStyle w:val="VerbatimChar"/>
        </w:rPr>
        <w:t xml:space="preserve">OR</w:t>
      </w:r>
      <w:r>
        <w:t xml:space="preserve">, which meant my quest was already promising some reduction. For instance, I indeed decided that the search would only pertain to situations in which computers where involved.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w:t>
      </w:r>
    </w:p>
    <w:p>
      <w:pPr>
        <w:pStyle w:val="BodyText"/>
      </w:pPr>
      <w:r>
        <w:t xml:space="preserve">Upon this abysmal enterprise, I did as any musician would and started listening for the sound of databases. I realized that this is not just the sound of your computer reading its hard-drive: it is the sound made with its software. At this point, a network (and this is one of the key terms throughout this text) of sonic software had begun to appear. What this network pointed to, besides the key to open door number one, is a certain silence that much of the literature relating to databases in art continues to abide to: a sonic silence. This relates to the</w:t>
      </w:r>
      <w:r>
        <w:t xml:space="preserve"> </w:t>
      </w:r>
      <w:r>
        <w:t xml:space="preserve">“</w:t>
      </w:r>
      <w:r>
        <w:t xml:space="preserve">history, technology…</w:t>
      </w:r>
      <w:r>
        <w:t xml:space="preserve">”</w:t>
      </w:r>
      <w:r>
        <w:t xml:space="preserve"> </w:t>
      </w:r>
      <w:r>
        <w:t xml:space="preserve">part of the subtitle. In addressing this silence, I do not attempt to invalidate previous approaches</w:t>
      </w:r>
      <w:r>
        <w:t xml:space="preserve"> </w:t>
      </w:r>
      <w:r>
        <w:t xml:space="preserve">(Manovich 2001, Vesna 2007)</w:t>
      </w:r>
      <w:r>
        <w:t xml:space="preserve">. On the contrary, these texts have shed light of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That is to say, through these authors, I introduce notions of embodiment, virtuality, and framing coming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Sonification, and Computer Music. Each one of these disciplines has its own history and it is evidenced by the many conference proceedings and journals that I have (again) mined, as well as the various authors (most of them composers, and most of them programmers) that I refer to. In between these two, that is, in between my exploration of the database in new media theroy, and the its corresponding exploration witihin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refering mostly to these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I began listening to a certain sound of networks, a certain resonance. This door refers to the next part of the subtitle</w:t>
      </w:r>
      <w:r>
        <w:t xml:space="preserve"> </w:t>
      </w:r>
      <w:r>
        <w:t xml:space="preserve">“</w:t>
      </w:r>
      <w:r>
        <w:t xml:space="preserve">…aesthetics of the database…</w:t>
      </w:r>
      <w:r>
        <w:t xml:space="preserve">”</w:t>
      </w:r>
      <w:r>
        <w:t xml:space="preserve"> </w:t>
      </w:r>
      <w:r>
        <w:t xml:space="preserve">and opened up to the complex world of sound, flipping this text upside down:</w:t>
      </w:r>
      <w:r>
        <w:t xml:space="preserve"> </w:t>
      </w:r>
      <w:r>
        <w:rPr>
          <w:i/>
        </w:rPr>
        <w:t xml:space="preserve">music and database</w:t>
      </w:r>
      <w:r>
        <w:t xml:space="preserve">. (Bang!) The meaninglessness of this reversal, at least semantically or even in terms of a database query, became precisely the point. The sound of databases that I delineate through the first two doors now reached a point where it faces a difference. I enter first with</w:t>
      </w:r>
      <w:r>
        <w:t xml:space="preserve"> </w:t>
      </w:r>
      <w:r>
        <w:t xml:space="preserve">Nancy (2007)</w:t>
      </w:r>
      <w:r>
        <w:t xml:space="preserve">’s (</w:t>
      </w:r>
      <w:r>
        <w:t xml:space="preserve">(2007)</w:t>
      </w:r>
      <w:r>
        <w:t xml:space="preserve">) ontology of sound, with which I understand the networks of music software as resonant networks. With this move, the database sounds as a actor</w:t>
      </w:r>
      <w:r>
        <w:t xml:space="preserve"> </w:t>
      </w:r>
      <w:r>
        <w:t xml:space="preserve">(Latour 1990)</w:t>
      </w:r>
      <w:r>
        <w:t xml:space="preserve"> </w:t>
      </w:r>
      <w:r>
        <w:t xml:space="preserve">that reconfigures the way we think communities</w:t>
      </w:r>
      <w:r>
        <w:t xml:space="preserve"> </w:t>
      </w:r>
      <w:r>
        <w:t xml:space="preserve">(Nancy 1991)</w:t>
      </w:r>
      <w:r>
        <w:t xml:space="preserve">. The implicatoins of this association led me to distinguish databases, memory, and archives, and find within their connections a spectral form of authority</w:t>
      </w:r>
      <w:r>
        <w:t xml:space="preserve"> </w:t>
      </w:r>
      <w:r>
        <w:t xml:space="preserve">(Derrida 1978, Derrida &amp; Prenowitz 1995)</w:t>
      </w:r>
      <w:r>
        <w:t xml:space="preserve">. The final move extends towards the activity of the (human) body, and the relationship between database, gender, and performance</w:t>
      </w:r>
      <w:r>
        <w:t xml:space="preserve"> </w:t>
      </w:r>
      <w:r>
        <w:t xml:space="preserve">(Butler 1988)</w:t>
      </w:r>
      <w:r>
        <w:t xml:space="preserve">. These three nodes (resonance, spectrality, and performance) encompass an aesthetics of the database that I situate around sound.</w:t>
      </w:r>
    </w:p>
    <w:p>
      <w:pPr>
        <w:pStyle w:val="BodyText"/>
      </w:pPr>
      <w:r>
        <w:t xml:space="preserve">Up to this point, my argument might seem to have arrived to an end: I contextualize and define database practices (chapter 1); I develop a technical overview of the performativity of the database into what I call databasing (chapter 2); I review the existing literature with emphasis on sound practices (chapter 3); I conceptualize sound in terms of resonance, networks, and community (chapter 4); I delineate the differences between database, memory, and archive, in order to present the spectrality of databases (chapter 5); I develop databasing in terms of performance, gender, and style in relation to databases (chapter 6). However, there is yet one more leap that the more adventurous reader might take with the final chapter of this dissertation. In chapter 7, I bring the discussion of database and music and database and music…to the latter part of the subtitle</w:t>
      </w:r>
      <w:r>
        <w:t xml:space="preserve"> </w:t>
      </w:r>
      <w:r>
        <w:t xml:space="preserve">“</w:t>
      </w:r>
      <w:r>
        <w:t xml:space="preserve">in music composition.</w:t>
      </w:r>
      <w: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has it proper questions. It can be held as an attempt to incite, if anything, a provocation before the question.</w:t>
      </w:r>
    </w:p>
    <w:p>
      <w:pPr>
        <w:pStyle w:val="BodyText"/>
      </w:pPr>
      <w:r>
        <w:t xml:space="preserve">I have already warned the reader of the clumsiness of a composer in the midst of writing, but that should not discourage neither academic rigor, nor literary thirst. I have thus included an exhaustive bibliography, two interludes, a transcription, and a poslude (work in progress), together with graphs, tables, and some snippets of pseudocode and sometimes working code. In the hope that you will continue reading these p{age,ixel}s, I will (simply) end these remarks.</w:t>
      </w:r>
    </w:p>
    <w:p>
      <w:pPr>
        <w:pStyle w:val="Heading1"/>
      </w:pPr>
      <w:bookmarkStart w:id="27" w:name="chapter:Database_Art"/>
      <w:r>
        <w:t xml:space="preserve">Database Art</w:t>
      </w:r>
      <w:bookmarkEnd w:id="27"/>
    </w:p>
    <w:p>
      <w:pPr>
        <w:pStyle w:val="Heading2"/>
      </w:pPr>
      <w:bookmarkStart w:id="28" w:name="section:The_Database In New Media Theory"/>
      <w:r>
        <w:t xml:space="preserve">The Database In New Media Theory</w:t>
      </w:r>
      <w:bookmarkEnd w:id="28"/>
    </w:p>
    <w:p>
      <w:pPr>
        <w:pStyle w:val="Heading3"/>
      </w:pPr>
      <w:bookmarkStart w:id="29" w:name="new_media"/>
      <w:r>
        <w:t xml:space="preserve">Database As Form</w:t>
      </w:r>
      <w:bookmarkEnd w:id="29"/>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0"/>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1" w:name="semiotics"/>
      <w:r>
        <w:t xml:space="preserve">A Semiotic Trap</w:t>
      </w:r>
      <w:bookmarkEnd w:id="31"/>
    </w:p>
    <w:p>
      <w:pPr>
        <w:pStyle w:val="CaptionedFigure"/>
      </w:pPr>
      <w:bookmarkStart w:id="33" w:name="img:one-to-many"/>
      <w:r>
        <w:drawing>
          <wp:inline>
            <wp:extent cx="3060700" cy="34925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2"/>
                    <a:stretch>
                      <a:fillRect/>
                    </a:stretch>
                  </pic:blipFill>
                  <pic:spPr bwMode="auto">
                    <a:xfrm>
                      <a:off x="0" y="0"/>
                      <a:ext cx="3060700" cy="3492500"/>
                    </a:xfrm>
                    <a:prstGeom prst="rect">
                      <a:avLst/>
                    </a:prstGeom>
                    <a:noFill/>
                    <a:ln w="9525">
                      <a:noFill/>
                      <a:headEnd/>
                      <a:tailEnd/>
                    </a:ln>
                  </pic:spPr>
                </pic:pic>
              </a:graphicData>
            </a:graphic>
          </wp:inline>
        </w:drawing>
      </w:r>
      <w:bookmarkEnd w:id="33"/>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In order to reveal the extent to which the presence of the database has a radical effect on narrative, however, Manovich reverses the semiotic theory of syntagm and paradigm that governed the first half of the 20th century</w:t>
      </w:r>
      <w:r>
        <w:t xml:space="preserve"> </w:t>
      </w:r>
      <w:r>
        <w:t xml:space="preserve">(Manovich 2001, p. 231)</w:t>
      </w:r>
      <w:r>
        <w:t xml:space="preserve">. Quoting Roland Barthes’ reading of Ferdinand de Saussure in , Manovich describes the paradigm as a relation subjected to substitution —because it depends on associations—, and the syntagm as a relation subjected to combination —because it is an instantiation of concrete elements. For example, from the entire set of words in a language (the paradigm) the speaker constructs sentences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w:t>
      </w:r>
      <w:r>
        <w:t xml:space="preserve"> </w:t>
      </w:r>
      <w:r>
        <w:t xml:space="preserve">“</w:t>
      </w:r>
      <w:r>
        <w:t xml:space="preserve">food system,</w:t>
      </w:r>
      <w:r>
        <w:t xml:space="preserve">”</w:t>
      </w:r>
      <w:r>
        <w:t xml:space="preserve"> </w:t>
      </w:r>
      <w:r>
        <w:t xml:space="preserve">which I will borrow in what follows. All the elements that compose a dish, for example, the</w:t>
      </w:r>
      <w:r>
        <w:t xml:space="preserve"> </w:t>
      </w:r>
      <w:r>
        <w:t xml:space="preserve">“</w:t>
      </w:r>
      <w:r>
        <w:t xml:space="preserve">set of foodstuffs which have affinities or differences within which one chooses a dish in view of a certain meaning</w:t>
      </w:r>
      <w:r>
        <w:t xml:space="preserve">”</w:t>
      </w:r>
      <w:r>
        <w:t xml:space="preserve"> </w:t>
      </w:r>
      <w:r>
        <w:t xml:space="preserve">comes to delimit the paradigm. However, the</w:t>
      </w:r>
      <w:r>
        <w:t xml:space="preserve"> </w:t>
      </w:r>
      <w:r>
        <w:t xml:space="preserve">“</w:t>
      </w:r>
      <w:r>
        <w:t xml:space="preserve">sequence of dishes chosen during a meal,</w:t>
      </w:r>
      <w:r>
        <w:t xml:space="preserve">”</w:t>
      </w:r>
      <w:r>
        <w:t xml:space="preserve"> </w:t>
      </w:r>
      <w:r>
        <w:t xml:space="preserve">or simply, what you are eating as you are eating it in a restaurant, comes to represent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system [i.e., paradigm], the vertical reading of the menu corresponds to the syntagm</w:t>
      </w:r>
      <w:r>
        <w:t xml:space="preserve">”</w:t>
      </w:r>
      <w:r>
        <w:t xml:space="preserve"> </w:t>
      </w:r>
      <w:r>
        <w:t xml:space="preserve">(Barthes et al. 1968, p. 63)</w:t>
      </w:r>
      <w:r>
        <w:t xml:space="preserve">. A software menu, for instance, would come to represent both planes as well: the paradigm is the set of all possible actions the user might make within the specific context of the menu; the syntagm is the actual sequence of clicks that the user makes.</w:t>
      </w:r>
    </w:p>
    <w:p>
      <w:pPr>
        <w:pStyle w:val="BodyText"/>
      </w:pPr>
      <w:r>
        <w:t xml:space="preserve">Barthes’ reading of Saussure is maintained in Manovich’s description of the database. On the one hand, narrative is the syntagm since, at least in Manovich’s rendition of narrative in the visual art world and the gaming world, it is the trajectory through the navigational space of a database. Furthermore, since this narrative is achieved by the interface, interface and narrative depend on each other: narrative thusly interlocks with the interface itself, and results on the conception of the interface-as-artwork. On the other hand, the database is the paradigm, since it represents the set of elements to be selected by the user. Materially, however, Manovich points to a reversal of these planes. Given the material presence of the database (i.e., the stored data), and given the hyperlinked quality of the user interface, the database becomes explicit (present) and narrative becomes implicit (absent, dematerialised).</w:t>
      </w:r>
    </w:p>
    <w:p>
      <w:pPr>
        <w:pStyle w:val="BodyText"/>
      </w:pPr>
      <w:r>
        <w:t xml:space="preserve">For example, consider the case of the typical timeline-view of a video editor.</w:t>
      </w:r>
      <w:r>
        <w:rPr>
          <w:rStyle w:val="FootnoteReference"/>
        </w:rPr>
        <w:footnoteReference w:id="34"/>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 result is desired, and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5"/>
      </w:r>
      <w:r>
        <w:t xml:space="preserve"> </w:t>
      </w:r>
      <w:r>
        <w:t xml:space="preserve">The timeline where the user places the videos is a visualization of the set of links to the files; an editable graph that allows the user to locate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only on a certain quality of the relation itself, that is, as a shift from one-to-many to many-to-one (See Figure</w:t>
      </w:r>
      <w:r>
        <w:t xml:space="preserve"> </w:t>
      </w:r>
      <w:hyperlink w:anchor="img:one-to-many">
        <w:r>
          <w:rPr>
            <w:rStyle w:val="Hyperlink"/>
          </w:rPr>
          <w:t xml:space="preserve">4.1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grounded on an equivocation. Pointers are, however functionally different, another data type. This fact comes from the Von Neumann architecture on which computers are constructed (See</w:t>
      </w:r>
      <w:r>
        <w:t xml:space="preserve"> </w:t>
      </w:r>
      <w:hyperlink w:anchor="programming">
        <w:r>
          <w:rPr>
            <w:rStyle w:val="Hyperlink"/>
          </w:rPr>
          <w:t xml:space="preserve">4.2.2</w:t>
        </w:r>
      </w:hyperlink>
      <w:r>
        <w:t xml:space="preserv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the materiality of data.</w:t>
      </w:r>
    </w:p>
    <w:p>
      <w:pPr>
        <w:pStyle w:val="Heading3"/>
      </w:pPr>
      <w:bookmarkStart w:id="36" w:name="convergence"/>
      <w:r>
        <w:t xml:space="preserve">Digital Convergence</w:t>
      </w:r>
      <w:bookmarkEnd w:id="36"/>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 she</w:t>
      </w:r>
      <w:r>
        <w:t xml:space="preserve"> </w:t>
      </w:r>
      <w:r>
        <w:t xml:space="preserve">“</w:t>
      </w:r>
      <w:r>
        <w:t xml:space="preserve">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 slave to data, and as a consequence the human is economically colonized and psychologically invaded 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37" w:name="bodiless_information"/>
      <w:r>
        <w:t xml:space="preserve">Bodiless Information</w:t>
      </w:r>
      <w:bookmarkEnd w:id="37"/>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4.2.1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38" w:name="embodiment"/>
      <w:r>
        <w:t xml:space="preserve">Embodying Databasing</w:t>
      </w:r>
      <w:bookmarkEnd w:id="38"/>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39" w:name="framing"/>
      <w:r>
        <w:t xml:space="preserve">Filtering And Framing</w:t>
      </w:r>
      <w:bookmarkEnd w:id="39"/>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To the contrary, the framing function of the human body is the possibility condition for the digital to become information. The frame, as Hansen describes, is the human body filtering images from the world, and creating a virtual image that gives form to data. The frame needs to happen as a relation, and thus, it is the temporal instantiation of a process.</w:t>
      </w:r>
    </w:p>
    <w:p>
      <w:pPr>
        <w:pStyle w:val="Heading3"/>
      </w:pPr>
      <w:bookmarkStart w:id="40" w:name="funeslude"/>
      <w:r>
        <w:t xml:space="preserve">An Embodied Database</w:t>
      </w:r>
      <w:bookmarkEnd w:id="40"/>
    </w:p>
    <w:p>
      <w:pPr>
        <w:pStyle w:val="BlockText"/>
      </w:pPr>
      <w:r>
        <w:t xml:space="preserve">I suspect, nevertheless, that he was not very capable of thought. To think is to forget differences…</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dream, to imagine. Throughout the years, he became condemned to absolute memory, and so to its consequence, insomnia:</w:t>
      </w:r>
      <w:r>
        <w:rPr>
          <w:rStyle w:val="FootnoteReference"/>
        </w:rPr>
        <w:footnoteReference w:id="41"/>
      </w:r>
      <w:r>
        <w:t xml:space="preserve"> </w:t>
      </w:r>
      <w:r>
        <w:t xml:space="preserve">he was secluded in a dark and enclosed space so as not to perceive the world. 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 The point that Hayles touches upon can be seen as the limits and fragility of embodied memory, as well as the need to forget, in opposition to an embodiment</w:t>
      </w:r>
      <w:r>
        <w:t xml:space="preserve"> </w:t>
      </w:r>
      <w:r>
        <w:t xml:space="preserve">‘</w:t>
      </w:r>
      <w:r>
        <w:t xml:space="preserve">outside</w:t>
      </w:r>
      <w:r>
        <w:t xml:space="preserve">’</w:t>
      </w:r>
      <w:r>
        <w:t xml:space="preserve"> </w:t>
      </w:r>
      <w:r>
        <w:t xml:space="preserve">the body (disembodiment), that would require no need to forget. We will see how the difference between forgetting and erasing relates to the database.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Funes’ memory. This capability of accumulation without the need for erasure is enabled by the database structure inherent in computers. However, the distinction that Hayles presents is crucial: data is not information because information needs to be embodied, and with that embodiment comes the need to forget. In sum, on one hand, a disembodied data bank can have all the uniqueness and difference that is available by the sum of all cloud computing and storage to date; however, on the other hand, embodied memory is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to the negation of narrativity itself, thus finding in the image of Funes a hyperbole for contemporary subjectivity</w:t>
      </w:r>
      <w:r>
        <w:t xml:space="preserve"> </w:t>
      </w:r>
      <w:r>
        <w:t xml:space="preserve">(Oviedo 2019, p. 5)</w:t>
      </w:r>
      <w:r>
        <w:t xml:space="preserve">, where there is no room for narration, only data accumulation. In this sense, narrativity can be seen as that which resides in the threshold between knowledge and storage. I believe this distinction stems precisely from the difference between information and data. The process of information, of giving form, requires a certain temporality that is not that of the perceptually immediate and extremely operative zero-time of the</w:t>
      </w:r>
      <w:r>
        <w:t xml:space="preserve"> </w:t>
      </w:r>
      <w:r>
        <w:t xml:space="preserve">cpu</w:t>
      </w:r>
      <w:r>
        <w:t xml:space="preserve">. Within the zero-time of computer operations (within a millisecond) there simply is no</w:t>
      </w:r>
      <w:r>
        <w:t xml:space="preserve"> </w:t>
      </w:r>
      <w:r>
        <w:rPr>
          <w:i/>
        </w:rPr>
        <w:t xml:space="preserve">time</w:t>
      </w:r>
      <w:r>
        <w:t xml:space="preserve"> </w:t>
      </w:r>
      <w:r>
        <w:t xml:space="preserve">for narration, only for addition or increment. Narrative is temporal —happening as a historical process— and algorithms are atemporal —operating in an constant now. Since neither data structures nor algorithms operate outside the confines of the millisecond, they can’t spare time to think and, likewise, they can’t forget to count. Counting is all they do, so they cannot tell stories: the difference in the same spanish word</w:t>
      </w:r>
      <w:r>
        <w:t xml:space="preserve"> </w:t>
      </w:r>
      <w:r>
        <w:rPr>
          <w:i/>
        </w:rPr>
        <w:t xml:space="preserve">contar números</w:t>
      </w:r>
      <w:r>
        <w:t xml:space="preserve"> </w:t>
      </w:r>
      <w:r>
        <w:t xml:space="preserve">[to count numbers] and</w:t>
      </w:r>
      <w:r>
        <w:t xml:space="preserve"> </w:t>
      </w:r>
      <w:r>
        <w:rPr>
          <w:i/>
        </w:rPr>
        <w:t xml:space="preserve">contar historias</w:t>
      </w:r>
      <w:r>
        <w:t xml:space="preserve"> </w:t>
      </w:r>
      <w:r>
        <w:t xml:space="preserve">[to tell stories]; or,</w:t>
      </w:r>
      <w:r>
        <w:t xml:space="preserve"> </w:t>
      </w:r>
      <w:r>
        <w:t xml:space="preserve">“</w:t>
      </w:r>
      <w:r>
        <w:t xml:space="preserve">if a German pun may be allowed:</w:t>
      </w:r>
      <w:r>
        <w:t xml:space="preserve"> </w:t>
      </w:r>
      <w:r>
        <w:rPr>
          <w:i/>
        </w:rPr>
        <w:t xml:space="preserve">zählen</w:t>
      </w:r>
      <w:r>
        <w:t xml:space="preserve"> </w:t>
      </w:r>
      <w:r>
        <w:t xml:space="preserve">(counting) instead of</w:t>
      </w:r>
      <w:r>
        <w:t xml:space="preserve"> </w:t>
      </w:r>
      <w:r>
        <w:rPr>
          <w:i/>
        </w:rPr>
        <w:t xml:space="preserve">erzählen</w:t>
      </w:r>
      <w:r>
        <w:t xml:space="preserve"> </w:t>
      </w:r>
      <w:r>
        <w:t xml:space="preserve">(narrating)</w:t>
      </w:r>
      <w:r>
        <w:t xml:space="preserve">”</w:t>
      </w:r>
      <w:r>
        <w:t xml:space="preserve"> </w:t>
      </w:r>
      <w:r>
        <w:t xml:space="preserve">Ernst (2013, p. 128)</w:t>
      </w:r>
      <w:r>
        <w:t xml:space="preserve">. Therefore, Funes’ accumulative memory represents the overflow of the now, the totally blinding transparency of the world, and an absolute memory that precludes narration. Because he accumulates data of the world in its totality, he does not have time to think:</w:t>
      </w:r>
      <w:r>
        <w:t xml:space="preserve"> </w:t>
      </w:r>
      <w:r>
        <w:t xml:space="preserve">“</w:t>
      </w:r>
      <w:r>
        <w:t xml:space="preserve">to think is to forget differences</w:t>
      </w:r>
      <w:r>
        <w:t xml:space="preserve">”</w:t>
      </w:r>
      <w:r>
        <w:t xml:space="preserve"> </w:t>
      </w:r>
      <w:r>
        <w:t xml:space="preserve">reads the quote above. The only one in Borges’ story who actually thinks is the narrator, to which we can add: Funes could not have told this story himself in first person narrative.</w:t>
      </w:r>
      <w:r>
        <w:rPr>
          <w:rStyle w:val="FootnoteReference"/>
        </w:rPr>
        <w:footnoteReference w:id="42"/>
      </w:r>
      <w:r>
        <w:t xml:space="preserve"> </w:t>
      </w:r>
      <w:r>
        <w:t xml:space="preserve">Thus, we can ask ourselves if this hyperbolic</w:t>
      </w:r>
      <w:r>
        <w:t xml:space="preserve"> </w:t>
      </w:r>
      <w:r>
        <w:t xml:space="preserve">‘</w:t>
      </w:r>
      <w:r>
        <w:t xml:space="preserve">light</w:t>
      </w:r>
      <w:r>
        <w:t xml:space="preserve">’</w:t>
      </w:r>
      <w:r>
        <w:t xml:space="preserve"> </w:t>
      </w:r>
      <w:r>
        <w:t xml:space="preserve">of the Funesian</w:t>
      </w:r>
      <w:r>
        <w:t xml:space="preserve"> </w:t>
      </w:r>
      <w:r>
        <w:t xml:space="preserve">‘</w:t>
      </w:r>
      <w:r>
        <w:t xml:space="preserve">absolute memory</w:t>
      </w:r>
      <w:r>
        <w:t xml:space="preserve">’</w:t>
      </w:r>
      <w:r>
        <w:t xml:space="preserve"> </w:t>
      </w:r>
      <w:r>
        <w:t xml:space="preserve">is not a premonitory figure of the database.</w:t>
      </w:r>
      <w:r>
        <w:rPr>
          <w:rStyle w:val="FootnoteReference"/>
        </w:rPr>
        <w:footnoteReference w:id="43"/>
      </w:r>
      <w:r>
        <w:t xml:space="preserve"> </w:t>
      </w:r>
      <w:r>
        <w:t xml:space="preserve">Because of this antithetical condition between databases and narrative, Manovich proposed that the database became a form on its own, in opposition to narration. To the extent that</w:t>
      </w:r>
      <w:r>
        <w:t xml:space="preserve"> </w:t>
      </w:r>
      <w:r>
        <w:t xml:space="preserve">‘</w:t>
      </w:r>
      <w:r>
        <w:t xml:space="preserve">database form</w:t>
      </w:r>
      <w:r>
        <w:t xml:space="preserve">’</w:t>
      </w:r>
      <w:r>
        <w:t xml:space="preserve"> </w:t>
      </w:r>
      <w:r>
        <w:t xml:space="preserve">as a category that identifies art using databases, this can be considered accurate. However, considering this distinction between embodied and disembodied memory that resides in the ability to narrate, databases are inherently deprived of narration. Making art with databases is making them dance (see below). Therefore, to what extent is</w:t>
      </w:r>
      <w:r>
        <w:t xml:space="preserve"> </w:t>
      </w:r>
      <w:r>
        <w:t xml:space="preserve">‘</w:t>
      </w:r>
      <w:r>
        <w:t xml:space="preserve">database music</w:t>
      </w:r>
      <w:r>
        <w:t xml:space="preserve">’</w:t>
      </w:r>
      <w:r>
        <w:t xml:space="preserve"> </w:t>
      </w:r>
      <w:r>
        <w:t xml:space="preserve">in itself a contradiction if we consider</w:t>
      </w:r>
      <w:r>
        <w:t xml:space="preserve"> </w:t>
      </w:r>
      <w:r>
        <w:t xml:space="preserve">‘</w:t>
      </w:r>
      <w:r>
        <w:t xml:space="preserve">music</w:t>
      </w:r>
      <w:r>
        <w:t xml:space="preserve">’</w:t>
      </w:r>
      <w:r>
        <w:t xml:space="preserve"> </w:t>
      </w:r>
      <w:r>
        <w:t xml:space="preserve">to be a form of writing? I will leave this discussion for a later chapter (See</w:t>
      </w:r>
      <w:r>
        <w:t xml:space="preserve"> </w:t>
      </w:r>
      <w:hyperlink w:anchor="chapter:section-4">
        <w:r>
          <w:rPr>
            <w:rStyle w:val="Hyperlink"/>
          </w:rPr>
          <w:t xml:space="preserve">[chapter:section-4]</w:t>
        </w:r>
      </w:hyperlink>
      <w:r>
        <w:t xml:space="preserve">).</w:t>
      </w:r>
    </w:p>
    <w:p>
      <w:pPr>
        <w:pStyle w:val="BodyText"/>
      </w:pPr>
      <w:r>
        <w:t xml:space="preserve">This Funesian database can also be understood in relation to what Gayatri Chakravorty Spivak</w:t>
      </w:r>
      <w:r>
        <w:t xml:space="preserve"> </w:t>
      </w:r>
      <w:r>
        <w:t xml:space="preserve">(Derrida &amp; Spivak 1976)</w:t>
      </w:r>
      <w:r>
        <w:t xml:space="preserve"> </w:t>
      </w:r>
      <w:r>
        <w:t xml:space="preserve">writes about forgetfulness. She notes in Nietzche the</w:t>
      </w:r>
      <w:r>
        <w:t xml:space="preserve"> </w:t>
      </w:r>
      <w:r>
        <w:t xml:space="preserve">‘</w:t>
      </w:r>
      <w:r>
        <w:t xml:space="preserve">joyful</w:t>
      </w:r>
      <w:r>
        <w:t xml:space="preserve">’</w:t>
      </w:r>
      <w:r>
        <w:t xml:space="preserve"> </w:t>
      </w:r>
      <w:r>
        <w:t xml:space="preserve">and</w:t>
      </w:r>
      <w:r>
        <w:t xml:space="preserve"> </w:t>
      </w:r>
      <w:r>
        <w:t xml:space="preserve">‘</w:t>
      </w:r>
      <w:r>
        <w:t xml:space="preserve">affirmative</w:t>
      </w:r>
      <w:r>
        <w:t xml:space="preserve">’</w:t>
      </w:r>
      <w:r>
        <w:t xml:space="preserve"> </w:t>
      </w:r>
      <w:r>
        <w:t xml:space="preserve">activity that constitues forgetfulness as being twofold. On the one hand, this activity is a</w:t>
      </w:r>
      <w:r>
        <w:t xml:space="preserve"> </w:t>
      </w:r>
      <w:r>
        <w:t xml:space="preserve">“</w:t>
      </w:r>
      <w:r>
        <w:t xml:space="preserve">limitation that protects the human being from the blinding light of an absolute historical memory,</w:t>
      </w:r>
      <w:r>
        <w:t xml:space="preserve">”</w:t>
      </w:r>
      <w:r>
        <w:t xml:space="preserve"> </w:t>
      </w:r>
      <w:r>
        <w:t xml:space="preserve">and on the other, it is</w:t>
      </w:r>
      <w:r>
        <w:t xml:space="preserve"> </w:t>
      </w:r>
      <w:r>
        <w:t xml:space="preserve">“</w:t>
      </w:r>
      <w:r>
        <w:t xml:space="preserve">to avoid falling into the trap of</w:t>
      </w:r>
      <w:r>
        <w:t xml:space="preserve"> </w:t>
      </w:r>
      <w:r>
        <w:t xml:space="preserve">‘</w:t>
      </w:r>
      <w:r>
        <w:t xml:space="preserve">historical knowledge</w:t>
      </w:r>
      <w:r>
        <w:t xml:space="preserve">’</w:t>
      </w:r>
      <w:r>
        <w:t xml:space="preserve">”</w:t>
      </w:r>
      <w:r>
        <w:t xml:space="preserve"> </w:t>
      </w:r>
      <w:r>
        <w:t xml:space="preserve">(Derrida &amp; Spivak 1976 xxxi)</w:t>
      </w:r>
      <w:r>
        <w:t xml:space="preserve">. The</w:t>
      </w:r>
      <w:r>
        <w:t xml:space="preserve"> </w:t>
      </w:r>
      <w:r>
        <w:t xml:space="preserve">‘</w:t>
      </w:r>
      <w:r>
        <w:t xml:space="preserve">historical</w:t>
      </w:r>
      <w:r>
        <w:t xml:space="preserve">’</w:t>
      </w:r>
      <w:r>
        <w:t xml:space="preserve"> </w:t>
      </w:r>
      <w:r>
        <w:t xml:space="preserve">here is an</w:t>
      </w:r>
      <w:r>
        <w:t xml:space="preserve"> </w:t>
      </w:r>
      <w:r>
        <w:t xml:space="preserve">“</w:t>
      </w:r>
      <w:r>
        <w:t xml:space="preserve">unquestioned villan,</w:t>
      </w:r>
      <w:r>
        <w:t xml:space="preserve">”</w:t>
      </w:r>
      <w:r>
        <w:t xml:space="preserve"> </w:t>
      </w:r>
      <w:r>
        <w:t xml:space="preserve">which takes two forms: one</w:t>
      </w:r>
      <w:r>
        <w:t xml:space="preserve"> </w:t>
      </w:r>
      <w:r>
        <w:t xml:space="preserve">“</w:t>
      </w:r>
      <w:r>
        <w:t xml:space="preserve">academic and preservative,</w:t>
      </w:r>
      <w:r>
        <w:t xml:space="preserve">”</w:t>
      </w:r>
      <w:r>
        <w:t xml:space="preserve"> </w:t>
      </w:r>
      <w:r>
        <w:t xml:space="preserve">the other</w:t>
      </w:r>
      <w:r>
        <w:t xml:space="preserve"> </w:t>
      </w:r>
      <w:r>
        <w:t xml:space="preserve">“</w:t>
      </w:r>
      <w:r>
        <w:t xml:space="preserve">philosophical and destructive</w:t>
      </w:r>
      <w:r>
        <w:t xml:space="preserve">”</w:t>
      </w:r>
      <w:r>
        <w:t xml:space="preserve"> </w:t>
      </w:r>
      <w:r>
        <w:t xml:space="preserve">(Derrida &amp; Spivak 1976 xxxi)</w:t>
      </w:r>
      <w:r>
        <w:t xml:space="preserve">. For Nietzsche, as Spivak notes, forgetfulness is a choice that comes as a solution: an</w:t>
      </w:r>
      <w:r>
        <w:t xml:space="preserve"> </w:t>
      </w:r>
      <w:r>
        <w:t xml:space="preserve">“</w:t>
      </w:r>
      <w:r>
        <w:t xml:space="preserve">antidote</w:t>
      </w:r>
      <w:r>
        <w:t xml:space="preserve">”</w:t>
      </w:r>
      <w:r>
        <w:t xml:space="preserve"> </w:t>
      </w:r>
      <w:r>
        <w:t xml:space="preserve">to the</w:t>
      </w:r>
      <w:r>
        <w:t xml:space="preserve"> </w:t>
      </w:r>
      <w:r>
        <w:t xml:space="preserve">“</w:t>
      </w:r>
      <w:r>
        <w:t xml:space="preserve">historical fever,</w:t>
      </w:r>
      <w:r>
        <w:t xml:space="preserve">”</w:t>
      </w:r>
      <w:r>
        <w:t xml:space="preserve"> </w:t>
      </w:r>
      <w:r>
        <w:t xml:space="preserve">or the</w:t>
      </w:r>
      <w:r>
        <w:t xml:space="preserve"> </w:t>
      </w:r>
      <w:r>
        <w:t xml:space="preserve">“</w:t>
      </w:r>
      <w:r>
        <w:t xml:space="preserve">unhistorical,</w:t>
      </w:r>
      <w:r>
        <w:t xml:space="preserve">”</w:t>
      </w:r>
      <w:r>
        <w:t xml:space="preserve"> </w:t>
      </w:r>
      <w:r>
        <w:t xml:space="preserve">that is,</w:t>
      </w:r>
      <w:r>
        <w:t xml:space="preserve"> </w:t>
      </w:r>
      <w:r>
        <w:t xml:space="preserve">“</w:t>
      </w:r>
      <w:r>
        <w:t xml:space="preserve">the power, the art of forgetting…</w:t>
      </w:r>
      <w:r>
        <w:t xml:space="preserve">”</w:t>
      </w:r>
      <w:r>
        <w:t xml:space="preserve"> </w:t>
      </w:r>
      <w:r>
        <w:t xml:space="preserve">(Derrida &amp; Spivak 1976 xxxi)</w:t>
      </w:r>
      <w:r>
        <w:t xml:space="preserve">. I propose an imaginary experiment that would add some noise to Borges’ short story, however utterly fantastic his writing was. One thing that can be read from the story is that, in order to seclude himself from perceiving the world, or better, in order to forget the world altogether, Irineo stayed in the darkess of his room. This is how he cancelled light, a quite powerful stimulus if memory-space is to be optimized for the purpose of, say, getting some sleep. However, there is little to no mention of the sonic environment in which Funes was embedded —somewhere in the outskirts of the quiet Uruguayan city of Fray Bentos. In fact, the only sonic references are focused on the narrator’s perspective, referring to Funes’ high-pitched and —due to his being in the darkness— acousmatic voice. To a certain extent, we might think of Funes’ high-pitched (at least this is how the narrator heard it) voice as a hint to the highlighted overtones that links Borges’</w:t>
      </w:r>
      <w:r>
        <w:t xml:space="preserve"> </w:t>
      </w:r>
      <w:r>
        <w:t xml:space="preserve">“</w:t>
      </w:r>
      <w:r>
        <w:t xml:space="preserve">long metaphor of insomnia</w:t>
      </w:r>
      <w:r>
        <w:t xml:space="preserve">”</w:t>
      </w:r>
      <w:r>
        <w:t xml:space="preserve"> </w:t>
      </w:r>
      <w:r>
        <w:t xml:space="preserve">with “the</w:t>
      </w:r>
      <w:r>
        <w:t xml:space="preserve"> </w:t>
      </w:r>
      <w:r>
        <w:t xml:space="preserve">‘</w:t>
      </w:r>
      <w:r>
        <w:t xml:space="preserve">laughter</w:t>
      </w:r>
      <w:r>
        <w:t xml:space="preserve">’</w:t>
      </w:r>
      <w:r>
        <w:t xml:space="preserve"> </w:t>
      </w:r>
      <w:r>
        <w:t xml:space="preserve">of [Nietzche’s] Over-man [that] will not be a</w:t>
      </w:r>
      <w:r>
        <w:t xml:space="preserve"> </w:t>
      </w:r>
      <w:r>
        <w:t xml:space="preserve">‘</w:t>
      </w:r>
      <w:r>
        <w:t xml:space="preserve">memorial or…guard of the…form of the house and the truth…He will dance, outside of the house, this…active forgetfulness</w:t>
      </w:r>
      <w:r>
        <w:t xml:space="preserve">’</w:t>
      </w:r>
      <w:r>
        <w:t xml:space="preserve">’</w:t>
      </w:r>
      <w:r>
        <w:t xml:space="preserve"> </w:t>
      </w:r>
      <w:r>
        <w:t xml:space="preserve">(Derrida &amp; Spivak 1976 xxxii)</w:t>
      </w:r>
      <w:r>
        <w:t xml:space="preserve">. Nonetheless, Funes is deprived of this forgetfulness, and thus cannot go outside, let alone laugh or dance.</w:t>
      </w:r>
      <w:r>
        <w:rPr>
          <w:rStyle w:val="FootnoteReference"/>
        </w:rPr>
        <w:footnoteReference w:id="44"/>
      </w:r>
      <w:r>
        <w:t xml:space="preserve"> </w:t>
      </w:r>
      <w:r>
        <w:t xml:space="preserve">By locking himself inside a room he would have managed to attenuate sound waves coming in from outside. Notwithstanding his isolation —a house arrest—, sound waves are actually very difficult to cancel.</w:t>
      </w:r>
    </w:p>
    <w:p>
      <w:pPr>
        <w:pStyle w:val="BodyText"/>
      </w:pPr>
      <w:r>
        <w:rPr>
          <w:strike/>
        </w:rPr>
        <w:t xml:space="preserve">(</w:t>
      </w:r>
      <w:r>
        <w:t xml:space="preserve"> </w:t>
      </w:r>
      <w:r>
        <w:t xml:space="preserve">It is interesting to compare Funes’ attempt to filter out the world with John Cage’s quest for silence. An interesting experiment would have been to have John Cage take Irineo to an anechoic chamber and ask him what he can remember then. From Cage’s own experience, we can guess that Funes would effectively remember his own sounding body. Kim</w:t>
      </w:r>
      <w:r>
        <w:t xml:space="preserve"> </w:t>
      </w:r>
      <w:r>
        <w:t xml:space="preserve">Cascone (2000)</w:t>
      </w:r>
      <w:r>
        <w:t xml:space="preserve"> </w:t>
      </w:r>
      <w:r>
        <w:t xml:space="preserve">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It is interesting to place an 80 year-old Irineo in David Tudor’s premiere at Maverick Concert Hall in Woodstock, NY, infinitely listening to 4’33”</w:t>
      </w:r>
      <w:r>
        <w:t xml:space="preserve"> </w:t>
      </w:r>
      <w:r>
        <w:rPr>
          <w:strike/>
        </w:rPr>
        <w:t xml:space="preserve">)</w:t>
      </w:r>
    </w:p>
    <w:p>
      <w:pPr>
        <w:pStyle w:val="BodyText"/>
      </w:pPr>
      <w:r>
        <w:t xml:space="preserve">It is very unlikely —but nonetheless possible— that Borges was aware of American acoustician Leo Beranek’s research for the US Army during World War II, that is, when the first anechoic chamber was built.</w:t>
      </w:r>
      <w:r>
        <w:rPr>
          <w:rStyle w:val="FootnoteReference"/>
        </w:rPr>
        <w:footnoteReference w:id="45"/>
      </w:r>
      <w:r>
        <w:t xml:space="preserve"> </w:t>
      </w:r>
      <w:r>
        <w:t xml:space="preserve">Furthermore, even if he managed to isolate himself completely from the world by cancelling perception altogether, Funes would have been with his memories (he was not deprived of</w:t>
      </w:r>
      <w:r>
        <w:t xml:space="preserve"> </w:t>
      </w:r>
      <w:r>
        <w:rPr>
          <w:i/>
        </w:rPr>
        <w:t xml:space="preserve">anamnesis</w:t>
      </w:r>
      <w:r>
        <w:t xml:space="preserve">, the ability to remember), which were not discrete, but continuous iterations of the world he had accumulated over the years. What this means is that all the sounds he had listened to would be available to his imagination. 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nonetheless out of Funes’ concerns. Therefore, one thing we can ask ourselves is how the world would sound for Irineo Funes? The task is not difficult to imagine: the world would be inscribed in poor Irineo’s memory in such an infinitely continuous way that each fraction of wave oscillation would be different, unique, leaving no space for repetition of any kind. For example, one of Irineo’s concerns was to reduce the amount of memories on a single day, which he downsized to about seventy thousand…. What would be Funes’ sample rate? What frequencies could he be able to synthesize? All sounds (and all that can be registered) would be listened to completely, with every infinitesimal oscillation of a wave pointing to the most utterly complete scope of imaginable references. A complete state of listening. In fact, we might not be able to call it listening any more. Not even signal processing. An infinitesimal incorporation of sound is unthinkable. Within such total listening there would be no possibility for thought, no processing of any kind, and no synthesis: only infinite accumulation and storage. On the one hand, no matter how accurate our embodied listening might be, we are bound to miss some motion, some waves would pass through us and we would be busy forgetting to register them. On the other hand, if such a recording were humanly possible, thinking would cease to be so. This can be thought of as the intersection of the finite with the infinite: while Funes’ nonhuman memory corresponds to a dynamics of the infinite, his human body is quite human. Funes is not deprived of this finitude, and existed (fantastically) on a ghostly liminality. This liminality grows more and more evidently throught the story, hand in hand with the accumulative growth of the Funesian database, all the way until the end, in a sort of Moore’s Law of data congestion, saturating completely in an utterly human pulmonary congestion</w:t>
      </w:r>
      <w:r>
        <w:t xml:space="preserve"> </w:t>
      </w:r>
      <w:r>
        <w:t xml:space="preserve">(Oviedo 2019)</w:t>
      </w:r>
      <w:r>
        <w:t xml:space="preserve">.</w:t>
      </w:r>
    </w:p>
    <w:p>
      <w:pPr>
        <w:pStyle w:val="Heading3"/>
      </w:pPr>
      <w:bookmarkStart w:id="47" w:name="generated"/>
      <w:r>
        <w:t xml:space="preserve">Closing Remarks</w:t>
      </w:r>
      <w:bookmarkEnd w:id="47"/>
    </w:p>
    <w:p>
      <w:pPr>
        <w:pStyle w:val="FirstParagraph"/>
      </w:pPr>
      <w:r>
        <w:t xml:space="preserve">Despite Manovich’s technologically determined considerations of the database as form, he notes a fundamental aspect of the use of the database when he expresses that data need to be collected, generated, organized, created, etc:</w:t>
      </w:r>
      <w:r>
        <w:t xml:space="preserve"> </w:t>
      </w:r>
      <w:r>
        <w:t xml:space="preserve">“</w:t>
      </w:r>
      <w:r>
        <w:t xml:space="preserve">Texts need to be written, photographs need to be taken, video and audio need to be recorded. Or they need to be digitized [and then] cleaned up, organized, and indexed</w:t>
      </w:r>
      <w:r>
        <w:t xml:space="preserve">”</w:t>
      </w:r>
      <w:r>
        <w:t xml:space="preserve"> </w:t>
      </w:r>
      <w:r>
        <w:t xml:space="preserve">(Manovich 2001, p. 224)</w:t>
      </w:r>
      <w:r>
        <w:t xml:space="preserve">. In this sense, he begins to describe the actions that need to be performed around data, what I call databasing (See</w:t>
      </w:r>
      <w:r>
        <w:t xml:space="preserve"> </w:t>
      </w:r>
      <w:hyperlink w:anchor="databasing">
        <w:r>
          <w:rPr>
            <w:rStyle w:val="Hyperlink"/>
          </w:rPr>
          <w:t xml:space="preserve">4.2.1</w:t>
        </w:r>
      </w:hyperlink>
      <w:r>
        <w:t xml:space="preserve">), which connotes the use of databases in terms of their performativity (See</w:t>
      </w:r>
      <w:r>
        <w:t xml:space="preserve"> </w:t>
      </w:r>
      <w:hyperlink w:anchor="chapter:section-6">
        <w:r>
          <w:rPr>
            <w:rStyle w:val="Hyperlink"/>
          </w:rPr>
          <w:t xml:space="preserve">[chapter:section-6]</w:t>
        </w:r>
      </w:hyperlink>
      <w:r>
        <w:t xml:space="preserve">).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(See Figure</w:t>
      </w:r>
      <w:r>
        <w:t xml:space="preserve"> </w:t>
      </w:r>
      <w:hyperlink w:anchor="img:manworld">
        <w:r>
          <w:rPr>
            <w:rStyle w:val="Hyperlink"/>
          </w:rPr>
          <w:t xml:space="preserve">4.2</w:t>
        </w:r>
      </w:hyperlink>
      <w:r>
        <w:t xml:space="preserve">).</w:t>
      </w:r>
    </w:p>
    <w:p>
      <w:pPr>
        <w:pStyle w:val="CaptionedFigure"/>
      </w:pPr>
      <w:bookmarkStart w:id="49" w:name="img:manworld"/>
      <w:r>
        <w:drawing>
          <wp:inline>
            <wp:extent cx="3289300" cy="584200"/>
            <wp:effectExtent b="0" l="0" r="0" t="0"/>
            <wp:docPr descr="Manovich’s cultural algorithm" title="" id="1" name="Picture"/>
            <a:graphic>
              <a:graphicData uri="http://schemas.openxmlformats.org/drawingml/2006/picture">
                <pic:pic>
                  <pic:nvPicPr>
                    <pic:cNvPr descr="/Users/federicocamarahalac/Documents/fd_work/text/waves/bin/img/manworld.png" id="0" name="Picture"/>
                    <pic:cNvPicPr>
                      <a:picLocks noChangeArrowheads="1" noChangeAspect="1"/>
                    </pic:cNvPicPr>
                  </pic:nvPicPr>
                  <pic:blipFill>
                    <a:blip r:embed="rId48"/>
                    <a:stretch>
                      <a:fillRect/>
                    </a:stretch>
                  </pic:blipFill>
                  <pic:spPr bwMode="auto">
                    <a:xfrm>
                      <a:off x="0" y="0"/>
                      <a:ext cx="3289300" cy="584200"/>
                    </a:xfrm>
                    <a:prstGeom prst="rect">
                      <a:avLst/>
                    </a:prstGeom>
                    <a:noFill/>
                    <a:ln w="9525">
                      <a:noFill/>
                      <a:headEnd/>
                      <a:tailEnd/>
                    </a:ln>
                  </pic:spPr>
                </pic:pic>
              </a:graphicData>
            </a:graphic>
          </wp:inline>
        </w:drawing>
      </w:r>
      <w:bookmarkEnd w:id="49"/>
    </w:p>
    <w:p>
      <w:pPr>
        <w:pStyle w:val="ImageCaption"/>
      </w:pPr>
      <w:r>
        <w:t xml:space="preserve">Manovich’s cultural algorithm</w:t>
      </w:r>
    </w:p>
    <w:p>
      <w:pPr>
        <w:pStyle w:val="BodyText"/>
      </w:pPr>
      <w:r>
        <w:t xml:space="preserve">The world is mediatized, stored in some media (film, tape), then digitized into data, then structured into a database. The result is the world represented by the database.</w:t>
      </w:r>
    </w:p>
    <w:p>
      <w:pPr>
        <w:pStyle w:val="BodyText"/>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 In any case, his contribution to the literature on the role of databases in new media have led us to this point of inflexion, in which we can consider different points of view regarding the topic of databases. My revision of this algorithm will come later in this dissertation (See Figure</w:t>
      </w:r>
      <w:r>
        <w:t xml:space="preserve"> </w:t>
      </w:r>
      <w:hyperlink w:anchor="img:unwork">
        <w:r>
          <w:rPr>
            <w:rStyle w:val="Hyperlink"/>
          </w:rPr>
          <w:t xml:space="preserve">5.2</w:t>
        </w:r>
      </w:hyperlink>
      <w:r>
        <w:t xml:space="preserve">). In what follows, I will explore the more technical aspects of databasing, in order to trace a connection between the literature on sound-based computer practices with that of the development of databases over the years. In this way, I bring the discussion of databases into the sonic sphere.</w:t>
      </w:r>
    </w:p>
    <w:p>
      <w:pPr>
        <w:pStyle w:val="Heading2"/>
      </w:pPr>
      <w:bookmarkStart w:id="50" w:name="Xaa99de313451c13ede5fb5754f0e4f994813cac"/>
      <w:r>
        <w:t xml:space="preserve">Databasing And The History Of Databases</w:t>
      </w:r>
      <w:bookmarkEnd w:id="50"/>
    </w:p>
    <w:p>
      <w:pPr>
        <w:pStyle w:val="Heading3"/>
      </w:pPr>
      <w:bookmarkStart w:id="51" w:name="databasing"/>
      <w:r>
        <w:t xml:space="preserve">Databasing: The Performance Of The Database</w:t>
      </w:r>
      <w:bookmarkEnd w:id="51"/>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impulsed by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52" w:name="data-types-and-structures"/>
      <w:r>
        <w:t xml:space="preserve">Data types and structures</w:t>
      </w:r>
      <w:bookmarkEnd w:id="52"/>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53"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53"/>
    <w:p>
      <w:pPr>
        <w:pStyle w:val="Heading4"/>
      </w:pPr>
      <w:bookmarkStart w:id="54" w:name="temporality-of-databasing"/>
      <w:r>
        <w:t xml:space="preserve">Temporality of Databasing</w:t>
      </w:r>
      <w:bookmarkEnd w:id="54"/>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4.1.5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55" w:name="databasing-and-writing"/>
      <w:r>
        <w:t xml:space="preserve">Databasing and Writing</w:t>
      </w:r>
      <w:bookmarkEnd w:id="55"/>
    </w:p>
    <w:p>
      <w:pPr>
        <w:pStyle w:val="FirstParagraph"/>
      </w:pPr>
      <w:r>
        <w:t xml:space="preserve">As with other new media, the terminology used to describe computer memory is often borrowed from earlier media practices like printed text: reading, writing, and erasing. Computer memory thus shares with writing the property of hypomnesis, that is, of displacing the role of human memory with an external non-human device. In the case of the computer memory however, the scale of this displacement is extremely large, both in terms of the amounts of data that can be stored and the speed with which it can be stored. For example, the 40-bit long 4000 numbers that Von Neumann was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represents around 16 Kilobytes, something which today might seem absurd in comparison to current computer storage capabilities that can be found in the case of cloud computing. In light of this fact, we might ask ourselves how is human work transformed through interaction with these massive external memories? Database practice has direct effects on temporality and on memory. Therefore, when designing computer software for art, the way in which data is structured, together with the speed and design of data flow, has significant effects on the temporality of art altogether as a practice.</w:t>
      </w:r>
    </w:p>
    <w:p>
      <w:pPr>
        <w:pStyle w:val="BodyText"/>
      </w:pPr>
      <w:r>
        <w:t xml:space="preserve">I have proposed that memory and its storing of instructions and information what enables the computer as such. The simplicity of this synthesis of data and command in Von Neumann’s architecture, led to its implementation in not only the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56"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56"/>
    <w:p>
      <w:pPr>
        <w:pStyle w:val="Heading4"/>
      </w:pPr>
      <w:bookmarkStart w:id="57" w:name="the-von-neumann-architecture"/>
      <w:r>
        <w:t xml:space="preserve">The Von Neumann Architecture</w:t>
      </w:r>
      <w:bookmarkEnd w:id="57"/>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it is memory-storage what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58" w:name="programming"/>
      <w:r>
        <w:t xml:space="preserve">A Database Tree</w:t>
      </w:r>
      <w:bookmarkEnd w:id="58"/>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working with computers meant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4.3</w:t>
        </w:r>
      </w:hyperlink>
      <w:r>
        <w:t xml:space="preserve">), starting from basic data structures to more elaborate database systems, and then present a brief history of how databases were designed.</w:t>
      </w:r>
    </w:p>
    <w:p>
      <w:pPr>
        <w:pStyle w:val="CaptionedFigure"/>
      </w:pPr>
      <w:bookmarkStart w:id="59" w:name="img:dbtree"/>
      <w:r>
        <w:drawing>
          <wp:inline>
            <wp:extent cx="5334000" cy="5887267"/>
            <wp:effectExtent b="0" l="0" r="0" t="0"/>
            <wp:docPr descr="A Database Tre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59"/>
    </w:p>
    <w:p>
      <w:pPr>
        <w:pStyle w:val="ImageCaption"/>
      </w:pPr>
      <w:r>
        <w:t xml:space="preserve">A Database Tree</w:t>
      </w:r>
    </w:p>
    <w:p>
      <w:pPr>
        <w:pStyle w:val="BodyText"/>
      </w:pPr>
      <w:r>
        <w:t xml:space="preserve">A very simple sketch of a tree representing the database tree of computer evolution</w:t>
      </w:r>
    </w:p>
    <w:p>
      <w:pPr>
        <w:pStyle w:val="Heading5"/>
      </w:pPr>
      <w:bookmarkStart w:id="60" w:name="soil"/>
      <w:r>
        <w:t xml:space="preserve">Soil</w:t>
      </w:r>
      <w:bookmarkEnd w:id="60"/>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5"/>
      </w:pPr>
      <w:bookmarkStart w:id="61" w:name="roots"/>
      <w:r>
        <w:t xml:space="preserve">Roots</w:t>
      </w:r>
      <w:bookmarkEnd w:id="61"/>
    </w:p>
    <w:p>
      <w:pPr>
        <w:pStyle w:val="FirstParagraph"/>
      </w:pPr>
      <w:r>
        <w:t xml:space="preserve">The below-the-soil level is accessed through machine and assembly code, which constitutes the core of low-level programming languages and are, to a certain extent, humanly un-readable: the world of bits. Above the soil, readability by humans is the main feature.</w:t>
      </w:r>
    </w:p>
    <w:p>
      <w:pPr>
        <w:pStyle w:val="Heading5"/>
      </w:pPr>
      <w:bookmarkStart w:id="62" w:name="portability"/>
      <w:r>
        <w:t xml:space="preserve">Macros</w:t>
      </w:r>
      <w:bookmarkEnd w:id="62"/>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soils.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5"/>
      </w:pPr>
      <w:bookmarkStart w:id="63" w:name="trunk"/>
      <w:r>
        <w:t xml:space="preserve">Trunk</w:t>
      </w:r>
      <w:bookmarkEnd w:id="63"/>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5"/>
      </w:pPr>
      <w:bookmarkStart w:id="64" w:name="branches"/>
      <w:r>
        <w:t xml:space="preserve">Branches</w:t>
      </w:r>
      <w:bookmarkEnd w:id="64"/>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5"/>
      </w:pPr>
      <w:bookmarkStart w:id="65" w:name="twigs"/>
      <w:r>
        <w:t xml:space="preserve">Twigs</w:t>
      </w:r>
      <w:bookmarkEnd w:id="65"/>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5"/>
      </w:pPr>
      <w:bookmarkStart w:id="66" w:name="leaves"/>
      <w:r>
        <w:t xml:space="preserve">Leaves</w:t>
      </w:r>
      <w:bookmarkEnd w:id="66"/>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generally used in businesses for data processing and editing, for example:</w:t>
      </w:r>
      <w:r>
        <w:t xml:space="preserve"> </w:t>
      </w:r>
      <w:r>
        <w:t xml:space="preserve">mysql</w:t>
      </w:r>
      <w:r>
        <w:t xml:space="preserve">,</w:t>
      </w:r>
      <w:r>
        <w:t xml:space="preserve"> </w:t>
      </w:r>
      <w:r>
        <w:t xml:space="preserve">postgresql</w:t>
      </w:r>
      <w:r>
        <w:t xml:space="preserve">,</w:t>
      </w:r>
      <w:r>
        <w:t xml:space="preserve"> </w:t>
      </w:r>
      <w:r>
        <w:t xml:space="preserve">nosql</w:t>
      </w:r>
      <w:r>
        <w:t xml:space="preserve">,</w:t>
      </w:r>
      <w:r>
        <w:t xml:space="preserve"> </w:t>
      </w:r>
      <w:r>
        <w:t xml:space="preserve">couchdb</w:t>
      </w:r>
      <w:r>
        <w:t xml:space="preserve"> </w:t>
      </w:r>
      <w:r>
        <w:t xml:space="preserve">and</w:t>
      </w:r>
      <w:r>
        <w:t xml:space="preserve"> </w:t>
      </w:r>
      <w:r>
        <w:t xml:space="preserve">mongodb</w:t>
      </w:r>
      <w:r>
        <w:t xml:space="preserve">.</w:t>
      </w:r>
    </w:p>
    <w:p>
      <w:pPr>
        <w:pStyle w:val="Heading5"/>
      </w:pPr>
      <w:bookmarkStart w:id="67" w:name="networks"/>
      <w:r>
        <w:t xml:space="preserve">Networks</w:t>
      </w:r>
      <w:bookmarkEnd w:id="67"/>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5"/>
      </w:pPr>
      <w:bookmarkStart w:id="68" w:name="clouds"/>
      <w:r>
        <w:t xml:space="preserve">Clouds</w:t>
      </w:r>
      <w:bookmarkEnd w:id="68"/>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69" w:name="models"/>
      <w:r>
        <w:t xml:space="preserve">The Realm Of Data Structures</w:t>
      </w:r>
      <w:bookmarkEnd w:id="69"/>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5"/>
      </w:pPr>
      <w:bookmarkStart w:id="70" w:name="array-data-structure"/>
      <w:r>
        <w:t xml:space="preserve">Array data structure</w:t>
      </w:r>
      <w:bookmarkEnd w:id="70"/>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5"/>
      </w:pPr>
      <w:bookmarkStart w:id="71" w:name="computer:linked"/>
      <w:r>
        <w:t xml:space="preserve">Linked Lists</w:t>
      </w:r>
      <w:bookmarkEnd w:id="71"/>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4.3.3.1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5"/>
      </w:pPr>
      <w:bookmarkStart w:id="72" w:name="computer:audacity"/>
      <w:r>
        <w:t xml:space="preserve">Sequences</w:t>
      </w:r>
      <w:bookmarkEnd w:id="72"/>
    </w:p>
    <w:p>
      <w:pPr>
        <w:pStyle w:val="FirstParagraph"/>
      </w:pPr>
      <w:r>
        <w:t xml:space="preserve">Crowley (1998)</w:t>
      </w:r>
      <w:r>
        <w:t xml:space="preserve"> </w:t>
      </w:r>
      <w:r>
        <w:t xml:space="preserve">claims, however, that neither linked lists nor arrays are suitable for large text sequences, since linked lists take up too much memory, and arrays are slow because they requires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73" w:name="descriptions"/>
      <w:r>
        <w:t xml:space="preserve">A Brief History Of Database Models</w:t>
      </w:r>
      <w:bookmarkEnd w:id="73"/>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w:t>
      </w:r>
      <w:r>
        <w:t xml:space="preserve"> </w:t>
      </w:r>
      <w:r>
        <w:t xml:space="preserve">“</w:t>
      </w:r>
      <w:r>
        <w:t xml:space="preserve">determines 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74" w:name="model:hierarchical"/>
      <w:r>
        <w:t xml:space="preserve">Hierarchical</w:t>
      </w:r>
      <w:bookmarkEnd w:id="74"/>
    </w:p>
    <w:p>
      <w:pPr>
        <w:pStyle w:val="CaptionedFigure"/>
      </w:pPr>
      <w:bookmarkStart w:id="76"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75"/>
                    <a:stretch>
                      <a:fillRect/>
                    </a:stretch>
                  </pic:blipFill>
                  <pic:spPr bwMode="auto">
                    <a:xfrm>
                      <a:off x="0" y="0"/>
                      <a:ext cx="2692400" cy="1866900"/>
                    </a:xfrm>
                    <a:prstGeom prst="rect">
                      <a:avLst/>
                    </a:prstGeom>
                    <a:noFill/>
                    <a:ln w="9525">
                      <a:noFill/>
                      <a:headEnd/>
                      <a:tailEnd/>
                    </a:ln>
                  </pic:spPr>
                </pic:pic>
              </a:graphicData>
            </a:graphic>
          </wp:inline>
        </w:drawing>
      </w:r>
      <w:bookmarkEnd w:id="76"/>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Their use within database systems was eclipsed by the relational model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4.2.4.7</w:t>
        </w:r>
      </w:hyperlink>
      <w:r>
        <w:t xml:space="preserve">).</w:t>
      </w:r>
    </w:p>
    <w:p>
      <w:pPr>
        <w:pStyle w:val="Heading4"/>
      </w:pPr>
      <w:bookmarkStart w:id="77" w:name="model:network"/>
      <w:r>
        <w:t xml:space="preserve">Network</w:t>
      </w:r>
      <w:bookmarkEnd w:id="77"/>
    </w:p>
    <w:p>
      <w:pPr>
        <w:pStyle w:val="CaptionedFigure"/>
      </w:pPr>
      <w:bookmarkStart w:id="79"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78"/>
                    <a:stretch>
                      <a:fillRect/>
                    </a:stretch>
                  </pic:blipFill>
                  <pic:spPr bwMode="auto">
                    <a:xfrm>
                      <a:off x="0" y="0"/>
                      <a:ext cx="2298700" cy="2552700"/>
                    </a:xfrm>
                    <a:prstGeom prst="rect">
                      <a:avLst/>
                    </a:prstGeom>
                    <a:noFill/>
                    <a:ln w="9525">
                      <a:noFill/>
                      <a:headEnd/>
                      <a:tailEnd/>
                    </a:ln>
                  </pic:spPr>
                </pic:pic>
              </a:graphicData>
            </a:graphic>
          </wp:inline>
        </w:drawing>
      </w:r>
      <w:bookmarkEnd w:id="79"/>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hiearachical structure, meaning that the network can be accessed starting from any node. Due to the interlocking of the physical implementation and the internal logic of node identity and access, very fast retrieval speeds are obtained.</w:t>
      </w:r>
    </w:p>
    <w:p>
      <w:pPr>
        <w:pStyle w:val="Heading5"/>
      </w:pPr>
      <w:bookmarkStart w:id="80" w:name="navigational-paradigm"/>
      <w:r>
        <w:t xml:space="preserve">Navigational Paradigm</w:t>
      </w:r>
      <w:bookmarkEnd w:id="80"/>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 structure, they can be accessed using this navigational paradigm.</w:t>
      </w:r>
    </w:p>
    <w:p>
      <w:pPr>
        <w:pStyle w:val="Heading4"/>
      </w:pPr>
      <w:bookmarkStart w:id="81" w:name="model:relational"/>
      <w:r>
        <w:t xml:space="preserve">Relational</w:t>
      </w:r>
      <w:bookmarkEnd w:id="81"/>
    </w:p>
    <w:p>
      <w:pPr>
        <w:pStyle w:val="CaptionedFigure"/>
      </w:pPr>
      <w:bookmarkStart w:id="83"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82"/>
                    <a:stretch>
                      <a:fillRect/>
                    </a:stretch>
                  </pic:blipFill>
                  <pic:spPr bwMode="auto">
                    <a:xfrm>
                      <a:off x="0" y="0"/>
                      <a:ext cx="2540000" cy="1676400"/>
                    </a:xfrm>
                    <a:prstGeom prst="rect">
                      <a:avLst/>
                    </a:prstGeom>
                    <a:noFill/>
                    <a:ln w="9525">
                      <a:noFill/>
                      <a:headEnd/>
                      <a:tailEnd/>
                    </a:ln>
                  </pic:spPr>
                </pic:pic>
              </a:graphicData>
            </a:graphic>
          </wp:inline>
        </w:drawing>
      </w:r>
      <w:bookmarkEnd w:id="83"/>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In recent years, object relational database have emerged such as</w:t>
      </w:r>
      <w:r>
        <w:t xml:space="preserve"> </w:t>
      </w:r>
      <w:r>
        <w:t xml:space="preserve">sqlobject</w:t>
      </w:r>
      <w:r>
        <w:t xml:space="preserve">, interpreting relations as classes in the object-oriented programming paradigm.</w:t>
      </w:r>
    </w:p>
    <w:p>
      <w:pPr>
        <w:pStyle w:val="Heading4"/>
      </w:pPr>
      <w:bookmarkStart w:id="84" w:name="model:nonrelational"/>
      <w:r>
        <w:t xml:space="preserve">Non-Relational</w:t>
      </w:r>
      <w:bookmarkEnd w:id="84"/>
    </w:p>
    <w:p>
      <w:pPr>
        <w:pStyle w:val="FirstParagraph"/>
      </w:pPr>
      <w:r>
        <w:t xml:space="preserve">This is a more general type of database models where the internal structure is different from the tabular kind that the relational model presents (See</w:t>
      </w:r>
      <w:r>
        <w:t xml:space="preserve"> </w:t>
      </w:r>
      <w:hyperlink w:anchor="model:relational">
        <w:r>
          <w:rPr>
            <w:rStyle w:val="Hyperlink"/>
          </w:rPr>
          <w:t xml:space="preserve">4.2.4.3</w:t>
        </w:r>
      </w:hyperlink>
      <w:r>
        <w:t xml:space="preserve">), and they are generally referred to as</w:t>
      </w:r>
      <w:r>
        <w:t xml:space="preserve"> </w:t>
      </w:r>
      <w:r>
        <w:t xml:space="preserve">nosql</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4.2.4.7</w:t>
        </w:r>
      </w:hyperlink>
      <w:r>
        <w:t xml:space="preserve">), also called document-oriented databases such as</w:t>
      </w:r>
      <w:r>
        <w:t xml:space="preserve"> </w:t>
      </w:r>
      <w:r>
        <w:t xml:space="preserve">xml</w:t>
      </w:r>
      <w:r>
        <w:t xml:space="preserve">,</w:t>
      </w:r>
      <w:r>
        <w:t xml:space="preserve"> </w:t>
      </w:r>
      <w:r>
        <w:t xml:space="preserve">yaml</w:t>
      </w:r>
      <w:r>
        <w:t xml:space="preserve">, and</w:t>
      </w:r>
      <w:r>
        <w:t xml:space="preserve"> </w:t>
      </w:r>
      <w:r>
        <w:t xml:space="preserve">json</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4.2.4.5</w:t>
        </w:r>
      </w:hyperlink>
      <w:r>
        <w:t xml:space="preserve">); object databases (See</w:t>
      </w:r>
      <w:r>
        <w:t xml:space="preserve"> </w:t>
      </w:r>
      <w:hyperlink w:anchor="model:object">
        <w:r>
          <w:rPr>
            <w:rStyle w:val="Hyperlink"/>
          </w:rPr>
          <w:t xml:space="preserve">4.2.4.6</w:t>
        </w:r>
      </w:hyperlink>
      <w:r>
        <w:t xml:space="preserve">); and database systems using combinations of different models.</w:t>
      </w:r>
    </w:p>
    <w:p>
      <w:pPr>
        <w:pStyle w:val="Heading4"/>
      </w:pPr>
      <w:bookmarkStart w:id="85" w:name="model:graph"/>
      <w:r>
        <w:t xml:space="preserve">Graph</w:t>
      </w:r>
      <w:bookmarkEnd w:id="85"/>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Kyma, among others, present their objects as a directed graph on a canvas.</w:t>
      </w:r>
    </w:p>
    <w:p>
      <w:pPr>
        <w:pStyle w:val="Heading4"/>
      </w:pPr>
      <w:bookmarkStart w:id="86" w:name="model:object"/>
      <w:r>
        <w:t xml:space="preserve">Object</w:t>
      </w:r>
      <w:bookmarkEnd w:id="86"/>
    </w:p>
    <w:p>
      <w:pPr>
        <w:pStyle w:val="CaptionedFigure"/>
      </w:pPr>
      <w:bookmarkStart w:id="88"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87"/>
                    <a:stretch>
                      <a:fillRect/>
                    </a:stretch>
                  </pic:blipFill>
                  <pic:spPr bwMode="auto">
                    <a:xfrm>
                      <a:off x="0" y="0"/>
                      <a:ext cx="3073400" cy="3111500"/>
                    </a:xfrm>
                    <a:prstGeom prst="rect">
                      <a:avLst/>
                    </a:prstGeom>
                    <a:noFill/>
                    <a:ln w="9525">
                      <a:noFill/>
                      <a:headEnd/>
                      <a:tailEnd/>
                    </a:ln>
                  </pic:spPr>
                </pic:pic>
              </a:graphicData>
            </a:graphic>
          </wp:inline>
        </w:drawing>
      </w:r>
      <w:bookmarkEnd w:id="88"/>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89" w:name="model:semistructured"/>
      <w:r>
        <w:t xml:space="preserve">Semi-structured</w:t>
      </w:r>
      <w:bookmarkEnd w:id="89"/>
    </w:p>
    <w:p>
      <w:pPr>
        <w:pStyle w:val="CaptionedFigure"/>
      </w:pPr>
      <w:bookmarkStart w:id="91"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90"/>
                    <a:stretch>
                      <a:fillRect/>
                    </a:stretch>
                  </pic:blipFill>
                  <pic:spPr bwMode="auto">
                    <a:xfrm>
                      <a:off x="0" y="0"/>
                      <a:ext cx="5334000" cy="2873505"/>
                    </a:xfrm>
                    <a:prstGeom prst="rect">
                      <a:avLst/>
                    </a:prstGeom>
                    <a:noFill/>
                    <a:ln w="9525">
                      <a:noFill/>
                      <a:headEnd/>
                      <a:tailEnd/>
                    </a:ln>
                  </pic:spPr>
                </pic:pic>
              </a:graphicData>
            </a:graphic>
          </wp:inline>
        </w:drawing>
      </w:r>
      <w:bookmarkEnd w:id="91"/>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w:t>
      </w:r>
    </w:p>
    <w:p>
      <w:pPr>
        <w:pStyle w:val="Heading4"/>
      </w:pPr>
      <w:bookmarkStart w:id="92" w:name="model:puredata"/>
      <w:r>
        <w:t xml:space="preserve">Pure Data as Database System</w:t>
      </w:r>
      <w:bookmarkEnd w:id="92"/>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93"/>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An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General Electric;</w:t>
            </w:r>
            <w:r>
              <w:t xml:space="preserve"> </w:t>
            </w:r>
            <w:r>
              <w:t xml:space="preserve">hp</w:t>
            </w:r>
            <w:r>
              <w:t xml:space="preserve">;</w:t>
            </w:r>
            <w:r>
              <w:t xml:space="preserve"> </w:t>
            </w:r>
            <w:r>
              <w:t xml:space="preserve">unisys</w:t>
            </w:r>
            <w:r>
              <w:t xml:space="preserve"> </w:t>
            </w:r>
            <w:r>
              <w:t xml:space="preserve"> </w:t>
            </w:r>
          </w:p>
        </w:tc>
        <w:tc>
          <w:p>
            <w:pPr>
              <w:pStyle w:val="Compact"/>
              <w:jc w:val="left"/>
            </w:pPr>
            <w:r>
              <w:t xml:space="preserve">ids</w:t>
            </w:r>
            <w:r>
              <w:t xml:space="preserve">;</w:t>
            </w:r>
            <w:r>
              <w:t xml:space="preserve"> </w:t>
            </w:r>
            <w:r>
              <w:t xml:space="preserve">idms</w:t>
            </w:r>
            <w:r>
              <w:t xml:space="preserve">;</w:t>
            </w:r>
            <w:r>
              <w:t xml:space="preserve"> </w:t>
            </w:r>
            <w:r>
              <w:t xml:space="preserve">rdm</w:t>
            </w:r>
            <w:r>
              <w:t xml:space="preserve">;</w:t>
            </w:r>
            <w:r>
              <w:t xml:space="preserve"> </w:t>
            </w:r>
            <w:r>
              <w:t xml:space="preserve">turboimage</w:t>
            </w:r>
            <w:r>
              <w:t xml:space="preserve">;</w:t>
            </w:r>
            <w:r>
              <w:t xml:space="preserve"> </w:t>
            </w:r>
            <w:r>
              <w:t xml:space="preserve">os_2200</w:t>
            </w:r>
            <w:r>
              <w:t xml:space="preserve">;</w:t>
            </w:r>
            <w:r>
              <w:t xml:space="preserve"> </w:t>
            </w:r>
            <w:r>
              <w:t xml:space="preserve">nosql</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w:t>
            </w:r>
            <w:r>
              <w:t xml:space="preserve"> </w:t>
            </w:r>
            <w:r>
              <w:t xml:space="preserve">sparsity</w:t>
            </w:r>
            <w:r>
              <w:t xml:space="preserve">;  </w:t>
            </w:r>
          </w:p>
        </w:tc>
        <w:tc>
          <w:p>
            <w:pPr>
              <w:pStyle w:val="Compact"/>
              <w:jc w:val="left"/>
            </w:pPr>
            <w:r>
              <w:t xml:space="preserve">mongodb</w:t>
            </w:r>
            <w:r>
              <w:t xml:space="preserve">;</w:t>
            </w:r>
            <w:r>
              <w:t xml:space="preserve"> </w:t>
            </w:r>
            <w:r>
              <w:t xml:space="preserve">redis</w:t>
            </w:r>
            <w:r>
              <w:t xml:space="preserve">;</w:t>
            </w:r>
            <w:r>
              <w:t xml:space="preserve"> </w:t>
            </w:r>
            <w:r>
              <w:t xml:space="preserve">cassandra</w:t>
            </w:r>
            <w:r>
              <w:t xml:space="preserve">;</w:t>
            </w:r>
            <w:r>
              <w:t xml:space="preserve"> </w:t>
            </w:r>
            <w:r>
              <w:t xml:space="preserve">sparksee</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w:t>
            </w:r>
            <w:r>
              <w:t xml:space="preserve"> </w:t>
            </w:r>
            <w:r>
              <w:t xml:space="preserve">oracle</w:t>
            </w:r>
            <w:r>
              <w:t xml:space="preserve">;</w:t>
            </w:r>
            <w:r>
              <w:t xml:space="preserve"> </w:t>
            </w:r>
            <w:r>
              <w:t xml:space="preserve">postgresql</w:t>
            </w:r>
            <w:r>
              <w:t xml:space="preserve">;</w:t>
            </w:r>
            <w:r>
              <w:t xml:space="preserve"> </w:t>
            </w:r>
            <w:r>
              <w:t xml:space="preserve">access</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w:t>
            </w:r>
            <w:r>
              <w:t xml:space="preserve"> </w:t>
            </w:r>
            <w:r>
              <w:t xml:space="preserve">apache</w:t>
            </w:r>
            <w:r>
              <w:t xml:space="preserve">; Amazon  </w:t>
            </w:r>
          </w:p>
        </w:tc>
        <w:tc>
          <w:p>
            <w:pPr>
              <w:pStyle w:val="Compact"/>
              <w:jc w:val="left"/>
            </w:pPr>
            <w:r>
              <w:t xml:space="preserve">neo4j</w:t>
            </w:r>
            <w:r>
              <w:t xml:space="preserve">; Oracle Spatial and Graph;</w:t>
            </w:r>
            <w:r>
              <w:t xml:space="preserve"> </w:t>
            </w:r>
            <w:r>
              <w:t xml:space="preserve">arangodb</w:t>
            </w:r>
            <w:r>
              <w:t xml:space="preserve">; Amazon Neptune;</w:t>
            </w:r>
            <w:r>
              <w:t xml:space="preserve"> </w:t>
            </w:r>
            <w:r>
              <w:t xml:space="preserve">boost</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smalltalk</w:t>
            </w:r>
            <w:r>
              <w:t xml:space="preserve">); Gbase (</w:t>
            </w:r>
            <w:r>
              <w:t xml:space="preserve">lisp</w:t>
            </w:r>
            <w:r>
              <w:t xml:space="preserve">);</w:t>
            </w:r>
            <w:r>
              <w:t xml:space="preserve"> </w:t>
            </w:r>
            <w:r>
              <w:t xml:space="preserve">couchdb</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w:t>
            </w:r>
            <w:r>
              <w:t xml:space="preserve"> </w:t>
            </w:r>
            <w:r>
              <w:t xml:space="preserve">sap_hana</w:t>
            </w:r>
            <w:r>
              <w:t xml:space="preserve">; EXASolution; WebDNA</w:t>
            </w:r>
          </w:p>
        </w:tc>
      </w:tr>
    </w:tbl>
    <w:p>
      <w:pPr>
        <w:pStyle w:val="Heading2"/>
      </w:pPr>
      <w:bookmarkStart w:id="94" w:name="X1c28eb4bd7a5a8657f4f02cad1efaabac1f8270"/>
      <w:r>
        <w:t xml:space="preserve">Databasing Sound: Applications Of Databases In Sound</w:t>
      </w:r>
      <w:bookmarkEnd w:id="94"/>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95"/>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96" w:name="img:mir_comp_sonif_interaction"/>
      <w:r>
        <w:t xml:space="preserve">[img:mir_comp_sonif_interaction]</w:t>
      </w:r>
      <w:bookmarkEnd w:id="96"/>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shedding some light to this inherent aspect of computers we can arrive at a clearer notion of how databases sound. Particularly, by placing the database along a visibility continuum, we may find a reverse relation with audibility: the more invisible the database, the more present its sound. By this I do not argue in favor of neither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 As I hope to demonstrate, there are overt and covert uses of the database, but the database is ubiquitous in all computer practices (See Figure</w:t>
      </w:r>
      <w:r>
        <w:t xml:space="preserve"> </w:t>
      </w:r>
      <w:hyperlink w:anchor="img:mir_comp_sonif_interaction">
        <w:r>
          <w:rPr>
            <w:rStyle w:val="Hyperlink"/>
          </w:rPr>
          <w:t xml:space="preserve">[img:mir_comp_sonif_interaction]</w:t>
        </w:r>
      </w:hyperlink>
      <w:r>
        <w:t xml:space="preserve">).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sonification, and computer music.</w:t>
      </w:r>
    </w:p>
    <w:p>
      <w:pPr>
        <w:pStyle w:val="Heading3"/>
      </w:pPr>
      <w:bookmarkStart w:id="97" w:name="mir"/>
      <w:r>
        <w:t xml:space="preserve">Music Information Retrieval</w:t>
      </w:r>
      <w:bookmarkEnd w:id="97"/>
    </w:p>
    <w:p>
      <w:pPr>
        <w:pStyle w:val="FirstParagraph"/>
      </w:pPr>
      <w:r>
        <w:t xml:space="preserve">In</w:t>
      </w:r>
      <w:r>
        <w:t xml:space="preserve"> </w:t>
      </w:r>
      <w:r>
        <w:t xml:space="preserve">mir</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99"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98"/>
                    <a:stretch>
                      <a:fillRect/>
                    </a:stretch>
                  </pic:blipFill>
                  <pic:spPr bwMode="auto">
                    <a:xfrm>
                      <a:off x="0" y="0"/>
                      <a:ext cx="2743200" cy="1435100"/>
                    </a:xfrm>
                    <a:prstGeom prst="rect">
                      <a:avLst/>
                    </a:prstGeom>
                    <a:noFill/>
                    <a:ln w="9525">
                      <a:noFill/>
                      <a:headEnd/>
                      <a:tailEnd/>
                    </a:ln>
                  </pic:spPr>
                </pic:pic>
              </a:graphicData>
            </a:graphic>
          </wp:inline>
        </w:drawing>
      </w:r>
      <w:bookmarkEnd w:id="99"/>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’s</w:t>
      </w:r>
      <w:r>
        <w:t xml:space="preserve"> </w:t>
      </w:r>
      <w:r>
        <w:t xml:space="preserve">telemeta</w:t>
      </w:r>
      <w:r>
        <w:t xml:space="preserve">, both collaborative database systems: the first two for general sound file sharing and classification, the latter for ethno-musicological pursposes.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4.3.3.2</w:t>
        </w:r>
      </w:hyperlink>
      <w:r>
        <w:t xml:space="preserve">). Some examples of these notation databases can be the Polish folk 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100"/>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102"/>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103" w:name="sonification"/>
      <w:r>
        <w:t xml:space="preserve">Sonification</w:t>
      </w:r>
      <w:bookmarkEnd w:id="103"/>
    </w:p>
    <w:p>
      <w:pPr>
        <w:pStyle w:val="CaptionedFigure"/>
      </w:pPr>
      <w:bookmarkStart w:id="105"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104"/>
                    <a:stretch>
                      <a:fillRect/>
                    </a:stretch>
                  </pic:blipFill>
                  <pic:spPr bwMode="auto">
                    <a:xfrm>
                      <a:off x="0" y="0"/>
                      <a:ext cx="2019300" cy="1879600"/>
                    </a:xfrm>
                    <a:prstGeom prst="rect">
                      <a:avLst/>
                    </a:prstGeom>
                    <a:noFill/>
                    <a:ln w="9525">
                      <a:noFill/>
                      <a:headEnd/>
                      <a:tailEnd/>
                    </a:ln>
                  </pic:spPr>
                </pic:pic>
              </a:graphicData>
            </a:graphic>
          </wp:inline>
        </w:drawing>
      </w:r>
      <w:bookmarkEnd w:id="105"/>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106"/>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07" w:name="sonification:parametermapping"/>
      <w:r>
        <w:t xml:space="preserve">Parameter mapping</w:t>
      </w:r>
      <w:bookmarkEnd w:id="107"/>
    </w:p>
    <w:p>
      <w:pPr>
        <w:pStyle w:val="Heading5"/>
      </w:pPr>
      <w:bookmarkStart w:id="108" w:name="dow"/>
      <w:r>
        <w:t xml:space="preserve">DOW</w:t>
      </w:r>
      <w:bookmarkEnd w:id="108"/>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09"/>
      </w:r>
    </w:p>
    <w:p>
      <w:pPr>
        <w:pStyle w:val="Heading5"/>
      </w:pPr>
      <w:bookmarkStart w:id="110" w:name="medical-images"/>
      <w:r>
        <w:t xml:space="preserve">Medical Images</w:t>
      </w:r>
      <w:bookmarkEnd w:id="110"/>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11" w:name="sonification:model"/>
      <w:r>
        <w:t xml:space="preserve">Model-based sonification</w:t>
      </w:r>
      <w:bookmarkEnd w:id="111"/>
    </w:p>
    <w:p>
      <w:pPr>
        <w:pStyle w:val="Heading5"/>
      </w:pPr>
      <w:bookmarkStart w:id="112" w:name="space"/>
      <w:r>
        <w:t xml:space="preserve">Space</w:t>
      </w:r>
      <w:bookmarkEnd w:id="112"/>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13" w:name="sonification:artistic"/>
      <w:r>
        <w:t xml:space="preserve">Artistic sonification</w:t>
      </w:r>
      <w:bookmarkEnd w:id="113"/>
    </w:p>
    <w:p>
      <w:pPr>
        <w:pStyle w:val="Heading5"/>
      </w:pPr>
      <w:bookmarkStart w:id="114" w:name="wolves"/>
      <w:r>
        <w:t xml:space="preserve">Wolves</w:t>
      </w:r>
      <w:bookmarkEnd w:id="114"/>
    </w:p>
    <w:p>
      <w:pPr>
        <w:pStyle w:val="FirstParagraph"/>
      </w:pPr>
      <w:r>
        <w:t xml:space="preserve">Klein (1998)</w:t>
      </w:r>
      <w:r>
        <w:t xml:space="preserve"> </w:t>
      </w:r>
      <w:r>
        <w:t xml:space="preserve">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5"/>
      </w:pPr>
      <w:bookmarkStart w:id="115" w:name="selva"/>
      <w:r>
        <w:t xml:space="preserve">Selva</w:t>
      </w:r>
      <w:bookmarkEnd w:id="115"/>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5"/>
      </w:pPr>
      <w:bookmarkStart w:id="116" w:name="ocean"/>
      <w:r>
        <w:t xml:space="preserve">Ocean</w:t>
      </w:r>
      <w:bookmarkEnd w:id="116"/>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5"/>
      </w:pPr>
      <w:bookmarkStart w:id="117" w:name="molecules"/>
      <w:r>
        <w:t xml:space="preserve">Molecules</w:t>
      </w:r>
      <w:bookmarkEnd w:id="117"/>
    </w:p>
    <w:p>
      <w:pPr>
        <w:pStyle w:val="FirstParagraph"/>
      </w:pP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a database holding</w:t>
      </w:r>
      <w:r>
        <w:t xml:space="preserve"> </w:t>
      </w:r>
      <w:r>
        <w:t xml:space="preserve">nmr</w:t>
      </w:r>
      <w:r>
        <w:t xml:space="preserve"> </w:t>
      </w:r>
      <w:r>
        <w:t xml:space="preserve">spectroscopies of molecules.</w:t>
      </w:r>
    </w:p>
    <w:p>
      <w:pPr>
        <w:pStyle w:val="Heading5"/>
      </w:pPr>
      <w:bookmarkStart w:id="118" w:name="gender-distribution"/>
      <w:r>
        <w:t xml:space="preserve">Gender Distribution</w:t>
      </w:r>
      <w:bookmarkEnd w:id="118"/>
    </w:p>
    <w:p>
      <w:pPr>
        <w:pStyle w:val="FirstParagraph"/>
      </w:pP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w:t>
      </w:r>
      <w:r>
        <w:t xml:space="preserve"> </w:t>
      </w:r>
      <w:r>
        <w:t xml:space="preserve">nime</w:t>
      </w:r>
      <w:r>
        <w:t xml:space="preserve">, and</w:t>
      </w:r>
      <w:r>
        <w:t xml:space="preserve"> </w:t>
      </w:r>
      <w:r>
        <w:t xml:space="preserve">smc</w:t>
      </w:r>
      <w:r>
        <w:t xml:space="preserve">. By assigning polar frequency ranges for each group (male and female), her sonification emphasizes the significant inequality of gender in the resulting acoustic stream segregation into male background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19" w:name="sonification:installations"/>
      <w:r>
        <w:t xml:space="preserve">Sonification Installations</w:t>
      </w:r>
      <w:bookmarkEnd w:id="119"/>
    </w:p>
    <w:p>
      <w:pPr>
        <w:pStyle w:val="Heading5"/>
      </w:pPr>
      <w:bookmarkStart w:id="120" w:name="ip-based-soundscape"/>
      <w:r>
        <w:t xml:space="preserve">IP-based soundscape</w:t>
      </w:r>
      <w:bookmarkEnd w:id="120"/>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ip</w:t>
      </w:r>
      <w:r>
        <w:t xml:space="preserve"> </w:t>
      </w:r>
      <w:r>
        <w:t xml:space="preserve">to frequency) to the more abstract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5"/>
      </w:pPr>
      <w:bookmarkStart w:id="121" w:name="earthquakes"/>
      <w:r>
        <w:t xml:space="preserve">Earthquakes</w:t>
      </w:r>
      <w:bookmarkEnd w:id="121"/>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5"/>
      </w:pPr>
      <w:bookmarkStart w:id="122" w:name="gpu-based-waveforms"/>
      <w:r>
        <w:t xml:space="preserve">GPU-based waveforms</w:t>
      </w:r>
      <w:bookmarkEnd w:id="122"/>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In order to carry this out, they used the Metal API</w:t>
      </w:r>
      <w:r>
        <w:rPr>
          <w:rStyle w:val="FootnoteReference"/>
        </w:rPr>
        <w:footnoteReference w:id="123"/>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25"/>
      </w:r>
      <w:r>
        <w:t xml:space="preserve">, they used the generated waveforms as a database, composing each waveform together with their visual generators as a collage.</w:t>
      </w:r>
    </w:p>
    <w:p>
      <w:pPr>
        <w:pStyle w:val="Heading5"/>
      </w:pPr>
      <w:bookmarkStart w:id="127" w:name="ucanny-faces"/>
      <w:r>
        <w:t xml:space="preserve">Ucanny Faces</w:t>
      </w:r>
      <w:bookmarkEnd w:id="127"/>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w:t>
      </w:r>
    </w:p>
    <w:p>
      <w:pPr>
        <w:pStyle w:val="Heading4"/>
      </w:pPr>
      <w:bookmarkStart w:id="128" w:name="sonification:software"/>
      <w:r>
        <w:t xml:space="preserve">Sonification Software</w:t>
      </w:r>
      <w:bookmarkEnd w:id="128"/>
    </w:p>
    <w:p>
      <w:pPr>
        <w:pStyle w:val="Heading5"/>
      </w:pPr>
      <w:bookmarkStart w:id="129" w:name="sonart"/>
      <w:r>
        <w:t xml:space="preserve">SonArt</w:t>
      </w:r>
      <w:bookmarkEnd w:id="129"/>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5"/>
      </w:pPr>
      <w:bookmarkStart w:id="130" w:name="dataplayer"/>
      <w:r>
        <w:t xml:space="preserve">DataPlayer</w:t>
      </w:r>
      <w:bookmarkEnd w:id="130"/>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5"/>
      </w:pPr>
      <w:bookmarkStart w:id="131" w:name="madbpm"/>
      <w:r>
        <w:t xml:space="preserve">madBPM</w:t>
      </w:r>
      <w:bookmarkEnd w:id="131"/>
    </w:p>
    <w:p>
      <w:pPr>
        <w:pStyle w:val="FirstParagraph"/>
      </w:pPr>
      <w:r>
        <w:t xml:space="preserve">Fox et al. (2017)</w:t>
      </w:r>
      <w:r>
        <w:t xml:space="preserve"> </w:t>
      </w:r>
      <w:r>
        <w:t xml:space="preserve">devised</w:t>
      </w:r>
      <w:r>
        <w:t xml:space="preserve"> </w:t>
      </w:r>
      <w:r>
        <w:t xml:space="preserve">madbpm</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Pauletto &amp; Hunt (2004a,b; Beilharz &amp; Ferguson 2009, Hildebrandt et al. 2014, Lodha et al. 1998, Vicinanza 2006, Walker &amp; Cothran 2003, Worrall et al. 2007)</w:t>
      </w:r>
    </w:p>
    <w:p>
      <w:pPr>
        <w:pStyle w:val="Heading3"/>
      </w:pPr>
      <w:bookmarkStart w:id="132" w:name="computer_music"/>
      <w:r>
        <w:t xml:space="preserve">Computer Music</w:t>
      </w:r>
      <w:bookmarkEnd w:id="132"/>
    </w:p>
    <w:p>
      <w:pPr>
        <w:pStyle w:val="FirstParagraph"/>
      </w:pPr>
      <w:r>
        <w:t xml:space="preserve">Computer music software is computer music’s playground. Composing and programming blend into different forms of play that can be understood by a closer look of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34"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33"/>
                    <a:stretch>
                      <a:fillRect/>
                    </a:stretch>
                  </pic:blipFill>
                  <pic:spPr bwMode="auto">
                    <a:xfrm>
                      <a:off x="0" y="0"/>
                      <a:ext cx="1181100" cy="863600"/>
                    </a:xfrm>
                    <a:prstGeom prst="rect">
                      <a:avLst/>
                    </a:prstGeom>
                    <a:noFill/>
                    <a:ln w="9525">
                      <a:noFill/>
                      <a:headEnd/>
                      <a:tailEnd/>
                    </a:ln>
                  </pic:spPr>
                </pic:pic>
              </a:graphicData>
            </a:graphic>
          </wp:inline>
        </w:drawing>
      </w:r>
      <w:bookmarkEnd w:id="134"/>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35" w:name="computer:sssp"/>
      <w:r>
        <w:t xml:space="preserve">Hierarchical environments</w:t>
      </w:r>
      <w:bookmarkEnd w:id="135"/>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5"/>
      </w:pPr>
      <w:bookmarkStart w:id="136" w:name="reducing-cognitive-burden"/>
      <w:r>
        <w:t xml:space="preserve">Reducing cognitive burden</w:t>
      </w:r>
      <w:bookmarkEnd w:id="136"/>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both failed as software, the former on account of their personalization and formalization, and the latter on their lack of interactivity. On his later interdisciplinary venture called</w:t>
      </w:r>
      <w:r>
        <w:t xml:space="preserve"> </w:t>
      </w:r>
      <w:r>
        <w:t xml:space="preserve">sssp</w:t>
      </w:r>
      <w:r>
        <w:t xml:space="preserve">, he focused on</w:t>
      </w:r>
      <w:r>
        <w:t xml:space="preserve"> </w:t>
      </w:r>
      <w:r>
        <w:t xml:space="preserve">hci</w:t>
      </w:r>
      <w:r>
        <w:t xml:space="preserve"> </w:t>
      </w:r>
      <w:r>
        <w:t xml:space="preserve">—a field in its very early stages in 1978—</w:t>
      </w:r>
      <w:r>
        <w:rPr>
          <w:rStyle w:val="FootnoteReference"/>
        </w:rPr>
        <w:footnoteReference w:id="137"/>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Buxton delimited the scope of action of the composer.</w:t>
      </w:r>
    </w:p>
    <w:p>
      <w:pPr>
        <w:pStyle w:val="Heading5"/>
      </w:pPr>
      <w:bookmarkStart w:id="138" w:name="a-hierarchical-representation"/>
      <w:r>
        <w:t xml:space="preserve">A Hierarchical Representation</w:t>
      </w:r>
      <w:bookmarkEnd w:id="138"/>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w:t>
      </w:r>
      <w:r>
        <w:t xml:space="preserve">(Xenakis 1992)</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4.3.3.1.6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4.2.3.0.2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5"/>
      </w:pPr>
      <w:bookmarkStart w:id="139" w:name="black-boxing"/>
      <w:r>
        <w:t xml:space="preserve">Black-boxing</w:t>
      </w:r>
      <w:bookmarkEnd w:id="139"/>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is the possibility condition for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4.1.5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5"/>
      </w:pPr>
      <w:bookmarkStart w:id="140" w:name="computer:free"/>
      <w:r>
        <w:t xml:space="preserve">Generality and Portability</w:t>
      </w:r>
      <w:bookmarkEnd w:id="140"/>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Free’s programming philosophy called for generality, portability, and simplicity. Due to</w:t>
      </w:r>
      <w:r>
        <w:t xml:space="preserve"> </w:t>
      </w:r>
      <w:r>
        <w:t xml:space="preserve">sssp</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4.2.2.0.3</w:t>
        </w:r>
      </w:hyperlink>
      <w:r>
        <w:t xml:space="preserve">), which moved him to create higher levels of software abstractions, so that software continued to live on in newer hardware. Free also developed</w:t>
      </w:r>
      <w:r>
        <w:t xml:space="preserve"> </w:t>
      </w:r>
      <w:r>
        <w:t xml:space="preserve">scriva</w:t>
      </w:r>
      <w:r>
        <w:t xml:space="preserve">,</w:t>
      </w:r>
      <w:r>
        <w:t xml:space="preserve"> </w:t>
      </w:r>
      <w:r>
        <w:t xml:space="preserve">sssp</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5"/>
      </w:pPr>
      <w:bookmarkStart w:id="141" w:name="computer:vanilla"/>
      <w:r>
        <w:t xml:space="preserve">Simplification</w:t>
      </w:r>
      <w:bookmarkEnd w:id="141"/>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simultaneous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5"/>
      </w:pPr>
      <w:bookmarkStart w:id="142" w:name="computer:balance"/>
      <w:r>
        <w:t xml:space="preserve">Balance</w:t>
      </w:r>
      <w:bookmarkEnd w:id="142"/>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43"/>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44" w:name="img:truax_generality_b"/>
      <w:r>
        <w:t xml:space="preserve">[img:truax_generality_b]</w:t>
      </w:r>
      <w:bookmarkEnd w:id="144"/>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45" w:name="applications:notation"/>
      <w:r>
        <w:t xml:space="preserve">Music Notation Software</w:t>
      </w:r>
      <w:bookmarkEnd w:id="145"/>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w:t>
      </w:r>
      <w:r>
        <w:t xml:space="preserve"> </w:t>
      </w:r>
      <w:r>
        <w:t xml:space="preserve">musicxml</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5"/>
      </w:pPr>
      <w:bookmarkStart w:id="146" w:name="darms-and-score"/>
      <w:r>
        <w:t xml:space="preserve">DARMS and SCORE</w:t>
      </w:r>
      <w:bookmarkEnd w:id="146"/>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5"/>
      </w:pPr>
      <w:bookmarkStart w:id="147" w:name="from-staves-to-speakers"/>
      <w:r>
        <w:t xml:space="preserve">From Staves to Speakers</w:t>
      </w:r>
      <w:bookmarkEnd w:id="147"/>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5"/>
      </w:pPr>
      <w:bookmarkStart w:id="148" w:name="theoretical-performance"/>
      <w:r>
        <w:t xml:space="preserve">Theoretical Performance</w:t>
      </w:r>
      <w:bookmarkEnd w:id="148"/>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49" w:name="enter-objects"/>
      <w:r>
        <w:t xml:space="preserve">Enter Objects</w:t>
      </w:r>
      <w:bookmarkEnd w:id="149"/>
    </w:p>
    <w:p>
      <w:pPr>
        <w:pStyle w:val="CaptionedFigure"/>
      </w:pPr>
      <w:bookmarkStart w:id="151" w:name="img:realtime"/>
      <w:r>
        <w:drawing>
          <wp:inline>
            <wp:extent cx="5334000" cy="1616153"/>
            <wp:effectExtent b="0" l="0" r="0" t="0"/>
            <wp:docPr descr="A real-time version of music-11."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50"/>
                    <a:stretch>
                      <a:fillRect/>
                    </a:stretch>
                  </pic:blipFill>
                  <pic:spPr bwMode="auto">
                    <a:xfrm>
                      <a:off x="0" y="0"/>
                      <a:ext cx="5334000" cy="1616153"/>
                    </a:xfrm>
                    <a:prstGeom prst="rect">
                      <a:avLst/>
                    </a:prstGeom>
                    <a:noFill/>
                    <a:ln w="9525">
                      <a:noFill/>
                      <a:headEnd/>
                      <a:tailEnd/>
                    </a:ln>
                  </pic:spPr>
                </pic:pic>
              </a:graphicData>
            </a:graphic>
          </wp:inline>
        </w:drawing>
      </w:r>
      <w:bookmarkEnd w:id="151"/>
    </w:p>
    <w:p>
      <w:pPr>
        <w:pStyle w:val="ImageCaption"/>
      </w:pPr>
      <w:r>
        <w:t xml:space="preserve">A real-time version of</w:t>
      </w:r>
      <w:r>
        <w:t xml:space="preserve"> </w:t>
      </w:r>
      <w:r>
        <w:t xml:space="preserve">music-11</w:t>
      </w:r>
      <w:r>
        <w:t xml:space="preserve">.</w:t>
      </w:r>
    </w:p>
    <w:p>
      <w:pPr>
        <w:pStyle w:val="BodyText"/>
      </w:pPr>
      <w:r>
        <w:t xml:space="preserve">A bodyless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5"/>
      </w:pPr>
      <w:bookmarkStart w:id="152" w:name="computer:real-time"/>
      <w:r>
        <w:t xml:space="preserve">Max</w:t>
      </w:r>
      <w:bookmarkEnd w:id="152"/>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and a growing interest among composers and programmers circled around real-time computer music software (See Figure</w:t>
      </w:r>
      <w:r>
        <w:t xml:space="preserve"> </w:t>
      </w:r>
      <w:hyperlink w:anchor="img:realtime">
        <w:r>
          <w:rPr>
            <w:rStyle w:val="Hyperlink"/>
          </w:rPr>
          <w:t xml:space="preserve">4.12</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53"/>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5"/>
      </w:pPr>
      <w:bookmarkStart w:id="154" w:name="computer:kyma"/>
      <w:r>
        <w:t xml:space="preserve">Kyma</w:t>
      </w:r>
      <w:bookmarkEnd w:id="154"/>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circumvent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55"/>
      </w:r>
    </w:p>
    <w:p>
      <w:pPr>
        <w:pStyle w:val="Heading5"/>
      </w:pPr>
      <w:bookmarkStart w:id="157" w:name="computer:puredata"/>
      <w:r>
        <w:t xml:space="preserve">Pure Data</w:t>
      </w:r>
      <w:bookmarkEnd w:id="157"/>
    </w:p>
    <w:p>
      <w:pPr>
        <w:pStyle w:val="FirstParagraph"/>
      </w:pPr>
      <w:r>
        <w:t xml:space="preserve">Ten years after</w:t>
      </w:r>
      <w:r>
        <w:t xml:space="preserve"> </w:t>
      </w:r>
      <w:r>
        <w:t xml:space="preserve">max</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5"/>
      </w:pPr>
      <w:bookmarkStart w:id="158" w:name="graphic_scores"/>
      <w:r>
        <w:t xml:space="preserve">Graphic Scores</w:t>
      </w:r>
      <w:bookmarkEnd w:id="158"/>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w:t>
      </w:r>
      <w:r>
        <w:rPr>
          <w:rStyle w:val="FootnoteReference"/>
        </w:rPr>
        <w:footnoteReference w:id="159"/>
      </w:r>
      <w:r>
        <w:t xml:space="preserve"> </w:t>
      </w:r>
      <w:r>
        <w:t xml:space="preserve">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4.3.3.3.4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5"/>
      </w:pPr>
      <w:bookmarkStart w:id="160" w:name="openmusic"/>
      <w:r>
        <w:t xml:space="preserve">OpenMusic</w:t>
      </w:r>
      <w:bookmarkEnd w:id="160"/>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5"/>
      </w:pPr>
      <w:bookmarkStart w:id="161" w:name="heaps-and-nodes"/>
      <w:r>
        <w:t xml:space="preserve">Heaps and Nodes</w:t>
      </w:r>
      <w:bookmarkEnd w:id="161"/>
    </w:p>
    <w:p>
      <w:pPr>
        <w:pStyle w:val="FirstParagraph"/>
      </w:pPr>
      <w:r>
        <w:t xml:space="preserve">Garton &amp; Topper (1997)</w:t>
      </w:r>
      <w:r>
        <w:t xml:space="preserve"> </w:t>
      </w:r>
      <w:r>
        <w:t xml:space="preserve">presented</w:t>
      </w:r>
      <w:r>
        <w:t xml:space="preserve"> </w:t>
      </w:r>
      <w:r>
        <w:t xml:space="preserve">rtcmix</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hierarchy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62" w:name="applications"/>
      <w:r>
        <w:t xml:space="preserve">Intersections</w:t>
      </w:r>
      <w:bookmarkEnd w:id="162"/>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63" w:name="corpus-based-approaches"/>
      <w:r>
        <w:t xml:space="preserve">Corpus-based Approaches</w:t>
      </w:r>
      <w:bookmarkEnd w:id="163"/>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5"/>
      </w:pPr>
      <w:bookmarkStart w:id="164" w:name="concatenative-synthesis"/>
      <w:r>
        <w:t xml:space="preserve">Concatenative Synthesis</w:t>
      </w:r>
      <w:bookmarkEnd w:id="164"/>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5"/>
      </w:pPr>
      <w:bookmarkStart w:id="165" w:name="other-approaches"/>
      <w:r>
        <w:t xml:space="preserve">Other approaches</w:t>
      </w:r>
      <w:bookmarkEnd w:id="165"/>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66"/>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5"/>
      </w:pPr>
      <w:bookmarkStart w:id="167" w:name="software-libraries"/>
      <w:r>
        <w:t xml:space="preserve">Software Libraries</w:t>
      </w:r>
      <w:bookmarkEnd w:id="167"/>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William Brent’s research on timbre analysis developed into a timbre description library for Pure Data called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ony one of them is concatenative synthesis.</w:t>
      </w:r>
    </w:p>
    <w:p>
      <w:pPr>
        <w:pStyle w:val="Heading4"/>
      </w:pPr>
      <w:bookmarkStart w:id="168" w:name="querying-methods"/>
      <w:r>
        <w:t xml:space="preserve">Querying Methods</w:t>
      </w:r>
      <w:bookmarkEnd w:id="168"/>
    </w:p>
    <w:p>
      <w:pPr>
        <w:pStyle w:val="Heading5"/>
      </w:pPr>
      <w:bookmarkStart w:id="169" w:name="query-by-content"/>
      <w:r>
        <w:t xml:space="preserve">Query-by-content</w:t>
      </w:r>
      <w:bookmarkEnd w:id="169"/>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5"/>
      </w:pPr>
      <w:bookmarkStart w:id="170" w:name="similarity-based"/>
      <w:r>
        <w:t xml:space="preserve">Similarity-based</w:t>
      </w:r>
      <w:bookmarkEnd w:id="170"/>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71"/>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72"/>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5"/>
      </w:pPr>
      <w:bookmarkStart w:id="173" w:name="applications:hybrid_queries"/>
      <w:r>
        <w:t xml:space="preserve">Hybrid Queries</w:t>
      </w:r>
      <w:bookmarkEnd w:id="173"/>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variant of Max Mathews’s</w:t>
      </w:r>
      <w:r>
        <w:t xml:space="preserve"> </w:t>
      </w:r>
      <w:r>
        <w:rPr>
          <w:i/>
        </w:rPr>
        <w:t xml:space="preserve">Radio Batton</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Oliver &amp; Jenkins (2008)</w:t>
      </w:r>
      <w:r>
        <w:t xml:space="preserve"> </w:t>
      </w:r>
      <w:r>
        <w:t xml:space="preserve">presented a controller composed of an elastic head suspended along the rim of an empty drum shell. The player presses the head making different shapes with the hand, fingers, or malletes, and</w:t>
      </w:r>
      <w:r>
        <w:t xml:space="preserve"> </w:t>
      </w:r>
      <w:r>
        <w:t xml:space="preserve">“</w:t>
      </w:r>
      <w:r>
        <w:t xml:space="preserve">these shapes are captured by a video camera that sends these images to the computer, which analyzes them and outputs the tracked parameters</w:t>
      </w:r>
      <w:r>
        <w:t xml:space="preserve">”</w:t>
      </w:r>
      <w:r>
        <w:t xml:space="preserve"> </w:t>
      </w:r>
      <w:r>
        <w:t xml:space="preserve">(Oliver &amp; Jenkins 2008, p. 1)</w:t>
      </w:r>
      <w:r>
        <w:t xml:space="preserve">. This instrument enabled a possibility for</w:t>
      </w:r>
      <w:r>
        <w:t xml:space="preserve"> </w:t>
      </w:r>
      <w:r>
        <w:t xml:space="preserve">“</w:t>
      </w:r>
      <w:r>
        <w:t xml:space="preserve">dissociating gesture with sound</w:t>
      </w:r>
      <w:r>
        <w:t xml:space="preserve">”</w:t>
      </w:r>
      <w:r>
        <w:t xml:space="preserve"> </w:t>
      </w:r>
      <w:r>
        <w:t xml:space="preserve">(Oliver &amp; Jenkins 2008, p. 1)</w:t>
      </w:r>
      <w:r>
        <w:t xml:space="preserve">. That is to say, gestures whose sound could be visually anticipated (the hitting of a drum) were extended by micro-gestures only vissible to the camera sensor. Further, in contrast with acoustic drums, with the silent drum “one can manipulate continuous sounds through a new gestural vocabulary</w:t>
      </w:r>
      <w:r>
        <w:t xml:space="preserve"> </w:t>
      </w:r>
      <w:r>
        <w:t xml:space="preserve">(Oliver &amp; Jenkins 2008, p. 1)</w:t>
      </w:r>
      <w:r>
        <w:t xml:space="preserve">. Oliver La Rosa developed the sensing algorithm into a</w:t>
      </w:r>
      <w:r>
        <w:t xml:space="preserve"> </w:t>
      </w:r>
      <w:r>
        <w:t xml:space="preserve">gem</w:t>
      </w:r>
      <w:r>
        <w:t xml:space="preserve"> </w:t>
      </w:r>
      <w:r>
        <w:t xml:space="preserve">external called , and later moved on to , where he removed the fabric and focused on what he calls</w:t>
      </w:r>
      <w:r>
        <w:t xml:space="preserve"> </w:t>
      </w:r>
      <w:r>
        <w:t xml:space="preserve">“</w:t>
      </w:r>
      <w:r>
        <w:t xml:space="preserve">direct hand-tracking</w:t>
      </w:r>
      <w:r>
        <w:t xml:space="preserve">”</w:t>
      </w:r>
      <w:r>
        <w:t xml:space="preserve"> </w:t>
      </w:r>
      <w:r>
        <w:t xml:space="preserve">(Oliver 2010)</w:t>
      </w:r>
      <w:r>
        <w:t xml:space="preserve"> </w:t>
      </w:r>
      <w:r>
        <w:t xml:space="preserve">(See</w:t>
      </w:r>
      <w:r>
        <w:t xml:space="preserve"> </w:t>
      </w:r>
      <w:hyperlink w:anchor="inoperativity">
        <w:r>
          <w:rPr>
            <w:rStyle w:val="Hyperlink"/>
          </w:rPr>
          <w:t xml:space="preserve">5.1.4</w:t>
        </w:r>
      </w:hyperlink>
      <w:r>
        <w:t xml:space="preserve">).</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74" w:name="traversing-methods"/>
      <w:r>
        <w:t xml:space="preserve">Traversing Methods</w:t>
      </w:r>
      <w:bookmarkEnd w:id="174"/>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-dimensional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5"/>
      </w:pPr>
      <w:bookmarkStart w:id="175" w:name="sensorial-networks"/>
      <w:r>
        <w:t xml:space="preserve">Sensorial Networks</w:t>
      </w:r>
      <w:bookmarkEnd w:id="175"/>
    </w:p>
    <w:p>
      <w:pPr>
        <w:pStyle w:val="FirstParagraph"/>
      </w:pPr>
      <w:r>
        <w:t xml:space="preserve">Insook</w:t>
      </w:r>
      <w:r>
        <w:t xml:space="preserve"> </w:t>
      </w:r>
      <w:r>
        <w:t xml:space="preserve">Choi et al. (2000)</w:t>
      </w:r>
      <w:r>
        <w:t xml:space="preserve"> </w:t>
      </w:r>
      <w:r>
        <w:t xml:space="preserve">presented an interactive installation</w:t>
      </w:r>
      <w:r>
        <w:t xml:space="preserve"> </w:t>
      </w:r>
      <w:r>
        <w:t xml:space="preserve">(Choi 2000)</w:t>
      </w:r>
      <w:r>
        <w:t xml:space="preserve"> </w:t>
      </w:r>
      <w:r>
        <w:t xml:space="preserve">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5"/>
      </w:pPr>
      <w:bookmarkStart w:id="176" w:name="involuntary-navigation"/>
      <w:r>
        <w:t xml:space="preserve">Involuntary Navigation</w:t>
      </w:r>
      <w:bookmarkEnd w:id="176"/>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through voluntary and involuntary agents that intertwine composition, interaction, and performance.</w:t>
      </w:r>
    </w:p>
    <w:p>
      <w:pPr>
        <w:pStyle w:val="Heading5"/>
      </w:pPr>
      <w:bookmarkStart w:id="177" w:name="networked-collaborations"/>
      <w:r>
        <w:t xml:space="preserve">Networked Collaborations</w:t>
      </w:r>
      <w:bookmarkEnd w:id="177"/>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such as</w:t>
      </w:r>
      <w:r>
        <w:t xml:space="preserve"> </w:t>
      </w:r>
      <w:r>
        <w:t xml:space="preserve">mysql</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5"/>
      </w:pPr>
      <w:bookmarkStart w:id="178" w:name="mobile-devices"/>
      <w:r>
        <w:t xml:space="preserve">Mobile Devices</w:t>
      </w:r>
      <w:bookmarkEnd w:id="178"/>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 phones. By accessing a website that loads custom synthesizers made with the Web Audio</w:t>
      </w:r>
      <w:r>
        <w:t xml:space="preserve"> </w:t>
      </w:r>
      <w:r>
        <w:t xml:space="preserve">api</w:t>
      </w:r>
      <w:r>
        <w:t xml:space="preserve">, the audience becomes the performer in an innovative way. While the title of the work (</w:t>
      </w:r>
      <w:r>
        <w:t xml:space="preserve">Carter (2017)</w:t>
      </w:r>
      <w:r>
        <w:t xml:space="preserve">)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79" w:name="resource-sharing"/>
      <w:r>
        <w:t xml:space="preserve">Resource Sharing</w:t>
      </w:r>
      <w:bookmarkEnd w:id="179"/>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publishing results like in research or academic communities. This is the case of the multiple datasets that exist.</w:t>
      </w:r>
      <w:r>
        <w:rPr>
          <w:rStyle w:val="FootnoteReference"/>
        </w:rPr>
        <w:footnoteReference w:id="180"/>
      </w:r>
      <w:r>
        <w:t xml:space="preserve"> </w:t>
      </w:r>
      <w:r>
        <w:t xml:space="preserve">In any case, what is common between these forms of sharing is an entropic and endless plurality.</w:t>
      </w:r>
    </w:p>
    <w:p>
      <w:pPr>
        <w:pStyle w:val="Heading5"/>
      </w:pPr>
      <w:bookmarkStart w:id="181" w:name="multimodal-datasets"/>
      <w:r>
        <w:t xml:space="preserve">Multimodal Datasets</w:t>
      </w:r>
      <w:bookmarkEnd w:id="181"/>
    </w:p>
    <w:p>
      <w:pPr>
        <w:pStyle w:val="FirstParagraph"/>
      </w:pPr>
      <w:r>
        <w:t xml:space="preserve">Among the many datasets that are available (See</w:t>
      </w:r>
      <w:r>
        <w:t xml:space="preserve"> </w:t>
      </w:r>
      <w:hyperlink w:anchor="mir">
        <w:r>
          <w:rPr>
            <w:rStyle w:val="Hyperlink"/>
          </w:rPr>
          <w:t xml:space="preserve">4.3.1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r>
        <w:t xml:space="preserve"> </w:t>
      </w:r>
      <w:r>
        <w:t xml:space="preserve">dbms</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5"/>
      </w:pPr>
      <w:bookmarkStart w:id="182" w:name="formats"/>
      <w:r>
        <w:t xml:space="preserve">Formats</w:t>
      </w:r>
      <w:bookmarkEnd w:id="182"/>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w:t>
      </w:r>
      <w:r>
        <w:t xml:space="preserve"> </w:t>
      </w:r>
      <w:r>
        <w:t xml:space="preserve">yaml</w:t>
      </w:r>
      <w:r>
        <w:t xml:space="preserve">, or</w:t>
      </w:r>
      <w:r>
        <w:t xml:space="preserve"> </w:t>
      </w:r>
      <w:r>
        <w:rPr>
          <w:rStyle w:val="VerbatimChar"/>
        </w:rPr>
        <w:t xml:space="preserve">.bib</w:t>
      </w:r>
      <w:r>
        <w:t xml:space="preserve"> </w:t>
      </w:r>
      <w:r>
        <w:t xml:space="preserve">(LaTeXbibliography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5"/>
      </w:pPr>
      <w:bookmarkStart w:id="183" w:name="live-coding"/>
      <w:r>
        <w:t xml:space="preserve">Live Coding</w:t>
      </w:r>
      <w:bookmarkEnd w:id="183"/>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84" w:name="closing-remarks"/>
      <w:r>
        <w:t xml:space="preserve">Closing Remarks</w:t>
      </w:r>
      <w:bookmarkEnd w:id="184"/>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learninc. For example, in interactive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4.13</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86"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85"/>
                    <a:stretch>
                      <a:fillRect/>
                    </a:stretch>
                  </pic:blipFill>
                  <pic:spPr bwMode="auto">
                    <a:xfrm>
                      <a:off x="0" y="0"/>
                      <a:ext cx="3759200" cy="2438400"/>
                    </a:xfrm>
                    <a:prstGeom prst="rect">
                      <a:avLst/>
                    </a:prstGeom>
                    <a:noFill/>
                    <a:ln w="9525">
                      <a:noFill/>
                      <a:headEnd/>
                      <a:tailEnd/>
                    </a:ln>
                  </pic:spPr>
                </pic:pic>
              </a:graphicData>
            </a:graphic>
          </wp:inline>
        </w:drawing>
      </w:r>
      <w:bookmarkEnd w:id="186"/>
    </w:p>
    <w:p>
      <w:pPr>
        <w:pStyle w:val="ImageCaption"/>
      </w:pPr>
      <w:r>
        <w:t xml:space="preserve">Intersection space.</w:t>
      </w:r>
    </w:p>
    <w:p>
      <w:pPr>
        <w:pStyle w:val="BodyText"/>
      </w:pPr>
      <w:r>
        <w:t xml:space="preserve">Position of the database in terms of visibility among</w:t>
      </w:r>
      <w:r>
        <w:t xml:space="preserve"> </w:t>
      </w:r>
      <w:r>
        <w:t xml:space="preserve">mir</w:t>
      </w:r>
      <w:r>
        <w:t xml:space="preserve">, Sonification, and Computer Music. Positive values indicate visibility and negative indicate invisibility.</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just one frame. At each point in time the databaser can pause for a second, analyze the frame, and perhaps describe the motion that the database has taken thus far. This has been my task until now, and it is safe to say that we have looked at the database. In what follows, I will change gears and approach the database from a different perspective, one not guided by light, but immersed within sound.</w:t>
      </w:r>
    </w:p>
    <w:p>
      <w:pPr>
        <w:pStyle w:val="Heading1"/>
      </w:pPr>
      <w:bookmarkStart w:id="187" w:name="chapter:Database_Aesthetics"/>
      <w:r>
        <w:t xml:space="preserve">Database Aesthetics</w:t>
      </w:r>
      <w:bookmarkEnd w:id="187"/>
    </w:p>
    <w:p>
      <w:pPr>
        <w:pStyle w:val="Heading2"/>
      </w:pPr>
      <w:bookmarkStart w:id="188" w:name="section:Listening_Databases"/>
      <w:r>
        <w:t xml:space="preserve">Listening Databases</w:t>
      </w:r>
      <w:bookmarkEnd w:id="188"/>
    </w:p>
    <w:p>
      <w:pPr>
        <w:pStyle w:val="Heading3"/>
      </w:pPr>
      <w:bookmarkStart w:id="189" w:name="lucierlude"/>
      <w:r>
        <w:t xml:space="preserve">Interlude: I Am Sitting In A Room</w:t>
      </w:r>
      <w:bookmarkEnd w:id="189"/>
    </w:p>
    <w:p>
      <w:pPr>
        <w:pStyle w:val="FirstParagraph"/>
      </w:pPr>
      <w:r>
        <w:t xml:space="preserve">The following transcription was made from a recording made at Lovely Music, Ltd (1981) of Alvin Lucier’s work</w:t>
      </w:r>
      <w:r>
        <w:t xml:space="preserve"> </w:t>
      </w:r>
      <w:r>
        <w:t xml:space="preserve">“</w:t>
      </w:r>
      <w:r>
        <w:t xml:space="preserve">I am sitting in a room</w:t>
      </w:r>
      <w:r>
        <w:t xml:space="preserve">”</w:t>
      </w:r>
      <w:r>
        <w:t xml:space="preserve"> </w:t>
      </w:r>
      <w:r>
        <w:t xml:space="preserve">(Lucier 1970)</w:t>
      </w:r>
      <w:r>
        <w:t xml:space="preserve">. It is meant to indicate the many</w:t>
      </w:r>
      <w:r>
        <w:t xml:space="preserve"> </w:t>
      </w:r>
      <w:r>
        <w:t xml:space="preserve">“</w:t>
      </w:r>
      <w:r>
        <w:t xml:space="preserve">irregularities</w:t>
      </w:r>
      <w:r>
        <w:t xml:space="preserve">”</w:t>
      </w:r>
      <w:r>
        <w:t xml:space="preserve"> </w:t>
      </w:r>
      <w:r>
        <w:t xml:space="preserve">that differ from the text. The recording is available online.</w:t>
      </w:r>
      <w:r>
        <w:rPr>
          <w:rStyle w:val="FootnoteReference"/>
        </w:rPr>
        <w:footnoteReference w:id="190"/>
      </w:r>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inhale</w:t>
      </w:r>
      <w:r>
        <w:t xml:space="preserve"> </w:t>
      </w:r>
      <w:r>
        <w:t xml:space="preserve">(long)</w:t>
      </w:r>
    </w:p>
    <w:p>
      <w:pPr>
        <w:pStyle w:val="BlockText"/>
      </w:pPr>
      <w:r>
        <w:t xml:space="preserve">I am re</w:t>
      </w:r>
      <w:r>
        <w:t xml:space="preserve">$\cancelto{kh}{c}$</w:t>
      </w:r>
      <w:r>
        <w:t xml:space="preserve">ording the</w:t>
      </w:r>
      <w:r>
        <w:t xml:space="preserve"> </w:t>
      </w:r>
      <w:r>
        <w:t xml:space="preserve">$\cancelto{ss}{s}$</w:t>
      </w:r>
      <w:r>
        <w:t xml:space="preserve">ound of my</w:t>
      </w:r>
      <w:r>
        <w:rPr>
          <w:i/>
        </w:rPr>
        <w:t xml:space="preserve">hh</w:t>
      </w:r>
      <w:r>
        <w:t xml:space="preserve"> </w:t>
      </w:r>
      <w:r>
        <w:t xml:space="preserve">speaking</w:t>
      </w:r>
      <w:r>
        <w:t xml:space="preserve"> </w:t>
      </w:r>
      <w:r>
        <w:t xml:space="preserve">$\cancelto{voisss}{voice}$</w:t>
      </w:r>
    </w:p>
    <w:p>
      <w:pPr>
        <w:pStyle w:val="BlockText"/>
      </w:pPr>
      <w:r>
        <w:rPr>
          <w:i/>
        </w:rPr>
        <w:t xml:space="preserve">inhale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$\cancelto{an}{and}$</w:t>
      </w:r>
      <w:r>
        <w:t xml:space="preserve"> </w:t>
      </w:r>
      <w:r>
        <w:t xml:space="preserve">again</w:t>
      </w:r>
      <w:r>
        <w:rPr>
          <w:i/>
        </w:rPr>
        <w:t xml:space="preserve">n</w:t>
      </w:r>
    </w:p>
    <w:p>
      <w:pPr>
        <w:pStyle w:val="BlockText"/>
      </w:pPr>
      <w:r>
        <w:rPr>
          <w:i/>
        </w:rPr>
        <w:t xml:space="preserve">inhale</w:t>
      </w:r>
      <w:r>
        <w:t xml:space="preserve"> </w:t>
      </w:r>
      <w:r>
        <w:t xml:space="preserve">(long)</w:t>
      </w:r>
    </w:p>
    <w:p>
      <w:pPr>
        <w:pStyle w:val="BlockText"/>
      </w:pPr>
      <w:r>
        <w:t xml:space="preserve">un</w:t>
      </w:r>
      <w:r>
        <w:t xml:space="preserve">$\cancelto{tx!}{t}$</w:t>
      </w:r>
      <w:r>
        <w:t xml:space="preserve">il the</w:t>
      </w:r>
    </w:p>
    <w:p>
      <w:pPr>
        <w:pStyle w:val="BlockText"/>
      </w:pPr>
      <w:r>
        <w:t xml:space="preserve">re</w:t>
      </w:r>
      <w:r>
        <w:t xml:space="preserve">$\cancelto{ss}{s}$</w:t>
      </w:r>
      <w:r>
        <w:t xml:space="preserve">onant</w:t>
      </w:r>
      <w:r>
        <w:rPr>
          <w:i/>
        </w:rPr>
        <w:t xml:space="preserve">thh</w:t>
      </w:r>
      <m:oMath>
        <m:r>
          <m:t>→</m:t>
        </m:r>
      </m:oMath>
      <w:r>
        <w:rPr>
          <w:i/>
        </w:rPr>
        <w:t xml:space="preserve">ff</w:t>
      </w:r>
      <w:r>
        <w:t xml:space="preserve">frequencies of-the-room</w:t>
      </w:r>
    </w:p>
    <w:p>
      <w:pPr>
        <w:pStyle w:val="BlockText"/>
      </w:pPr>
      <w:r>
        <w:rPr>
          <w:i/>
        </w:rPr>
        <w:t xml:space="preserve">inhale</w:t>
      </w:r>
      <w:r>
        <w:t xml:space="preserve"> </w:t>
      </w:r>
      <w:r>
        <w:t xml:space="preserve">(short)</w:t>
      </w:r>
    </w:p>
    <w:p>
      <w:pPr>
        <w:pStyle w:val="BlockText"/>
      </w:pPr>
      <w:r>
        <w:t xml:space="preserve">reinfor</w:t>
      </w:r>
      <w:r>
        <w:t xml:space="preserve">$\cancelto{sss}{c}\xcancel{e}$</w:t>
      </w:r>
      <w:r>
        <w:t xml:space="preserve"> </w:t>
      </w:r>
      <w:r>
        <w:t xml:space="preserve">them</w:t>
      </w:r>
      <w:r>
        <w:t xml:space="preserve">$\cancelto{ss}{s}$</w:t>
      </w:r>
      <w:r>
        <w:t xml:space="preserve">elve</w:t>
      </w:r>
      <w:r>
        <w:t xml:space="preserve">$\cancelto{sss}{s}$</w:t>
      </w:r>
    </w:p>
    <w:p>
      <w:pPr>
        <w:pStyle w:val="BlockText"/>
      </w:pPr>
      <w:r>
        <w:rPr>
          <w:i/>
        </w:rPr>
        <w:t xml:space="preserve">inhale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$\cancelto{sss}{s}$</w:t>
      </w:r>
      <w:r>
        <w:t xml:space="preserve">pee</w:t>
      </w:r>
      <w:r>
        <w:t xml:space="preserve">$\cancelto{ch\rightarrow shwh}{ch}$</w:t>
      </w:r>
    </w:p>
    <w:p>
      <w:pPr>
        <w:pStyle w:val="BlockText"/>
      </w:pPr>
      <w:r>
        <w:rPr>
          <w:i/>
        </w:rPr>
        <w:t xml:space="preserve">inhale</w:t>
      </w:r>
      <w:r>
        <w:t xml:space="preserve"> </w:t>
      </w:r>
      <w:r>
        <w:t xml:space="preserve">(long)</w:t>
      </w:r>
    </w:p>
    <w:p>
      <w:pPr>
        <w:pStyle w:val="BlockText"/>
      </w:pPr>
      <w:r>
        <w:t xml:space="preserve">with per</w:t>
      </w:r>
      <w:r>
        <w:t xml:space="preserve">$\cancelto{hhhh}{h}$</w:t>
      </w:r>
      <w:r>
        <w:t xml:space="preserve">ap</w:t>
      </w:r>
      <w:r>
        <w:t xml:space="preserve">$\cancelto{s!}{s}$</w:t>
      </w:r>
      <w:r>
        <w:t xml:space="preserve"> </w:t>
      </w:r>
      <w:r>
        <w:t xml:space="preserve">the excep</w:t>
      </w:r>
      <w:r>
        <w:t xml:space="preserve">$\cancelto{shh}{t}$</w:t>
      </w:r>
      <w:r>
        <w:t xml:space="preserve">ion of</w:t>
      </w:r>
    </w:p>
    <w:p>
      <w:pPr>
        <w:pStyle w:val="BlockText"/>
      </w:pPr>
      <w:r>
        <w:t xml:space="preserve">$\cancelto{rhythm}{\texttt{rwh\_\_$\cdot\cdot$.$\cdot$-ythm}}$</w:t>
      </w:r>
    </w:p>
    <w:p>
      <w:pPr>
        <w:pStyle w:val="BlockText"/>
      </w:pPr>
      <w:r>
        <w:t xml:space="preserve">is</w:t>
      </w:r>
      <w:r>
        <w:rPr>
          <w:i/>
        </w:rPr>
        <w:t xml:space="preserve">s</w:t>
      </w:r>
      <w:r>
        <w:t xml:space="preserve"> </w:t>
      </w:r>
      <w:r>
        <w:t xml:space="preserve">de</w:t>
      </w:r>
      <w:r>
        <w:t xml:space="preserve">$\cancelto{ss}{s}$</w:t>
      </w:r>
      <w:r>
        <w:t xml:space="preserve">troye</w:t>
      </w:r>
      <w:r>
        <w:t xml:space="preserve">$\cancelto{dh}{d}$</w:t>
      </w:r>
    </w:p>
    <w:p>
      <w:pPr>
        <w:pStyle w:val="BlockText"/>
      </w:pPr>
      <w:r>
        <w:t xml:space="preserve">$\cancelto{ou}{Wh}$</w:t>
      </w:r>
      <w:r>
        <w:t xml:space="preserve">at you will hear-then</w:t>
      </w:r>
      <w:r>
        <w:rPr>
          <w:i/>
        </w:rPr>
        <w:t xml:space="preserve">nn</w:t>
      </w:r>
    </w:p>
    <w:p>
      <w:pPr>
        <w:pStyle w:val="BlockText"/>
      </w:pPr>
      <w:r>
        <w:rPr>
          <w:i/>
        </w:rPr>
        <w:t xml:space="preserve">inhale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$\cancelto{tzsh!}{t}$</w:t>
      </w:r>
      <w:r>
        <w:t xml:space="preserve">iculated by</w:t>
      </w:r>
      <w:r>
        <w:rPr>
          <w:i/>
        </w:rPr>
        <w:t xml:space="preserve">sss</w:t>
      </w:r>
      <w:r>
        <w:t xml:space="preserve">speech</w:t>
      </w:r>
      <w:r>
        <w:rPr>
          <w:i/>
        </w:rPr>
        <w:t xml:space="preserve">hhh</w:t>
      </w:r>
    </w:p>
    <w:p>
      <w:pPr>
        <w:pStyle w:val="BlockText"/>
      </w:pPr>
      <w:r>
        <w:t xml:space="preserve">I regard … this-</w:t>
      </w:r>
      <w:r>
        <w:t xml:space="preserve">$\cancelto{a!}{a}$</w:t>
      </w:r>
      <w:r>
        <w:t xml:space="preserve">c-tivity</w:t>
      </w:r>
    </w:p>
    <w:p>
      <w:pPr>
        <w:pStyle w:val="BlockText"/>
      </w:pPr>
      <w:r>
        <w:rPr>
          <w:i/>
        </w:rPr>
        <w:t xml:space="preserve">inhale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$\cancelto{ss}{s}$</w:t>
      </w:r>
      <w:r>
        <w:t xml:space="preserve">tra</w:t>
      </w:r>
      <w:r>
        <w:t xml:space="preserve">$\cancelto{shh}{t}$</w:t>
      </w:r>
      <w:r>
        <w:t xml:space="preserve">ion of a physical f</w:t>
      </w:r>
      <w:r>
        <w:t xml:space="preserve">$\cancelto{aa}{a}$</w:t>
      </w:r>
      <w:r>
        <w:t xml:space="preserve">c</w:t>
      </w:r>
      <w:r>
        <w:t xml:space="preserve">$\cancelto{t\rightarrow h}{t}$</w:t>
      </w:r>
    </w:p>
    <w:p>
      <w:pPr>
        <w:pStyle w:val="BlockText"/>
      </w:pPr>
      <w:r>
        <w:rPr>
          <w:i/>
        </w:rPr>
        <w:t xml:space="preserve">inhale</w:t>
      </w:r>
      <w:r>
        <w:t xml:space="preserve"> </w:t>
      </w:r>
      <w:r>
        <w:t xml:space="preserve">(short)</w:t>
      </w:r>
    </w:p>
    <w:p>
      <w:pPr>
        <w:pStyle w:val="BlockText"/>
      </w:pPr>
      <w:r>
        <w:rPr>
          <w:i/>
        </w:rPr>
        <w:t xml:space="preserve">m</w:t>
      </w:r>
      <w:r>
        <w:t xml:space="preserve">but more</w:t>
      </w:r>
    </w:p>
    <w:p>
      <w:pPr>
        <w:pStyle w:val="BlockText"/>
      </w:pPr>
      <w:r>
        <w:rPr>
          <w:i/>
        </w:rPr>
        <w:t xml:space="preserve">inhale</w:t>
      </w:r>
      <w:r>
        <w:t xml:space="preserve"> </w:t>
      </w:r>
      <w:r>
        <w:t xml:space="preserve">(short)</w:t>
      </w:r>
    </w:p>
    <w:p>
      <w:pPr>
        <w:pStyle w:val="BlockText"/>
      </w:pPr>
      <w:r>
        <w:t xml:space="preserve">a</w:t>
      </w:r>
      <w:r>
        <w:t xml:space="preserve">$\cancelto{z}{s}$</w:t>
      </w:r>
      <w:r>
        <w:t xml:space="preserve">a way to</w:t>
      </w:r>
      <w:r>
        <w:t xml:space="preserve">$\rightarrow\cancelto{smooth}{\textit{{ \normal S }{ \large S }{ \normal SS }{ \small SSss }{ \normal s }{ \footnotesize sss  }{ \scriptsize s  }{ \tiny s }}}$</w:t>
      </w:r>
      <w:r>
        <w:t xml:space="preserve"> </w:t>
      </w:r>
      <w:r>
        <w:t xml:space="preserve">out</w:t>
      </w:r>
    </w:p>
    <w:p>
      <w:pPr>
        <w:pStyle w:val="BlockText"/>
      </w:pPr>
      <w:r>
        <w:t xml:space="preserve">any irregularities</w:t>
      </w:r>
      <m:oMath>
        <m:r>
          <m:t>→</m:t>
        </m:r>
      </m:oMath>
      <w:r>
        <w:t xml:space="preserve">my</w:t>
      </w:r>
      <w:r>
        <w:rPr>
          <w:i/>
        </w:rPr>
        <w:t xml:space="preserve">hs</w:t>
      </w:r>
      <w:r>
        <w:t xml:space="preserve">speech</w:t>
      </w:r>
      <w:r>
        <w:rPr>
          <w:i/>
        </w:rPr>
        <w:t xml:space="preserve">hh</w:t>
      </w:r>
      <w:r>
        <w:t xml:space="preserve"> </w:t>
      </w:r>
      <w:r>
        <w:t xml:space="preserve">might hav</w:t>
      </w:r>
      <w:r>
        <w:t xml:space="preserve">$\cancelto{f}{e}$</w:t>
      </w:r>
    </w:p>
    <w:p>
      <w:pPr>
        <w:pStyle w:val="Heading3"/>
      </w:pPr>
      <w:bookmarkStart w:id="192" w:name="resonance_of_a_return"/>
      <w:r>
        <w:t xml:space="preserve">The Resonance Of A Return</w:t>
      </w:r>
      <w:bookmarkEnd w:id="192"/>
    </w:p>
    <w:p>
      <w:pPr>
        <w:pStyle w:val="Heading5"/>
      </w:pPr>
      <w:bookmarkStart w:id="193" w:name="a-reverb"/>
      <w:r>
        <w:t xml:space="preserve">A Reverb</w:t>
      </w:r>
      <w:bookmarkEnd w:id="193"/>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or if there is wind blowing in the same direction of a sound, it will make the sound travel faster. This means that sound waves are affected in different ways by different media, some being more (concert halls) or less (anechoic chambers) resonant.</w:t>
      </w:r>
    </w:p>
    <w:p>
      <w:pPr>
        <w:pStyle w:val="Heading5"/>
      </w:pPr>
      <w:bookmarkStart w:id="194" w:name="a-filter"/>
      <w:r>
        <w:t xml:space="preserve">A Filter</w:t>
      </w:r>
      <w:bookmarkEnd w:id="194"/>
    </w:p>
    <w:p>
      <w:pPr>
        <w:pStyle w:val="FirstParagraph"/>
      </w:pPr>
      <w:r>
        <w:t xml:space="preserve">A listening body is part of the medium through which sound propagates: the body’s sense perception is immersed within that medium. Sound, in its most basic and general form makes listeners vibrate as listeners become part of sound. Being part of sound, bodies change sound even before listening. On a mechanical level, we can think of the body as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5"/>
      </w:pPr>
      <w:bookmarkStart w:id="195" w:name="a-loop"/>
      <w:r>
        <w:t xml:space="preserve">A Loop</w:t>
      </w:r>
      <w:bookmarkEnd w:id="195"/>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5"/>
      </w:pPr>
      <w:bookmarkStart w:id="196" w:name="an-attack"/>
      <w:r>
        <w:t xml:space="preserve">An Attack</w:t>
      </w:r>
      <w:bookmarkEnd w:id="196"/>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4.1.6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itself. In this sense, the creative capacity of the body enables the body itself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5"/>
      </w:pPr>
      <w:bookmarkStart w:id="197" w:name="a-sampler"/>
      <w:r>
        <w:t xml:space="preserve">A Sampler</w:t>
      </w:r>
      <w:bookmarkEnd w:id="197"/>
    </w:p>
    <w:p>
      <w:pPr>
        <w:pStyle w:val="FirstParagraph"/>
      </w:pPr>
      <w:r>
        <w:t xml:space="preserve">Consider, for example, an acousmatic concert in which one of the music works is made with pre-recorded violin samples. When this violin begins playing sounds, an illusion may very well begin to emerge: we can imagine a violin player. If the imaginary player continues to play sounds and move them in space, this illusion continues in the direction of physical but illusory motion in space, that is, we can perceive an actual violin and an actual violin player. Therefore, this virtuality may project itself throughout the complete music work, thus grounding the music work on an imaginary force that is only alive because of the listener’s own capacitiy for virtuality. The ghostly qualities of this force will be addressed further down this text (See</w:t>
      </w:r>
      <w:r>
        <w:t xml:space="preserve"> </w:t>
      </w:r>
      <w:hyperlink w:anchor="spectrality">
        <w:r>
          <w:rPr>
            <w:rStyle w:val="Hyperlink"/>
          </w:rPr>
          <w:t xml:space="preserve">5.2.3</w:t>
        </w:r>
      </w:hyperlink>
      <w:r>
        <w:t xml:space="preserve">). Most presently is the fact that this</w:t>
      </w:r>
      <w:r>
        <w:t xml:space="preserve"> </w:t>
      </w:r>
      <w:r>
        <w:t xml:space="preserve">‘</w:t>
      </w:r>
      <w:r>
        <w:t xml:space="preserve">magic</w:t>
      </w:r>
      <w:r>
        <w:t xml:space="preserve">’</w:t>
      </w:r>
      <w:r>
        <w:t xml:space="preserve"> </w:t>
      </w:r>
      <w:r>
        <w:t xml:space="preserve">show —happening in front and because of the listener’s body-sensing mind— can be understood in terms of a resonant link between the human and the nonhuman: a web of interconnected objects that refer to each other. In this listening process, therefore, the listening subject exposes itself to itself and to the virtual self of the violin. Virtual, in this context, does not mean in opposition to the real. The virtual comes as the affective presence of a reality, and thus it becomes the possibility condition for the reality of images.</w:t>
      </w:r>
    </w:p>
    <w:p>
      <w:pPr>
        <w:pStyle w:val="Heading5"/>
      </w:pPr>
      <w:bookmarkStart w:id="198" w:name="a-texture"/>
      <w:r>
        <w:t xml:space="preserve">A Texture</w:t>
      </w:r>
      <w:bookmarkEnd w:id="198"/>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and distinguishing in every other reference. Therefore, instead of a loop, a more convoluted circuitry appears that can be understood as a</w:t>
      </w:r>
      <w:r>
        <w:t xml:space="preserve"> </w:t>
      </w:r>
      <w:r>
        <w:t xml:space="preserve">fdn</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w:t>
      </w:r>
      <w:r>
        <w:t xml:space="preserve"> </w:t>
      </w:r>
      <w:r>
        <w:t xml:space="preserve">‘</w:t>
      </w:r>
      <w:r>
        <w:t xml:space="preserve">texture,</w:t>
      </w:r>
      <w:r>
        <w:t xml:space="preserve">’</w:t>
      </w:r>
      <w:r>
        <w:t xml:space="preserve"> </w:t>
      </w:r>
      <w:r>
        <w:t xml:space="preserve">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On the other, these same points are marks that indicate the extent to which they differ or resemble each other, thus they can be understood as a spatial distribution of references.</w:t>
      </w:r>
    </w:p>
    <w:p>
      <w:pPr>
        <w:pStyle w:val="Heading5"/>
      </w:pPr>
      <w:bookmarkStart w:id="199" w:name="a-return"/>
      <w:r>
        <w:t xml:space="preserve">A Return</w:t>
      </w:r>
      <w:bookmarkEnd w:id="199"/>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tension,</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of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For Nancy, the</w:t>
      </w:r>
      <w:r>
        <w:t xml:space="preserve"> </w:t>
      </w:r>
      <w:r>
        <w:t xml:space="preserve">‘</w:t>
      </w:r>
      <w:r>
        <w:t xml:space="preserve">self</w:t>
      </w:r>
      <w:r>
        <w:t xml:space="preserve">’</w:t>
      </w:r>
      <w:r>
        <w:t xml:space="preserve"> </w:t>
      </w:r>
      <w:r>
        <w:t xml:space="preserve">is</w:t>
      </w:r>
      <w:r>
        <w:t xml:space="preserv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their ontological condition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200" w:name="network"/>
      <w:r>
        <w:t xml:space="preserve">Resonant Network</w:t>
      </w:r>
      <w:bookmarkEnd w:id="200"/>
    </w:p>
    <w:p>
      <w:pPr>
        <w:pStyle w:val="Heading5"/>
      </w:pPr>
      <w:bookmarkStart w:id="201" w:name="the-recorded-movement-of-a-thing"/>
      <w:r>
        <w:t xml:space="preserve">The Recorded Movement of a Thing</w:t>
      </w:r>
      <w:bookmarkEnd w:id="201"/>
    </w:p>
    <w:p>
      <w:pPr>
        <w:pStyle w:val="FirstParagraph"/>
      </w:pPr>
      <w:r>
        <w:t xml:space="preserve">Philosopher Bruno</w:t>
      </w:r>
      <w:r>
        <w:t xml:space="preserve"> </w:t>
      </w:r>
      <w:r>
        <w:t xml:space="preserve">Latour (1990, 1993)</w:t>
      </w:r>
      <w:r>
        <w:t xml:space="preserve"> </w:t>
      </w:r>
      <w:r>
        <w:t xml:space="preserve">developed a theory of networks called</w:t>
      </w:r>
      <w:r>
        <w:t xml:space="preserve"> </w:t>
      </w:r>
      <w:r>
        <w:t xml:space="preserve">at</w:t>
      </w:r>
      <w:r>
        <w:t xml:space="preserve">.</w:t>
      </w:r>
      <w:r>
        <w:t xml:space="preserve"> </w:t>
      </w:r>
      <w:r>
        <w:t xml:space="preserve">at</w:t>
      </w:r>
      <w:r>
        <w:t xml:space="preserve"> </w:t>
      </w:r>
      <w:r>
        <w:t xml:space="preserve">can be understood as a way of connecting and associating entities to one another. It is a tool that builds an image of the world made of nodes along a decentralized web of meaning. Latour reformulates nodes and edges, with what he calls</w:t>
      </w:r>
      <w:r>
        <w:t xml:space="preserve"> </w:t>
      </w:r>
      <w:r>
        <w:t xml:space="preserve">‘</w:t>
      </w:r>
      <w:r>
        <w:t xml:space="preserve">semiotic actors,</w:t>
      </w:r>
      <w:r>
        <w:t xml:space="preserve">’</w:t>
      </w:r>
      <w:r>
        <w:t xml:space="preserve"> </w:t>
      </w:r>
      <w:r>
        <w:t xml:space="preserve">‘</w:t>
      </w:r>
      <w:r>
        <w:t xml:space="preserve">actants,</w:t>
      </w:r>
      <w:r>
        <w:t xml:space="preserve">’</w:t>
      </w:r>
      <w:r>
        <w:t xml:space="preserve"> </w:t>
      </w:r>
      <w:r>
        <w:t xml:space="preserve">or</w:t>
      </w:r>
      <w:r>
        <w:t xml:space="preserve"> </w:t>
      </w:r>
      <w:r>
        <w:t xml:space="preserve">‘</w:t>
      </w:r>
      <w:r>
        <w:t xml:space="preserve">agents</w:t>
      </w:r>
      <w:r>
        <w:t xml:space="preserve">’</w:t>
      </w:r>
      <w:r>
        <w:t xml:space="preserve"> </w:t>
      </w:r>
      <w:r>
        <w:t xml:space="preserve">(nodes) and of the interconnected accounts that these have of each other (edges). As I have mentioned earlier with the network model in databases (See</w:t>
      </w:r>
      <w:r>
        <w:t xml:space="preserve"> </w:t>
      </w:r>
      <w:hyperlink w:anchor="model:network">
        <w:r>
          <w:rPr>
            <w:rStyle w:val="Hyperlink"/>
          </w:rPr>
          <w:t xml:space="preserve">4.2.4.2</w:t>
        </w:r>
      </w:hyperlink>
      <w:r>
        <w:t xml:space="preserve">), navigating through networks is traversing from node to node. However, the (visual) two-dimensional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limits the understanding of its topology:</w:t>
      </w:r>
      <w:r>
        <w:t xml:space="preserve"> </w:t>
      </w:r>
      <w:r>
        <w:t xml:space="preserve">“</w:t>
      </w:r>
      <w:r>
        <w:t xml:space="preserve">instead of surfaces one gets filaments.</w:t>
      </w:r>
      <w:r>
        <w:t xml:space="preserve">”</w:t>
      </w:r>
      <w:r>
        <w:t xml:space="preserve"> </w:t>
      </w:r>
      <w:r>
        <w:t xml:space="preserve">(Latour 1990, p. 3)</w:t>
      </w:r>
      <w:r>
        <w:t xml:space="preserve"> </w:t>
      </w:r>
      <w:r>
        <w:t xml:space="preserve">In this sense, he points to a misunderstanding that comes from giving</w:t>
      </w:r>
      <w:r>
        <w:t xml:space="preserve"> </w:t>
      </w:r>
      <w:r>
        <w:t xml:space="preserve">at</w:t>
      </w:r>
      <w:r>
        <w:t xml:space="preserve"> </w:t>
      </w:r>
      <w:r>
        <w:t xml:space="preserve">a technical definition such as the one described with the database model:</w:t>
      </w:r>
      <w:r>
        <w:t xml:space="preserve"> </w:t>
      </w:r>
      <w:r>
        <w:t xml:space="preserve">“</w:t>
      </w:r>
      <w:r>
        <w:t xml:space="preserve">nothing is more intensely connected, more distant, more compulsory and more strategically organized than a computer network</w:t>
      </w:r>
      <w:r>
        <w:t xml:space="preserve">”</w:t>
      </w:r>
      <w:r>
        <w:t xml:space="preserve"> </w:t>
      </w:r>
      <w:r>
        <w:t xml:space="preserve">(Latour 1990, p. 2)</w:t>
      </w:r>
      <w:r>
        <w:t xml:space="preserve">.</w:t>
      </w:r>
      <w:r>
        <w:t xml:space="preserve"> </w:t>
      </w:r>
      <w:r>
        <w:t xml:space="preserve">at</w:t>
      </w:r>
      <w:r>
        <w:t xml:space="preserve"> </w:t>
      </w:r>
      <w:r>
        <w:t xml:space="preserve">points towards a topological shift. Nevertheless, the navigational paradigm advanced by</w:t>
      </w:r>
      <w:r>
        <w:t xml:space="preserve"> </w:t>
      </w:r>
      <w:r>
        <w:t xml:space="preserve">Bachman (1973)</w:t>
      </w:r>
      <w:r>
        <w:t xml:space="preserve"> </w:t>
      </w:r>
      <w:r>
        <w:t xml:space="preserve">in relation to databases whose</w:t>
      </w:r>
      <w:r>
        <w:t xml:space="preserve"> </w:t>
      </w:r>
      <w:r>
        <w:t xml:space="preserve">‘</w:t>
      </w:r>
      <w:r>
        <w:t xml:space="preserve">keys</w:t>
      </w:r>
      <w:r>
        <w:t xml:space="preserve">’</w:t>
      </w:r>
      <w:r>
        <w:t xml:space="preserve"> </w:t>
      </w:r>
      <w:r>
        <w:t xml:space="preserve">become n-dimensional space, does translate well to Latour’s model, because nodes have</w:t>
      </w:r>
      <w:r>
        <w:t xml:space="preserve"> </w:t>
      </w:r>
      <w:r>
        <w:t xml:space="preserve">“</w:t>
      </w:r>
      <w:r>
        <w:t xml:space="preserve">as many dimensions as they have connections</w:t>
      </w:r>
      <w:r>
        <w:t xml:space="preserve">”</w:t>
      </w:r>
      <w:r>
        <w:t xml:space="preserve"> </w:t>
      </w:r>
      <w:r>
        <w:t xml:space="preserve">(Latour 1990, p. 3)</w:t>
      </w:r>
      <w:r>
        <w:t xml:space="preserve">. In any case, what this navigation points to is that</w:t>
      </w:r>
      <w:r>
        <w:t xml:space="preserve"> </w:t>
      </w:r>
      <w:r>
        <w:t xml:space="preserve">at</w:t>
      </w:r>
      <w:r>
        <w:t xml:space="preserve"> </w:t>
      </w:r>
      <w:r>
        <w:t xml:space="preserve">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w:t>
      </w:r>
      <w:r>
        <w:t xml:space="preserve"> </w:t>
      </w:r>
      <w:r>
        <w:t xml:space="preserve">“</w:t>
      </w:r>
      <w:r>
        <w:t xml:space="preserve">In order to explain, to account, to observe, to prove, to argue, to dominate and to see, [an observer] has to move around and work, I should say it has to</w:t>
      </w:r>
      <w:r>
        <w:t xml:space="preserve"> </w:t>
      </w:r>
      <w:r>
        <w:t xml:space="preserve">‘</w:t>
      </w:r>
      <w:r>
        <w:t xml:space="preserve">network</w:t>
      </w:r>
      <w:r>
        <w:t xml:space="preserve">’</w:t>
      </w:r>
      <w:r>
        <w:t xml:space="preserve">”</w:t>
      </w:r>
      <w:r>
        <w:t xml:space="preserve"> </w:t>
      </w:r>
      <w:r>
        <w:t xml:space="preserve">(Latour 1990, p. 13)</w:t>
      </w:r>
      <w:r>
        <w:t xml:space="preserve">. This work,</w:t>
      </w:r>
      <w:r>
        <w:t xml:space="preserve"> </w:t>
      </w:r>
      <w:r>
        <w:rPr>
          <w:i/>
        </w:rPr>
        <w:t xml:space="preserve">net</w:t>
      </w:r>
      <w:r>
        <w:t xml:space="preserve">-work, or</w:t>
      </w:r>
      <w:r>
        <w:t xml:space="preserve"> </w:t>
      </w:r>
      <w:r>
        <w:t xml:space="preserve">‘</w:t>
      </w:r>
      <w:r>
        <w:t xml:space="preserve">tracing,</w:t>
      </w:r>
      <w:r>
        <w:t xml:space="preserve">’</w:t>
      </w:r>
      <w:r>
        <w:t xml:space="preserve"> </w:t>
      </w:r>
      <w:r>
        <w:t xml:space="preserve">is not only the movement of associations and connections, it is also the</w:t>
      </w:r>
      <w:r>
        <w:t xml:space="preserve"> </w:t>
      </w:r>
      <w:r>
        <w:t xml:space="preserve">‘</w:t>
      </w:r>
      <w:r>
        <w:t xml:space="preserve">recording</w:t>
      </w:r>
      <w:r>
        <w:t xml:space="preserve">’</w:t>
      </w:r>
      <w:r>
        <w:t xml:space="preserve"> </w:t>
      </w:r>
      <w:r>
        <w:t xml:space="preserve">of this movement. In this sense, Latour claims that</w:t>
      </w:r>
      <w:r>
        <w:t xml:space="preserve"> </w:t>
      </w:r>
      <w:r>
        <w:t xml:space="preserve">“</w:t>
      </w:r>
      <w:r>
        <w:t xml:space="preserve">a network is not a thing but the recorded movement of a thing</w:t>
      </w:r>
      <w:r>
        <w:t xml:space="preserve">”</w:t>
      </w:r>
      <w:r>
        <w:t xml:space="preserve"> </w:t>
      </w:r>
      <w:r>
        <w:t xml:space="preserve">(Latour 1990, p. 14)</w:t>
      </w:r>
      <w:r>
        <w:t xml:space="preserve">. 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expansive motion. Most importantly,</w:t>
      </w:r>
      <w:r>
        <w:t xml:space="preserve"> </w:t>
      </w:r>
      <w:r>
        <w:t xml:space="preserve">at</w:t>
      </w:r>
      <w:r>
        <w:t xml:space="preserve"> </w:t>
      </w:r>
      <w:r>
        <w:t xml:space="preserve">is a tool aimed at describing the nature of society. However, in this description,</w:t>
      </w:r>
      <w:r>
        <w:t xml:space="preserve"> </w:t>
      </w:r>
      <w:r>
        <w:t xml:space="preserve">at</w:t>
      </w:r>
      <w:r>
        <w:t xml:space="preserve"> </w:t>
      </w:r>
      <w:r>
        <w:t xml:space="preserve">“</w:t>
      </w:r>
      <w:r>
        <w:t xml:space="preserve">does not limit itself to human individual actors but extend[s] the word actor…to non-human, non individual entities</w:t>
      </w:r>
      <w:r>
        <w:t xml:space="preserve">”</w:t>
      </w:r>
      <w:r>
        <w:t xml:space="preserve"> </w:t>
      </w:r>
      <w:r>
        <w:t xml:space="preserve">(Latour 1990, p. 2)</w:t>
      </w:r>
      <w:r>
        <w:t xml:space="preserve">.</w:t>
      </w:r>
    </w:p>
    <w:p>
      <w:pPr>
        <w:pStyle w:val="Heading5"/>
      </w:pPr>
      <w:bookmarkStart w:id="202" w:name="howling"/>
      <w:r>
        <w:t xml:space="preserve">Howling</w:t>
      </w:r>
      <w:bookmarkEnd w:id="202"/>
    </w:p>
    <w:p>
      <w:pPr>
        <w:pStyle w:val="FirstParagraph"/>
      </w:pPr>
      <w:r>
        <w:t xml:space="preserve">Thinking networks in terms of a (sonic) three-dimensional metaphor (as a mechanical wave) is thus misunderstanding it.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(impossible) positive feedback. While a network expands in redundancy, overflow, accumulation, and self-reference, a sound attenuates towards imperceptible and infinitesimal thresholds. Lending an ear to the sound of</w:t>
      </w:r>
      <w:r>
        <w:t xml:space="preserve"> </w:t>
      </w:r>
      <w:r>
        <w:t xml:space="preserve">at</w:t>
      </w:r>
      <w:r>
        <w:t xml:space="preserve"> </w:t>
      </w:r>
      <w:r>
        <w:t xml:space="preserve">we would find ourselves listening to expanding filaments. However, as an acoustic experiment that would combine the circuitry of a feedback with the accumulative quality of networks, I propose to consider</w:t>
      </w:r>
      <w:r>
        <w:t xml:space="preserve"> </w:t>
      </w:r>
      <w:r>
        <w:t xml:space="preserve">Lucier (1970)</w:t>
      </w:r>
      <w:r>
        <w:t xml:space="preserve">’s (</w:t>
      </w:r>
      <w:r>
        <w:t xml:space="preserve">(1970)</w:t>
      </w:r>
      <w:r>
        <w:t xml:space="preserve">) . I have transcribed this sound art piece at the beginning of this chapter, as it is self explanatory (See</w:t>
      </w:r>
      <w:r>
        <w:t xml:space="preserve"> </w:t>
      </w:r>
      <w:hyperlink w:anchor="lucierlude">
        <w:r>
          <w:rPr>
            <w:rStyle w:val="Hyperlink"/>
          </w:rPr>
          <w:t xml:space="preserve">5.1.1</w:t>
        </w:r>
      </w:hyperlink>
      <w:r>
        <w:t xml:space="preserve">). It can be understood as a triple crossfade, first between speech and music, gradually crossfading into a second crossfade, between timbre and space. Through the circuitry of a closed and controlled feedback loop between a microphone, a speaker, and a room. More considerations of this work I will leave for some other time, and I will refer to</w:t>
      </w:r>
      <w:r>
        <w:t xml:space="preserve"> </w:t>
      </w:r>
      <w:r>
        <w:t xml:space="preserve">Valle &amp; Sanfilippo (2012)</w:t>
      </w:r>
      <w:r>
        <w:t xml:space="preserve"> </w:t>
      </w:r>
      <w:r>
        <w:t xml:space="preserve">for further readings on feedback systems. What I would like to bring here is an experimental revision of what is known as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quite literally the Larsen phenomenon, but</w:t>
      </w:r>
      <w:r>
        <w:t xml:space="preserve"> </w:t>
      </w:r>
      <w:r>
        <w:t xml:space="preserve">“</w:t>
      </w:r>
      <w:r>
        <w:t xml:space="preserve">stretched in time,</w:t>
      </w:r>
      <w:r>
        <w:t xml:space="preserve">”</w:t>
      </w:r>
      <w:r>
        <w:t xml:space="preserve"> </w:t>
      </w:r>
      <w:r>
        <w:t xml:space="preserve">and thus the</w:t>
      </w:r>
      <w:r>
        <w:t xml:space="preserve"> </w:t>
      </w:r>
      <w:r>
        <w:t xml:space="preserve">“</w:t>
      </w:r>
      <w:r>
        <w:t xml:space="preserve">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cease to</w:t>
      </w:r>
      <w:r>
        <w:t xml:space="preserve"> </w:t>
      </w:r>
      <w:r>
        <w:t xml:space="preserve">“</w:t>
      </w:r>
      <w:r>
        <w:t xml:space="preserve">reinforce themselves.</w:t>
      </w:r>
      <w:r>
        <w:t xml:space="preserve">”</w:t>
      </w:r>
      <w:r>
        <w:t xml:space="preserve"> </w:t>
      </w:r>
      <w:r>
        <w:t xml:space="preserve">However, (and here is the experiment) this does not mean that these nodes would cease to act, let alone resonate. In this sense, we can ask ourselves how would</w:t>
      </w:r>
      <w:r>
        <w:t xml:space="preserve"> </w:t>
      </w:r>
      <w:r>
        <w:rPr>
          <w:i/>
        </w:rPr>
        <w:t xml:space="preserve">this</w:t>
      </w:r>
      <w:r>
        <w:t xml:space="preserve"> </w:t>
      </w:r>
      <w:r>
        <w:t xml:space="preserve">sound like?</w:t>
      </w:r>
      <w:r>
        <w:t xml:space="preserve"> </w:t>
      </w:r>
      <w:r>
        <w:rPr>
          <w:i/>
        </w:rPr>
        <w:t xml:space="preserve">Where</w:t>
      </w:r>
      <w:r>
        <w:t xml:space="preserve"> </w:t>
      </w:r>
      <w:r>
        <w:t xml:space="preserve">would the</w:t>
      </w:r>
      <w:r>
        <w:t xml:space="preserve"> </w:t>
      </w:r>
      <w:r>
        <w:t xml:space="preserve">‘</w:t>
      </w:r>
      <w:r>
        <w:t xml:space="preserve">I</w:t>
      </w:r>
      <w:r>
        <w:t xml:space="preserve">’</w:t>
      </w:r>
      <w:r>
        <w:t xml:space="preserve"> </w:t>
      </w:r>
      <w:r>
        <w:t xml:space="preserve">be actually</w:t>
      </w:r>
      <w:r>
        <w:t xml:space="preserve"> </w:t>
      </w:r>
      <w:r>
        <w:rPr>
          <w:i/>
        </w:rPr>
        <w:t xml:space="preserve">sitting</w:t>
      </w:r>
      <w:r>
        <w:t xml:space="preserve">?</w:t>
      </w:r>
    </w:p>
    <w:p>
      <w:pPr>
        <w:pStyle w:val="Heading5"/>
      </w:pPr>
      <w:bookmarkStart w:id="203" w:name="the-resonant-movement-of-a-thing"/>
      <w:r>
        <w:t xml:space="preserve">The Resonant Movement of a Thing</w:t>
      </w:r>
      <w:bookmarkEnd w:id="203"/>
    </w:p>
    <w:p>
      <w:pPr>
        <w:pStyle w:val="FirstParagraph"/>
      </w:pPr>
      <w:r>
        <w:t xml:space="preserve">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in Lucier’s work it would also spread through space. The room as a filter would resonate differently because it would be understood as a texture, a networked resonance.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Thus, Latour’s phrase can (perhaps) be reformulated:</w:t>
      </w:r>
      <w:r>
        <w:t xml:space="preserve"> </w:t>
      </w:r>
      <w:r>
        <w:rPr>
          <w:i/>
        </w:rPr>
        <w:t xml:space="preserve">the network is not a thing, but the resonant movement of a thing</w:t>
      </w:r>
      <w:r>
        <w:t xml:space="preserve">.</w:t>
      </w:r>
    </w:p>
    <w:p>
      <w:pPr>
        <w:pStyle w:val="Heading5"/>
      </w:pPr>
      <w:bookmarkStart w:id="204" w:name="i-am-sitting-in-a-loop"/>
      <w:r>
        <w:t xml:space="preserve">I am sitting in a loop</w:t>
      </w:r>
      <w:bookmarkEnd w:id="204"/>
    </w:p>
    <w:p>
      <w:pPr>
        <w:pStyle w:val="FirstParagraph"/>
      </w:pPr>
      <w:r>
        <w:t xml:space="preserve">This is the crucial leap that comes out of the idea of a resonant network: the moment the nonhuman in the network is comprehended as resonant, it is the moment that they engage with an approach to self (in Nancy’s terms). Following this logical thread, a database can be considered as a semiotic actor as well as a resonant subject. On one hand, databases are not just networks, they are actor-networks: acting, tracing, and listening. On the other hand, since databases are indeed listening, to what extent can we think of them as listening to themselves listening? Bringing back Lucier and his room, I would like to address this question with another aspect of this work. (And by</w:t>
      </w:r>
      <w:r>
        <w:t xml:space="preserve"> </w:t>
      </w:r>
      <w:r>
        <w:t xml:space="preserve">‘</w:t>
      </w:r>
      <w:r>
        <w:t xml:space="preserve">work</w:t>
      </w:r>
      <w:r>
        <w:t xml:space="preserve">’</w:t>
      </w:r>
      <w:r>
        <w:t xml:space="preserve"> </w:t>
      </w:r>
      <w:r>
        <w:t xml:space="preserve">I begin to introduce an important aspect of this dissertation, a concept that embraces activity, productivity, but also product, and objects: operativity and opus.) There is indeed a fourth crossfade, between the</w:t>
      </w:r>
      <w:r>
        <w:t xml:space="preserve"> </w:t>
      </w:r>
      <w:r>
        <w:t xml:space="preserve">‘</w:t>
      </w:r>
      <w:r>
        <w:t xml:space="preserve">I</w:t>
      </w:r>
      <w:r>
        <w:t xml:space="preserve">’</w:t>
      </w:r>
      <w:r>
        <w:t xml:space="preserve"> </w:t>
      </w:r>
      <w:r>
        <w:t xml:space="preserve">in the text, and the</w:t>
      </w:r>
      <w:r>
        <w:t xml:space="preserve"> </w:t>
      </w:r>
      <w:r>
        <w:t xml:space="preserve">‘</w:t>
      </w:r>
      <w:r>
        <w:t xml:space="preserve">I</w:t>
      </w:r>
      <w:r>
        <w:t xml:space="preserve">’</w:t>
      </w:r>
      <w:r>
        <w:t xml:space="preserve"> </w:t>
      </w:r>
      <w:r>
        <w:t xml:space="preserve">in the voice that reads it. The simplest way to approach this is by asking ourselves, if after recording the first input signal Lucier remained seated</w:t>
      </w:r>
      <w:r>
        <w:t xml:space="preserve"> </w:t>
      </w:r>
      <w:r>
        <w:rPr>
          <w:i/>
        </w:rPr>
        <w:t xml:space="preserve">in</w:t>
      </w:r>
      <w:r>
        <w:t xml:space="preserve"> </w:t>
      </w:r>
      <w:r>
        <w:t xml:space="preserve">the room or not. This is a difference that cannot be approached from the recording itself because it is inaudible. I will refer to this difference further down this text. For now I point to the fact that the moment Lucier recorded his voice, the</w:t>
      </w:r>
      <w:r>
        <w:t xml:space="preserve"> </w:t>
      </w:r>
      <w:r>
        <w:t xml:space="preserve">‘</w:t>
      </w:r>
      <w:r>
        <w:t xml:space="preserve">I</w:t>
      </w:r>
      <w:r>
        <w:t xml:space="preserve">’</w:t>
      </w:r>
      <w:r>
        <w:t xml:space="preserve"> </w:t>
      </w:r>
      <w:r>
        <w:t xml:space="preserve">began residing</w:t>
      </w:r>
      <w:r>
        <w:t xml:space="preserve"> </w:t>
      </w:r>
      <w:r>
        <w:rPr>
          <w:i/>
        </w:rPr>
        <w:t xml:space="preserve">in the loop</w:t>
      </w:r>
      <w:r>
        <w:t xml:space="preserve">. I believe this is one of the most crucial</w:t>
      </w:r>
      <w:r>
        <w:t xml:space="preserve"> </w:t>
      </w:r>
      <w:r>
        <w:t xml:space="preserve">‘</w:t>
      </w:r>
      <w:r>
        <w:t xml:space="preserve">irregularities</w:t>
      </w:r>
      <w:r>
        <w:t xml:space="preserve">’</w:t>
      </w:r>
      <w:r>
        <w:t xml:space="preserve"> </w:t>
      </w:r>
      <w:r>
        <w:t xml:space="preserve">that can be found throughout the work. In the interlude at the beginning of this chapter, I transcribe the text as Lucier reads it. I attempted to be as clear as possible, crossing out, replacing, extending all the consonants into what I thought was a more faithful score for the read fragment. I resorted to these words being</w:t>
      </w:r>
      <w:r>
        <w:t xml:space="preserve"> </w:t>
      </w:r>
      <w:r>
        <w:t xml:space="preserve">“</w:t>
      </w:r>
      <w:r>
        <w:t xml:space="preserve">under erasure,</w:t>
      </w:r>
      <w:r>
        <w:t xml:space="preserve">”</w:t>
      </w:r>
      <w:r>
        <w:t xml:space="preserve"> </w:t>
      </w:r>
      <w:r>
        <w:t xml:space="preserve">that is,</w:t>
      </w:r>
      <w:r>
        <w:t xml:space="preserve"> </w:t>
      </w:r>
      <w:r>
        <w:t xml:space="preserve">“</w:t>
      </w:r>
      <w:r>
        <w:t xml:space="preserve">to write a word, cross it out, and then print both word and deletion</w:t>
      </w:r>
      <w:r>
        <w:t xml:space="preserve">”</w:t>
      </w:r>
      <w:r>
        <w:t xml:space="preserve"> </w:t>
      </w:r>
      <w:r>
        <w:t xml:space="preserve">(Derrida &amp; Spivak 1976 xiv)</w:t>
      </w:r>
      <w:r>
        <w:t xml:space="preserve">, because in this way one would have a visual cue of both the instruction and a more verbose inscription of the voice. (To a certain extent,</w:t>
      </w:r>
      <w:r>
        <w:t xml:space="preserve"> </w:t>
      </w:r>
      <w:r>
        <w:rPr>
          <w:i/>
        </w:rPr>
        <w:t xml:space="preserve">I am sitting in a room…</w:t>
      </w:r>
      <w:r>
        <w:t xml:space="preserve"> </w:t>
      </w:r>
      <w:r>
        <w:t xml:space="preserve">can be understood as a music work</w:t>
      </w:r>
      <w:r>
        <w:t xml:space="preserve"> </w:t>
      </w:r>
      <w:r>
        <w:t xml:space="preserve">‘</w:t>
      </w:r>
      <w:r>
        <w:t xml:space="preserve">under</w:t>
      </w:r>
      <w:r>
        <w:t xml:space="preserve">’</w:t>
      </w:r>
      <w:r>
        <w:t xml:space="preserve"> </w:t>
      </w:r>
      <w:r>
        <w:t xml:space="preserve">constant</w:t>
      </w:r>
      <w:r>
        <w:t xml:space="preserve"> </w:t>
      </w:r>
      <w:r>
        <w:t xml:space="preserve">‘</w:t>
      </w:r>
      <w:r>
        <w:t xml:space="preserve">erasure.</w:t>
      </w:r>
      <w:r>
        <w:t xml:space="preserve">’</w:t>
      </w:r>
      <w:r>
        <w:t xml:space="preserve">) Thinking as a composer, this score (with all its notated irregularities) would explain the first minutes so fiercefully that the mystery of the last minutes would be solved. But, the most crucial aspect of the piece cannot be rendered in symbolic transcription, because the</w:t>
      </w:r>
      <w:r>
        <w:t xml:space="preserve"> </w:t>
      </w:r>
      <w:r>
        <w:t xml:space="preserve">‘</w:t>
      </w:r>
      <w:r>
        <w:t xml:space="preserve">I</w:t>
      </w:r>
      <w:r>
        <w:t xml:space="preserve">’</w:t>
      </w:r>
      <w:r>
        <w:t xml:space="preserve"> </w:t>
      </w:r>
      <w:r>
        <w:t xml:space="preserve">is somewhere in between the transcribed and the inscribed (See</w:t>
      </w:r>
      <w:r>
        <w:t xml:space="preserve"> </w:t>
      </w:r>
      <w:hyperlink w:anchor="spectrality">
        <w:r>
          <w:rPr>
            <w:rStyle w:val="Hyperlink"/>
          </w:rPr>
          <w:t xml:space="preserve">5.2.3</w:t>
        </w:r>
      </w:hyperlink>
      <w:r>
        <w:t xml:space="preserve">). This</w:t>
      </w:r>
      <w:r>
        <w:t xml:space="preserve"> </w:t>
      </w:r>
      <w:r>
        <w:t xml:space="preserve">‘</w:t>
      </w:r>
      <w:r>
        <w:t xml:space="preserve">I</w:t>
      </w:r>
      <w:r>
        <w:t xml:space="preserve">’</w:t>
      </w:r>
      <w:r>
        <w:t xml:space="preserve"> </w:t>
      </w:r>
      <w:r>
        <w:t xml:space="preserve">is what is at stake when databases begin to resonate, that is, it is the approach to this notion of</w:t>
      </w:r>
      <w:r>
        <w:t xml:space="preserve"> </w:t>
      </w:r>
      <w:r>
        <w:t xml:space="preserve">‘</w:t>
      </w:r>
      <w:r>
        <w:t xml:space="preserve">self</w:t>
      </w:r>
      <w:r>
        <w:t xml:space="preserve">’</w:t>
      </w:r>
      <w:r>
        <w:t xml:space="preserve"> </w:t>
      </w:r>
      <w:r>
        <w:t xml:space="preserve">what begins to redefine ourselves in general. That is to say, within the resonant network we face a</w:t>
      </w:r>
      <w:r>
        <w:t xml:space="preserve"> </w:t>
      </w:r>
      <w:r>
        <w:t xml:space="preserve">‘</w:t>
      </w:r>
      <w:r>
        <w:t xml:space="preserve">self</w:t>
      </w:r>
      <w:r>
        <w:t xml:space="preserve">’</w:t>
      </w:r>
      <w:r>
        <w:t xml:space="preserve"> </w:t>
      </w:r>
      <w:r>
        <w:t xml:space="preserve">that changes our own notion of</w:t>
      </w:r>
      <w:r>
        <w:t xml:space="preserve"> </w:t>
      </w:r>
      <w:r>
        <w:t xml:space="preserve">‘</w:t>
      </w:r>
      <w:r>
        <w:t xml:space="preserve">self</w:t>
      </w:r>
      <w:r>
        <w:t xml:space="preserve">’</w:t>
      </w:r>
      <w:r>
        <w:t xml:space="preserve"> </w:t>
      </w:r>
      <w:r>
        <w:t xml:space="preserve">in general. In this sense, a</w:t>
      </w:r>
      <w:r>
        <w:t xml:space="preserve"> </w:t>
      </w:r>
      <w:r>
        <w:t xml:space="preserve">‘</w:t>
      </w:r>
      <w:r>
        <w:t xml:space="preserve">self</w:t>
      </w:r>
      <w:r>
        <w:t xml:space="preserve">’</w:t>
      </w:r>
      <w:r>
        <w:t xml:space="preserve"> </w:t>
      </w:r>
      <w:r>
        <w:rPr>
          <w:i/>
        </w:rPr>
        <w:t xml:space="preserve">sitting in a loop</w:t>
      </w:r>
      <w:r>
        <w:t xml:space="preserve"> </w:t>
      </w:r>
      <w:r>
        <w:t xml:space="preserve">returns to us (resonates back) putting into question a relationship (a difference): what is the difference between the two ‘I’s? Is is this same difference at stake between the human and the nonhumam? The implications of these question I will move forth in the remaining sections of this dissertation. However, the most present step is analyzing the conjunction that the two clauses of the question points to: the sharing of the</w:t>
      </w:r>
      <w:r>
        <w:t xml:space="preserve"> </w:t>
      </w:r>
      <w:r>
        <w:t xml:space="preserve">‘</w:t>
      </w:r>
      <w:r>
        <w:t xml:space="preserve">I,</w:t>
      </w:r>
      <w:r>
        <w:t xml:space="preserve">’</w:t>
      </w:r>
      <w:r>
        <w:t xml:space="preserve"> </w:t>
      </w:r>
      <w:r>
        <w:t xml:space="preserve">an exposure of community.</w:t>
      </w:r>
    </w:p>
    <w:p>
      <w:pPr>
        <w:pStyle w:val="Heading3"/>
      </w:pPr>
      <w:bookmarkStart w:id="205" w:name="inoperativity"/>
      <w:r>
        <w:t xml:space="preserve">The Unworking Network</w:t>
      </w:r>
      <w:bookmarkEnd w:id="205"/>
    </w:p>
    <w:p>
      <w:pPr>
        <w:pStyle w:val="Heading5"/>
      </w:pPr>
      <w:bookmarkStart w:id="206" w:name="community-as-unwork"/>
      <w:r>
        <w:t xml:space="preserve">Community as unwork</w:t>
      </w:r>
      <w:bookmarkEnd w:id="206"/>
    </w:p>
    <w:p>
      <w:pPr>
        <w:pStyle w:val="FirstParagraph"/>
      </w:pPr>
      <w:r>
        <w:t xml:space="preserve">As I have described above, for Nancy, a resonant self (self, from now on) is made of</w:t>
      </w:r>
      <w:r>
        <w:t xml:space="preserve"> </w:t>
      </w:r>
      <w:r>
        <w:t xml:space="preserve">“</w:t>
      </w:r>
      <w:r>
        <w:t xml:space="preserve">the singular occurrences of a state, a tension, or, precisely, a</w:t>
      </w:r>
      <w:r>
        <w:t xml:space="preserve"> </w:t>
      </w:r>
      <w:r>
        <w:t xml:space="preserve">‘</w:t>
      </w:r>
      <w:r>
        <w:t xml:space="preserve">sense</w:t>
      </w:r>
      <w:r>
        <w:t xml:space="preserve">’</w:t>
      </w:r>
      <w:r>
        <w:t xml:space="preserve">”</w:t>
      </w:r>
      <w:r>
        <w:t xml:space="preserve"> </w:t>
      </w:r>
      <w:r>
        <w:t xml:space="preserve">(Nancy 2007, p. 8)</w:t>
      </w:r>
      <w:r>
        <w:t xml:space="preserve">. Since these occurrences are in a permanent state of occurring, that is, never fixated in a whole (in</w:t>
      </w:r>
      <w:r>
        <w:t xml:space="preserve"> </w:t>
      </w:r>
      <w:r>
        <w:t xml:space="preserve">‘</w:t>
      </w:r>
      <w:r>
        <w:t xml:space="preserve">tension</w:t>
      </w:r>
      <w:r>
        <w:t xml:space="preserve">’</w:t>
      </w:r>
      <w:r>
        <w:t xml:space="preserve">), we can understand singular beings as being</w:t>
      </w:r>
      <w:r>
        <w:t xml:space="preserve"> </w:t>
      </w:r>
      <w:r>
        <w:t xml:space="preserve">‘</w:t>
      </w:r>
      <w:r>
        <w:t xml:space="preserve">interrupted</w:t>
      </w:r>
      <w:r>
        <w:t xml:space="preserve">’</w:t>
      </w:r>
      <w:r>
        <w:t xml:space="preserve"> </w:t>
      </w:r>
      <w:r>
        <w:t xml:space="preserve">or</w:t>
      </w:r>
      <w:r>
        <w:t xml:space="preserve"> </w:t>
      </w:r>
      <w:r>
        <w:t xml:space="preserve">‘</w:t>
      </w:r>
      <w:r>
        <w:t xml:space="preserve">suspended.</w:t>
      </w:r>
      <w:r>
        <w:t xml:space="preserve">’</w:t>
      </w:r>
      <w:r>
        <w:t xml:space="preserve"> </w:t>
      </w:r>
      <w:r>
        <w:t xml:space="preserve">These descriptions come from an earlier text</w:t>
      </w:r>
      <w:r>
        <w:t xml:space="preserve"> </w:t>
      </w:r>
      <w:r>
        <w:t xml:space="preserve">Nancy (1991)</w:t>
      </w:r>
      <w:r>
        <w:t xml:space="preserve">, in which he extends this definition of the self to the definition of a community:</w:t>
      </w:r>
      <w:r>
        <w:t xml:space="preserve"> </w:t>
      </w:r>
      <w:r>
        <w:t xml:space="preserve">“</w:t>
      </w:r>
      <w:r>
        <w:t xml:space="preserve">community is made of the interruption of singularities, or of the suspension that singular beings are</w:t>
      </w:r>
      <w:r>
        <w:t xml:space="preserve">”</w:t>
      </w:r>
      <w:r>
        <w:t xml:space="preserve"> </w:t>
      </w:r>
      <w:r>
        <w:t xml:space="preserve">(31 Nancy 1991 All subsequent quotes from this passage.)</w:t>
      </w:r>
      <w:r>
        <w:t xml:space="preserve">. This is why we can understsand</w:t>
      </w:r>
      <w:r>
        <w:t xml:space="preserve"> </w:t>
      </w:r>
      <w:r>
        <w:t xml:space="preserve">‘</w:t>
      </w:r>
      <w:r>
        <w:t xml:space="preserve">community</w:t>
      </w:r>
      <w:r>
        <w:t xml:space="preserve">’</w:t>
      </w:r>
      <w:r>
        <w:t xml:space="preserve"> </w:t>
      </w:r>
      <w:r>
        <w:t xml:space="preserve">as ontological (grounded on a nature of being), and not as teleological (grounded on a purpose or an objective). In other words, if community is thought of as a product of the work of</w:t>
      </w:r>
      <w:r>
        <w:t xml:space="preserve"> </w:t>
      </w:r>
      <w:r>
        <w:t xml:space="preserve">‘</w:t>
      </w:r>
      <w:r>
        <w:t xml:space="preserve">selves</w:t>
      </w:r>
      <w:r>
        <w:t xml:space="preserve">’</w:t>
      </w:r>
      <w:r>
        <w:t xml:space="preserve"> </w:t>
      </w:r>
      <w:r>
        <w:t xml:space="preserve">(teleologically), it follows that selves could also become the product of community.</w:t>
      </w:r>
    </w:p>
    <w:p>
      <w:pPr>
        <w:pStyle w:val="CaptionedFigure"/>
      </w:pPr>
      <w:bookmarkStart w:id="208" w:name="img:work"/>
      <w:r>
        <w:drawing>
          <wp:inline>
            <wp:extent cx="5016500" cy="1892300"/>
            <wp:effectExtent b="0" l="0" r="0" t="0"/>
            <wp:docPr descr="Community as work" title="" id="1" name="Picture"/>
            <a:graphic>
              <a:graphicData uri="http://schemas.openxmlformats.org/drawingml/2006/picture">
                <pic:pic>
                  <pic:nvPicPr>
                    <pic:cNvPr descr="/Users/federicocamarahalac/Documents/fd_work/text/waves/bin/img/work.png" id="0" name="Picture"/>
                    <pic:cNvPicPr>
                      <a:picLocks noChangeArrowheads="1" noChangeAspect="1"/>
                    </pic:cNvPicPr>
                  </pic:nvPicPr>
                  <pic:blipFill>
                    <a:blip r:embed="rId207"/>
                    <a:stretch>
                      <a:fillRect/>
                    </a:stretch>
                  </pic:blipFill>
                  <pic:spPr bwMode="auto">
                    <a:xfrm>
                      <a:off x="0" y="0"/>
                      <a:ext cx="5016500" cy="1892300"/>
                    </a:xfrm>
                    <a:prstGeom prst="rect">
                      <a:avLst/>
                    </a:prstGeom>
                    <a:noFill/>
                    <a:ln w="9525">
                      <a:noFill/>
                      <a:headEnd/>
                      <a:tailEnd/>
                    </a:ln>
                  </pic:spPr>
                </pic:pic>
              </a:graphicData>
            </a:graphic>
          </wp:inline>
        </w:drawing>
      </w:r>
      <w:bookmarkEnd w:id="208"/>
    </w:p>
    <w:p>
      <w:pPr>
        <w:pStyle w:val="ImageCaption"/>
      </w:pPr>
      <w:r>
        <w:t xml:space="preserve">Community as work</w:t>
      </w:r>
    </w:p>
    <w:p>
      <w:pPr>
        <w:pStyle w:val="BodyText"/>
      </w:pPr>
      <w:r>
        <w:t xml:space="preserve">A graph displaying the teleology of the work (arrows) of selves (dots) in community (dots joined by lines)</w:t>
      </w:r>
    </w:p>
    <w:p>
      <w:pPr>
        <w:pStyle w:val="BodyText"/>
      </w:pPr>
      <w:r>
        <w:t xml:space="preserve">Nancy thus underscores that</w:t>
      </w:r>
      <w:r>
        <w:t xml:space="preserve"> </w:t>
      </w:r>
      <w:r>
        <w:t xml:space="preserve">“</w:t>
      </w:r>
      <w:r>
        <w:t xml:space="preserve">community is not the work of singular beings, nor can it claim them as its works</w:t>
      </w:r>
      <w:r>
        <w:t xml:space="preserve">”</w:t>
      </w:r>
      <w:r>
        <w:t xml:space="preserve"> </w:t>
      </w:r>
      <w:r>
        <w:t xml:space="preserve">(See Figure</w:t>
      </w:r>
      <w:r>
        <w:t xml:space="preserve"> </w:t>
      </w:r>
      <w:hyperlink w:anchor="img:work">
        <w:r>
          <w:rPr>
            <w:rStyle w:val="Hyperlink"/>
          </w:rPr>
          <w:t xml:space="preserve">5.1</w:t>
        </w:r>
      </w:hyperlink>
      <w:r>
        <w:t xml:space="preserve">). Since community is ontological, Nancy understands it as the being of singular beings</w:t>
      </w:r>
      <w:r>
        <w:t xml:space="preserve"> </w:t>
      </w:r>
      <w:r>
        <w:t xml:space="preserve">“</w:t>
      </w:r>
      <w:r>
        <w:t xml:space="preserve">suspended upon its limit.</w:t>
      </w:r>
      <w:r>
        <w:t xml:space="preserve">”</w:t>
      </w:r>
      <w:r>
        <w:t xml:space="preserve"> </w:t>
      </w:r>
      <w:r>
        <w:t xml:space="preserve">Therefore, within this ontology of community, how is it possible for us to speak of the</w:t>
      </w:r>
      <w:r>
        <w:t xml:space="preserve"> </w:t>
      </w:r>
      <w:r>
        <w:t xml:space="preserve">‘</w:t>
      </w:r>
      <w:r>
        <w:t xml:space="preserve">work</w:t>
      </w:r>
      <w:r>
        <w:t xml:space="preserve">’</w:t>
      </w:r>
      <w:r>
        <w:t xml:space="preserve"> </w:t>
      </w:r>
      <w:r>
        <w:t xml:space="preserve">of</w:t>
      </w:r>
      <w:r>
        <w:t xml:space="preserve"> </w:t>
      </w:r>
      <w:r>
        <w:t xml:space="preserve">‘</w:t>
      </w:r>
      <w:r>
        <w:t xml:space="preserve">selves</w:t>
      </w:r>
      <w:r>
        <w:t xml:space="preserve">’</w:t>
      </w:r>
      <w:r>
        <w:t xml:space="preserve"> </w:t>
      </w:r>
      <w:r>
        <w:t xml:space="preserve">and of community if</w:t>
      </w:r>
      <w:r>
        <w:t xml:space="preserve"> </w:t>
      </w:r>
      <w:r>
        <w:t xml:space="preserve">‘</w:t>
      </w:r>
      <w:r>
        <w:t xml:space="preserve">work</w:t>
      </w:r>
      <w:r>
        <w:t xml:space="preserve">’</w:t>
      </w:r>
      <w:r>
        <w:t xml:space="preserve"> </w:t>
      </w:r>
      <w:r>
        <w:t xml:space="preserve">is something that does not enter into its definition? Furhtermore, how is the concept of the work of art redefined or framed within this ontology? Nancy’s conclusion is that community can never result out of</w:t>
      </w:r>
      <w:r>
        <w:t xml:space="preserve"> </w:t>
      </w:r>
      <w:r>
        <w:t xml:space="preserve">‘</w:t>
      </w:r>
      <w:r>
        <w:t xml:space="preserve">work,</w:t>
      </w:r>
      <w:r>
        <w:t xml:space="preserve">’</w:t>
      </w:r>
      <w:r>
        <w:t xml:space="preserve"> </w:t>
      </w:r>
      <w:r>
        <w:t xml:space="preserve">but it is something that unfolds as</w:t>
      </w:r>
      <w:r>
        <w:t xml:space="preserve"> </w:t>
      </w:r>
      <w:r>
        <w:t xml:space="preserve">‘</w:t>
      </w:r>
      <w:r>
        <w:t xml:space="preserve">unworking.</w:t>
      </w:r>
      <w:r>
        <w:t xml:space="preserve">’</w:t>
      </w:r>
      <w:r>
        <w:t xml:space="preserve"> </w:t>
      </w:r>
      <w:r>
        <w:t xml:space="preserve">Borrowing from Maurice Blanchot’s concept of</w:t>
      </w:r>
      <w:r>
        <w:t xml:space="preserve"> </w:t>
      </w:r>
      <w:r>
        <w:rPr>
          <w:i/>
        </w:rPr>
        <w:t xml:space="preserve">desoevrement</w:t>
      </w:r>
      <w:r>
        <w:t xml:space="preserve">, Nancy proposes</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a way to understand</w:t>
      </w:r>
      <w:r>
        <w:t xml:space="preserve"> </w:t>
      </w:r>
      <w:r>
        <w:t xml:space="preserve">‘</w:t>
      </w:r>
      <w:r>
        <w:t xml:space="preserve">work</w:t>
      </w:r>
      <w:r>
        <w:t xml:space="preserve">’</w:t>
      </w:r>
      <w:r>
        <w:t xml:space="preserve"> </w:t>
      </w:r>
      <w:r>
        <w:t xml:space="preserve">within an ontology of community.</w:t>
      </w:r>
      <w:r>
        <w:t xml:space="preserve"> </w:t>
      </w:r>
      <w:r>
        <w:t xml:space="preserve">‘</w:t>
      </w:r>
      <w:r>
        <w:t xml:space="preserve">Unwork</w:t>
      </w:r>
      <w:r>
        <w:t xml:space="preserve">’</w:t>
      </w:r>
      <w:r>
        <w:t xml:space="preserve"> </w:t>
      </w:r>
      <w:r>
        <w:t xml:space="preserve">is work withdrawing from itself:</w:t>
      </w:r>
      <w:r>
        <w:t xml:space="preserve"> </w:t>
      </w:r>
      <w:r>
        <w:t xml:space="preserve">“</w:t>
      </w:r>
      <w:r>
        <w:t xml:space="preserve">that which before or beyond the work, withdraws from the work.</w:t>
      </w:r>
      <w:r>
        <w:t xml:space="preserve">”</w:t>
      </w:r>
      <w:r>
        <w:t xml:space="preserve"> </w:t>
      </w:r>
      <w:r>
        <w:t xml:space="preserve">That is to say, Nancy points to a moment in which operativity separates from itself, and by that gesture, it distinguishes itself from both production and from a whole, or a finished product:</w:t>
      </w:r>
      <w:r>
        <w:t xml:space="preserve"> </w:t>
      </w:r>
      <w:r>
        <w:t xml:space="preserve">“</w:t>
      </w:r>
      <w:r>
        <w:t xml:space="preserve">no longer having to do either with production or with completion, encounters interruption, fragmentation, suspension</w:t>
      </w:r>
      <w:r>
        <w:t xml:space="preserve">”</w:t>
      </w:r>
      <w:r>
        <w:t xml:space="preserve"> </w:t>
      </w:r>
      <w:r>
        <w:t xml:space="preserve">(See Figure</w:t>
      </w:r>
      <w:r>
        <w:t xml:space="preserve"> </w:t>
      </w:r>
      <w:hyperlink w:anchor="img:unwork">
        <w:r>
          <w:rPr>
            <w:rStyle w:val="Hyperlink"/>
          </w:rPr>
          <w:t xml:space="preserve">5.2</w:t>
        </w:r>
      </w:hyperlink>
      <w:r>
        <w:t xml:space="preserve">). Is this not the resonance of a return? Work returning as the interrupted resonance of its own unworking?</w:t>
      </w:r>
    </w:p>
    <w:p>
      <w:pPr>
        <w:pStyle w:val="Heading5"/>
      </w:pPr>
      <w:bookmarkStart w:id="209" w:name="at-the-limit"/>
      <w:r>
        <w:t xml:space="preserve">At the Limit</w:t>
      </w:r>
      <w:bookmarkEnd w:id="209"/>
    </w:p>
    <w:p>
      <w:pPr>
        <w:pStyle w:val="FirstParagraph"/>
      </w:pPr>
      <w:r>
        <w:t xml:space="preserve">Nancy’s concept of community can be recognized within his later and broader concept of</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a limit. We can think of this limit as an edge in the resonant network that, in Nancy’s terms, exposes selves to themselves and to one another.</w:t>
      </w:r>
    </w:p>
    <w:p>
      <w:pPr>
        <w:pStyle w:val="CaptionedFigure"/>
      </w:pPr>
      <w:bookmarkStart w:id="211" w:name="img:unwork"/>
      <w:r>
        <w:drawing>
          <wp:inline>
            <wp:extent cx="2184400" cy="1866900"/>
            <wp:effectExtent b="0" l="0" r="0" t="0"/>
            <wp:docPr descr="Community as unwork" title="" id="1" name="Picture"/>
            <a:graphic>
              <a:graphicData uri="http://schemas.openxmlformats.org/drawingml/2006/picture">
                <pic:pic>
                  <pic:nvPicPr>
                    <pic:cNvPr descr="/Users/federicocamarahalac/Documents/fd_work/text/waves/bin/img/unwork.png" id="0" name="Picture"/>
                    <pic:cNvPicPr>
                      <a:picLocks noChangeArrowheads="1" noChangeAspect="1"/>
                    </pic:cNvPicPr>
                  </pic:nvPicPr>
                  <pic:blipFill>
                    <a:blip r:embed="rId210"/>
                    <a:stretch>
                      <a:fillRect/>
                    </a:stretch>
                  </pic:blipFill>
                  <pic:spPr bwMode="auto">
                    <a:xfrm>
                      <a:off x="0" y="0"/>
                      <a:ext cx="2184400" cy="1866900"/>
                    </a:xfrm>
                    <a:prstGeom prst="rect">
                      <a:avLst/>
                    </a:prstGeom>
                    <a:noFill/>
                    <a:ln w="9525">
                      <a:noFill/>
                      <a:headEnd/>
                      <a:tailEnd/>
                    </a:ln>
                  </pic:spPr>
                </pic:pic>
              </a:graphicData>
            </a:graphic>
          </wp:inline>
        </w:drawing>
      </w:r>
      <w:bookmarkEnd w:id="211"/>
    </w:p>
    <w:p>
      <w:pPr>
        <w:pStyle w:val="ImageCaption"/>
      </w:pPr>
      <w:r>
        <w:t xml:space="preserve">Community as unwork</w:t>
      </w:r>
    </w:p>
    <w:p>
      <w:pPr>
        <w:pStyle w:val="BodyText"/>
      </w:pPr>
      <w:r>
        <w:t xml:space="preserve">A graph displaying community as an ontology of unworking.</w:t>
      </w:r>
    </w:p>
    <w:p>
      <w:pPr>
        <w:pStyle w:val="BodyText"/>
      </w:pPr>
      <w:r>
        <w:t xml:space="preserve">Further, Nancy provides us with an essential insight, suggesting that</w:t>
      </w:r>
      <w:r>
        <w:t xml:space="preserve"> </w:t>
      </w:r>
      <w:r>
        <w:t xml:space="preserve">“</w:t>
      </w:r>
      <w:r>
        <w:t xml:space="preserve">it is not obvious that the community of singularities is limited to</w:t>
      </w:r>
      <w:r>
        <w:t xml:space="preserve"> </w:t>
      </w:r>
      <w:r>
        <w:t xml:space="preserve">‘</w:t>
      </w:r>
      <w:r>
        <w:t xml:space="preserve">man</w:t>
      </w:r>
      <w:r>
        <w:t xml:space="preserve">’</w:t>
      </w:r>
      <w:r>
        <w:t xml:space="preserve"> </w:t>
      </w:r>
      <w:r>
        <w:t xml:space="preserve">and excludes, for example, the</w:t>
      </w:r>
      <w:r>
        <w:t xml:space="preserve"> </w:t>
      </w:r>
      <w:r>
        <w:t xml:space="preserve">‘</w:t>
      </w:r>
      <w:r>
        <w:t xml:space="preserve">animal</w:t>
      </w:r>
      <w:r>
        <w:t xml:space="preserve">’</w:t>
      </w:r>
      <w:r>
        <w:t xml:space="preserve">”</w:t>
      </w:r>
      <w:r>
        <w:t xml:space="preserve"> </w:t>
      </w:r>
      <w:r>
        <w:t xml:space="preserve">(Nancy 1991, p. 28)</w:t>
      </w:r>
      <w:r>
        <w:t xml:space="preserve">. Therefore, by understanding resonant networks in terms of community we can speak of an exposure of selves, or a self-exposure, between humans and nonhumans in a liminality can be thought of as a skin:</w:t>
      </w:r>
      <w:r>
        <w:t xml:space="preserve"> </w:t>
      </w:r>
      <w:r>
        <w:t xml:space="preserve">“</w:t>
      </w:r>
      <w:r>
        <w:t xml:space="preserve">a singular being</w:t>
      </w:r>
      <w:r>
        <w:t xml:space="preserve"> </w:t>
      </w:r>
      <w:r>
        <w:rPr>
          <w:i/>
        </w:rPr>
        <w:t xml:space="preserve">appears</w:t>
      </w:r>
      <w:r>
        <w:t xml:space="preserve">, as finitud itself: at the end (or at the beginning), with the contact of the skin (or the heart) of another singular being…</w:t>
      </w:r>
      <w:r>
        <w:t xml:space="preserve">”</w:t>
      </w:r>
      <w:r>
        <w:t xml:space="preserve"> </w:t>
      </w:r>
      <w:r>
        <w:t xml:space="preserve">(Nancy 1991, p. 28)</w:t>
      </w:r>
      <w:r>
        <w:t xml:space="preserve">. This skin (or heart) makes at least two references, one to the affective presence of the body in relation to touch, and another to the finitud that singular beings are, that is, what (for Nancy) is the being in common of beings: their life, but fundamentally, their death. First, with this latter reference, we can depart a bit from Nancy’s</w:t>
      </w:r>
      <w:r>
        <w:t xml:space="preserve"> </w:t>
      </w:r>
      <w:r>
        <w:t xml:space="preserve">‘</w:t>
      </w:r>
      <w:r>
        <w:t xml:space="preserve">skin,</w:t>
      </w:r>
      <w:r>
        <w:t xml:space="preserve">’</w:t>
      </w:r>
      <w:r>
        <w:t xml:space="preserve"> </w:t>
      </w:r>
      <w:r>
        <w:t xml:space="preserve">and stretch it away from this living/nonliving distinction altogether. Latour’s ontological hybrid can thus enter into the considerations I am proposing here:</w:t>
      </w:r>
      <w:r>
        <w:t xml:space="preserve"> </w:t>
      </w:r>
      <w:r>
        <w:t xml:space="preserve">“</w:t>
      </w:r>
      <w:r>
        <w:t xml:space="preserve">an actor-network is an entity that does the tracing and the inscribing. It is an ontological definition and not a piece of inert matter in the hands of others, especially of human planners or designers. It is in order to point out this essential feature that the word</w:t>
      </w:r>
      <w:r>
        <w:t xml:space="preserve"> </w:t>
      </w:r>
      <w:r>
        <w:t xml:space="preserve">‘</w:t>
      </w:r>
      <w:r>
        <w:t xml:space="preserve">actor</w:t>
      </w:r>
      <w:r>
        <w:t xml:space="preserve">’</w:t>
      </w:r>
      <w:r>
        <w:t xml:space="preserve"> </w:t>
      </w:r>
      <w:r>
        <w:t xml:space="preserve">was added to it</w:t>
      </w:r>
      <w:r>
        <w:t xml:space="preserve">”</w:t>
      </w:r>
      <w:r>
        <w:t xml:space="preserve"> </w:t>
      </w:r>
      <w:r>
        <w:t xml:space="preserve">(Latour 1990, p. 7)</w:t>
      </w:r>
      <w:r>
        <w:t xml:space="preserve">. Therefore, what is in common along the network is not finitud in terms of death, but in terms of the very condition of liminality itself: actor-network at the limit.</w:t>
      </w:r>
    </w:p>
    <w:p>
      <w:pPr>
        <w:pStyle w:val="Heading5"/>
      </w:pPr>
      <w:bookmarkStart w:id="212" w:name="infralanguage"/>
      <w:r>
        <w:t xml:space="preserve">Infralanguage</w:t>
      </w:r>
      <w:bookmarkEnd w:id="212"/>
    </w:p>
    <w:p>
      <w:pPr>
        <w:pStyle w:val="FirstParagraph"/>
      </w:pPr>
      <w:r>
        <w:t xml:space="preserve">Latour considers that the descriptive project in</w:t>
      </w:r>
      <w:r>
        <w:t xml:space="preserve"> </w:t>
      </w:r>
      <w:r>
        <w:t xml:space="preserve">at</w:t>
      </w:r>
      <w:r>
        <w:t xml:space="preserve"> </w:t>
      </w:r>
      <w:r>
        <w:t xml:space="preserve">does not compose a metalanguage with which to define overarching explanations. Instead,</w:t>
      </w:r>
      <w:r>
        <w:t xml:space="preserve"> </w:t>
      </w:r>
      <w:r>
        <w:t xml:space="preserve">at</w:t>
      </w:r>
      <w:r>
        <w:t xml:space="preserve"> </w:t>
      </w:r>
      <w:r>
        <w:t xml:space="preserve">searches for explications by retaining</w:t>
      </w:r>
      <w:r>
        <w:t xml:space="preserve"> </w:t>
      </w:r>
      <w:r>
        <w:t xml:space="preserve">“</w:t>
      </w:r>
      <w:r>
        <w:t xml:space="preserve">only a very few terms —its</w:t>
      </w:r>
      <w:r>
        <w:t xml:space="preserve"> </w:t>
      </w:r>
      <w:r>
        <w:rPr>
          <w:i/>
        </w:rPr>
        <w:t xml:space="preserve">infra</w:t>
      </w:r>
      <w:r>
        <w:t xml:space="preserve">language— which are just enough to sail in between frames of reference</w:t>
      </w:r>
      <w:r>
        <w:t xml:space="preserve">”</w:t>
      </w:r>
      <w:r>
        <w:t xml:space="preserve"> </w:t>
      </w:r>
      <w:r>
        <w:t xml:space="preserve">[emphasis added]</w:t>
      </w:r>
      <w:r>
        <w:t xml:space="preserve"> </w:t>
      </w:r>
      <w:r>
        <w:t xml:space="preserve">(Latour 1990, p. 16)</w:t>
      </w:r>
      <w:r>
        <w:t xml:space="preserve">. On the one hand, with this infralanguage</w:t>
      </w:r>
      <w:r>
        <w:t xml:space="preserve"> </w:t>
      </w:r>
      <w:r>
        <w:t xml:space="preserve">at</w:t>
      </w:r>
      <w:r>
        <w:t xml:space="preserve"> </w:t>
      </w:r>
      <w:r>
        <w:t xml:space="preserve">arrives at an</w:t>
      </w:r>
      <w:r>
        <w:t xml:space="preserve"> </w:t>
      </w:r>
      <w:r>
        <w:t xml:space="preserve">“</w:t>
      </w:r>
      <w:r>
        <w:t xml:space="preserve">empty frame for describing how any entity builds its world</w:t>
      </w:r>
      <w:r>
        <w:t xml:space="preserve">”</w:t>
      </w:r>
      <w:r>
        <w:t xml:space="preserve"> </w:t>
      </w:r>
      <w:r>
        <w:t xml:space="preserve">(Latour 1990, p. 16)</w:t>
      </w:r>
      <w:r>
        <w:t xml:space="preserve">. That is to say, it is a descriptive project focused on</w:t>
      </w:r>
      <w:r>
        <w:t xml:space="preserve"> </w:t>
      </w:r>
      <w:r>
        <w:t xml:space="preserve">“</w:t>
      </w:r>
      <w:r>
        <w:t xml:space="preserve">meaning-production,</w:t>
      </w:r>
      <w:r>
        <w:t xml:space="preserve">”</w:t>
      </w:r>
      <w:r>
        <w:t xml:space="preserve"> </w:t>
      </w:r>
      <w:r>
        <w:t xml:space="preserve">that is, creating associations and connections. On the other hand, with this infralanguage</w:t>
      </w:r>
      <w:r>
        <w:t xml:space="preserve"> </w:t>
      </w:r>
      <w:r>
        <w:t xml:space="preserve">at</w:t>
      </w:r>
      <w:r>
        <w:t xml:space="preserve"> </w:t>
      </w:r>
      <w:r>
        <w:t xml:space="preserve">“</w:t>
      </w:r>
      <w:r>
        <w:t xml:space="preserve">grants back to the actors themselves the ability to build precise accounts of one another by the very way they behave</w:t>
      </w:r>
      <w:r>
        <w:t xml:space="preserve">”</w:t>
      </w:r>
      <w:r>
        <w:t xml:space="preserve"> </w:t>
      </w:r>
      <w:r>
        <w:t xml:space="preserve">(Latour 1990, p. 16)</w:t>
      </w:r>
      <w:r>
        <w:t xml:space="preserve">. That is to say, precisely by disarticulating the search for</w:t>
      </w:r>
      <w:r>
        <w:t xml:space="preserve"> </w:t>
      </w:r>
      <w:r>
        <w:t xml:space="preserve">‘</w:t>
      </w:r>
      <w:r>
        <w:t xml:space="preserve">overarching</w:t>
      </w:r>
      <w:r>
        <w:t xml:space="preserve">’</w:t>
      </w:r>
      <w:r>
        <w:t xml:space="preserve"> </w:t>
      </w:r>
      <w:r>
        <w:t xml:space="preserve">explanations by means of a</w:t>
      </w:r>
      <w:r>
        <w:t xml:space="preserve"> </w:t>
      </w:r>
      <w:r>
        <w:rPr>
          <w:i/>
        </w:rPr>
        <w:t xml:space="preserve">meta</w:t>
      </w:r>
      <w:r>
        <w:t xml:space="preserve">language (</w:t>
      </w:r>
      <w:r>
        <w:rPr>
          <w:i/>
        </w:rPr>
        <w:t xml:space="preserve">the</w:t>
      </w:r>
      <w:r>
        <w:t xml:space="preserve"> </w:t>
      </w:r>
      <w:r>
        <w:t xml:space="preserve">key to open</w:t>
      </w:r>
      <w:r>
        <w:t xml:space="preserve"> </w:t>
      </w:r>
      <w:r>
        <w:rPr>
          <w:i/>
        </w:rPr>
        <w:t xml:space="preserve">the</w:t>
      </w:r>
      <w:r>
        <w:t xml:space="preserve"> </w:t>
      </w:r>
      <w:r>
        <w:t xml:space="preserve">door), this infralanguage is a keychain (of tiny keys) that opens many doors for the new</w:t>
      </w:r>
      <w:r>
        <w:t xml:space="preserve"> </w:t>
      </w:r>
      <w:r>
        <w:t xml:space="preserve">“</w:t>
      </w:r>
      <w:r>
        <w:t xml:space="preserve">ontological hybrid</w:t>
      </w:r>
      <w:r>
        <w:t xml:space="preserve">”</w:t>
      </w:r>
      <w:r>
        <w:t xml:space="preserve"> </w:t>
      </w:r>
      <w:r>
        <w:t xml:space="preserve">that is the actor-network, because it is what allows actors themselves to build their own account, that is, their own world:</w:t>
      </w:r>
      <w:r>
        <w:t xml:space="preserve"> </w:t>
      </w:r>
      <w:r>
        <w:t xml:space="preserve">“</w:t>
      </w:r>
      <w:r>
        <w:t xml:space="preserve">world making entities</w:t>
      </w:r>
      <w:r>
        <w:t xml:space="preserve">”</w:t>
      </w:r>
      <w:r>
        <w:t xml:space="preserve"> </w:t>
      </w:r>
      <w:r>
        <w:t xml:space="preserve">(Latour 1990, p. 16)</w:t>
      </w:r>
      <w:r>
        <w:t xml:space="preserve">.</w:t>
      </w:r>
    </w:p>
    <w:p>
      <w:pPr>
        <w:pStyle w:val="CaptionedFigure"/>
      </w:pPr>
      <w:bookmarkStart w:id="214" w:name="img:expand"/>
      <w:r>
        <w:drawing>
          <wp:inline>
            <wp:extent cx="2446555" cy="1837974"/>
            <wp:effectExtent b="0" l="0" r="0" t="0"/>
            <wp:docPr descr="Spandex fibers under an optical microscope" title="" id="1" name="Picture"/>
            <a:graphic>
              <a:graphicData uri="http://schemas.openxmlformats.org/drawingml/2006/picture">
                <pic:pic>
                  <pic:nvPicPr>
                    <pic:cNvPr descr="/Users/federicocamarahalac/Documents/fd_work/text/waves/bin/img/expand.png" id="0" name="Picture"/>
                    <pic:cNvPicPr>
                      <a:picLocks noChangeArrowheads="1" noChangeAspect="1"/>
                    </pic:cNvPicPr>
                  </pic:nvPicPr>
                  <pic:blipFill>
                    <a:blip r:embed="rId213"/>
                    <a:stretch>
                      <a:fillRect/>
                    </a:stretch>
                  </pic:blipFill>
                  <pic:spPr bwMode="auto">
                    <a:xfrm>
                      <a:off x="0" y="0"/>
                      <a:ext cx="2446555" cy="1837974"/>
                    </a:xfrm>
                    <a:prstGeom prst="rect">
                      <a:avLst/>
                    </a:prstGeom>
                    <a:noFill/>
                    <a:ln w="9525">
                      <a:noFill/>
                      <a:headEnd/>
                      <a:tailEnd/>
                    </a:ln>
                  </pic:spPr>
                </pic:pic>
              </a:graphicData>
            </a:graphic>
          </wp:inline>
        </w:drawing>
      </w:r>
      <w:bookmarkEnd w:id="214"/>
    </w:p>
    <w:p>
      <w:pPr>
        <w:pStyle w:val="ImageCaption"/>
      </w:pPr>
      <w:r>
        <w:t xml:space="preserve">Spandex fibers under an optical microscope</w:t>
      </w:r>
    </w:p>
    <w:p>
      <w:pPr>
        <w:pStyle w:val="BodyText"/>
      </w:pPr>
      <w:r>
        <w:t xml:space="preserve">“</w:t>
      </w:r>
      <w:r>
        <w:t xml:space="preserve">We required the material for the head to be elastic, to have a contrasting dark color, and to resist deformation and breaking. We are currently using spandex</w:t>
      </w:r>
      <w:r>
        <w:t xml:space="preserve">”</w:t>
      </w:r>
      <w:r>
        <w:t xml:space="preserve"> </w:t>
      </w:r>
      <w:r>
        <w:t xml:space="preserve">(Oliver &amp; Jenkins 2008, p. 3)</w:t>
      </w:r>
      <w:r>
        <w:t xml:space="preserve">. Image taken from the</w:t>
      </w:r>
      <w:r>
        <w:t xml:space="preserve"> </w:t>
      </w:r>
      <w:r>
        <w:t xml:space="preserve">“</w:t>
      </w:r>
      <w:r>
        <w:t xml:space="preserve">Spandex</w:t>
      </w:r>
      <w:r>
        <w:t xml:space="preserve">”</w:t>
      </w:r>
      <w:r>
        <w:t xml:space="preserve"> </w:t>
      </w:r>
      <w:r>
        <w:t xml:space="preserve">entry of Wikipedia:</w:t>
      </w:r>
      <w:r>
        <w:t xml:space="preserve"> </w:t>
      </w:r>
      <w:r>
        <w:t xml:space="preserve">“</w:t>
      </w:r>
      <w:r>
        <w:t xml:space="preserve">Polyurethane Fibers Optical microscopy Polarized Light Magnification 100x (cross-polarized light illumination, magnification 100x). Created: 1 January 2015.</w:t>
      </w:r>
      <w:r>
        <w:t xml:space="preserve">”</w:t>
      </w:r>
    </w:p>
    <w:p>
      <w:pPr>
        <w:pStyle w:val="Heading5"/>
      </w:pPr>
      <w:bookmarkStart w:id="215" w:name="infraskin"/>
      <w:r>
        <w:t xml:space="preserve">Infraskin</w:t>
      </w:r>
      <w:bookmarkEnd w:id="215"/>
    </w:p>
    <w:p>
      <w:pPr>
        <w:pStyle w:val="FirstParagraph"/>
      </w:pPr>
      <w:r>
        <w:t xml:space="preserve">Unlike in Latour’s network, affectivity appears in Nancy’s</w:t>
      </w:r>
      <w:r>
        <w:t xml:space="preserve"> </w:t>
      </w:r>
      <w:r>
        <w:t xml:space="preserve">‘</w:t>
      </w:r>
      <w:r>
        <w:t xml:space="preserve">sense,</w:t>
      </w:r>
      <w:r>
        <w:t xml:space="preserve">’</w:t>
      </w:r>
      <w:r>
        <w:t xml:space="preserve"> </w:t>
      </w:r>
      <w:r>
        <w:t xml:space="preserve">that is, on the body, its touch, and as before, in listening.</w:t>
      </w:r>
      <w:r>
        <w:t xml:space="preserve"> </w:t>
      </w:r>
      <w:r>
        <w:t xml:space="preserve">at</w:t>
      </w:r>
      <w:r>
        <w:t xml:space="preserve"> </w:t>
      </w:r>
      <w:r>
        <w:t xml:space="preserve">quite literally forbids this, treating any</w:t>
      </w:r>
      <w:r>
        <w:t xml:space="preserve"> </w:t>
      </w:r>
      <w:r>
        <w:t xml:space="preserve">“</w:t>
      </w:r>
      <w:r>
        <w:t xml:space="preserve">homogenous morphism</w:t>
      </w:r>
      <w:r>
        <w:t xml:space="preserve">”</w:t>
      </w:r>
      <w:r>
        <w:t xml:space="preserve"> </w:t>
      </w:r>
      <w:r>
        <w:t xml:space="preserve">as</w:t>
      </w:r>
      <w:r>
        <w:t xml:space="preserve"> </w:t>
      </w:r>
      <w:r>
        <w:t xml:space="preserve">“</w:t>
      </w:r>
      <w:r>
        <w:t xml:space="preserve">exceptions which should be accounted for</w:t>
      </w:r>
      <w:r>
        <w:t xml:space="preserve">”</w:t>
      </w:r>
      <w:r>
        <w:t xml:space="preserve"> </w:t>
      </w:r>
      <w:r>
        <w:t xml:space="preserve">(Latour 1990, p. 16)</w:t>
      </w:r>
      <w:r>
        <w:t xml:space="preserve">. That is to say, if we may think of a skin upon which we (humans) resonate in self-exposure (community as unwork), then this skin must be an exception, because it is only human, or animal, or reduced to living entities with affective bodies. However, perhaps we can</w:t>
      </w:r>
      <w:r>
        <w:t xml:space="preserve"> </w:t>
      </w:r>
      <w:r>
        <w:t xml:space="preserve">“</w:t>
      </w:r>
      <w:r>
        <w:t xml:space="preserve">account for</w:t>
      </w:r>
      <w:r>
        <w:t xml:space="preserve">”</w:t>
      </w:r>
      <w:r>
        <w:t xml:space="preserve"> </w:t>
      </w:r>
      <w:r>
        <w:t xml:space="preserve">this skin as exceptional, and consider it</w:t>
      </w:r>
      <w:r>
        <w:t xml:space="preserve"> </w:t>
      </w:r>
      <w:r>
        <w:t xml:space="preserve">“</w:t>
      </w:r>
      <w:r>
        <w:t xml:space="preserve">x-morphic,</w:t>
      </w:r>
      <w:r>
        <w:t xml:space="preserve">”</w:t>
      </w:r>
      <w:r>
        <w:t xml:space="preserve"> </w:t>
      </w:r>
      <w:r>
        <w:t xml:space="preserve">that is,</w:t>
      </w:r>
      <w:r>
        <w:t xml:space="preserve"> </w:t>
      </w:r>
      <w:r>
        <w:t xml:space="preserve">“</w:t>
      </w:r>
      <w:r>
        <w:t xml:space="preserve">anthropo-morphic, but also zoo-morphic, phusi-morphic, logo-morphic, techno-morphic, ideo-morphic</w:t>
      </w:r>
      <w:r>
        <w:t xml:space="preserve">”</w:t>
      </w:r>
      <w:r>
        <w:t xml:space="preserve"> </w:t>
      </w:r>
      <w:r>
        <w:t xml:space="preserve">(Latour 1990, p. 16)</w:t>
      </w:r>
      <w:r>
        <w:t xml:space="preserve">. This x-morphic skin is what we (humands and nonhumans) have in common as singular beings in the network, what for Nancy is</w:t>
      </w:r>
      <w:r>
        <w:t xml:space="preserve"> </w:t>
      </w:r>
      <w:r>
        <w:t xml:space="preserve">“</w:t>
      </w:r>
      <w:r>
        <w:t xml:space="preserve">at the confines of the</w:t>
      </w:r>
      <w:r>
        <w:t xml:space="preserve"> </w:t>
      </w:r>
      <w:r>
        <w:rPr>
          <w:i/>
        </w:rPr>
        <w:t xml:space="preserve">same</w:t>
      </w:r>
      <w:r>
        <w:t xml:space="preserve"> </w:t>
      </w:r>
      <w:r>
        <w:t xml:space="preserve">singularity</w:t>
      </w:r>
      <w:r>
        <w:t xml:space="preserve">”</w:t>
      </w:r>
      <w:r>
        <w:t xml:space="preserve"> </w:t>
      </w:r>
      <w:r>
        <w:t xml:space="preserve">(Nancy 1991, p. 28)</w:t>
      </w:r>
      <w:r>
        <w:t xml:space="preserve"> </w:t>
      </w:r>
      <w:r>
        <w:t xml:space="preserve">would be at the irreducible limit of an</w:t>
      </w:r>
      <w:r>
        <w:t xml:space="preserve"> </w:t>
      </w:r>
      <w:r>
        <w:t xml:space="preserve">‘</w:t>
      </w:r>
      <w:r>
        <w:t xml:space="preserve">infra</w:t>
      </w:r>
      <w:r>
        <w:t xml:space="preserve">’</w:t>
      </w:r>
      <w:r>
        <w:t xml:space="preserve"> </w:t>
      </w:r>
      <w:r>
        <w:t xml:space="preserve">skin. Nancy is aware the this skin is not a total, complete, or superior skin:</w:t>
      </w:r>
      <w:r>
        <w:rPr>
          <w:rStyle w:val="FootnoteReference"/>
        </w:rPr>
        <w:footnoteReference w:id="216"/>
      </w:r>
      <w:r>
        <w:t xml:space="preserve"> </w:t>
      </w:r>
      <w:r>
        <w:t xml:space="preserve">like selves and community, it is interrupted. Interruption, however, in Latour’s terminology relates to an ethics of the network where</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are understood in terms of navigation, mediation, and reduction. More connectivity is good, less is bad:</w:t>
      </w:r>
      <w:r>
        <w:t xml:space="preserve"> </w:t>
      </w:r>
      <w:r>
        <w:t xml:space="preserve">“</w:t>
      </w:r>
      <w:r>
        <w:t xml:space="preserve">either an account leads you to all the other accounts…or it interrupts constantly the movement, letting frames of reference distant and foreign…</w:t>
      </w:r>
      <w:r>
        <w:t xml:space="preserve">”</w:t>
      </w:r>
      <w:r>
        <w:t xml:space="preserve"> </w:t>
      </w:r>
      <w:r>
        <w:t xml:space="preserve">(Latour 1990, pp. 13–14)</w:t>
      </w:r>
      <w:r>
        <w:t xml:space="preserve">. Nevertheless, we can understand interruptedness as a general condition of irreducibility, which is, contradictorily enough “the highest ethical standard for</w:t>
      </w:r>
      <w:r>
        <w:t xml:space="preserve"> </w:t>
      </w:r>
      <w:r>
        <w:t xml:space="preserve">at</w:t>
      </w:r>
      <w:r>
        <w:t xml:space="preserve"> </w:t>
      </w:r>
      <w:r>
        <w:t xml:space="preserve">(Latour 1990, p. 14)</w:t>
      </w:r>
      <w:r>
        <w:t xml:space="preserve">. In being interrupted, the relation itself becomes ontological, since it is thus the unworking of the work of actors. The new</w:t>
      </w:r>
      <w:r>
        <w:t xml:space="preserve"> </w:t>
      </w:r>
      <w:r>
        <w:t xml:space="preserve">‘</w:t>
      </w:r>
      <w:r>
        <w:t xml:space="preserve">ontological hybrid</w:t>
      </w:r>
      <w:r>
        <w:t xml:space="preserve">’</w:t>
      </w:r>
      <w:r>
        <w:t xml:space="preserve"> </w:t>
      </w:r>
      <w:r>
        <w:t xml:space="preserve">actor-network can be understood, then, as comprised of te</w:t>
      </w:r>
      <w:r>
        <w:t xml:space="preserve"> </w:t>
      </w:r>
      <w:r>
        <w:rPr>
          <w:i/>
        </w:rPr>
        <w:t xml:space="preserve">unwork</w:t>
      </w:r>
      <w:r>
        <w:t xml:space="preserve"> </w:t>
      </w:r>
      <w:r>
        <w:t xml:space="preserve">of actors. This is the suspension at the limit: within the irreducibility of this interruptedness, this infraskin is simultaneously</w:t>
      </w:r>
      <w:r>
        <w:t xml:space="preserve"> </w:t>
      </w:r>
      <w:r>
        <w:t xml:space="preserve">“</w:t>
      </w:r>
      <w:r>
        <w:t xml:space="preserve">always</w:t>
      </w:r>
      <w:r>
        <w:t xml:space="preserve"> </w:t>
      </w:r>
      <w:r>
        <w:rPr>
          <w:i/>
        </w:rPr>
        <w:t xml:space="preserve">other</w:t>
      </w:r>
      <w:r>
        <w:t xml:space="preserve">, always shared, always exposed</w:t>
      </w:r>
      <w:r>
        <w:t xml:space="preserve">”</w:t>
      </w:r>
      <w:r>
        <w:t xml:space="preserve"> </w:t>
      </w:r>
      <w:r>
        <w:t xml:space="preserve">(Nancy 1991, p. 28)</w:t>
      </w:r>
      <w:r>
        <w:t xml:space="preserve">. Like the skin of the Silent Drum Controller (See</w:t>
      </w:r>
      <w:r>
        <w:t xml:space="preserve"> </w:t>
      </w:r>
      <w:hyperlink w:anchor="applications:hybrid_queries">
        <w:r>
          <w:rPr>
            <w:rStyle w:val="Hyperlink"/>
          </w:rPr>
          <w:t xml:space="preserve">4.3.4.2.3</w:t>
        </w:r>
      </w:hyperlink>
      <w:r>
        <w:t xml:space="preserve">), suspended along the rims, stretching and compressing to touch, and making mechanical waves through the resonances of its silence, this infraskin would resonate at the limit. The Slient Drum tracks shapes made with the elastic fabric folding and unfolding against the human skin, therefore it</w:t>
      </w:r>
      <w:r>
        <w:t xml:space="preserve"> </w:t>
      </w:r>
      <w:r>
        <w:t xml:space="preserve">“</w:t>
      </w:r>
      <w:r>
        <w:t xml:space="preserve">acts as the limits, but also as an extension of the human body</w:t>
      </w:r>
      <w:r>
        <w:t xml:space="preserve">”</w:t>
      </w:r>
      <w:r>
        <w:t xml:space="preserve"> </w:t>
      </w:r>
      <w:r>
        <w:t xml:space="preserve">(Oliver &amp; Jenkins 2008, p. 2)</w:t>
      </w:r>
      <w:r>
        <w:t xml:space="preserve">. I would interject here, and propose that instead of an</w:t>
      </w:r>
      <w:r>
        <w:t xml:space="preserve"> </w:t>
      </w:r>
      <w:r>
        <w:t xml:space="preserve">“</w:t>
      </w:r>
      <w:r>
        <w:t xml:space="preserve">extension of the human body</w:t>
      </w:r>
      <w:r>
        <w:t xml:space="preserve">”</w:t>
      </w:r>
      <w:r>
        <w:t xml:space="preserve">, the Silent Drum can be thought of as extending Latour’s network</w:t>
      </w:r>
      <w:r>
        <w:t xml:space="preserve"> </w:t>
      </w:r>
      <w:r>
        <w:rPr>
          <w:i/>
        </w:rPr>
        <w:t xml:space="preserve">with</w:t>
      </w:r>
      <w:r>
        <w:t xml:space="preserve"> </w:t>
      </w:r>
      <w:r>
        <w:t xml:space="preserve">the body, that is, it grants affectivity to the network. In this sense, this infraskin is not a layer that separates the interior form the exterior of a body, or a surface under which or over which two selves can connect or extend. This infraskin is not just the promise of a new cultural algorithm (in Manovich’s sense). This skin is not a surface, but it can be thought of as a texture; not a layer, but an interweaving of elastic fibers (See Figure</w:t>
      </w:r>
      <w:r>
        <w:t xml:space="preserve"> </w:t>
      </w:r>
      <w:hyperlink w:anchor="img:expand">
        <w:r>
          <w:rPr>
            <w:rStyle w:val="Hyperlink"/>
          </w:rPr>
          <w:t xml:space="preserve">5.3</w:t>
        </w:r>
      </w:hyperlink>
      <w:r>
        <w:t xml:space="preserve">) that, in their own locality are fragile, but due to their reticulated structure expand into a redundancy of fragilities. And we can listen to it.</w:t>
      </w:r>
    </w:p>
    <w:p>
      <w:pPr>
        <w:pStyle w:val="Heading5"/>
      </w:pPr>
      <w:bookmarkStart w:id="217" w:name="database-community"/>
      <w:r>
        <w:t xml:space="preserve">Database Community</w:t>
      </w:r>
      <w:bookmarkEnd w:id="217"/>
    </w:p>
    <w:p>
      <w:pPr>
        <w:pStyle w:val="FirstParagraph"/>
      </w:pPr>
      <w:r>
        <w:t xml:space="preserve">With resonant networks as an instantiation of a process of unworking, we can think of database communities. That is to say, the database and the databaser engage in a form of touch. This touch is easy to feel in the case of the Silent Drum because of the elasticity of the drumhead resisting the pressure of the hand. The material resistance of the skin represents, thus, the evidence of the strenghth of connectivity itself:</w:t>
      </w:r>
      <w:r>
        <w:t xml:space="preserve"> </w:t>
      </w:r>
      <w:r>
        <w:t xml:space="preserve">“</w:t>
      </w:r>
      <w:r>
        <w:t xml:space="preserve">strenght does not come from concentration, purity and unity, but from dissemination, heterogeneity and the careful plaiting of weak ties</w:t>
      </w:r>
      <w:r>
        <w:t xml:space="preserve">”</w:t>
      </w:r>
      <w:r>
        <w:t xml:space="preserve"> </w:t>
      </w:r>
      <w:r>
        <w:t xml:space="preserve">(Latour 1990, p. 3)</w:t>
      </w:r>
      <w:r>
        <w:t xml:space="preserve">. In this sense, if one removes the skin one would be left with no resistance. Hence, the Silent Drum would be rendered weak. But, this infraskin or its resistance does not need to be visible for the community of the human and the non to exist. This is the case of the MANO controller</w:t>
      </w:r>
      <w:r>
        <w:t xml:space="preserve"> </w:t>
      </w:r>
      <w:r>
        <w:t xml:space="preserve">(Oliver 2010)</w:t>
      </w:r>
      <w:r>
        <w:t xml:space="preserve">, where the elastic tissue that was tracked in the Silent Drum is removed, and what is tracked is now the skin of the hand (</w:t>
      </w:r>
      <w:r>
        <w:rPr>
          <w:i/>
        </w:rPr>
        <w:t xml:space="preserve">mano</w:t>
      </w:r>
      <w:r>
        <w:t xml:space="preserve"> </w:t>
      </w:r>
      <w:r>
        <w:t xml:space="preserve">in spanish) directly. This physical elision points equally to the (human) invisibility of the infraskin, as to the sonorous presence of its resonance. In making this controller, it can be argued that Oliver La Rosa was precisely making audible not only the gap between the sensor and the dark background interrupted by manipulation, and not only the different gestures recognized and tracked by the algorithm, but also the gap (the limit) between the human and the nonhuman, what I am calling here the infraskin. In making this skin resonate with a database, the result is a sonic event that instantiates the community of this limit. That is to say, all the elements that compose the multiplicity of the construction (sensor, video stream, C++, C, Pure Data, the parameters obtained from video analysis, etc.) enter into resonance with each other, and thus manifests the sound of a community. The</w:t>
      </w:r>
      <w:r>
        <w:t xml:space="preserve"> </w:t>
      </w:r>
      <w:r>
        <w:t xml:space="preserve">“</w:t>
      </w:r>
      <w:r>
        <w:t xml:space="preserve">trace of the edge of the hand</w:t>
      </w:r>
      <w:r>
        <w:t xml:space="preserve">”</w:t>
      </w:r>
      <w:r>
        <w:t xml:space="preserve"> </w:t>
      </w:r>
      <w:r>
        <w:t xml:space="preserve">(Oliver 2010, p. 2)</w:t>
      </w:r>
      <w:r>
        <w:t xml:space="preserve"> </w:t>
      </w:r>
      <w:r>
        <w:t xml:space="preserve">becomes the trace of the resonance of a database community. Or simply, database music.</w:t>
      </w:r>
    </w:p>
    <w:p>
      <w:pPr>
        <w:pStyle w:val="BodyText"/>
      </w:pPr>
      <w:r>
        <w:t xml:space="preserve">In a database community, database music can be understood as a hybridly social and communicative event. As an unworking of databasers and databases, it can be considered as the infraskin upon which we (human and nonhuman) resonate, as well as the trace and the tracing of its resonance. The qualities of the music work that result from it can also relate to incompleteness, suspension, as well as to fracture, instability, and interruption. In this sense, databaser and a database can be heard in resonance with each other, as well as in communication with each other, but it is a resonance or a communication that is not teleological. Communication, in this context, refers not to language, or to information, but to a property of being in common. In Nancy’s sense, the being in common of singularities; in Latour’s sense, the connectivity and associations of actors. For Nancy, “communication is the unworking of work that is social, economic, technical, and institutional</w:t>
      </w:r>
      <w:r>
        <w:t xml:space="preserve"> </w:t>
      </w:r>
      <w:r>
        <w:t xml:space="preserve">(Nancy 1991, p. 31)</w:t>
      </w:r>
      <w:r>
        <w:t xml:space="preserve">. Communication, in this sense, is also the unworking of work that is resonant, and thus it can be considered as a music unwork. I will refer to this in later sections (See</w:t>
      </w:r>
      <w:r>
        <w:t xml:space="preserve"> </w:t>
      </w:r>
      <w:hyperlink w:anchor="anarchy">
        <w:r>
          <w:rPr>
            <w:rStyle w:val="Hyperlink"/>
          </w:rPr>
          <w:t xml:space="preserve">5.4.6</w:t>
        </w:r>
      </w:hyperlink>
      <w:r>
        <w:t xml:space="preserve">). In what follows, I will focus on the</w:t>
      </w:r>
      <w:r>
        <w:t xml:space="preserve"> </w:t>
      </w:r>
      <w:r>
        <w:t xml:space="preserve">‘</w:t>
      </w:r>
      <w:r>
        <w:t xml:space="preserve">trace</w:t>
      </w:r>
      <w:r>
        <w:t xml:space="preserve">’</w:t>
      </w:r>
      <w:r>
        <w:t xml:space="preserve"> </w:t>
      </w:r>
      <w:r>
        <w:t xml:space="preserve">of this resonance.</w:t>
      </w:r>
    </w:p>
    <w:p>
      <w:pPr>
        <w:pStyle w:val="Heading2"/>
      </w:pPr>
      <w:bookmarkStart w:id="218" w:name="section:Databases_And Memory"/>
      <w:r>
        <w:t xml:space="preserve">Databases And Memory</w:t>
      </w:r>
      <w:bookmarkEnd w:id="218"/>
    </w:p>
    <w:p>
      <w:pPr>
        <w:pStyle w:val="Heading3"/>
      </w:pPr>
      <w:bookmarkStart w:id="219" w:name="human"/>
      <w:r>
        <w:t xml:space="preserve">The Effraction Of The Trace</w:t>
      </w:r>
      <w:bookmarkEnd w:id="219"/>
    </w:p>
    <w:p>
      <w:pPr>
        <w:pStyle w:val="FirstParagraph"/>
      </w:pPr>
      <w:r>
        <w:t xml:space="preserve">According to Jaques</w:t>
      </w:r>
      <w:r>
        <w:t xml:space="preserve"> </w:t>
      </w:r>
      <w:r>
        <w:t xml:space="preserve">Derrida (1978)</w:t>
      </w:r>
      <w:r>
        <w:t xml:space="preserve">, Freud understood memory as the essence of the psyche:</w:t>
      </w:r>
      <w:r>
        <w:t xml:space="preserve"> </w:t>
      </w:r>
      <w:r>
        <w:t xml:space="preserve">“</w:t>
      </w:r>
      <w:r>
        <w:t xml:space="preserve">Memory…is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w:t>
      </w:r>
      <w:r>
        <w:t xml:space="preserve"> </w:t>
      </w:r>
      <w:r>
        <w:t xml:space="preserve">‘</w:t>
      </w:r>
      <w:r>
        <w:t xml:space="preserve">Effraction</w:t>
      </w:r>
      <w:r>
        <w:t xml:space="preserve">’</w:t>
      </w:r>
      <w:r>
        <w:t xml:space="preserve"> </w:t>
      </w:r>
      <w:r>
        <w:t xml:space="preserve">is a legal term that refers to making a forcible entry into a house. Derrida uses it in relation to the process of impression (pressing</w:t>
      </w:r>
      <w:r>
        <w:t xml:space="preserve"> </w:t>
      </w:r>
      <w:r>
        <w:rPr>
          <w:i/>
        </w:rPr>
        <w:t xml:space="preserve">in</w:t>
      </w:r>
      <w:r>
        <w:t xml:space="preserve">) with which memories are unconsciously inscribed. The inscription of a trace relates thusly to a certain violence. This does not mean that memories are violent in themselves, but that in order for something to leave a mark (a trace), there has to be a force acting against a certain resistance. If traces can be thought of as</w:t>
      </w:r>
      <w:r>
        <w:t xml:space="preserve"> </w:t>
      </w:r>
      <w:r>
        <w:t xml:space="preserve">‘</w:t>
      </w:r>
      <w:r>
        <w:t xml:space="preserve">paths</w:t>
      </w:r>
      <w:r>
        <w:t xml:space="preserve">’</w:t>
      </w:r>
      <w:r>
        <w:t xml:space="preserve"> </w:t>
      </w:r>
      <w:r>
        <w:t xml:space="preserve">or tracks along which memories are inscribed, then making these paths is a form of</w:t>
      </w:r>
      <w:r>
        <w:t xml:space="preserve"> </w:t>
      </w:r>
      <w:r>
        <w:t xml:space="preserve">‘</w:t>
      </w:r>
      <w:r>
        <w:t xml:space="preserve">breaching</w:t>
      </w:r>
      <w:r>
        <w:t xml:space="preserve">’</w:t>
      </w:r>
      <w:r>
        <w:t xml:space="preserve"> </w:t>
      </w:r>
      <w:r>
        <w:t xml:space="preserve">or path breaking. Derrida points to a crucial issue with Freud’s idea of opposing forces: if resisting forces met equally strong resistive forces, the result would be a</w:t>
      </w:r>
      <w:r>
        <w:t xml:space="preserve"> </w:t>
      </w:r>
      <w:r>
        <w:t xml:space="preserve">‘</w:t>
      </w:r>
      <w:r>
        <w:t xml:space="preserve">paralysis</w:t>
      </w:r>
      <w:r>
        <w:t xml:space="preserve">’</w:t>
      </w:r>
      <w:r>
        <w:t xml:space="preserve"> </w:t>
      </w:r>
      <w:r>
        <w:t xml:space="preserve">of memory. Upon this possibility, he recognizes that</w:t>
      </w:r>
      <w:r>
        <w:t xml:space="preserve"> </w:t>
      </w:r>
      <w:r>
        <w:t xml:space="preserve">“</w:t>
      </w:r>
      <w:r>
        <w:t xml:space="preserve">trace as memory is not a pure breaching…it is rather the ungraspable and invisible difference between breaches [traces]</w:t>
      </w:r>
      <w:r>
        <w:t xml:space="preserve">”</w:t>
      </w:r>
      <w:r>
        <w:t xml:space="preserve"> </w:t>
      </w:r>
      <w:r>
        <w:t xml:space="preserve">(Derrida 1978, p. 201)</w:t>
      </w:r>
      <w:r>
        <w:t xml:space="preserve">, a difference that exists both in space and in time. This spatio-temporal play of difference is what Derrida calls</w:t>
      </w:r>
      <w:r>
        <w:t xml:space="preserve"> </w:t>
      </w:r>
      <w:r>
        <w:rPr>
          <w:i/>
        </w:rPr>
        <w:t xml:space="preserve">différance</w:t>
      </w:r>
      <w:r>
        <w:t xml:space="preserve">, and how he understands the</w:t>
      </w:r>
      <w:r>
        <w:t xml:space="preserve"> </w:t>
      </w:r>
      <w:r>
        <w:t xml:space="preserve">“</w:t>
      </w:r>
      <w:r>
        <w:t xml:space="preserve">work of memory</w:t>
      </w:r>
      <w:r>
        <w:t xml:space="preserve">”</w:t>
      </w:r>
      <w:r>
        <w:t xml:space="preserve"> </w:t>
      </w:r>
      <w:r>
        <w:t xml:space="preserve">itself</w:t>
      </w:r>
      <w:r>
        <w:t xml:space="preserve"> </w:t>
      </w:r>
      <w:r>
        <w:t xml:space="preserve">(Derrida 1978, p. 226)</w:t>
      </w:r>
      <w:r>
        <w:t xml:space="preserve">.</w:t>
      </w:r>
      <w:r>
        <w:t xml:space="preserve"> </w:t>
      </w:r>
      <w:r>
        <w:rPr>
          <w:i/>
        </w:rPr>
        <w:t xml:space="preserve">Différance</w:t>
      </w:r>
      <w:r>
        <w:t xml:space="preserve"> </w:t>
      </w:r>
      <w:r>
        <w:t xml:space="preserve">has many names throughout Derrida’s text, making any attempt to address it an extensive process.</w:t>
      </w:r>
      <w:r>
        <w:rPr>
          <w:rStyle w:val="FootnoteReference"/>
        </w:rPr>
        <w:footnoteReference w:id="220"/>
      </w:r>
      <w:r>
        <w:t xml:space="preserve"> </w:t>
      </w:r>
      <w:r>
        <w:t xml:space="preserve">In what follows, I will briefly delineate what I consider its most important qualities for the purpose of discussing the database in relation to memory.</w:t>
      </w:r>
    </w:p>
    <w:p>
      <w:pPr>
        <w:pStyle w:val="Heading5"/>
      </w:pPr>
      <w:bookmarkStart w:id="221" w:name="différance"/>
      <w:r>
        <w:t xml:space="preserve">Différance</w:t>
      </w:r>
      <w:bookmarkEnd w:id="221"/>
    </w:p>
    <w:p>
      <w:pPr>
        <w:pStyle w:val="FirstParagraph"/>
      </w:pPr>
      <w:r>
        <w:t xml:space="preserve">The play of difference with which Derrida describes the psyche can be understood in terms of how it applies to language. For example, in order to describe an object (</w:t>
      </w:r>
      <w:r>
        <w:t xml:space="preserve">‘</w:t>
      </w:r>
      <w:r>
        <w:t xml:space="preserve">database</w:t>
      </w:r>
      <w:r>
        <w:t xml:space="preserve">’</w:t>
      </w:r>
      <w:r>
        <w:t xml:space="preserve">), one needs another word (e.g.</w:t>
      </w:r>
      <w:r>
        <w:t xml:space="preserve"> </w:t>
      </w:r>
      <w:r>
        <w:t xml:space="preserve">‘</w:t>
      </w:r>
      <w:r>
        <w:t xml:space="preserve">data,</w:t>
      </w:r>
      <w:r>
        <w:t xml:space="preserve">’</w:t>
      </w:r>
      <w:r>
        <w:t xml:space="preserve"> </w:t>
      </w:r>
      <w:r>
        <w:t xml:space="preserve">‘</w:t>
      </w:r>
      <w:r>
        <w:t xml:space="preserve">algorithm,</w:t>
      </w:r>
      <w:r>
        <w:t xml:space="preserve">’</w:t>
      </w:r>
      <w:r>
        <w:t xml:space="preserve"> </w:t>
      </w:r>
      <w:r>
        <w:t xml:space="preserve">‘</w:t>
      </w:r>
      <w:r>
        <w:t xml:space="preserve">structure</w:t>
      </w:r>
      <w:r>
        <w:t xml:space="preserve">’</w:t>
      </w:r>
      <w:r>
        <w:t xml:space="preserve">), which in turn demands yet another word (e.g.</w:t>
      </w:r>
      <w:r>
        <w:t xml:space="preserve"> </w:t>
      </w:r>
      <w:r>
        <w:t xml:space="preserve">‘</w:t>
      </w:r>
      <w:r>
        <w:t xml:space="preserve">bit</w:t>
      </w:r>
      <w:r>
        <w:t xml:space="preserve">’</w:t>
      </w:r>
      <w:r>
        <w:t xml:space="preserve">,</w:t>
      </w:r>
      <w:r>
        <w:t xml:space="preserve"> </w:t>
      </w:r>
      <w:r>
        <w:t xml:space="preserve">‘</w:t>
      </w:r>
      <w:r>
        <w:t xml:space="preserve">computer,</w:t>
      </w:r>
      <w:r>
        <w:t xml:space="preserve">’</w:t>
      </w:r>
      <w:r>
        <w:t xml:space="preserve"> </w:t>
      </w:r>
      <w:r>
        <w:t xml:space="preserve">‘</w:t>
      </w:r>
      <w:r>
        <w:t xml:space="preserve">model</w:t>
      </w:r>
      <w:r>
        <w:t xml:space="preserve">’</w:t>
      </w:r>
      <w:r>
        <w:t xml:space="preserve">). Up to this point, we still don’t know what the word means in the first place, or if one means</w:t>
      </w:r>
      <w:r>
        <w:t xml:space="preserve"> </w:t>
      </w:r>
      <w:r>
        <w:rPr>
          <w:i/>
        </w:rPr>
        <w:t xml:space="preserve">this</w:t>
      </w:r>
      <w:r>
        <w:t xml:space="preserve"> </w:t>
      </w:r>
      <w:r>
        <w:t xml:space="preserve">or</w:t>
      </w:r>
      <w:r>
        <w:t xml:space="preserve"> </w:t>
      </w:r>
      <w:r>
        <w:rPr>
          <w:i/>
        </w:rPr>
        <w:t xml:space="preserve">that</w:t>
      </w:r>
      <w:r>
        <w:t xml:space="preserve"> </w:t>
      </w:r>
      <w:r>
        <w:t xml:space="preserve">database, or if one will ever describe the object in question. To explain fully the point, for instance, the reference would need to</w:t>
      </w:r>
      <w:r>
        <w:t xml:space="preserve"> </w:t>
      </w:r>
      <w:r>
        <w:rPr>
          <w:i/>
        </w:rPr>
        <w:t xml:space="preserve">become</w:t>
      </w:r>
      <w:r>
        <w:t xml:space="preserve"> </w:t>
      </w:r>
      <w:r>
        <w:t xml:space="preserve">the object. In fact, the reference will</w:t>
      </w:r>
      <w:r>
        <w:t xml:space="preserve"> </w:t>
      </w:r>
      <w:r>
        <w:rPr>
          <w:i/>
        </w:rPr>
        <w:t xml:space="preserve">never</w:t>
      </w:r>
      <w:r>
        <w:t xml:space="preserve"> </w:t>
      </w:r>
      <w:r>
        <w:t xml:space="preserve">become the object, hence the moment of deferral that plays</w:t>
      </w:r>
      <w:r>
        <w:t xml:space="preserve"> </w:t>
      </w:r>
      <w:r>
        <w:rPr>
          <w:i/>
        </w:rPr>
        <w:t xml:space="preserve">in time</w:t>
      </w:r>
      <w:r>
        <w:t xml:space="preserve">. Likewise, the word</w:t>
      </w:r>
      <w:r>
        <w:t xml:space="preserve"> </w:t>
      </w:r>
      <w:r>
        <w:t xml:space="preserve">‘</w:t>
      </w:r>
      <w:r>
        <w:t xml:space="preserve">database</w:t>
      </w:r>
      <w:r>
        <w:t xml:space="preserve">’</w:t>
      </w:r>
      <w:r>
        <w:t xml:space="preserve"> </w:t>
      </w:r>
      <w:r>
        <w:t xml:space="preserve">is not the same as, for example,</w:t>
      </w:r>
      <w:r>
        <w:t xml:space="preserve"> </w:t>
      </w:r>
      <w:r>
        <w:t xml:space="preserve">‘</w:t>
      </w:r>
      <w:r>
        <w:t xml:space="preserve">archive,</w:t>
      </w:r>
      <w:r>
        <w:t xml:space="preserve">’</w:t>
      </w:r>
      <w:r>
        <w:t xml:space="preserve"> </w:t>
      </w:r>
      <w:r>
        <w:t xml:space="preserve">‘</w:t>
      </w:r>
      <w:r>
        <w:t xml:space="preserve">library,</w:t>
      </w:r>
      <w:r>
        <w:t xml:space="preserve">’</w:t>
      </w:r>
      <w:r>
        <w:t xml:space="preserve"> </w:t>
      </w:r>
      <w:r>
        <w:t xml:space="preserve">or</w:t>
      </w:r>
      <w:r>
        <w:t xml:space="preserve"> </w:t>
      </w:r>
      <w:r>
        <w:t xml:space="preserve">‘</w:t>
      </w:r>
      <w:r>
        <w:t xml:space="preserve">dictionary,</w:t>
      </w:r>
      <w:r>
        <w:t xml:space="preserve">’</w:t>
      </w:r>
      <w:r>
        <w:t xml:space="preserve"> </w:t>
      </w:r>
      <w:r>
        <w:t xml:space="preserve">pointing at the differing references that play</w:t>
      </w:r>
      <w:r>
        <w:t xml:space="preserve"> </w:t>
      </w:r>
      <w:r>
        <w:rPr>
          <w:i/>
        </w:rPr>
        <w:t xml:space="preserve">spatially</w:t>
      </w:r>
      <w:r>
        <w:t xml:space="preserve">, across the multiple meanings to which each word points. In any case, the play of difference engages us with an adventure that makes us think about</w:t>
      </w:r>
      <w:r>
        <w:t xml:space="preserve"> </w:t>
      </w:r>
      <w:r>
        <w:t xml:space="preserve">‘</w:t>
      </w:r>
      <w:r>
        <w:t xml:space="preserve">database</w:t>
      </w:r>
      <w:r>
        <w:t xml:space="preserve">’</w:t>
      </w:r>
      <w:r>
        <w:t xml:space="preserve"> </w:t>
      </w:r>
      <w:r>
        <w:t xml:space="preserve">without necessarily aiming at one answer, but might help us</w:t>
      </w:r>
      <w:r>
        <w:t xml:space="preserve"> </w:t>
      </w:r>
      <w:r>
        <w:t xml:space="preserve">‘</w:t>
      </w:r>
      <w:r>
        <w:t xml:space="preserve">traverse</w:t>
      </w:r>
      <w:r>
        <w:t xml:space="preserve">’</w:t>
      </w:r>
      <w:r>
        <w:t xml:space="preserve"> </w:t>
      </w:r>
      <w:r>
        <w:t xml:space="preserve">its trace. Within this traversal we can find the two meanings of the the French word for difference: to defer and to differ. Derrida makes this distinction</w:t>
      </w:r>
      <w:r>
        <w:t xml:space="preserve"> </w:t>
      </w:r>
      <w:r>
        <w:t xml:space="preserve">‘</w:t>
      </w:r>
      <w:r>
        <w:t xml:space="preserve">evident</w:t>
      </w:r>
      <w:r>
        <w:t xml:space="preserve">’</w:t>
      </w:r>
      <w:r>
        <w:t xml:space="preserve"> </w:t>
      </w:r>
      <w:r>
        <w:t xml:space="preserve">with the use of the</w:t>
      </w:r>
      <w:r>
        <w:t xml:space="preserve"> </w:t>
      </w:r>
      <w:r>
        <w:t xml:space="preserve">‘</w:t>
      </w:r>
      <w:r>
        <w:t xml:space="preserve">a</w:t>
      </w:r>
      <w:r>
        <w:t xml:space="preserve">’</w:t>
      </w:r>
      <w:r>
        <w:t xml:space="preserve"> </w:t>
      </w:r>
      <w:r>
        <w:t xml:space="preserve">on the spelling of the word</w:t>
      </w:r>
      <w:r>
        <w:t xml:space="preserve"> </w:t>
      </w:r>
      <w:r>
        <w:t xml:space="preserve">‘</w:t>
      </w:r>
      <w:r>
        <w:t xml:space="preserve">différance,</w:t>
      </w:r>
      <w:r>
        <w:t xml:space="preserve">’</w:t>
      </w:r>
      <w:r>
        <w:t xml:space="preserve"> </w:t>
      </w:r>
      <w:r>
        <w:t xml:space="preserve">which in French makes no audible change. In doing this, he points to the distinction between spoken and written words, while emphasizing the dual meaning of the play in question: deffering-differing. In relation to the psyche, the play is between the traces. On one hand, the</w:t>
      </w:r>
      <w:r>
        <w:t xml:space="preserve"> </w:t>
      </w:r>
      <w:r>
        <w:t xml:space="preserve">‘</w:t>
      </w:r>
      <w:r>
        <w:t xml:space="preserve">spacing</w:t>
      </w:r>
      <w:r>
        <w:t xml:space="preserve">’</w:t>
      </w:r>
      <w:r>
        <w:t xml:space="preserve"> </w:t>
      </w:r>
      <w:r>
        <w:t xml:space="preserve">of memory traces relates to the difference among traces, how they relate to each other in terms of their identity, and also to the difference between consciousness and unconsciousness. On the other, difference relates to the deferment, delays, or the postponement of the inscription of traces. In this sense, he understands Freud’s concept of</w:t>
      </w:r>
      <w:r>
        <w:t xml:space="preserve"> </w:t>
      </w:r>
      <w:r>
        <w:t xml:space="preserve">‘</w:t>
      </w:r>
      <w:r>
        <w:t xml:space="preserve">death drive,</w:t>
      </w:r>
      <w:r>
        <w:t xml:space="preserve">’</w:t>
      </w:r>
      <w:r>
        <w:t xml:space="preserve"> </w:t>
      </w:r>
      <w:r>
        <w:t xml:space="preserve">that is, the gravitational pull that the inorganic exerts on the organic:</w:t>
      </w:r>
      <w:r>
        <w:t xml:space="preserve"> </w:t>
      </w:r>
      <w:r>
        <w:t xml:space="preserve">“</w:t>
      </w:r>
      <w:r>
        <w:t xml:space="preserve">death at the origin of life which can defend itself against death only through an</w:t>
      </w:r>
      <w:r>
        <w:t xml:space="preserve"> </w:t>
      </w:r>
      <w:r>
        <w:rPr>
          <w:i/>
        </w:rPr>
        <w:t xml:space="preserve">economy</w:t>
      </w:r>
      <w:r>
        <w:t xml:space="preserve"> </w:t>
      </w:r>
      <w:r>
        <w:t xml:space="preserve">of death, through deferment…</w:t>
      </w:r>
      <w:r>
        <w:t xml:space="preserve">”</w:t>
      </w:r>
      <w:r>
        <w:t xml:space="preserve"> </w:t>
      </w:r>
      <w:r>
        <w:t xml:space="preserve">(Derrida 1978, p. 202)</w:t>
      </w:r>
      <w:r>
        <w:t xml:space="preserve">.</w:t>
      </w:r>
    </w:p>
    <w:p>
      <w:pPr>
        <w:pStyle w:val="Heading5"/>
      </w:pPr>
      <w:bookmarkStart w:id="222" w:name="funes"/>
      <w:r>
        <w:t xml:space="preserve">Funes</w:t>
      </w:r>
      <w:bookmarkEnd w:id="222"/>
    </w:p>
    <w:p>
      <w:pPr>
        <w:pStyle w:val="FirstParagraph"/>
      </w:pPr>
      <w:r>
        <w:t xml:space="preserve">I would like to return to one more aspect of Funes’ story that relates to</w:t>
      </w:r>
      <w:r>
        <w:t xml:space="preserve"> </w:t>
      </w:r>
      <w:r>
        <w:rPr>
          <w:i/>
        </w:rPr>
        <w:t xml:space="preserve">différance</w:t>
      </w:r>
      <w:r>
        <w:t xml:space="preserve">. Consider how the narrator writes about his own unfinished project of learning Latin:</w:t>
      </w:r>
      <w:r>
        <w:t xml:space="preserve"> </w:t>
      </w:r>
      <w:r>
        <w:t xml:space="preserve">“</w:t>
      </w:r>
      <w:r>
        <w:t xml:space="preserve">The truth is that we all live by</w:t>
      </w:r>
      <w:r>
        <w:t xml:space="preserve"> </w:t>
      </w:r>
      <w:r>
        <w:rPr>
          <w:i/>
        </w:rPr>
        <w:t xml:space="preserve">leaving behind</w:t>
      </w:r>
      <w:r>
        <w:t xml:space="preserve">; no doubt we all profoundly know that we are immortal and that sooner or later every man will do all things and know everything</w:t>
      </w:r>
      <w:r>
        <w:t xml:space="preserve">”</w:t>
      </w:r>
      <w:r>
        <w:t xml:space="preserve"> </w:t>
      </w:r>
      <w:r>
        <w:t xml:space="preserve">[emphasis added]</w:t>
      </w:r>
      <w:r>
        <w:t xml:space="preserve"> </w:t>
      </w:r>
      <w:r>
        <w:t xml:space="preserve">(Borges 1994, p. 113)</w:t>
      </w:r>
      <w:r>
        <w:t xml:space="preserve">. A more literal translation of the first sentence would read:</w:t>
      </w:r>
      <w:r>
        <w:t xml:space="preserve"> </w:t>
      </w:r>
      <w:r>
        <w:rPr>
          <w:i/>
        </w:rPr>
        <w:t xml:space="preserve">what is certain is that we live deferring all that can be deferred</w:t>
      </w:r>
      <w:r>
        <w:t xml:space="preserve"> </w:t>
      </w:r>
      <w:r>
        <w:t xml:space="preserve">[Lo cierto es que vivimos postergando todo lo postergable</w:t>
      </w:r>
      <w:r>
        <w:t xml:space="preserve"> </w:t>
      </w:r>
      <w:r>
        <w:t xml:space="preserve">(Borges 1942)</w:t>
      </w:r>
      <w:r>
        <w:t xml:space="preserve">] The narrator touches upon two crucial points with which we can understand</w:t>
      </w:r>
      <w:r>
        <w:t xml:space="preserve"> </w:t>
      </w:r>
      <w:r>
        <w:rPr>
          <w:i/>
        </w:rPr>
        <w:t xml:space="preserve">différance</w:t>
      </w:r>
      <w:r>
        <w:t xml:space="preserve">. On one hand, the postponement that is assigned to</w:t>
      </w:r>
      <w:r>
        <w:t xml:space="preserve"> </w:t>
      </w:r>
      <w:r>
        <w:t xml:space="preserve">‘</w:t>
      </w:r>
      <w:r>
        <w:t xml:space="preserve">every man</w:t>
      </w:r>
      <w:r>
        <w:t xml:space="preserve">’</w:t>
      </w:r>
      <w:r>
        <w:t xml:space="preserve"> </w:t>
      </w:r>
      <w:r>
        <w:t xml:space="preserve">but that is deprived from Funes who cannot afford to defer given his condition of total temporality. On the other hand, the absolute knowledge that the narrator assigns to the multiplicity of man and the multiplicity of things, that is nonetheless made present in a certain sameness that Funes represent (a cancelling out of that which differs). Thus, extending Oviedo’s consideration of Funes as the</w:t>
      </w:r>
      <w:r>
        <w:t xml:space="preserve"> </w:t>
      </w:r>
      <w:r>
        <w:t xml:space="preserve">‘</w:t>
      </w:r>
      <w:r>
        <w:t xml:space="preserve">antithesis of the writer,</w:t>
      </w:r>
      <w:r>
        <w:t xml:space="preserve">’</w:t>
      </w:r>
      <w:r>
        <w:t xml:space="preserve"> </w:t>
      </w:r>
      <w:r>
        <w:t xml:space="preserve">Funes can be further thought of as comprising an antithesis of</w:t>
      </w:r>
      <w:r>
        <w:t xml:space="preserve"> </w:t>
      </w:r>
      <w:r>
        <w:rPr>
          <w:i/>
        </w:rPr>
        <w:t xml:space="preserve">différance</w:t>
      </w:r>
      <w:r>
        <w:t xml:space="preserve">, a man whose psyche has no resisting unconscious. For Spivak, what Derrida’s reading of Freud allows him is to understand how forgetfulness is</w:t>
      </w:r>
      <w:r>
        <w:t xml:space="preserve"> </w:t>
      </w:r>
      <w:r>
        <w:t xml:space="preserve">“</w:t>
      </w:r>
      <w:r>
        <w:t xml:space="preserve">active in the shaping of our</w:t>
      </w:r>
      <w:r>
        <w:t xml:space="preserve"> </w:t>
      </w:r>
      <w:r>
        <w:t xml:space="preserve">‘</w:t>
      </w:r>
      <w:r>
        <w:t xml:space="preserve">selves</w:t>
      </w:r>
      <w:r>
        <w:t xml:space="preserve">’</w:t>
      </w:r>
      <w:r>
        <w:t xml:space="preserve"> </w:t>
      </w:r>
      <w:r>
        <w:t xml:space="preserve">in spite of</w:t>
      </w:r>
      <w:r>
        <w:t xml:space="preserve"> </w:t>
      </w:r>
      <w:r>
        <w:t xml:space="preserve">‘</w:t>
      </w:r>
      <w:r>
        <w:t xml:space="preserve">ourselves</w:t>
      </w:r>
      <w:r>
        <w:t xml:space="preserve">’</w:t>
      </w:r>
      <w:r>
        <w:t xml:space="preserve">”</w:t>
      </w:r>
      <w:r>
        <w:t xml:space="preserve"> </w:t>
      </w:r>
      <w:r>
        <w:t xml:space="preserve">(Derrida &amp; Spivak 1976 xlv)</w:t>
      </w:r>
      <w:r>
        <w:t xml:space="preserve">. That is to say, because of the unknowable forces of the unconscious, we have no control on neither tracing nor the undoing of traces:</w:t>
      </w:r>
      <w:r>
        <w:t xml:space="preserve"> </w:t>
      </w:r>
      <w:r>
        <w:t xml:space="preserve">“</w:t>
      </w:r>
      <w:r>
        <w:t xml:space="preserve">we are surrendered to its inscription</w:t>
      </w:r>
      <w:r>
        <w:t xml:space="preserve">”</w:t>
      </w:r>
      <w:r>
        <w:t xml:space="preserve"> </w:t>
      </w:r>
      <w:r>
        <w:t xml:space="preserve">(Derrida &amp; Spivak 1976 xlv)</w:t>
      </w:r>
      <w:r>
        <w:t xml:space="preserve">. Furthermore, in contrast to a Nietzscean view of an active search for forgetfulness</w:t>
      </w:r>
      <w:r>
        <w:t xml:space="preserve"> </w:t>
      </w:r>
      <w:r>
        <w:t xml:space="preserve">“</w:t>
      </w:r>
      <w:r>
        <w:t xml:space="preserve">or the love of chance,</w:t>
      </w:r>
      <w:r>
        <w:t xml:space="preserve">”</w:t>
      </w:r>
      <w:r>
        <w:t xml:space="preserve"> </w:t>
      </w:r>
      <w:r>
        <w:t xml:space="preserve">what Derrida finds is that “we are the play of chance and necessity [and] there is no harm in the will to knowledge</w:t>
      </w:r>
      <w:r>
        <w:t xml:space="preserve"> </w:t>
      </w:r>
      <w:r>
        <w:t xml:space="preserve">(Derrida &amp; Spivak 1976 xliv)</w:t>
      </w:r>
      <w:r>
        <w:t xml:space="preserve">. Unlike Funes, we are already immersed in (and shaped by) a world of</w:t>
      </w:r>
      <w:r>
        <w:t xml:space="preserve"> </w:t>
      </w:r>
      <w:r>
        <w:rPr>
          <w:i/>
        </w:rPr>
        <w:t xml:space="preserve">différance</w:t>
      </w:r>
      <w:r>
        <w:t xml:space="preserve">. Therefore, we can now ask ourselves in what way does</w:t>
      </w:r>
      <w:r>
        <w:t xml:space="preserve"> </w:t>
      </w:r>
      <w:r>
        <w:rPr>
          <w:i/>
        </w:rPr>
        <w:t xml:space="preserve">différance</w:t>
      </w:r>
      <w:r>
        <w:t xml:space="preserve"> </w:t>
      </w:r>
      <w:r>
        <w:t xml:space="preserve">change our understanding of the database? Databasing can perhaps be understood as one way of traversing</w:t>
      </w:r>
      <w:r>
        <w:t xml:space="preserve"> </w:t>
      </w:r>
      <w:r>
        <w:rPr>
          <w:i/>
        </w:rPr>
        <w:t xml:space="preserve">différance</w:t>
      </w:r>
      <w:r>
        <w:t xml:space="preserve">, not as an aim, but simply as something you are: in databasing, you</w:t>
      </w:r>
      <w:r>
        <w:t xml:space="preserve"> </w:t>
      </w:r>
      <w:r>
        <w:rPr>
          <w:i/>
        </w:rPr>
        <w:t xml:space="preserve">are</w:t>
      </w:r>
      <w:r>
        <w:t xml:space="preserve"> </w:t>
      </w:r>
      <w:r>
        <w:t xml:space="preserve">databasing. Funes, in this sense, it not databasing, he simply is the database. To be databasing one must be in a loop, in resonance, differed-deffered in time and space</w:t>
      </w:r>
      <w:r>
        <w:t xml:space="preserve"> </w:t>
      </w:r>
      <w:r>
        <w:rPr>
          <w:i/>
        </w:rPr>
        <w:t xml:space="preserve">with</w:t>
      </w:r>
      <w:r>
        <w:t xml:space="preserve"> </w:t>
      </w:r>
      <w:r>
        <w:t xml:space="preserve">a database.</w:t>
      </w:r>
    </w:p>
    <w:p>
      <w:pPr>
        <w:pStyle w:val="Heading5"/>
      </w:pPr>
      <w:bookmarkStart w:id="223" w:name="writing-and-databasing"/>
      <w:r>
        <w:t xml:space="preserve">Writing and Databasing</w:t>
      </w:r>
      <w:bookmarkEnd w:id="223"/>
    </w:p>
    <w:p>
      <w:pPr>
        <w:pStyle w:val="FirstParagraph"/>
      </w:pPr>
      <w:r>
        <w:t xml:space="preserve">As Derrida points out, western philosophy has construed writing as a process of</w:t>
      </w:r>
      <w:r>
        <w:t xml:space="preserve"> </w:t>
      </w:r>
      <w:r>
        <w:rPr>
          <w:i/>
        </w:rPr>
        <w:t xml:space="preserve">hypomnesis</w:t>
      </w:r>
      <w:r>
        <w:t xml:space="preserve"> </w:t>
      </w:r>
      <w:r>
        <w:t xml:space="preserve">or an externalization of memory</w:t>
      </w:r>
      <w:r>
        <w:t xml:space="preserve"> </w:t>
      </w:r>
      <w:r>
        <w:t xml:space="preserve">(Derrida 1978, p. 221)</w:t>
      </w:r>
      <w:r>
        <w:t xml:space="preserve">. Writing media can be considered hypomnesic or an externalization of our memory that on one hand materializes our memories and on the other constitutes a operable tool. Furthermore, Freud’s metaphor of writing to define the apparatus of the psyche as tracing and erasure indicated that “</w:t>
      </w:r>
      <w:r>
        <w:t xml:space="preserve">‘</w:t>
      </w:r>
      <w:r>
        <w:t xml:space="preserve">Writing…is the name of the structure always already inhabited by the trace,</w:t>
      </w:r>
      <w:r>
        <w:t xml:space="preserve">’</w:t>
      </w:r>
      <w:r>
        <w:t xml:space="preserve">’ meaning that it is a broader concept that goes beyond writing itself, that is, beyond a</w:t>
      </w:r>
      <w:r>
        <w:t xml:space="preserve"> </w:t>
      </w:r>
      <w:r>
        <w:t xml:space="preserve">“</w:t>
      </w:r>
      <w:r>
        <w:t xml:space="preserve">system of notations on a material sub</w:t>
      </w:r>
      <w:r>
        <w:softHyphen/>
      </w:r>
      <w:r>
        <w:t xml:space="preserve">stance</w:t>
      </w:r>
      <w:r>
        <w:t xml:space="preserve">”</w:t>
      </w:r>
      <w:r>
        <w:t xml:space="preserve"> </w:t>
      </w:r>
      <w:r>
        <w:t xml:space="preserve">(Derrida &amp; Spivak 1976 xxxix)</w:t>
      </w:r>
      <w:r>
        <w:t xml:space="preserve">. How does</w:t>
      </w:r>
      <w:r>
        <w:t xml:space="preserve"> </w:t>
      </w:r>
      <w:r>
        <w:t xml:space="preserve">‘</w:t>
      </w:r>
      <w:r>
        <w:t xml:space="preserve">writing</w:t>
      </w:r>
      <w:r>
        <w:t xml:space="preserve">’</w:t>
      </w:r>
      <w:r>
        <w:t xml:space="preserve"> </w:t>
      </w:r>
      <w:r>
        <w:t xml:space="preserve">relate to the resonant network I described earlier? We can approach this question in two ways. On the one hand, we can find in Latour’s</w:t>
      </w:r>
      <w:r>
        <w:t xml:space="preserve"> </w:t>
      </w:r>
      <w:r>
        <w:t xml:space="preserve">‘</w:t>
      </w:r>
      <w:r>
        <w:t xml:space="preserve">tracing</w:t>
      </w:r>
      <w:r>
        <w:t xml:space="preserve">’</w:t>
      </w:r>
      <w:r>
        <w:t xml:space="preserve"> </w:t>
      </w:r>
      <w:r>
        <w:t xml:space="preserve">of the network a relation to the</w:t>
      </w:r>
      <w:r>
        <w:t xml:space="preserve"> </w:t>
      </w:r>
      <w:r>
        <w:t xml:space="preserve">‘</w:t>
      </w:r>
      <w:r>
        <w:t xml:space="preserve">trace</w:t>
      </w:r>
      <w:r>
        <w:t xml:space="preserve">’</w:t>
      </w:r>
      <w:r>
        <w:t xml:space="preserve"> </w:t>
      </w:r>
      <w:r>
        <w:t xml:space="preserve">as described by Derrida, insofar as they both relate to meaning. Latour’s project, however, leaves behind the (human) body so as to only maintain this</w:t>
      </w:r>
      <w:r>
        <w:t xml:space="preserve"> </w:t>
      </w:r>
      <w:r>
        <w:t xml:space="preserve">‘</w:t>
      </w:r>
      <w:r>
        <w:t xml:space="preserve">tracing</w:t>
      </w:r>
      <w:r>
        <w:t xml:space="preserve">’</w:t>
      </w:r>
      <w:r>
        <w:t xml:space="preserve"> </w:t>
      </w:r>
      <w:r>
        <w:t xml:space="preserve">of the network, thus making it exceptional to think of memory in terms of networks. Nevertheless, there is an activity of tracing that takes place in the resisting forces of the unconscious. On the other hand, with his conceptualization of memory as writing, Derrida reconfigures the notion of authorship within writing. In this sense, when memory is thought of as writing, the classical notion of</w:t>
      </w:r>
      <w:r>
        <w:t xml:space="preserve"> </w:t>
      </w:r>
      <w:r>
        <w:t xml:space="preserve">‘</w:t>
      </w:r>
      <w:r>
        <w:t xml:space="preserve">self</w:t>
      </w:r>
      <w:r>
        <w:t xml:space="preserve">’</w:t>
      </w:r>
      <w:r>
        <w:t xml:space="preserve"> </w:t>
      </w:r>
      <w:r>
        <w:t xml:space="preserve">begins to disappear, opening up the space for the nonhuman. In what sense can this disappearance of the self be accounted for in databasing? Along the trace of the resonant network (what I called infraskin) every resonant node of its trace can be considered an agent in the constitution of selves. The database becomes an agent of self-hood as well as an agent of authorship relating to the resulting work of database music. Further, as an instance of hypomnesis, the database appropriates the qualities relating to memory and</w:t>
      </w:r>
      <w:r>
        <w:t xml:space="preserve"> </w:t>
      </w:r>
      <w:r>
        <w:rPr>
          <w:i/>
        </w:rPr>
        <w:t xml:space="preserve">différance</w:t>
      </w:r>
      <w:r>
        <w:t xml:space="preserve">. Thus, not only can the nonhuman be reconceptualized within these qualities, also the human itself becomes reconfigured when faced upon this common linkage. This is how a further step into the conceptualization of memory can be of aid, one that extends</w:t>
      </w:r>
      <w:r>
        <w:t xml:space="preserve"> </w:t>
      </w:r>
      <w:r>
        <w:t xml:space="preserve">‘</w:t>
      </w:r>
      <w:r>
        <w:t xml:space="preserve">tracing</w:t>
      </w:r>
      <w:r>
        <w:t xml:space="preserve">’</w:t>
      </w:r>
      <w:r>
        <w:t xml:space="preserve"> </w:t>
      </w:r>
      <w:r>
        <w:t xml:space="preserve">or</w:t>
      </w:r>
      <w:r>
        <w:t xml:space="preserve"> </w:t>
      </w:r>
      <w:r>
        <w:t xml:space="preserve">‘</w:t>
      </w:r>
      <w:r>
        <w:t xml:space="preserve">writing</w:t>
      </w:r>
      <w:r>
        <w:t xml:space="preserve">’</w:t>
      </w:r>
      <w:r>
        <w:t xml:space="preserve"> </w:t>
      </w:r>
      <w:r>
        <w:t xml:space="preserve">into what I am calling</w:t>
      </w:r>
      <w:r>
        <w:t xml:space="preserve"> </w:t>
      </w:r>
      <w:r>
        <w:t xml:space="preserve">‘</w:t>
      </w:r>
      <w:r>
        <w:t xml:space="preserve">databasing.</w:t>
      </w:r>
      <w:r>
        <w:t xml:space="preserve">’</w:t>
      </w:r>
      <w:r>
        <w:t xml:space="preserve"> </w:t>
      </w:r>
      <w:r>
        <w:t xml:space="preserve">‘</w:t>
      </w:r>
      <w:r>
        <w:t xml:space="preserve">Writing</w:t>
      </w:r>
      <w:r>
        <w:t xml:space="preserve">’</w:t>
      </w:r>
      <w:r>
        <w:t xml:space="preserve"> </w:t>
      </w:r>
      <w:r>
        <w:t xml:space="preserve">can thus function as a link between human and nonhuman memory. For example, from the beginning of the process of impression, traces are</w:t>
      </w:r>
      <w:r>
        <w:t xml:space="preserve"> </w:t>
      </w:r>
      <w:r>
        <w:t xml:space="preserve">“</w:t>
      </w:r>
      <w:r>
        <w:t xml:space="preserve">constituted by the double force of repetition and erasure</w:t>
      </w:r>
      <w:r>
        <w:t xml:space="preserve">”</w:t>
      </w:r>
      <w:r>
        <w:t xml:space="preserve"> </w:t>
      </w:r>
      <w:r>
        <w:t xml:space="preserve">(Derrida 1978, p. 226)</w:t>
      </w:r>
      <w:r>
        <w:t xml:space="preserve">. Memories are inscribed with the very structure that enables their own effacing, they</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Programming languages imply writing in terms of symbols (words and characters) that call certain functions. However, the structures that can be instantiated with code, such as data structures, appropriate the concepts of writing and erasing as well. This is known as memory management. Erasure is embedded within the structure of coding. For instance,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w:t>
      </w:r>
      <w:r>
        <w:t xml:space="preserve"> </w:t>
      </w:r>
      <w:r>
        <w:t xml:space="preserve">‘</w:t>
      </w:r>
      <w:r>
        <w:t xml:space="preserve">lifetime.</w:t>
      </w:r>
      <w:r>
        <w:t xml:space="preserve">’</w:t>
      </w:r>
      <w:r>
        <w:t xml:space="preserve"> </w:t>
      </w:r>
      <w:r>
        <w:t xml:space="preserve">This comparison between</w:t>
      </w:r>
      <w:r>
        <w:t xml:space="preserve"> </w:t>
      </w:r>
      <w:r>
        <w:rPr>
          <w:rStyle w:val="VerbatimChar"/>
        </w:rPr>
        <w:t xml:space="preserve">destructor</w:t>
      </w:r>
      <w:r>
        <w:t xml:space="preserve">s and erasure serves as a starting point to determine the extent to which computer memory (data structure handling in restricted, discrete space) can be thought of as human memory itself, and, if so, the extent to which it also constitutes an instance of an unconscious structure. We can imagine a (useless?) program written in C++ with self-destructing classes that instantiate and destroy themselves at their own pace. Considering the</w:t>
      </w:r>
      <w:r>
        <w:t xml:space="preserve"> </w:t>
      </w:r>
      <w:r>
        <w:rPr>
          <w:rStyle w:val="VerbatimChar"/>
        </w:rPr>
        <w:t xml:space="preserve">destructor</w:t>
      </w:r>
      <w:r>
        <w:t xml:space="preserve"> </w:t>
      </w:r>
      <w:r>
        <w:t xml:space="preserve">itself, it is simply an automation of the otherwise manual memory allocation or deallocation. In a practical sense, allocating memory is like calculating how much and what kind of paper you will need to write your next short story, ordering it online, and then throwing it in the recycling bin, I presume, only after you have written and digitized your story. In any case, we can think of this</w:t>
      </w:r>
      <w:r>
        <w:t xml:space="preserve"> </w:t>
      </w:r>
      <w:r>
        <w:t xml:space="preserve">‘</w:t>
      </w:r>
      <w:r>
        <w:t xml:space="preserve">paper</w:t>
      </w:r>
      <w:r>
        <w:t xml:space="preserve">’</w:t>
      </w:r>
      <w:r>
        <w:t xml:space="preserve"> </w:t>
      </w:r>
      <w:r>
        <w:t xml:space="preserve">as the space that is needed for writing, as well as the resisting force against the pen, but also as a base upon which data is stored in relation to its size. Memory management is a feature with which databasing relates at the level of writing code.</w:t>
      </w:r>
    </w:p>
    <w:p>
      <w:pPr>
        <w:pStyle w:val="Heading3"/>
      </w:pPr>
      <w:bookmarkStart w:id="224" w:name="archontic"/>
      <w:r>
        <w:t xml:space="preserve">The Archontic Principle</w:t>
      </w:r>
      <w:bookmarkEnd w:id="224"/>
    </w:p>
    <w:p>
      <w:pPr>
        <w:pStyle w:val="FirstParagraph"/>
      </w:pPr>
      <w:r>
        <w:t xml:space="preserve">Derrida’s broader notion of</w:t>
      </w:r>
      <w:r>
        <w:t xml:space="preserve"> </w:t>
      </w:r>
      <w:r>
        <w:t xml:space="preserve">‘</w:t>
      </w:r>
      <w:r>
        <w:t xml:space="preserve">writing</w:t>
      </w:r>
      <w:r>
        <w:t xml:space="preserve">’</w:t>
      </w:r>
      <w:r>
        <w:t xml:space="preserve"> </w:t>
      </w:r>
      <w:r>
        <w:t xml:space="preserve">relates to what he calls an</w:t>
      </w:r>
      <w:r>
        <w:t xml:space="preserve"> </w:t>
      </w:r>
      <w:r>
        <w:t xml:space="preserve">‘</w:t>
      </w:r>
      <w:r>
        <w:t xml:space="preserve">originary</w:t>
      </w:r>
      <w:r>
        <w:t xml:space="preserve">’</w:t>
      </w:r>
      <w:r>
        <w:t xml:space="preserve"> </w:t>
      </w:r>
      <w:r>
        <w:t xml:space="preserve">trace. As I described earlier, the inscription of the trace contains from the start its own erasure. This means that, in a reciprocal motion, the origin of the trace is itself originary and non-originary: the origin of a disappearance and the disappearance of the origin. This apparent contradiction can be approached by the actual process of writing something on a page: where or when does the writting begin, when the pen touches the paper or when the paper lends itself for writing? The same question applies to the crossfade between the ‘I’s in the case of Alvin Lucier’s work (See</w:t>
      </w:r>
      <w:r>
        <w:t xml:space="preserve"> </w:t>
      </w:r>
      <w:hyperlink w:anchor="network">
        <w:r>
          <w:rPr>
            <w:rStyle w:val="Hyperlink"/>
          </w:rPr>
          <w:t xml:space="preserve">5.1.3</w:t>
        </w:r>
      </w:hyperlink>
      <w:r>
        <w:t xml:space="preserve">), where or when does the</w:t>
      </w:r>
      <w:r>
        <w:t xml:space="preserve"> </w:t>
      </w:r>
      <w:r>
        <w:t xml:space="preserve">‘</w:t>
      </w:r>
      <w:r>
        <w:t xml:space="preserve">I</w:t>
      </w:r>
      <w:r>
        <w:t xml:space="preserve">’</w:t>
      </w:r>
      <w:r>
        <w:t xml:space="preserve"> </w:t>
      </w:r>
      <w:r>
        <w:t xml:space="preserve">begin</w:t>
      </w:r>
      <w:r>
        <w:t xml:space="preserve"> </w:t>
      </w:r>
      <w:r>
        <w:t xml:space="preserve">‘</w:t>
      </w:r>
      <w:r>
        <w:t xml:space="preserve">sitting</w:t>
      </w:r>
      <w:r>
        <w:t xml:space="preserve">’</w:t>
      </w:r>
      <w:r>
        <w:t xml:space="preserve"> </w:t>
      </w:r>
      <w:r>
        <w:t xml:space="preserve">in the loop? Further, no matter how many metaphors we may give to this paradox, it simply falls out of empirical quests. Therefore, this paradox of the trace is understood by the concept of</w:t>
      </w:r>
      <w:r>
        <w:t xml:space="preserve"> </w:t>
      </w:r>
      <w:r>
        <w:rPr>
          <w:i/>
        </w:rPr>
        <w:t xml:space="preserve">différance</w:t>
      </w:r>
      <w:r>
        <w:t xml:space="preserve"> </w:t>
      </w:r>
      <w:r>
        <w:t xml:space="preserve">that we outlined above. The repercussions of this word that</w:t>
      </w:r>
      <w:r>
        <w:t xml:space="preserve"> </w:t>
      </w:r>
      <w:r>
        <w:t xml:space="preserve">“</w:t>
      </w:r>
      <w:r>
        <w:t xml:space="preserve">is not a word and it not a concept</w:t>
      </w:r>
      <w:r>
        <w:t xml:space="preserve">”</w:t>
      </w:r>
      <w:r>
        <w:t xml:space="preserve"> </w:t>
      </w:r>
      <w:r>
        <w:t xml:space="preserve">have now a long history that does not interest us fully, therefore we can will simply jump thirty years ahead in time, after computers entered the scene, and after the Internet became popularized by the World Wide Web.</w:t>
      </w:r>
    </w:p>
    <w:p>
      <w:pPr>
        <w:pStyle w:val="BodyText"/>
      </w:pPr>
      <w:r>
        <w:t xml:space="preserve">Derrida &amp; Prenowitz (1995)</w:t>
      </w:r>
      <w:r>
        <w:t xml:space="preserve"> </w:t>
      </w:r>
      <w:r>
        <w:t xml:space="preserve">exemplified the intricacies that come out of the process of archivization, delineating an economy of archives into he calls the</w:t>
      </w:r>
      <w:r>
        <w:t xml:space="preserve"> </w:t>
      </w:r>
      <w:r>
        <w:rPr>
          <w:i/>
        </w:rPr>
        <w:t xml:space="preserve">archontic</w:t>
      </w:r>
      <w:r>
        <w:t xml:space="preserve"> </w:t>
      </w:r>
      <w:r>
        <w:t xml:space="preserve">principle.</w:t>
      </w:r>
      <w:r>
        <w:rPr>
          <w:rStyle w:val="FootnoteReference"/>
        </w:rPr>
        <w:footnoteReference w:id="225"/>
      </w:r>
      <w:r>
        <w:t xml:space="preserve"> </w:t>
      </w:r>
      <w:r>
        <w:t xml:space="preserve">A brief etymological impass, coming from Derrida’s text, might be pertinent here.</w:t>
      </w:r>
      <w:r>
        <w:t xml:space="preserve"> </w:t>
      </w:r>
      <w:r>
        <w:t xml:space="preserve">‘</w:t>
      </w:r>
      <w:r>
        <w:t xml:space="preserve">Economy</w:t>
      </w:r>
      <w:r>
        <w:t xml:space="preserve">’</w:t>
      </w:r>
      <w:r>
        <w:t xml:space="preserve"> </w:t>
      </w:r>
      <w:r>
        <w:t xml:space="preserve">is related to the greek word</w:t>
      </w:r>
      <w:r>
        <w:t xml:space="preserve"> </w:t>
      </w:r>
      <w:r>
        <w:rPr>
          <w:i/>
        </w:rPr>
        <w:t xml:space="preserve">oikos</w:t>
      </w:r>
      <w:r>
        <w:t xml:space="preserve"> </w:t>
      </w:r>
      <w:r>
        <w:t xml:space="preserve">(house), and</w:t>
      </w:r>
      <w:r>
        <w:t xml:space="preserve"> </w:t>
      </w:r>
      <w:r>
        <w:rPr>
          <w:i/>
        </w:rPr>
        <w:t xml:space="preserve">nomos</w:t>
      </w:r>
      <w:r>
        <w:t xml:space="preserve"> </w:t>
      </w:r>
      <w:r>
        <w:t xml:space="preserve">(man-made law). In ancient Greece, the official documents of the law were kept under guard in the house of the magistrates (</w:t>
      </w:r>
      <w:r>
        <w:rPr>
          <w:i/>
        </w:rPr>
        <w:t xml:space="preserve">arkheion</w:t>
      </w:r>
      <w:r>
        <w:t xml:space="preserve">), in a form of house arrest. Funes, as I have described earlier (See</w:t>
      </w:r>
      <w:r>
        <w:t xml:space="preserve"> </w:t>
      </w:r>
      <w:hyperlink w:anchor="funeslude">
        <w:r>
          <w:rPr>
            <w:rStyle w:val="Hyperlink"/>
          </w:rPr>
          <w:t xml:space="preserve">4.1.7</w:t>
        </w:r>
      </w:hyperlink>
      <w:r>
        <w:t xml:space="preserve">), was in a similar form of house arrest (arrested from the outside world). The archive condenses this economy, however, within the confines of a public place. The word</w:t>
      </w:r>
      <w:r>
        <w:t xml:space="preserve"> </w:t>
      </w:r>
      <w:r>
        <w:t xml:space="preserve">‘</w:t>
      </w:r>
      <w:r>
        <w:t xml:space="preserve">archive</w:t>
      </w:r>
      <w:r>
        <w:t xml:space="preserve">’</w:t>
      </w:r>
      <w:r>
        <w:t xml:space="preserve"> </w:t>
      </w:r>
      <w:r>
        <w:t xml:space="preserve">(</w:t>
      </w:r>
      <w:r>
        <w:rPr>
          <w:i/>
        </w:rPr>
        <w:t xml:space="preserve">arkheion</w:t>
      </w:r>
      <w:r>
        <w:t xml:space="preserve">) comes from the greek</w:t>
      </w:r>
      <w:r>
        <w:t xml:space="preserve"> </w:t>
      </w:r>
      <w:r>
        <w:rPr>
          <w:i/>
        </w:rPr>
        <w:t xml:space="preserve">archē</w:t>
      </w:r>
      <w:r>
        <w:t xml:space="preserve"> </w:t>
      </w:r>
      <w:r>
        <w:t xml:space="preserve">which relates, on the one hand, to the originary, as well as to the ruling. Thus, the archontic principle is a type of authority that the archive exerts, which can be understood as the law of the house, or the law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(principal or prince). As hypomnesis, archives represent for Derrida another instance of the movement of technology. This movement consists in</w:t>
      </w:r>
      <w:r>
        <w:t xml:space="preserve"> </w:t>
      </w:r>
      <w:r>
        <w:t xml:space="preserve">“</w:t>
      </w:r>
      <w:r>
        <w:t xml:space="preserve">a transformation of the techniques of archivization, of printing, of inscription…</w:t>
      </w:r>
      <w:r>
        <w:t xml:space="preserve">”</w:t>
      </w:r>
      <w:r>
        <w:t xml:space="preserve"> </w:t>
      </w:r>
      <w:r>
        <w:t xml:space="preserve">(Derrida &amp; Prenowitz 1995, p. 16)</w:t>
      </w:r>
      <w:r>
        <w:t xml:space="preserve">. These</w:t>
      </w:r>
      <w:r>
        <w:t xml:space="preserve"> </w:t>
      </w:r>
      <w:r>
        <w:t xml:space="preserve">‘</w:t>
      </w:r>
      <w:r>
        <w:t xml:space="preserve">archival machines</w:t>
      </w:r>
      <w:r>
        <w:t xml:space="preserve">’</w:t>
      </w:r>
      <w:r>
        <w:t xml:space="preserve"> </w:t>
      </w:r>
      <w:r>
        <w:t xml:space="preserve">which developed in the thirty years since he first considered Freud’s</w:t>
      </w:r>
      <w:r>
        <w:t xml:space="preserve"> </w:t>
      </w:r>
      <w:r>
        <w:rPr>
          <w:i/>
        </w:rPr>
        <w:t xml:space="preserve">Note on the Mystic Pad</w:t>
      </w:r>
      <w:r>
        <w:t xml:space="preserve"> </w:t>
      </w:r>
      <w:r>
        <w:t xml:space="preserve">had reached Derrida’s e-mail inbox: his comments on how e-mail technology would have (and will) affect psychoanalysis attest to this fact. Further, they pose a question that he leaves nonetheless unanswered, which is why I consider his discussion of the archive relevant to our discussion of database aesthetics. Derrida finds in Freud’s metaphor for the psychic apparatus a point of departure to the question of how psychoanalisis changed by the presence of a technological device. In this case, the device was a toy called the Mystic Pad, a children’s writing board made of wax and a thin layer on top: upon impression it leaves a trace; when one lifts the layer, the trace erases. The structure of the psyche for Freud could thus be understood by using both hands simultaneously, one pressing (writing), while the other was lifting (erasing). Writting in 1995, Derrida posed the following question:</w:t>
      </w:r>
    </w:p>
    <w:p>
      <w:pPr>
        <w:pStyle w:val="BlockText"/>
      </w:pPr>
      <w:r>
        <w:t xml:space="preserve">Is the psychic apparatus better represented or is it affected differently by all the technical mechanisms for archivization and for reproduction, for prostheses of so-called live memory, for simulacrums of living things which already are, and will increasingly be, more refined, complicated, powerful than the</w:t>
      </w:r>
      <w:r>
        <w:t xml:space="preserve"> </w:t>
      </w:r>
      <w:r>
        <w:t xml:space="preserve">‘</w:t>
      </w:r>
      <w:r>
        <w:t xml:space="preserve">mystic pad</w:t>
      </w:r>
      <w:r>
        <w:t xml:space="preserve">’</w:t>
      </w:r>
      <w:r>
        <w:t xml:space="preserve"> </w:t>
      </w:r>
      <w:r>
        <w:t xml:space="preserve">(microcomputing, electronization, computerization, etc.)?</w:t>
      </w:r>
      <w:r>
        <w:t xml:space="preserve"> </w:t>
      </w:r>
      <w:r>
        <w:t xml:space="preserve">(Derrida &amp; Prenowitz 1995, p. 16)</w:t>
      </w:r>
    </w:p>
    <w:p>
      <w:pPr>
        <w:pStyle w:val="FirstParagraph"/>
      </w:pPr>
      <w:r>
        <w:t xml:space="preserve">“</w:t>
      </w:r>
      <w:r>
        <w:t xml:space="preserve">Is the psychic apparatus better represented or is it affected differently?</w:t>
      </w:r>
      <w:r>
        <w:t xml:space="preserve">”</w:t>
      </w:r>
      <w:r>
        <w:t xml:space="preserve"> </w:t>
      </w:r>
      <w:r>
        <w:t xml:space="preserve">The structure of this question points to two possible answers. Either technology is a representation of the psyche, or the understanding of the psyche is changed by technology. On one hand, the question refers to how distant we are in the movement with which we can arrive at the object (psychic apparatus). This is a temporal movement which relates to deferral: how much longer until we get our object? The answer, as we have seen, is simply never. In order for the represented to be fully represented it must become present. On the other hand, the</w:t>
      </w:r>
      <w:r>
        <w:t xml:space="preserve"> </w:t>
      </w:r>
      <w:r>
        <w:t xml:space="preserve">‘</w:t>
      </w:r>
      <w:r>
        <w:t xml:space="preserve">technical device</w:t>
      </w:r>
      <w:r>
        <w:t xml:space="preserve">’</w:t>
      </w:r>
      <w:r>
        <w:t xml:space="preserve"> </w:t>
      </w:r>
      <w:r>
        <w:t xml:space="preserve">has the potential to affect the object: it differs from and might reformulate thus the psychic apparatus. To a certain extent, this suggests that these</w:t>
      </w:r>
      <w:r>
        <w:t xml:space="preserve"> </w:t>
      </w:r>
      <w:r>
        <w:t xml:space="preserve">‘</w:t>
      </w:r>
      <w:r>
        <w:t xml:space="preserve">prosthesis</w:t>
      </w:r>
      <w:r>
        <w:t xml:space="preserve">’</w:t>
      </w:r>
      <w:r>
        <w:t xml:space="preserve"> </w:t>
      </w:r>
      <w:r>
        <w:t xml:space="preserve">of</w:t>
      </w:r>
      <w:r>
        <w:t xml:space="preserve"> </w:t>
      </w:r>
      <w:r>
        <w:t xml:space="preserve">‘</w:t>
      </w:r>
      <w:r>
        <w:t xml:space="preserve">live</w:t>
      </w:r>
      <w:r>
        <w:t xml:space="preserve">’</w:t>
      </w:r>
      <w:r>
        <w:t xml:space="preserve"> </w:t>
      </w:r>
      <w:r>
        <w:t xml:space="preserve">memory, or</w:t>
      </w:r>
      <w:r>
        <w:t xml:space="preserve"> </w:t>
      </w:r>
      <w:r>
        <w:t xml:space="preserve">‘</w:t>
      </w:r>
      <w:r>
        <w:t xml:space="preserve">simulacrums of living things</w:t>
      </w:r>
      <w:r>
        <w:t xml:space="preserve">’</w:t>
      </w:r>
      <w:r>
        <w:t xml:space="preserve"> </w:t>
      </w:r>
      <w:r>
        <w:t xml:space="preserve">represent some form of (disembodied) nonhuman (life) against which the question is asked. We can only guess. In any case, Derrida claims it is a question of progress or evolution, in which</w:t>
      </w:r>
      <w:r>
        <w:t xml:space="preserve"> </w:t>
      </w:r>
      <w:r>
        <w:t xml:space="preserve">“</w:t>
      </w:r>
      <w:r>
        <w:t xml:space="preserve">neither of these hypothesis can be reduced to the other</w:t>
      </w:r>
      <w:r>
        <w:t xml:space="preserve">”</w:t>
      </w:r>
      <w:r>
        <w:t xml:space="preserve"> </w:t>
      </w:r>
      <w:r>
        <w:t xml:space="preserve">(Derrida &amp; Prenowitz 1995, p. 16)</w:t>
      </w:r>
      <w:r>
        <w:t xml:space="preserve">. It appears, therefore, that this quest reaches a dead end. Derrida does not continue on this quest, and instead takes the text in directions that are not pertinent for our purposes here. Therefore we can stress on this question for a while.</w:t>
      </w:r>
    </w:p>
    <w:p>
      <w:pPr>
        <w:pStyle w:val="BodyText"/>
      </w:pPr>
      <w:r>
        <w:t xml:space="preserve">The structure of the memory (</w:t>
      </w:r>
      <w:r>
        <w:t xml:space="preserve">“</w:t>
      </w:r>
      <w:r>
        <w:t xml:space="preserve">the essence of the psyche</w:t>
      </w:r>
      <w:r>
        <w:t xml:space="preserve">”</w:t>
      </w:r>
      <w:r>
        <w:t xml:space="preserve">) in opposition to the archive can be understood with the opposition of</w:t>
      </w:r>
      <w:r>
        <w:t xml:space="preserve"> </w:t>
      </w:r>
      <w:r>
        <w:rPr>
          <w:i/>
        </w:rPr>
        <w:t xml:space="preserve">anamnesis</w:t>
      </w:r>
      <w:r>
        <w:t xml:space="preserve"> </w:t>
      </w:r>
      <w:r>
        <w:t xml:space="preserve">(the act of recalling, remembering) and</w:t>
      </w:r>
      <w:r>
        <w:t xml:space="preserve"> </w:t>
      </w:r>
      <w:r>
        <w:rPr>
          <w:i/>
        </w:rPr>
        <w:t xml:space="preserve">hypomnesis</w:t>
      </w:r>
      <w:r>
        <w:t xml:space="preserve"> </w:t>
      </w:r>
      <w:r>
        <w:t xml:space="preserve">(the technical storage device); the former internal, the latter external. We can advance now that, like the archive, the database is hypomnesis and external (to the psyche), just as well as it exerts the principles of the archontic. As I have described earlier (See</w:t>
      </w:r>
      <w:r>
        <w:t xml:space="preserve"> </w:t>
      </w:r>
      <w:hyperlink w:anchor="chapter:part-2">
        <w:r>
          <w:rPr>
            <w:rStyle w:val="Hyperlink"/>
          </w:rPr>
          <w:t xml:space="preserve">[chapter:part-2]</w:t>
        </w:r>
      </w:hyperlink>
      <w:r>
        <w:t xml:space="preserve">), a database comprises the partition within computer memory where data is stored. However, in order to store data, one has to assign data types and strucures, thus providing with the necessary structural frame that indicates how to access the data. One of the key concepts of the</w:t>
      </w:r>
      <w:r>
        <w:t xml:space="preserve"> </w:t>
      </w:r>
      <w:r>
        <w:t xml:space="preserve">‘</w:t>
      </w:r>
      <w:r>
        <w:t xml:space="preserve">archontic principle</w:t>
      </w:r>
      <w:r>
        <w:t xml:space="preserve">’</w:t>
      </w:r>
      <w:r>
        <w:t xml:space="preserve"> </w:t>
      </w:r>
      <w:r>
        <w:t xml:space="preserve">is</w:t>
      </w:r>
      <w:r>
        <w:t xml:space="preserve"> </w:t>
      </w:r>
      <w:r>
        <w:t xml:space="preserve">‘</w:t>
      </w:r>
      <w:r>
        <w:t xml:space="preserve">consignation,</w:t>
      </w:r>
      <w:r>
        <w:t xml:space="preserve">’</w:t>
      </w:r>
      <w:r>
        <w:t xml:space="preserve"> </w:t>
      </w:r>
      <w:r>
        <w:t xml:space="preserve">which has at least three meanings: assigning residence, entrusting something in reserve or deposit, and what Derrida calls</w:t>
      </w:r>
      <w:r>
        <w:t xml:space="preserve"> </w:t>
      </w:r>
      <w:r>
        <w:t xml:space="preserve">“</w:t>
      </w:r>
      <w:r>
        <w:t xml:space="preserve">gathering together signs</w:t>
      </w:r>
      <w:r>
        <w:t xml:space="preserve">”</w:t>
      </w:r>
      <w:r>
        <w:t xml:space="preserve"> </w:t>
      </w:r>
      <w:r>
        <w:t xml:space="preserve">(Derrida &amp; Prenowitz 1995, p. 10)</w:t>
      </w:r>
      <w:r>
        <w:t xml:space="preserve">. All of these can be represented with memory management, that is, by</w:t>
      </w:r>
      <w:r>
        <w:t xml:space="preserve"> </w:t>
      </w:r>
      <w:r>
        <w:t xml:space="preserve">‘</w:t>
      </w:r>
      <w:r>
        <w:t xml:space="preserve">declaring</w:t>
      </w:r>
      <w:r>
        <w:t xml:space="preserve">’</w:t>
      </w:r>
      <w:r>
        <w:t xml:space="preserve"> </w:t>
      </w:r>
      <w:r>
        <w:t xml:space="preserve">and</w:t>
      </w:r>
      <w:r>
        <w:t xml:space="preserve"> </w:t>
      </w:r>
      <w:r>
        <w:t xml:space="preserve">‘</w:t>
      </w:r>
      <w:r>
        <w:t xml:space="preserve">initializing</w:t>
      </w:r>
      <w:r>
        <w:t xml:space="preserve">’</w:t>
      </w:r>
      <w:r>
        <w:t xml:space="preserve"> </w:t>
      </w:r>
      <w:r>
        <w:t xml:space="preserve">variables, as well as by making</w:t>
      </w:r>
      <w:r>
        <w:t xml:space="preserve"> </w:t>
      </w:r>
      <w:r>
        <w:t xml:space="preserve">‘</w:t>
      </w:r>
      <w:r>
        <w:t xml:space="preserve">unions</w:t>
      </w:r>
      <w:r>
        <w:t xml:space="preserve">’</w:t>
      </w:r>
      <w:r>
        <w:t xml:space="preserve"> </w:t>
      </w:r>
      <w:r>
        <w:t xml:space="preserve">or more complex data structures. Consignation in archives has, for Derrida, a presupposing aim: to</w:t>
      </w:r>
      <w:r>
        <w:t xml:space="preserve"> </w:t>
      </w:r>
      <w:r>
        <w:t xml:space="preserve">“</w:t>
      </w:r>
      <w:r>
        <w:t xml:space="preserve">coordinate a single corpus</w:t>
      </w:r>
      <w:r>
        <w:t xml:space="preserve">”</w:t>
      </w:r>
      <w:r>
        <w:t xml:space="preserve"> </w:t>
      </w:r>
      <w:r>
        <w:t xml:space="preserve">(Derrida &amp; Prenowitz 1995, p. 10)</w:t>
      </w:r>
      <w:r>
        <w:t xml:space="preserve">. This is exactly the case of a database, which extends this coordination with the posibility of networks. The various database models that I have shown in previous sections point to the different ways with which to coordinate the economy of database systems. In order to flip Derrida’s question upside down, we can ask ourselves what to do with all these technical mechanisms that microcomputing enables? How do we make something out of them? And further, what is in them that we can call aesthetic? Instead of thinking how memory is represented in the database, we can ask how we can represent the database within memory. Further, instead of asking how memory is affected by the database, we can ask ourselves how can memory affect databases. The theoretical and aesthetical aspects of this reversal can be seen as follows. On one hand, this reversal points to a reconceptualization of databases within the</w:t>
      </w:r>
      <w:r>
        <w:t xml:space="preserve"> </w:t>
      </w:r>
      <w:r>
        <w:t xml:space="preserve">“</w:t>
      </w:r>
      <w:r>
        <w:t xml:space="preserve">evolution of archival techno-science</w:t>
      </w:r>
      <w:r>
        <w:t xml:space="preserve">”</w:t>
      </w:r>
      <w:r>
        <w:t xml:space="preserve"> </w:t>
      </w:r>
      <w:r>
        <w:t xml:space="preserve">(Derrida &amp; Prenowitz 1995, p. 16)</w:t>
      </w:r>
      <w:r>
        <w:t xml:space="preserve">. On the other, this reversal calls for a restructuring or a technical reconstruction of the database in relation to memory.</w:t>
      </w:r>
    </w:p>
    <w:p>
      <w:pPr>
        <w:pStyle w:val="BodyText"/>
      </w:pPr>
      <w:r>
        <w:t xml:space="preserve">In his architecture, Von Neumann proposed that the storage unit of the computer would allow for data to be written and erased in different locations and times.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These setting and unsetting movements represent inscription and erasure, to the point that, as Kittler notes:</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 An important distinction needs to be made here. While I am arguing for the similarities that exist between human memory and databases, Ernst instead proposes that databases or</w:t>
      </w:r>
      <w:r>
        <w:t xml:space="preserve"> </w:t>
      </w:r>
      <w:r>
        <w:t xml:space="preserve">“</w:t>
      </w:r>
      <w:r>
        <w:t xml:space="preserve">digital an-archives</w:t>
      </w:r>
      <w:r>
        <w:t xml:space="preserve">”</w:t>
      </w:r>
      <w:r>
        <w:t xml:space="preserve"> </w:t>
      </w:r>
      <w:r>
        <w:t xml:space="preserve">replace human memory. As media tend to converge toward digital media, ‘reading’ gives way to mathematical processes that interpret data:</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resonates with the Kittlerian, disembodied worldview (See</w:t>
      </w:r>
      <w:r>
        <w:t xml:space="preserve"> </w:t>
      </w:r>
      <w:hyperlink w:anchor="convergence">
        <w:r>
          <w:rPr>
            <w:rStyle w:val="Hyperlink"/>
          </w:rPr>
          <w:t xml:space="preserve">4.1.3</w:t>
        </w:r>
      </w:hyperlink>
      <w:r>
        <w:t xml:space="preserve">), could be extended to saying that signal processing replaces</w:t>
      </w:r>
      <w:r>
        <w:t xml:space="preserve"> </w:t>
      </w:r>
      <w:r>
        <w:rPr>
          <w:i/>
        </w:rPr>
        <w:t xml:space="preserve">listening</w:t>
      </w:r>
      <w:r>
        <w:t xml:space="preserve">.</w:t>
      </w:r>
    </w:p>
    <w:p>
      <w:pPr>
        <w:pStyle w:val="BodyText"/>
      </w:pPr>
      <w:r>
        <w:t xml:space="preserve">Convergence, understood in this way, points to a world view where data structures and algorithms replace our own memory: the ultimate convergence is the absorption of human memory (the psychical apparatus) in the database. In this sense, the database would remove our embodiment from our bodies completely. There is a fine line between this convergence, and what Derrida mentions about consignation in relation to archives. In both terms, there is an aim that is presupposed: every thing goes in the same place, archive or database, and from this technological place we find a hint of our own destruction as humans. That is to say, the Kittlerian residue of humanity understood as an expression of the pull towards the inorganic, the death drive, the archive</w:t>
      </w:r>
      <w:r>
        <w:t xml:space="preserve"> </w:t>
      </w:r>
      <w:r>
        <w:t xml:space="preserve">‘</w:t>
      </w:r>
      <w:r>
        <w:t xml:space="preserve">fever.</w:t>
      </w:r>
      <w:r>
        <w:t xml:space="preserve">’</w:t>
      </w:r>
      <w:r>
        <w:t xml:space="preserve"> </w:t>
      </w:r>
      <w:r>
        <w:t xml:space="preserve">But, if the database reads itself, it also writes itself, and, in the case of music, if it listens to itself, it also sounds itself, and we, as humans, simply are part of this loop and of its resonance. This moment of resonance enables both the nonhuman and the human to coexist. Of course, the paradox of a destructive force that is only possible through its destruction might be unwelcomed in our houses, in our databases, and in ourselves. What this resistance indicates is the presence of an absence, a sound without a body, and the spectrality of an uninvited guest: and it is the sound of this force that makes an impression. Derrida calls these</w:t>
      </w:r>
      <w:r>
        <w:t xml:space="preserve"> </w:t>
      </w:r>
      <w:r>
        <w:t xml:space="preserve">“</w:t>
      </w:r>
      <w:r>
        <w:t xml:space="preserve">lovely impressions</w:t>
      </w:r>
      <w:r>
        <w:t xml:space="preserve">”</w:t>
      </w:r>
      <w:r>
        <w:t xml:space="preserve"> </w:t>
      </w:r>
      <w:r>
        <w:t xml:space="preserve">or</w:t>
      </w:r>
      <w:r>
        <w:t xml:space="preserve"> </w:t>
      </w:r>
      <w:r>
        <w:t xml:space="preserve">“</w:t>
      </w:r>
      <w:r>
        <w:t xml:space="preserve">memories of death</w:t>
      </w:r>
      <w:r>
        <w:t xml:space="preserve">”</w:t>
      </w:r>
      <w:r>
        <w:t xml:space="preserve"> </w:t>
      </w:r>
      <w:r>
        <w:t xml:space="preserve">(Derrida &amp; Prenowitz 1995, p. 14)</w:t>
      </w:r>
      <w:r>
        <w:t xml:space="preserve">, relating the death drive to the anarchic and an-archontic force that leaves behind no trace because it</w:t>
      </w:r>
      <w:r>
        <w:t xml:space="preserve"> </w:t>
      </w:r>
      <w:r>
        <w:t xml:space="preserve">“</w:t>
      </w:r>
      <w:r>
        <w:t xml:space="preserve">always operates in silence</w:t>
      </w:r>
      <w:r>
        <w:t xml:space="preserve">”</w:t>
      </w:r>
      <w:r>
        <w:t xml:space="preserve"> </w:t>
      </w:r>
      <w:r>
        <w:t xml:space="preserve">(Derrida &amp; Prenowitz 1995, p. 14)</w:t>
      </w:r>
      <w:r>
        <w:t xml:space="preserve">. Under these terms, could we not reconfigure this fever in relation to databases as a force of inoperativity, one that unworks in resonance?</w:t>
      </w:r>
    </w:p>
    <w:p>
      <w:pPr>
        <w:pStyle w:val="Heading3"/>
      </w:pPr>
      <w:bookmarkStart w:id="227" w:name="spectrality"/>
      <w:r>
        <w:t xml:space="preserve">The Spectral Database</w:t>
      </w:r>
      <w:bookmarkEnd w:id="227"/>
    </w:p>
    <w:p>
      <w:pPr>
        <w:pStyle w:val="Heading5"/>
      </w:pPr>
      <w:bookmarkStart w:id="228" w:name="anarchic-records"/>
      <w:r>
        <w:t xml:space="preserve">Anarchic Records</w:t>
      </w:r>
      <w:bookmarkEnd w:id="228"/>
    </w:p>
    <w:p>
      <w:pPr>
        <w:pStyle w:val="FirstParagraph"/>
      </w:pPr>
      <w:r>
        <w:t xml:space="preserve">In his conceptualization of the</w:t>
      </w:r>
      <w:r>
        <w:t xml:space="preserve"> </w:t>
      </w:r>
      <w:r>
        <w:rPr>
          <w:i/>
        </w:rPr>
        <w:t xml:space="preserve">anarchoarchive</w:t>
      </w:r>
      <w:r>
        <w:t xml:space="preserve">, Wolfgang</w:t>
      </w:r>
      <w:r>
        <w:t xml:space="preserve"> </w:t>
      </w:r>
      <w:r>
        <w:t xml:space="preserve">Ernst (2013)</w:t>
      </w:r>
      <w:r>
        <w:t xml:space="preserve"> </w:t>
      </w:r>
      <w:r>
        <w:t xml:space="preserve">opposes technical recording with symbolic transcription. A microphone captures the entire sonic environment forming an involuntary memory that becomes a form of anarchic archive, or</w:t>
      </w:r>
      <w:r>
        <w:t xml:space="preserve"> </w:t>
      </w:r>
      <w:r>
        <w:rPr>
          <w:i/>
        </w:rPr>
        <w:t xml:space="preserve">an-archive</w:t>
      </w:r>
      <w:r>
        <w:t xml:space="preserve">.</w:t>
      </w:r>
    </w:p>
    <w:p>
      <w:pPr>
        <w:pStyle w:val="BodyText"/>
      </w:pPr>
      <w:r>
        <w:t xml:space="preserve">As an example, Ernst claims that Bela Bartok’s transcriptions to musical notation of Milman Parry’s Serbian epic song recordings</w:t>
      </w:r>
      <w:r>
        <w:rPr>
          <w:rStyle w:val="FootnoteReference"/>
        </w:rPr>
        <w:footnoteReference w:id="229"/>
      </w:r>
      <w:r>
        <w:t xml:space="preserve"> </w:t>
      </w:r>
      <w:r>
        <w:t xml:space="preserve">constitute an archivization process by which symbolic transcription leads to an ordered archive, i.e., a score.</w:t>
      </w:r>
      <w:r>
        <w:rPr>
          <w:rStyle w:val="FootnoteReference"/>
        </w:rPr>
        <w:footnoteReference w:id="231"/>
      </w:r>
      <w:r>
        <w:t xml:space="preserve"> </w:t>
      </w:r>
      <w:r>
        <w:t xml:space="preserve">In contrast, a sound file storing samples of the recorded world is anarchic because of the unfiltered (</w:t>
      </w:r>
      <w:r>
        <w:t xml:space="preserve">‘</w:t>
      </w:r>
      <w:r>
        <w:t xml:space="preserve">pure</w:t>
      </w:r>
      <w:r>
        <w:t xml:space="preserve">’</w:t>
      </w:r>
      <w:r>
        <w:t xml:space="preserve">) way in which the world is inscribed by the recorder. Ernst bases this idea on the work of media theorist Sven Spieker, who claims that, following Derrida’s conceptualization of the archive, a central feature of archives is not memory, but a need to</w:t>
      </w:r>
      <w:r>
        <w:t xml:space="preserve"> </w:t>
      </w:r>
      <w:r>
        <w:t xml:space="preserve">“</w:t>
      </w:r>
      <w:r>
        <w:t xml:space="preserve">discard, erase, eliminate</w:t>
      </w:r>
      <w:r>
        <w:t xml:space="preserve">”</w:t>
      </w:r>
      <w:r>
        <w:t xml:space="preserve"> </w:t>
      </w:r>
      <w:r>
        <w:t xml:space="preserve">that which is not intended for archivization</w:t>
      </w:r>
      <w:r>
        <w:t xml:space="preserve"> </w:t>
      </w:r>
      <w:r>
        <w:t xml:space="preserve">(Ernst 2013, p. 113)</w:t>
      </w:r>
      <w:r>
        <w:t xml:space="preserve">. In other words, archives filter and frame.</w:t>
      </w:r>
      <w:r>
        <w:t xml:space="preserve"> </w:t>
      </w:r>
      <w:r>
        <w:t xml:space="preserve">The problem is that, the moment Ernst deposits on the recording technology the disappearance of the body, he dislocates framing altogether, and this is how the concept of</w:t>
      </w:r>
      <w:r>
        <w:t xml:space="preserve"> </w:t>
      </w:r>
      <w:r>
        <w:t xml:space="preserve">‘</w:t>
      </w:r>
      <w:r>
        <w:t xml:space="preserve">pure</w:t>
      </w:r>
      <w:r>
        <w:t xml:space="preserve">’</w:t>
      </w:r>
      <w:r>
        <w:t xml:space="preserve"> </w:t>
      </w:r>
      <w:r>
        <w:t xml:space="preserve">recording comes in. Therefore, if for Ernst, Parry’s audio recordings are anarchic, this is because they are constructed upon a Kittlerian idea of purity that leaves the human out of the equation.</w:t>
      </w:r>
    </w:p>
    <w:p>
      <w:pPr>
        <w:pStyle w:val="Heading5"/>
      </w:pPr>
      <w:bookmarkStart w:id="232" w:name="memory-and-framing"/>
      <w:r>
        <w:t xml:space="preserve">Memory and Framing</w:t>
      </w:r>
      <w:bookmarkEnd w:id="232"/>
    </w:p>
    <w:p>
      <w:pPr>
        <w:pStyle w:val="FirstParagraph"/>
      </w:pPr>
      <w:r>
        <w:t xml:space="preserve">If we consider the body’s capacity to create images from the world, then framing is also a possibility condition for human memory.</w:t>
      </w:r>
      <w:r>
        <w:t xml:space="preserve"> </w:t>
      </w:r>
      <w:r>
        <w:t xml:space="preserve">In fact, we have seen with the Derridean trace that it is a resisting force what first enables the violent rupture of traces, and thus, this force can also be considered as an instance of framing itself.</w:t>
      </w:r>
      <w:r>
        <w:t xml:space="preserve"> </w:t>
      </w:r>
      <w:r>
        <w:t xml:space="preserve">Resistance of the psyche as creativity taking action as the moment of framing.</w:t>
      </w:r>
      <w:r>
        <w:t xml:space="preserve"> </w:t>
      </w:r>
      <w:r>
        <w:t xml:space="preserve">Furthermore, framing can also be inversely considered as the arrow between the private and the public in the case of archives, since, for example, in the case of a contract, only a limited amount of signatures are needed, thus a frame needs to be an active part of the process of archivization.</w:t>
      </w:r>
    </w:p>
    <w:p>
      <w:pPr>
        <w:pStyle w:val="Heading5"/>
      </w:pPr>
      <w:bookmarkStart w:id="233" w:name="nonhuman-tympans"/>
      <w:r>
        <w:t xml:space="preserve">Nonhuman Tympans</w:t>
      </w:r>
      <w:bookmarkEnd w:id="233"/>
    </w:p>
    <w:p>
      <w:pPr>
        <w:pStyle w:val="FirstParagraph"/>
      </w:pPr>
      <w:r>
        <w:t xml:space="preserve">Audio recording can be seen as either memory or archive depending on their role in mediating private and public spheres. The world can be considered public because it is in a constant state of availability at any time, but a microphone can be considered an actor of privacy, since it prevents some sounds from being recorded while allowing others to pass through. In this sense, a transducer’s filtering capacity enacts the passage from the public to the private and in the case of speakers from the private to the public. For Jonathan</w:t>
      </w:r>
      <w:r>
        <w:t xml:space="preserve"> </w:t>
      </w:r>
      <w:r>
        <w:t xml:space="preserve">Sterne (2003)</w:t>
      </w:r>
      <w:r>
        <w:t xml:space="preserve">:</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(Sterne 2003, p. 34)</w:t>
      </w:r>
      <w:r>
        <w:t xml:space="preserve">. Therefore, considering these nonhuman eardrums (tympanus) as as actors of privacy and publicness, audio reproduction technology can be compared to the structure of memory and archives.</w:t>
      </w:r>
    </w:p>
    <w:p>
      <w:pPr>
        <w:pStyle w:val="BodyText"/>
      </w:pPr>
      <w:r>
        <w:t xml:space="preserve">For example, audio recording can be conceived as a form of memory, only to the extent that its inscription is singular yet reproducible. This is because a magnetic tape or a hard drive cannot be considered in the same (plural) way as Derridean traces, since once data is stored, it exists only once in discrete, limited space, unless copied to another location, in which case it becomes a duplicate, an identical clone of itself. In contrast, audio playback can be considered a form of archive, since it consists of the passage from the private stored waves to the publicly reproduced air pressure waves in space.</w:t>
      </w:r>
    </w:p>
    <w:p>
      <w:pPr>
        <w:pStyle w:val="Heading5"/>
      </w:pPr>
      <w:bookmarkStart w:id="234" w:name="spectrality-of-archives"/>
      <w:r>
        <w:t xml:space="preserve">Spectrality of Archives</w:t>
      </w:r>
      <w:bookmarkEnd w:id="234"/>
    </w:p>
    <w:p>
      <w:pPr>
        <w:pStyle w:val="FirstParagraph"/>
      </w:pPr>
      <w:r>
        <w:t xml:space="preserve">Transducers as nonhuman eardrums constitute the limit between the sonic world and the binary world of databases.</w:t>
      </w:r>
      <w:r>
        <w:rPr>
          <w:rStyle w:val="FootnoteReference"/>
        </w:rPr>
        <w:footnoteReference w:id="235"/>
      </w:r>
      <w:r>
        <w:t xml:space="preserve"> </w:t>
      </w:r>
      <w:r>
        <w:t xml:space="preserve">Comparing these transducers to memory and archives suggests a hybrid object: one that, on the one side, becomes a private and singular</w:t>
      </w:r>
      <w:r>
        <w:t xml:space="preserve"> </w:t>
      </w:r>
      <w:r>
        <w:t xml:space="preserve">‘</w:t>
      </w:r>
      <w:r>
        <w:t xml:space="preserve">trace</w:t>
      </w:r>
      <w:r>
        <w:t xml:space="preserve">’</w:t>
      </w:r>
      <w:r>
        <w:t xml:space="preserve">, and, on the other, becomes a public, resonant</w:t>
      </w:r>
      <w:r>
        <w:t xml:space="preserve"> </w:t>
      </w:r>
      <w:r>
        <w:t xml:space="preserve">‘</w:t>
      </w:r>
      <w:r>
        <w:t xml:space="preserve">space.</w:t>
      </w:r>
      <w:r>
        <w:t xml:space="preserve">’</w:t>
      </w:r>
      <w:r>
        <w:t xml:space="preserve"> </w:t>
      </w:r>
      <w:r>
        <w:t xml:space="preserve">Thus, databases represent neither a trace nor a space. According to Derrida,</w:t>
      </w:r>
      <w:r>
        <w:t xml:space="preserve"> </w:t>
      </w:r>
      <w:r>
        <w:t xml:space="preserve">“</w:t>
      </w: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w:t>
      </w:r>
      <w:r>
        <w:t xml:space="preserve"> </w:t>
      </w:r>
      <w:r>
        <w:t xml:space="preserve">(Derrida &amp; Prenowitz 1995, p. 54)</w:t>
      </w:r>
      <w:r>
        <w:t xml:space="preserve">. The hybridity that the database projects when compared to memory or archives points to a certain uncanniness, that is, precisely to the hauntedness that comes from its spectrality.</w:t>
      </w:r>
    </w:p>
    <w:p>
      <w:pPr>
        <w:pStyle w:val="BodyText"/>
      </w:pPr>
      <w:r>
        <w:t xml:space="preserve">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that is, to the passing through (trans-action) of signs, but also of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w:t>
      </w:r>
      <w:r>
        <w:t xml:space="preserve"> </w:t>
      </w:r>
      <w:r>
        <w:t xml:space="preserve">‘</w:t>
      </w:r>
      <w:r>
        <w:t xml:space="preserve">addressing,</w:t>
      </w:r>
      <w:r>
        <w:t xml:space="preserve">’</w:t>
      </w:r>
      <w:r>
        <w:t xml:space="preserve"> </w:t>
      </w:r>
      <w:r>
        <w:t xml:space="preserve">which implies this uncanniness of the ghost entails is nothing other than the haunting itself, as Derrida writes:</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Like Funes’ acousmatic voice, from the shadows as a shadow, the transduced publishes and the database haunts.</w:t>
      </w:r>
      <w:r>
        <w:rPr>
          <w:rStyle w:val="FootnoteReference"/>
        </w:rPr>
        <w:footnoteReference w:id="236"/>
      </w:r>
      <w:r>
        <w:t xml:space="preserve"> </w:t>
      </w:r>
      <w:r>
        <w:t xml:space="preserve">Furthermore, it can be argued that considering the database in such way is plain and simple delusion, that is, insanity at its best. Not surprisingly, this is the point exactly; within this delusion exists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5"/>
      </w:pPr>
      <w:bookmarkStart w:id="237" w:name="spectrality-of-databases"/>
      <w:r>
        <w:t xml:space="preserve">Spectrality of Databases</w:t>
      </w:r>
      <w:bookmarkEnd w:id="237"/>
    </w:p>
    <w:p>
      <w:pPr>
        <w:pStyle w:val="FirstParagraph"/>
      </w:pPr>
      <w:r>
        <w:t xml:space="preserve">Building on Derrida’s views on the structure of the archive as spectral, I suggest we can consider databases spectral too but in a different sense. The spectrality of the database comes not from its hauntedness,</w:t>
      </w:r>
    </w:p>
    <w:p>
      <w:pPr>
        <w:pStyle w:val="BodyText"/>
      </w:pPr>
      <w:r>
        <w:t xml:space="preserve">As humans, we have no direct access to data space with our bodies and thus we cannot engage in transaction with the specter directly: we need transducers. In the case of audio playback,</w:t>
      </w:r>
      <w:r>
        <w:t xml:space="preserve"> </w:t>
      </w:r>
      <w:r>
        <w:t xml:space="preserve">we need loudspeakers to recreate the recorded image.</w:t>
      </w:r>
    </w:p>
    <w:p>
      <w:pPr>
        <w:pStyle w:val="BodyText"/>
      </w:pPr>
      <w:r>
        <w:t xml:space="preserve">In consequence, while embodying stored data, we embody its specter.</w:t>
      </w:r>
      <w:r>
        <w:t xml:space="preserve"> </w:t>
      </w:r>
      <w:r>
        <w:t xml:space="preserve">Therefore, the hauntedness needs to be</w:t>
      </w:r>
      <w:r>
        <w:t xml:space="preserve"> </w:t>
      </w:r>
      <w:r>
        <w:t xml:space="preserve">‘</w:t>
      </w:r>
      <w:r>
        <w:t xml:space="preserve">transduced</w:t>
      </w:r>
      <w:r>
        <w:t xml:space="preserve">’</w:t>
      </w:r>
      <w:r>
        <w:t xml:space="preserve"> </w:t>
      </w:r>
      <w:r>
        <w:t xml:space="preserve">into space, and with this transduction the agency of the database can be effectively felt.</w:t>
      </w:r>
      <w:r>
        <w:t xml:space="preserve"> </w:t>
      </w:r>
      <w:r>
        <w:t xml:space="preserve">Likewise, the uncanniness of the case of audio recording can be felt as the ghost that will</w:t>
      </w:r>
      <w:r>
        <w:t xml:space="preserve"> </w:t>
      </w:r>
      <w:r>
        <w:t xml:space="preserve">‘</w:t>
      </w:r>
      <w:r>
        <w:t xml:space="preserve">remember us,</w:t>
      </w:r>
      <w:r>
        <w:t xml:space="preserve">’</w:t>
      </w:r>
      <w:r>
        <w:t xml:space="preserve"> </w:t>
      </w:r>
      <w:r>
        <w:t xml:space="preserve">because of this computer</w:t>
      </w:r>
      <w:r>
        <w:t xml:space="preserve"> </w:t>
      </w:r>
      <w:r>
        <w:t xml:space="preserve">‘</w:t>
      </w:r>
      <w:r>
        <w:t xml:space="preserve">memory</w:t>
      </w:r>
      <w:r>
        <w:t xml:space="preserve">’</w:t>
      </w:r>
      <w:r>
        <w:t xml:space="preserve"> </w:t>
      </w:r>
      <w:r>
        <w:t xml:space="preserve">that will keep (to its own privacy) the sonic environment that attests to our presence in space —because we sing, we make sounds, etc.</w:t>
      </w:r>
    </w:p>
    <w:p>
      <w:pPr>
        <w:pStyle w:val="BodyText"/>
      </w:pPr>
      <w:r>
        <w:t xml:space="preserve">Hence, the haunting that resides in-memory, together with the stored data and pointers.</w:t>
      </w:r>
    </w:p>
    <w:p>
      <w:pPr>
        <w:pStyle w:val="Heading5"/>
      </w:pPr>
      <w:bookmarkStart w:id="238" w:name="agency-of-the-uncanny"/>
      <w:r>
        <w:t xml:space="preserve">Agency of the Uncanny</w:t>
      </w:r>
      <w:bookmarkEnd w:id="238"/>
    </w:p>
    <w:p>
      <w:pPr>
        <w:pStyle w:val="FirstParagraph"/>
      </w:pPr>
      <w:r>
        <w:t xml:space="preserve">In recognizing this presence, which is the archontic specter of the database, comes the recognition of the agency of the database itself, and, furthermore, of the quality of the aesthetic experience that we encounter whenever there is a database in art. As Timothy Morton</w:t>
      </w:r>
      <w:r>
        <w:t xml:space="preserve"> </w:t>
      </w:r>
      <w:r>
        <w:t xml:space="preserve">(Morton 2013)</w:t>
      </w:r>
      <w:r>
        <w:t xml:space="preserve"> </w:t>
      </w:r>
      <w:r>
        <w:t xml:space="preserve">writes in relation to what he calls hyperobjects:</w:t>
      </w:r>
    </w:p>
    <w:p>
      <w:pPr>
        <w:pStyle w:val="BlockText"/>
      </w:pPr>
      <w:r>
        <w:t xml:space="preserve">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 as Adorno says, the primordial aesthetic experience is goose bumps. Yet this is precisely the aesthetic experience of the hyperobject, which can only be detected as a ghostly spectrality that comes in and out of phase with normalized human spacetime.</w:t>
      </w:r>
      <w:r>
        <w:t xml:space="preserve"> </w:t>
      </w:r>
      <w:r>
        <w:t xml:space="preserve">(Morton 2013, p. 169)</w:t>
      </w:r>
    </w:p>
    <w:p>
      <w:pPr>
        <w:pStyle w:val="FirstParagraph"/>
      </w:pPr>
      <w:r>
        <w:t xml:space="preserve">Insofar as databases are spectral, they can be considered hyperobjects in Morton’s sense, and thus, as agents translating through aesthetic networks.</w:t>
      </w:r>
      <w:r>
        <w:t xml:space="preserve"> </w:t>
      </w:r>
      <w:r>
        <w:t xml:space="preserve">However, I will not dwell much longer on this definition in this text.</w:t>
      </w:r>
      <w:r>
        <w:t xml:space="preserve"> </w:t>
      </w:r>
      <w:r>
        <w:t xml:space="preserve">If we consider the</w:t>
      </w:r>
      <w:r>
        <w:t xml:space="preserve"> </w:t>
      </w:r>
      <w:r>
        <w:t xml:space="preserve">“</w:t>
      </w:r>
      <w:r>
        <w:t xml:space="preserve">recorded movement of a thing</w:t>
      </w:r>
      <w:r>
        <w:t xml:space="preserve">”</w:t>
      </w:r>
      <w:r>
        <w:t xml:space="preserve"> </w:t>
      </w:r>
      <w:r>
        <w:t xml:space="preserve">with which Latour identified his concept of the network,</w:t>
      </w:r>
      <w:r>
        <w:t xml:space="preserve"> </w:t>
      </w:r>
      <w:r>
        <w:t xml:space="preserve">databases are agents not only of recording, also of motility, and of thing-hood itself.</w:t>
      </w:r>
      <w:r>
        <w:t xml:space="preserve"> </w:t>
      </w:r>
      <w:r>
        <w:t xml:space="preserve">This is to say that, in the constitution of networks, the spectrality of the database expands in multiple directions.</w:t>
      </w:r>
      <w:r>
        <w:t xml:space="preserve"> </w:t>
      </w:r>
      <w:r>
        <w:t xml:space="preserve">The illusory violin in the acousmatic concert I mentioned earlier (See</w:t>
      </w:r>
      <w:r>
        <w:t xml:space="preserve"> </w:t>
      </w:r>
      <w:hyperlink w:anchor="resonance_of_a_return">
        <w:r>
          <w:rPr>
            <w:rStyle w:val="Hyperlink"/>
          </w:rPr>
          <w:t xml:space="preserve">5.1.2</w:t>
        </w:r>
      </w:hyperlink>
      <w:r>
        <w:t xml:space="preserve">), exemplifies Hansen’s concept of the creation of auditory images our brain’s capacity for virtuality has: our imagination. The sound of a violin can be recorded or synthesized into the privacy of a database. Then, it can be played back with loudspeakers located in such a way that they emulate the location of an actual violin player. As a result, the listener could very likely imagine a physically present violin in the room, a sound without a body, that is, a ghost. This ghost comes in as the phantom of a human player; of the violin; of the histories and traditions that those two elements bring forth; of the presence of the nonhuman that the database implies; of the privacy that is not human but is still uncannily private; of the plurality</w:t>
      </w:r>
      <w:r>
        <w:t xml:space="preserve"> </w:t>
      </w:r>
      <w:r>
        <w:t xml:space="preserve">that is embedded in the construction of databases;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This hauntedness can be indeed instantiated into appearance, not only in the form of authority, as I have shown in the case of its archontic presence, but also in the form of style, and most important, gender: the performativity of the database.</w:t>
      </w:r>
    </w:p>
    <w:p>
      <w:pPr>
        <w:pStyle w:val="Heading2"/>
      </w:pPr>
      <w:bookmarkStart w:id="239" w:name="section:Performativity_Of Databases"/>
      <w:r>
        <w:t xml:space="preserve">Performativity Of Databases</w:t>
      </w:r>
      <w:bookmarkEnd w:id="239"/>
    </w:p>
    <w:p>
      <w:pPr>
        <w:pStyle w:val="Heading3"/>
      </w:pPr>
      <w:bookmarkStart w:id="240" w:name="gender"/>
      <w:r>
        <w:t xml:space="preserve">Gendered Database</w:t>
      </w:r>
      <w:bookmarkEnd w:id="240"/>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 mistaken for a natural or linguistic given, power is relinquished to expand the cultural field bodily through subversive performances of various kinds.</w:t>
      </w:r>
      <w:r>
        <w:t xml:space="preserve"> </w:t>
      </w:r>
      <w:r>
        <w:t xml:space="preserve">(Butler 1988, p. 531)</w:t>
      </w:r>
    </w:p>
    <w:p>
      <w:pPr>
        <w:pStyle w:val="FirstParagraph"/>
      </w:pPr>
      <w:r>
        <w:t xml:space="preserve">Judith Butler</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section:Listening_Databases">
        <w:r>
          <w:rPr>
            <w:rStyle w:val="Hyperlink"/>
          </w:rPr>
          <w:t xml:space="preserve">5.1</w:t>
        </w:r>
      </w:hyperlink>
      <w:r>
        <w:t xml:space="preserve">).</w:t>
      </w:r>
    </w:p>
    <w:p>
      <w:pPr>
        <w:pStyle w:val="Heading5"/>
      </w:pPr>
      <w:bookmarkStart w:id="241" w:name="skin-of-the-database"/>
      <w:r>
        <w:t xml:space="preserve">Skin of the Database</w:t>
      </w:r>
      <w:bookmarkEnd w:id="241"/>
    </w:p>
    <w:p>
      <w:pPr>
        <w:pStyle w:val="FirstParagraph"/>
      </w:pPr>
      <w:r>
        <w:t xml:space="preserve">In the performativity of databasing resides the possibility for the skin of the database to emerge. On the one hand, this skin is the spectral surface of the database’s illusory self. On the other, it is the limit towards which the human and the nonhuman engage in resonance. The skin of the database carries the mark of a style. That is to say, in defining style as a repetition of acts, it is a form of embodiment that is ascribed to databases. Because the self of the database is inscribed on its skin, we can assign yet another quality of the database: an authorial subject. This subject relates to the uncanny, not only because of its nonhuman spectrality, also because its gendered appearance comes to redefine our own social categories such as reality itself. Therefore, I claim that, given that databasing is the performative condition of databases, the database becomes gendered.</w:t>
      </w:r>
    </w:p>
    <w:p>
      <w:pPr>
        <w:pStyle w:val="Heading5"/>
      </w:pPr>
      <w:bookmarkStart w:id="242" w:name="expressing-nothing"/>
      <w:r>
        <w:t xml:space="preserve">Expressing Nothing</w:t>
      </w:r>
      <w:bookmarkEnd w:id="242"/>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these terms of performativity, to the point that, while having the capacity to store millions of data, a database can indeed express nothing?</w:t>
      </w:r>
    </w:p>
    <w:p>
      <w:pPr>
        <w:pStyle w:val="Heading5"/>
      </w:pPr>
      <w:bookmarkStart w:id="243" w:name="a-historical-situation"/>
      <w:r>
        <w:t xml:space="preserve">A Historical Situation</w:t>
      </w:r>
      <w:bookmarkEnd w:id="243"/>
    </w:p>
    <w:p>
      <w:pPr>
        <w:pStyle w:val="FirstParagraph"/>
      </w:pPr>
      <w:r>
        <w:t xml:space="preserve">Butler defined gender identity as a historical situation, distinguishing between physiological facticity of the body (sex) and the cultural significance of such facticity in terms of gender. Added to this distance between body and identity, Butler speaks of the body as a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itself.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 ’woman,’ 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5"/>
      </w:pPr>
      <w:bookmarkStart w:id="244" w:name="subversive-repetition"/>
      <w:r>
        <w:t xml:space="preserve">Subversive Repetition</w:t>
      </w:r>
      <w:bookmarkEnd w:id="244"/>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layers that deposit themselves in time. Furthermore, within this notion of temporality there is a need for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these acts are necessarily discontinuous, and it is because of this discontinuity that exists the possibility of gender transformation. In this sense, gender performance is neither linear or nonlinear. It resides along an anarchic temporality that replaces teleology with the multiplicity of resonant nows. It is an inline iterative function with random breaks.</w:t>
      </w:r>
    </w:p>
    <w:p>
      <w:pPr>
        <w:pStyle w:val="Heading5"/>
      </w:pPr>
      <w:bookmarkStart w:id="245" w:name="gendered-database"/>
      <w:r>
        <w:t xml:space="preserve">Gendered Database</w:t>
      </w:r>
      <w:bookmarkEnd w:id="245"/>
    </w:p>
    <w:p>
      <w:pPr>
        <w:pStyle w:val="FirstParagraph"/>
      </w:pPr>
      <w:r>
        <w:t xml:space="preserve">The database is a collection of facts. This is what Butler’s gendered self can teach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the human. It is simply a nonhuman fabrication of selfhood: there, around, making its way through the rupture of the permanent condition of performativity to which we (humans and nonhumans) are phenomenologically bound. This is how the style of the database appears. This nonhuman self, like Butler’s gendered self, is equally</w:t>
      </w:r>
      <w:r>
        <w:t xml:space="preserve"> </w:t>
      </w:r>
      <w:r>
        <w:t xml:space="preserve">‘</w:t>
      </w:r>
      <w:r>
        <w:t xml:space="preserve">outside;</w:t>
      </w:r>
      <w:r>
        <w:t xml:space="preserve">’</w:t>
      </w:r>
      <w:r>
        <w:t xml:space="preserve"> </w:t>
      </w:r>
      <w:r>
        <w:t xml:space="preserve">“</w:t>
      </w:r>
      <w:r>
        <w:t xml:space="preserve">constituted in social discourse</w:t>
      </w:r>
      <w:r>
        <w:t xml:space="preserve">”</w:t>
      </w:r>
      <w:r>
        <w:t xml:space="preserve"> </w:t>
      </w:r>
      <w:r>
        <w:t xml:space="preserve">(Butler 1988, p. 528)</w:t>
      </w:r>
      <w:r>
        <w:t xml:space="preserve">.</w:t>
      </w:r>
    </w:p>
    <w:p>
      <w:pPr>
        <w:pStyle w:val="BodyText"/>
      </w:pPr>
      <w:r>
        <w:t xml:space="preserve">In other words, the skin of the database is open for perception outside of itself, and in fact, nothing about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Alan Turing:</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46" w:name="limits"/>
      <w:r>
        <w:t xml:space="preserve">Towards The Limits</w:t>
      </w:r>
      <w:bookmarkEnd w:id="246"/>
    </w:p>
    <w:p>
      <w:pPr>
        <w:pStyle w:val="Heading5"/>
      </w:pPr>
      <w:bookmarkStart w:id="247" w:name="exposure"/>
      <w:r>
        <w:t xml:space="preserve">Exposure</w:t>
      </w:r>
      <w:bookmarkEnd w:id="247"/>
    </w:p>
    <w:p>
      <w:pPr>
        <w:pStyle w:val="FirstParagraph"/>
      </w:pPr>
      <w:r>
        <w:t xml:space="preserve">The performativity of databasing can be understood in terms of what Nancy calls exposure</w:t>
      </w:r>
      <w:r>
        <w:t xml:space="preserve"> </w:t>
      </w:r>
      <w:r>
        <w:t xml:space="preserve">(Nancy 1991)</w:t>
      </w:r>
      <w:r>
        <w:t xml:space="preserve">.</w:t>
      </w:r>
    </w:p>
    <w:p>
      <w:pPr>
        <w:pStyle w:val="BodyText"/>
      </w:pPr>
      <w:r>
        <w:t xml:space="preserve">Exposure is the appearance of a limit and the finitude of a singularity. With this limit instantiated in the (public) moment of the performative act, is how communication emerges as that which is in common among singularities. That is to say, because it is itself nothing (</w:t>
      </w:r>
      <w:r>
        <w:t xml:space="preserve">“</w:t>
      </w:r>
      <w:r>
        <w:t xml:space="preserve">neither a ground, nor an essence, nor a substance</w:t>
      </w:r>
      <w:r>
        <w:t xml:space="preserve">”</w:t>
      </w:r>
      <w:r>
        <w:t xml:space="preserve"> </w:t>
      </w:r>
      <w:r>
        <w:t xml:space="preserve">(Nancy 1991, p. 31)</w:t>
      </w:r>
      <w:r>
        <w:t xml:space="preserve">) Nancy considers finitude to just appear in the form of communication:</w:t>
      </w:r>
      <w:r>
        <w:t xml:space="preserve"> </w:t>
      </w:r>
      <w:r>
        <w:t xml:space="preserve">“</w:t>
      </w:r>
      <w:r>
        <w:t xml:space="preserve">it presents itself, it exposes itself, and thus it exists as communication</w:t>
      </w:r>
      <w:r>
        <w:t xml:space="preserve">”</w:t>
      </w:r>
      <w:r>
        <w:t xml:space="preserve"> </w:t>
      </w:r>
      <w:r>
        <w:t xml:space="preserve">(Nancy 1991, p. 31)</w:t>
      </w:r>
      <w:r>
        <w:t xml:space="preserve">.</w:t>
      </w:r>
    </w:p>
    <w:p>
      <w:pPr>
        <w:pStyle w:val="BodyText"/>
      </w:pPr>
      <w:r>
        <w:t xml:space="preserve">His emphasis on communication as exposure marks a crucial distinction on the concept of community. For Nancy, as I have described above (See</w:t>
      </w:r>
      <w:r>
        <w:t xml:space="preserve"> </w:t>
      </w:r>
      <w:hyperlink w:anchor="inoperativity">
        <w:r>
          <w:rPr>
            <w:rStyle w:val="Hyperlink"/>
          </w:rPr>
          <w:t xml:space="preserve">5.1.4</w:t>
        </w:r>
      </w:hyperlink>
      <w:r>
        <w:t xml:space="preserve">), community cannot come from an instance of work: it emerges as an instance of the communicative action which is</w:t>
      </w:r>
      <w:r>
        <w:t xml:space="preserve"> </w:t>
      </w:r>
      <w:r>
        <w:t xml:space="preserve">“</w:t>
      </w:r>
      <w:r>
        <w:t xml:space="preserve">the unworking of a work that is social, economic, technical, and institutional</w:t>
      </w:r>
      <w:r>
        <w:t xml:space="preserve">”</w:t>
      </w:r>
      <w:r>
        <w:t xml:space="preserve"> </w:t>
      </w:r>
      <w:r>
        <w:t xml:space="preserve">(Nancy 1991, p. 31)</w:t>
      </w:r>
      <w:r>
        <w:t xml:space="preserve">. In other words, the performativity of this communicative act, the publicness and dramatic qualities with which it unfolds, result in exposure. This is why, in the case of databasing, what is exposed at the limit of its performance is the finitude of the database itself. Through this exposition of the limit is how the singularity of the database can be communicated; or, better, through this exposure is how communication expands our concept of community towards one that includes the database as an agent of community itself.</w:t>
      </w:r>
    </w:p>
    <w:p>
      <w:pPr>
        <w:pStyle w:val="Heading5"/>
      </w:pPr>
      <w:bookmarkStart w:id="248" w:name="anarchic-touch"/>
      <w:r>
        <w:t xml:space="preserve">Anarchic Touch</w:t>
      </w:r>
      <w:bookmarkEnd w:id="248"/>
    </w:p>
    <w:p>
      <w:pPr>
        <w:pStyle w:val="FirstParagraph"/>
      </w:pPr>
      <w:r>
        <w:t xml:space="preserve">As Nancy writes,</w:t>
      </w:r>
      <w:r>
        <w:t xml:space="preserve"> </w:t>
      </w:r>
      <w:r>
        <w:t xml:space="preserve">“</w:t>
      </w:r>
      <w:r>
        <w:t xml:space="preserve">a singular being does not emerge or rise up against the background of a chaotic, undifferentiated identity of beings</w:t>
      </w:r>
      <w:r>
        <w:t xml:space="preserve">”</w:t>
      </w:r>
      <w:r>
        <w:t xml:space="preserve"> </w:t>
      </w:r>
      <w:r>
        <w:t xml:space="preserve">(Nancy 1991, p. 28)</w:t>
      </w:r>
      <w:r>
        <w:t xml:space="preserve">. This is to say that, like Butler’s gendered self, there is no substance within singularity.</w:t>
      </w:r>
      <w:r>
        <w:t xml:space="preserve"> </w:t>
      </w:r>
      <w:r>
        <w:t xml:space="preserve">The appearance of a database as finitude comes not from an originary</w:t>
      </w:r>
      <w:r>
        <w:t xml:space="preserve"> </w:t>
      </w:r>
      <w:r>
        <w:rPr>
          <w:i/>
        </w:rPr>
        <w:t xml:space="preserve">archē</w:t>
      </w:r>
      <w:r>
        <w:t xml:space="preserve"> </w:t>
      </w:r>
      <w:r>
        <w:t xml:space="preserve">which would impose its archontic power as is the case of archives.</w:t>
      </w:r>
      <w:r>
        <w:t xml:space="preserve"> </w:t>
      </w:r>
      <w:r>
        <w:t xml:space="preserve">The limit of the database is not instantiated out of the one, a</w:t>
      </w:r>
      <w:r>
        <w:t xml:space="preserve"> </w:t>
      </w:r>
      <w:r>
        <w:t xml:space="preserve">“</w:t>
      </w:r>
      <w:r>
        <w:t xml:space="preserve">unitary assumption</w:t>
      </w:r>
      <w:r>
        <w:t xml:space="preserve">”</w:t>
      </w:r>
      <w:r>
        <w:t xml:space="preserve"> </w:t>
      </w:r>
      <w:r>
        <w:t xml:space="preserve">(Nancy 1991, p. 28)</w:t>
      </w:r>
      <w:r>
        <w:t xml:space="preserve">, or the wholeness of a single one. This finitude does not come from intentionality or any essentialist notions: it simply appears, for Nancy, in the form of touch:</w:t>
      </w:r>
      <w:r>
        <w:t xml:space="preserve"> </w:t>
      </w:r>
      <w:r>
        <w:t xml:space="preserve">“</w:t>
      </w:r>
      <w:r>
        <w:t xml:space="preserve">…as finitude itself: at the end (or at the beginning), with the contact of the</w:t>
      </w:r>
      <w:r>
        <w:t xml:space="preserve"> </w:t>
      </w:r>
      <w:r>
        <w:rPr>
          <w:i/>
        </w:rPr>
        <w:t xml:space="preserve">skin</w:t>
      </w:r>
      <w:r>
        <w:t xml:space="preserve"> </w:t>
      </w:r>
      <w:r>
        <w:t xml:space="preserve">(or the heart) of another singular being, at the confines of the same singularity that is, as such, always other, always shared, always exposed…</w:t>
      </w:r>
      <w:r>
        <w:t xml:space="preserve">”</w:t>
      </w:r>
      <w:r>
        <w:t xml:space="preserve"> </w:t>
      </w:r>
      <w:r>
        <w:t xml:space="preserve">[emphasis added]</w:t>
      </w:r>
      <w:r>
        <w:t xml:space="preserve"> </w:t>
      </w:r>
      <w:r>
        <w:t xml:space="preserve">(Nancy 1991, p. 28)</w:t>
      </w:r>
      <w:r>
        <w:t xml:space="preserve">. The temporality of this touch, like that of gender, is anarchic.</w:t>
      </w:r>
    </w:p>
    <w:p>
      <w:pPr>
        <w:pStyle w:val="Heading5"/>
      </w:pPr>
      <w:bookmarkStart w:id="249" w:name="communities-of-skin"/>
      <w:r>
        <w:t xml:space="preserve">Communities of Skin</w:t>
      </w:r>
      <w:bookmarkEnd w:id="249"/>
    </w:p>
    <w:p>
      <w:pPr>
        <w:pStyle w:val="FirstParagraph"/>
      </w:pPr>
      <w:r>
        <w:t xml:space="preserve">The limit of the database, as performative, spectral skin, allows for a community to emerge between the human and the nonhuman. This means that the agency locus of the database needs to be placed precisely on its skin, because it is what becomes public of itself. In other words, given that this skin is available to the perception of others, it becomes touchable, it reaches our own limit as databasers. By exposing our own limits to ourselves and to each other, the database changes our definition often delimits the extent of our own singularity.</w:t>
      </w:r>
      <w:r>
        <w:t xml:space="preserve"> </w:t>
      </w:r>
      <w:r>
        <w:t xml:space="preserve">However, this does not mean that it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w:t>
      </w:r>
      <w:r>
        <w:t xml:space="preserve"> </w:t>
      </w:r>
      <w:r>
        <w:t xml:space="preserve">As Nancy rightfully claims,</w:t>
      </w:r>
      <w:r>
        <w:t xml:space="preserve"> </w:t>
      </w:r>
      <w:r>
        <w:t xml:space="preserve">“</w:t>
      </w:r>
      <w:r>
        <w:t xml:space="preserve"> </w:t>
      </w:r>
      <w:r>
        <w:t xml:space="preserve">it is not obvious that the community of singularities is limited to</w:t>
      </w:r>
      <w:r>
        <w:t xml:space="preserve"> </w:t>
      </w:r>
      <w:r>
        <w:t xml:space="preserve">‘</w:t>
      </w:r>
      <w:r>
        <w:t xml:space="preserve">man</w:t>
      </w:r>
      <w:r>
        <w:t xml:space="preserve">’</w:t>
      </w:r>
      <w:r>
        <w:t xml:space="preserve">”</w:t>
      </w:r>
      <w:r>
        <w:t xml:space="preserve"> </w:t>
      </w:r>
      <w:r>
        <w:t xml:space="preserve">(Nancy 1991, p. 28)</w:t>
      </w:r>
      <w:r>
        <w:t xml:space="preserve">.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a resonant spectrality.</w:t>
      </w:r>
    </w:p>
    <w:p>
      <w:pPr>
        <w:pStyle w:val="BodyText"/>
      </w:pPr>
      <w:r>
        <w:t xml:space="preserve">This is the community of resonance, the community of the resonant network, which has no purpose, no intentionality behind, no essence; only appearance and motility, performance and repetition: an activity that is</w:t>
      </w:r>
      <w:r>
        <w:t xml:space="preserve"> </w:t>
      </w:r>
      <w:r>
        <w:t xml:space="preserve">the unworking with which community exposes itself.</w:t>
      </w:r>
    </w:p>
    <w:p>
      <w:pPr>
        <w:pStyle w:val="Heading5"/>
      </w:pPr>
      <w:bookmarkStart w:id="250" w:name="hybrid-pluralities"/>
      <w:r>
        <w:t xml:space="preserve">Hybrid Pluralities</w:t>
      </w:r>
      <w:bookmarkEnd w:id="250"/>
    </w:p>
    <w:p>
      <w:pPr>
        <w:pStyle w:val="FirstParagraph"/>
      </w:pPr>
      <w:r>
        <w:t xml:space="preserve">Database models tend to reside next to each other, either within a single database system or within an interconnected networked system.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resonanting in such performativity, databasers approach (but do not reach) the limit of the database. This approach to the skin of the database exposes simultaneously</w:t>
      </w:r>
      <w:r>
        <w:t xml:space="preserve"> </w:t>
      </w:r>
      <w:r>
        <w:t xml:space="preserve">the skin of the databaser to the database.</w:t>
      </w:r>
      <w:r>
        <w:t xml:space="preserve"> </w:t>
      </w:r>
      <w:r>
        <w:t xml:space="preserve">What this exposure amounts to is not, however, an opposition of forces. It results in the fragmented state of community that resides in the different degrees of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51" w:name="style"/>
      <w:r>
        <w:t xml:space="preserve">Contingencies Of Style</w:t>
      </w:r>
      <w:bookmarkEnd w:id="251"/>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itself. Databasing projects its own style as a result of its performance, and through this projection comes the exposure of its skin. The</w:t>
      </w:r>
      <w:r>
        <w:t xml:space="preserve"> </w:t>
      </w:r>
      <w:r>
        <w:t xml:space="preserve">“</w:t>
      </w:r>
      <w:r>
        <w:t xml:space="preserve">stylized repetition of acts</w:t>
      </w:r>
      <w:r>
        <w:t xml:space="preserve">”</w:t>
      </w:r>
      <w:r>
        <w:t xml:space="preserve"> </w:t>
      </w:r>
      <w:r>
        <w:t xml:space="preserve">(Butler 1988, p. 519)</w:t>
      </w:r>
      <w:r>
        <w:t xml:space="preserve"> </w:t>
      </w:r>
      <w:r>
        <w:t xml:space="preserve">in the dramatic case of the gendered database is now revealed as style itself. Like skin and voice, singularity emerges as style and timbre.</w:t>
      </w:r>
    </w:p>
    <w:p>
      <w:pPr>
        <w:pStyle w:val="Heading5"/>
      </w:pPr>
      <w:bookmarkStart w:id="252" w:name="style-and-timbre"/>
      <w:r>
        <w:t xml:space="preserve">Style and Timbre</w:t>
      </w:r>
      <w:bookmarkEnd w:id="252"/>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itself, hence resulting in the style of a certain text, or, for that matter, a programming style, or even the style of an author. Beyond writing, style becomes the way in which the body moves, how it looks, whether it is human or nonhuman: the style of a music work, the style of a composer; and beyond, the style of an entire musical period, thus extending style in time and space. Most important, style is a manifestation of the singular. In the sense that style does not lend itself to duplication, and provided that it happens as the apparition of an event, it exposes singularity as such.</w:t>
      </w:r>
    </w:p>
    <w:p>
      <w:pPr>
        <w:pStyle w:val="BodyText"/>
      </w:pPr>
      <w:r>
        <w:t xml:space="preserve">Style is thus comparable to the voice of a certain author, and also to the sound of the voice itself: timbre. That is to say, style and timbre can be understood equally as the presence of the singular: the signature of a unique and irreproducible quality:</w:t>
      </w:r>
      <w:r>
        <w:rPr>
          <w:rStyle w:val="FootnoteReference"/>
        </w:rPr>
        <w:footnoteReference w:id="253"/>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5"/>
      </w:pPr>
      <w:bookmarkStart w:id="254" w:name="endless-databases"/>
      <w:r>
        <w:t xml:space="preserve">Endless Databases</w:t>
      </w:r>
      <w:bookmarkEnd w:id="254"/>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4.2.2</w:t>
        </w:r>
      </w:hyperlink>
      <w:r>
        <w:t xml:space="preserve">). Considering databasing as chaotic systems brings yet another aspect to the contingency of style.</w:t>
      </w:r>
    </w:p>
    <w:p>
      <w:pPr>
        <w:pStyle w:val="Heading5"/>
      </w:pPr>
      <w:bookmarkStart w:id="255" w:name="database-and-chaos"/>
      <w:r>
        <w:t xml:space="preserve">Database and Chaos</w:t>
      </w:r>
      <w:bookmarkEnd w:id="255"/>
    </w:p>
    <w:p>
      <w:pPr>
        <w:pStyle w:val="FirstParagraph"/>
      </w:pPr>
      <w:r>
        <w:t xml:space="preserve">Given that this style can be considered as an emergent singularity of databasing, this singularity can be considered as well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which is also related to the concept of the</w:t>
      </w:r>
      <w:r>
        <w:t xml:space="preserve"> </w:t>
      </w:r>
      <w:r>
        <w:t xml:space="preserve">‘</w:t>
      </w:r>
      <w:r>
        <w:t xml:space="preserve">butterfly effect</w:t>
      </w:r>
      <w:r>
        <w:t xml:space="preserve">’</w:t>
      </w:r>
      <w:r>
        <w:t xml:space="preserve"> </w:t>
      </w:r>
      <w:r>
        <w:t xml:space="preserve">(See Figure</w:t>
      </w:r>
      <w:r>
        <w:t xml:space="preserve"> </w:t>
      </w:r>
      <w:hyperlink w:anchor="img:lorenz_plotter">
        <w:r>
          <w:rPr>
            <w:rStyle w:val="Hyperlink"/>
          </w:rPr>
          <w:t xml:space="preserve">[img:lorenz_plotter]</w:t>
        </w:r>
      </w:hyperlink>
      <w:r>
        <w:t xml:space="preserve">). The Lorenz attractor is a dynamic system, which means that it can render very different and quite unpredictable results by minimal changes on their initial conditions, despite the fact that it is indeed a deterministic system whose graph presents fractal properties. Considering databasing as a dynamic system two performances can be exactly the same if given the same initial conditions and states. In this case, databasing would e closer to the performance of digital fixed media works, in which at least at the sample level every</w:t>
      </w:r>
      <w:r>
        <w:t xml:space="preserve"> </w:t>
      </w:r>
      <w:r>
        <w:t xml:space="preserve">‘</w:t>
      </w:r>
      <w:r>
        <w:t xml:space="preserve">bit</w:t>
      </w:r>
      <w:r>
        <w:t xml:space="preserve">’</w:t>
      </w:r>
      <w:r>
        <w:t xml:space="preserve"> </w:t>
      </w:r>
      <w:r>
        <w:t xml:space="preserve">of it is exactly the same as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56"/>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57" w:name="img:lorenz_plotter"/>
      <w:r>
        <w:t xml:space="preserve">[img:lorenz_plotter]</w:t>
      </w:r>
      <w:bookmarkEnd w:id="257"/>
    </w:p>
    <w:p>
      <w:pPr>
        <w:pStyle w:val="BodyText"/>
      </w:pPr>
      <w:r>
        <w:t xml:space="preserve">Plotting of the Lorenz system in Pure Data.</w:t>
      </w:r>
    </w:p>
    <w:p>
      <w:pPr>
        <w:pStyle w:val="Heading5"/>
      </w:pPr>
      <w:bookmarkStart w:id="258" w:name="fractality"/>
      <w:r>
        <w:t xml:space="preserve">Fractality</w:t>
      </w:r>
      <w:bookmarkEnd w:id="258"/>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itself, which is the possibility condition for the resonant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Because of the fractal dimension, it expands the definition of geometric figures to the infinite. In this sense, it presents an unfolding symmetry (self-similarity), which relates to their shapes being replicated nearly exactly in different scales.</w:t>
      </w:r>
    </w:p>
    <w:p>
      <w:pPr>
        <w:pStyle w:val="Heading5"/>
      </w:pPr>
      <w:bookmarkStart w:id="259" w:name="a-music-work-as-a-singularity"/>
      <w:r>
        <w:t xml:space="preserve">A Music Work as a Singularity</w:t>
      </w:r>
      <w:bookmarkEnd w:id="259"/>
    </w:p>
    <w:p>
      <w:pPr>
        <w:pStyle w:val="FirstParagraph"/>
      </w:pPr>
      <w:r>
        <w:t xml:space="preserve">This aesthetic experience, it must be noted, is of a nature that slips through the cracks of traditional conceptualizations of the work of music as a result of stylistic, or stipulated constraints on the part of the composer, or stochastic procedures. For example, composer Horacio Vaggione goes to great lengths to prove that the musical work affirms itself as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had reshaped the black-boxed approach towards composition in</w:t>
      </w:r>
      <w:r>
        <w:t xml:space="preserve"> </w:t>
      </w:r>
      <w:r>
        <w:t xml:space="preserve">cac</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for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Adorno was of course conscious of this dialectic: his statement about sound material considered not as something</w:t>
      </w:r>
      <w:r>
        <w:t xml:space="preserve"> </w:t>
      </w:r>
      <w:r>
        <w:t xml:space="preserve">“</w:t>
      </w:r>
      <w:r>
        <w:t xml:space="preserve">given</w:t>
      </w:r>
      <w:r>
        <w:t xml:space="preserve">”</w:t>
      </w:r>
      <w:r>
        <w:t xml:space="preserve"> </w:t>
      </w:r>
      <w:r>
        <w:t xml:space="preserve">but as a</w:t>
      </w:r>
      <w:r>
        <w:t xml:space="preserve"> </w:t>
      </w:r>
      <w:r>
        <w:t xml:space="preserve">“</w:t>
      </w:r>
      <w:r>
        <w:t xml:space="preserve">result</w:t>
      </w:r>
      <w:r>
        <w:t xml:space="preserve">”</w:t>
      </w:r>
      <w:r>
        <w:t xml:space="preserve"> </w:t>
      </w:r>
      <w:r>
        <w:t xml:space="preserve">of a musical thesis clearly points to this fact. [emphasis added]</w:t>
      </w:r>
      <w:r>
        <w:t xml:space="preserve"> </w:t>
      </w:r>
      <w:r>
        <w:t xml:space="preserve">(Vaggione 2001, p. 59)</w:t>
      </w:r>
    </w:p>
    <w:p>
      <w:pPr>
        <w:pStyle w:val="Heading5"/>
      </w:pPr>
      <w:bookmarkStart w:id="260" w:name="arbitrariness"/>
      <w:r>
        <w:t xml:space="preserve">Arbitrariness</w:t>
      </w:r>
      <w:bookmarkEnd w:id="260"/>
    </w:p>
    <w:p>
      <w:pPr>
        <w:pStyle w:val="FirstParagraph"/>
      </w:pPr>
      <w:r>
        <w:t xml:space="preserve">Despite the fact that, distinguishing between rules and constraints, that is, between socially and historically established canons —as stylistic conventions—, and locally established postulates to be carried out by the composer —as constraints—, is crucial in defining style in databasing, at the same time both ends collapse into the realm of arbitrariness that composition is made of, for, if any</w:t>
      </w:r>
      <w:r>
        <w:t xml:space="preserve"> </w:t>
      </w:r>
      <w:r>
        <w:t xml:space="preserve">“</w:t>
      </w:r>
      <w:r>
        <w:t xml:space="preserve">primitive</w:t>
      </w:r>
      <w:r>
        <w:t xml:space="preserve">”</w:t>
      </w:r>
      <w:r>
        <w:t xml:space="preserve"> </w:t>
      </w:r>
      <w:r>
        <w:t xml:space="preserve">of the composition is indeed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That is to say, given that style is the contingent skin that emerges out of the performative action of databasing, if it were considered productively, that is, in terms of a targeted object towards which work is oriented, then it would only result in closure, in a closed object, and thus, it cannot be considered contingent, precisely because it is stipulated from the start as a law to which every composable element abides. This is the case of, in Vaggione’s sense, formalized processes which act as global laws, and in which —comparing it with a marching army following the one-two directive:</w:t>
      </w:r>
      <w:r>
        <w:t xml:space="preserve"> </w:t>
      </w:r>
      <w:r>
        <w:t xml:space="preserve">“</w:t>
      </w:r>
      <w:r>
        <w:t xml:space="preserve">no singularities —and hence no specific formal (relational) properties— are here allowed</w:t>
      </w:r>
      <w:r>
        <w:t xml:space="preserve">”</w:t>
      </w:r>
      <w:r>
        <w:t xml:space="preserve"> </w:t>
      </w:r>
      <w:r>
        <w:t xml:space="preserve">(Vaggione 1993, p. 101)</w:t>
      </w:r>
      <w:r>
        <w:t xml:space="preserve">.</w:t>
      </w:r>
    </w:p>
    <w:p>
      <w:pPr>
        <w:pStyle w:val="Heading5"/>
      </w:pPr>
      <w:bookmarkStart w:id="261" w:name="inoperative-style"/>
      <w:r>
        <w:t xml:space="preserve">Inoperative Style</w:t>
      </w:r>
      <w:bookmarkEnd w:id="261"/>
    </w:p>
    <w:p>
      <w:pPr>
        <w:pStyle w:val="FirstParagraph"/>
      </w:pPr>
      <w:r>
        <w:t xml:space="preserve">However, if style is understood as inoperative, that is, as the unfolding of the performative act of composition, which implies equally the</w:t>
      </w:r>
      <w:r>
        <w:t xml:space="preserve"> </w:t>
      </w:r>
      <w:r>
        <w:t xml:space="preserve">‘</w:t>
      </w:r>
      <w:r>
        <w:t xml:space="preserve">composability</w:t>
      </w:r>
      <w:r>
        <w:t xml:space="preserve">’</w:t>
      </w:r>
      <w:r>
        <w:t xml:space="preserve"> </w:t>
      </w:r>
      <w:r>
        <w:t xml:space="preserve">of all primitives, then, its contingency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Like the marks on our skin, like its wounds; like the cracks of an old house, like debris, wreckages, or any form of residual mark that is the evidence of an event; with forensic intimacy, the contingent style of a musical unwork reveals itself as communication. This is what connects aesthetic experience of style with forensic (musical) analysis as well as with an encounter with the spectral. Furthermore, this is how the spectral itself cannot be but a result of the inoperative, of that which escapes the limits of the work, and that which, by releasing itself from itself, returns to itself like the timbre of the voice. This voice of the unwork is what is</w:t>
      </w:r>
      <w:r>
        <w:t xml:space="preserve"> </w:t>
      </w:r>
      <w:r>
        <w:t xml:space="preserve">‘</w:t>
      </w:r>
      <w:r>
        <w:t xml:space="preserve">invisible</w:t>
      </w:r>
      <w:r>
        <w:t xml:space="preserve">’</w:t>
      </w:r>
      <w:r>
        <w:t xml:space="preserve"> </w:t>
      </w:r>
      <w:r>
        <w:t xml:space="preserve">to it, or better, it is what it can never listen, and in being hidden or silenced from itself is how it becomes available for listening, what begins listening at the first staging of the waves.</w:t>
      </w:r>
    </w:p>
    <w:p>
      <w:pPr>
        <w:pStyle w:val="Heading3"/>
      </w:pPr>
      <w:bookmarkStart w:id="262" w:name="authority"/>
      <w:r>
        <w:t xml:space="preserve">A Specter Of Authority</w:t>
      </w:r>
      <w:bookmarkEnd w:id="262"/>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exploded as network by the complexity of the system. However, authority is reified into the name because of the interplay among work, productivity, and product. In this section I attempt an approach to the name 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5.1.3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5"/>
      </w:pPr>
      <w:bookmarkStart w:id="263" w:name="the-name"/>
      <w:r>
        <w:t xml:space="preserve">The Name</w:t>
      </w:r>
      <w:bookmarkEnd w:id="263"/>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64"/>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5.2.2</w:t>
        </w:r>
      </w:hyperlink>
      <w:r>
        <w:t xml:space="preserve">), authority can be seen as the illusory resonance of an author. It is this illusion that I attempt to address here, this ghost which haunts music composition.</w:t>
      </w:r>
    </w:p>
    <w:p>
      <w:pPr>
        <w:pStyle w:val="Heading5"/>
      </w:pPr>
      <w:bookmarkStart w:id="265" w:name="dictionaries"/>
      <w:r>
        <w:t xml:space="preserve">Dictionaries</w:t>
      </w:r>
      <w:bookmarkEnd w:id="265"/>
    </w:p>
    <w:p>
      <w:pPr>
        <w:pStyle w:val="FirstParagraph"/>
      </w:pPr>
      <w:r>
        <w:t xml:space="preserve">Consider how style is used in some cases of</w:t>
      </w:r>
      <w:r>
        <w:t xml:space="preserve"> </w:t>
      </w:r>
      <w:r>
        <w:t xml:space="preserve">cac</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w:t>
      </w:r>
      <w:r>
        <w:t xml:space="preserve"> </w:t>
      </w:r>
      <w:r>
        <w:t xml:space="preserve">emi</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hirearchical,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5"/>
      </w:pPr>
      <w:bookmarkStart w:id="266" w:name="artistry"/>
      <w:r>
        <w:t xml:space="preserve">Artistry</w:t>
      </w:r>
      <w:bookmarkEnd w:id="266"/>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(or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67"/>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abundandy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it is a point of departure to think of a branch of Argentinian electroacoustic identity that developed in France.</w:t>
      </w:r>
      <w:r>
        <w:rPr>
          <w:rStyle w:val="FootnoteReference"/>
        </w:rPr>
        <w:footnoteReference w:id="268"/>
      </w:r>
    </w:p>
    <w:p>
      <w:pPr>
        <w:pStyle w:val="Heading5"/>
      </w:pPr>
      <w:bookmarkStart w:id="269" w:name="the-work-of-mice"/>
      <w:r>
        <w:t xml:space="preserve">The Work of Mice</w:t>
      </w:r>
      <w:bookmarkEnd w:id="269"/>
    </w:p>
    <w:p>
      <w:pPr>
        <w:pStyle w:val="FirstParagraph"/>
      </w:pPr>
      <w:r>
        <w:t xml:space="preserve">Instead of being on the rule-based programming of formalization processes alone (keyboard-based input), the artistry of the composer resides in the use of the mouse. The timeline (sequence interface) workflow depends on the pointer. If the presence of the hand of the composer is evidenced by the trajectory (the course of the cursor), it shapes together with the historial of clicks, drag-n-drop motions, etc., the spectral presence of the author. This mouse, as the point of the pointer, the writing device, the ’stilus’, becomes that with which we resonate as listeners. Therefore, we perceive the marks of an authorial skin in the database music of pointers. The Vaggionian singularity-based approach to authority embeds composers and computers in a complex system, allowing for the world of music with computers to be a hybrid one. This is how the specter of the author coexists with the specter of the database, and thus, how databasing and composition reveal themselves to be instances of a performativity that resonates aesthetically through the work of music.</w:t>
      </w:r>
    </w:p>
    <w:p>
      <w:pPr>
        <w:pStyle w:val="Heading2"/>
      </w:pPr>
      <w:bookmarkStart w:id="270" w:name="section:Rethinking_Composition"/>
      <w:r>
        <w:t xml:space="preserve">Rethinking Composition</w:t>
      </w:r>
      <w:bookmarkEnd w:id="270"/>
    </w:p>
    <w:p>
      <w:pPr>
        <w:pStyle w:val="Heading3"/>
      </w:pPr>
      <w:bookmarkStart w:id="271" w:name="performance"/>
      <w:r>
        <w:t xml:space="preserve">Interlude: Hyperbolic Reactions</w:t>
      </w:r>
      <w:bookmarkEnd w:id="271"/>
    </w:p>
    <w:p>
      <w:pPr>
        <w:pStyle w:val="Heading5"/>
      </w:pPr>
      <w:bookmarkStart w:id="272" w:name="imagining-composers"/>
      <w:r>
        <w:t xml:space="preserve">Imagining Composers</w:t>
      </w:r>
      <w:bookmarkEnd w:id="272"/>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anachronic and obtrusive; anachronic, since the romantic quality of the scene would point to the fact that personal desktop computers were not available until late in the 20th century; obtrusive, in the sense that it would attempt against this composer, by interfering with the</w:t>
      </w:r>
      <w:r>
        <w:t xml:space="preserve"> </w:t>
      </w:r>
      <w:r>
        <w:t xml:space="preserve">‘</w:t>
      </w:r>
      <w:r>
        <w:t xml:space="preserve">ethereal</w:t>
      </w:r>
      <w:r>
        <w:t xml:space="preserve">’</w:t>
      </w:r>
      <w:r>
        <w:t xml:space="preserve"> </w:t>
      </w:r>
      <w:r>
        <w:t xml:space="preserve">link between imagination and notation. This reification of the composer already precludes not only the digital, also the many technological devices that have entered music composition over the years, such as tape recorders, or electronics in general. These technological devices have redefined the composer in many ways.</w:t>
      </w:r>
    </w:p>
    <w:p>
      <w:pPr>
        <w:pStyle w:val="Heading5"/>
      </w:pPr>
      <w:bookmarkStart w:id="273" w:name="composers-and-technology"/>
      <w:r>
        <w:t xml:space="preserve">Composers and Technology</w:t>
      </w:r>
      <w:bookmarkEnd w:id="273"/>
    </w:p>
    <w:p>
      <w:pPr>
        <w:pStyle w:val="FirstParagraph"/>
      </w:pPr>
      <w:r>
        <w:t xml:space="preserve">Georgina Born’s ethnography of</w:t>
      </w:r>
      <w:r>
        <w:t xml:space="preserve"> </w:t>
      </w:r>
      <w:r>
        <w:t xml:space="preserve">ircam</w:t>
      </w:r>
      <w:r>
        <w:t xml:space="preserve"> </w:t>
      </w:r>
      <w:r>
        <w:t xml:space="preserve">(Born 1995)</w:t>
      </w:r>
      <w:r>
        <w:t xml:space="preserve">, 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describes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knowing what they were doing or even whether they were working at all</w:t>
      </w:r>
      <w:r>
        <w:t xml:space="preserve">”</w:t>
      </w:r>
      <w:r>
        <w:t xml:space="preserve"> </w:t>
      </w:r>
      <w:r>
        <w:t xml:space="preserve">(Born 1995, p. 272)</w:t>
      </w:r>
      <w:r>
        <w:t xml:space="preserve">.</w:t>
      </w:r>
    </w:p>
    <w:p>
      <w:pPr>
        <w:pStyle w:val="Heading5"/>
      </w:pPr>
      <w:bookmarkStart w:id="274" w:name="playing-with-shadows"/>
      <w:r>
        <w:t xml:space="preserve">Playing with Shadows</w:t>
      </w:r>
      <w:bookmarkEnd w:id="274"/>
    </w:p>
    <w:p>
      <w:pPr>
        <w:pStyle w:val="FirstParagraph"/>
      </w:pPr>
      <w:r>
        <w:t xml:space="preserve">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anyone but Boulez on her transcriptions might attest to this shadow. The music maker has been traditionally considered an outsider, marginalized by society, but simultaneously an integrator of society itself</w:t>
      </w:r>
      <w:r>
        <w:t xml:space="preserve"> </w:t>
      </w:r>
      <w:r>
        <w:t xml:space="preserve">(Attali 2009, p. 12)</w:t>
      </w:r>
      <w:r>
        <w:t xml:space="preserve">. On the other hand, this shadow might also be that of the computer itself, the structural presence of a fictional intelligence constructed upon first wave cybernetics. That is to say, precisely because the computer projects an insurmountable power that comes from its calculations, the human is inevitably bound to be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as well as the reversal of the human-computer subordination evidenced in the social strata of the institution. In any case,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5"/>
      </w:pPr>
      <w:bookmarkStart w:id="275" w:name="composers-without-computers"/>
      <w:r>
        <w:t xml:space="preserve">Composers Without Computers</w:t>
      </w:r>
      <w:bookmarkEnd w:id="275"/>
    </w:p>
    <w:p>
      <w:pPr>
        <w:pStyle w:val="FirstParagraph"/>
      </w:pPr>
      <w:r>
        <w:t xml:space="preserve">Composing with or without computers cannot be seen as poles on a continuum upon which the name of the composer writes and rewrites itself. Composing cannot be separated from computers, because the human cannot be separated from the non. At the risk of drawing a straw-man out of this computer-less composer, it is very unlikely in today’s world to imagine a composer that has not googled</w:t>
      </w:r>
      <w:r>
        <w:t xml:space="preserve"> </w:t>
      </w:r>
      <w:r>
        <w:t xml:space="preserve">‘</w:t>
      </w:r>
      <w:r>
        <w:t xml:space="preserve">clarinet multiphonics</w:t>
      </w:r>
      <w:r>
        <w:t xml:space="preserve">’</w:t>
      </w:r>
      <w:r>
        <w:t xml:space="preserve"> </w:t>
      </w:r>
      <w:r>
        <w:t xml:space="preserve">for more than a few YouTube tutorials on the topic. The same can be said for digitized music listening, which,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 composer, that would not need the human to write music.</w:t>
      </w:r>
    </w:p>
    <w:p>
      <w:pPr>
        <w:pStyle w:val="Heading5"/>
      </w:pPr>
      <w:bookmarkStart w:id="276" w:name="databasing-without-computers"/>
      <w:r>
        <w:t xml:space="preserve">Databasing Without Computers</w:t>
      </w:r>
      <w:bookmarkEnd w:id="276"/>
    </w:p>
    <w:p>
      <w:pPr>
        <w:pStyle w:val="FirstParagraph"/>
      </w:pPr>
      <w:r>
        <w:t xml:space="preserve">The same applies to databasing itself. Removing computers altogether from databasing takes us to the world of libraries, encyclopedias, collectors, gatherers. Most important, it takes us to the place databasing occupies within society: to museums, but also to the dynamics of civilization, to church, put simply: to institutionalization itself. That is to say, it relates performance with the archontic, with the oedipal drive to re-place (See</w:t>
      </w:r>
      <w:r>
        <w:t xml:space="preserve"> </w:t>
      </w:r>
      <w:hyperlink w:anchor="archontic">
        <w:r>
          <w:rPr>
            <w:rStyle w:val="Hyperlink"/>
          </w:rPr>
          <w:t xml:space="preserve">5.2.2</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4.1.7</w:t>
        </w:r>
      </w:hyperlink>
      <w:r>
        <w:t xml:space="preserve">), and the only possible storage medium would be his memory. Hopefully, the reader would consider this resort to hyperbolic fictions less as a means of justification of the hybrid condition of composition and databasing, and more as an absurd parenthesis that brings nothing of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of their validity, only in terms of their definition, which, for the purposes of this text, is understood as built upon organicist notions of the human: the human as the one, indivisible, complete whole. These notions are precisely those that help reify the image of the composer in its essentiality.</w:t>
      </w:r>
    </w:p>
    <w:p>
      <w:pPr>
        <w:pStyle w:val="Heading3"/>
      </w:pPr>
      <w:bookmarkStart w:id="277" w:name="organic"/>
      <w:r>
        <w:t xml:space="preserve">Working Composition</w:t>
      </w:r>
      <w:bookmarkEnd w:id="277"/>
    </w:p>
    <w:p>
      <w:pPr>
        <w:pStyle w:val="BlockText"/>
      </w:pPr>
      <w:r>
        <w:t xml:space="preserve">And the listening in question here is not that of a given listener, or of a category of listeners one has to take into account; it is rather structural listening in Adorno’s sense —or even, beyond Adorno, a</w:t>
      </w:r>
      <w:r>
        <w:t xml:space="preserve"> </w:t>
      </w:r>
      <w:r>
        <w:rPr>
          <w:i/>
        </w:rPr>
        <w:t xml:space="preserve">listening without listener in which the work listens to itself</w:t>
      </w:r>
      <w:r>
        <w:t xml:space="preserve">. …we hear an organicist concept of the work being strongly articulated [by Schoenberg] (where the work is a whole that doesn’t allow any cuts) and a regime of listening whose ultimate, ideal aim is the absorption or resorption of the listener in the work. A listener who is somewhat distracted, inattentive, who would skip over a few tracks daydreaming —</w:t>
      </w:r>
      <w:r>
        <w:rPr>
          <w:i/>
        </w:rPr>
        <w:t xml:space="preserve">such a listener could fall away like a dead limb</w:t>
      </w:r>
      <w:r>
        <w:t xml:space="preserve">.</w:t>
      </w:r>
      <w:r>
        <w:t xml:space="preserve"> </w:t>
      </w:r>
      <w:r>
        <w:rPr>
          <w:i/>
        </w:rPr>
        <w:t xml:space="preserve">Useless</w:t>
      </w:r>
      <w:r>
        <w:t xml:space="preserve">. Bringing nothing to the great corpus of the work. This organicism, in the radical (or structural) tendency that Schoenberg gives it, forms the cornerstone of the construction of a modernist regime of listening. [emphasis added]</w:t>
      </w:r>
      <w:r>
        <w:t xml:space="preserve"> </w:t>
      </w:r>
      <w:r>
        <w:t xml:space="preserve">(Szendy 2008, p. 127)</w:t>
      </w:r>
    </w:p>
    <w:p>
      <w:pPr>
        <w:pStyle w:val="FirstParagraph"/>
      </w:pPr>
      <w:r>
        <w:t xml:space="preserve">In Peter Szendy’s discussion on Schoenberg’s modern organicism and what he calls</w:t>
      </w:r>
      <w:r>
        <w:t xml:space="preserve"> </w:t>
      </w:r>
      <w:r>
        <w:t xml:space="preserve">“</w:t>
      </w:r>
      <w:r>
        <w:t xml:space="preserve">the modernist regime of listening</w:t>
      </w:r>
      <w:r>
        <w:t xml:space="preserve">”</w:t>
      </w:r>
      <w:r>
        <w:t xml:space="preserve"> </w:t>
      </w:r>
      <w:r>
        <w:t xml:space="preserve">(Szendy 2008)</w:t>
      </w:r>
      <w:r>
        <w:t xml:space="preserve">,</w:t>
      </w:r>
      <w:r>
        <w:t xml:space="preserve"> </w:t>
      </w:r>
      <w:r>
        <w:t xml:space="preserve">‘</w:t>
      </w:r>
      <w:r>
        <w:t xml:space="preserve">listening</w:t>
      </w:r>
      <w:r>
        <w:t xml:space="preserve">’</w:t>
      </w:r>
      <w:r>
        <w:t xml:space="preserve"> </w:t>
      </w:r>
      <w:r>
        <w:t xml:space="preserve">and</w:t>
      </w:r>
      <w:r>
        <w:t xml:space="preserve"> </w:t>
      </w:r>
      <w:r>
        <w:t xml:space="preserve">‘</w:t>
      </w:r>
      <w:r>
        <w:t xml:space="preserve">work</w:t>
      </w:r>
      <w:r>
        <w:t xml:space="preserve">’</w:t>
      </w:r>
      <w:r>
        <w:t xml:space="preserve"> </w:t>
      </w:r>
      <w:r>
        <w:t xml:space="preserve">collapse into each other, and the problem of the music work can be articulated. The image of the composer and the practice of composition can be understood differently, and by extension, databasing will be reconfigured as well, and the database as that which is a product (or work) of databasing will in turn be seen differently.</w:t>
      </w:r>
    </w:p>
    <w:p>
      <w:pPr>
        <w:pStyle w:val="Heading5"/>
      </w:pPr>
      <w:bookmarkStart w:id="278" w:name="the-work-problem"/>
      <w:r>
        <w:t xml:space="preserve">The Work Problem</w:t>
      </w:r>
      <w:bookmarkEnd w:id="278"/>
    </w:p>
    <w:p>
      <w:pPr>
        <w:pStyle w:val="FirstParagraph"/>
      </w:pPr>
      <w:r>
        <w:t xml:space="preserve">In what does this articulation of the problem of the music work consist of? First of all, why is it a problem? As Szendy suggests with the metaphor of the the self-amputation of the listener, we as the body of listeners (the listening body) would be severed. Put differently, listening itself would be delineated from outside itself. That is to say, with the presence of an object (music work) which, in its interest of perfecting, polishing, and thus giving itself a</w:t>
      </w:r>
      <w:r>
        <w:t xml:space="preserve"> </w:t>
      </w:r>
      <w:r>
        <w:t xml:space="preserve">‘</w:t>
      </w:r>
      <w:r>
        <w:t xml:space="preserve">finish,</w:t>
      </w:r>
      <w:r>
        <w:t xml:space="preserve">’</w:t>
      </w:r>
      <w:r>
        <w:t xml:space="preserve"> </w:t>
      </w:r>
      <w:r>
        <w:t xml:space="preserve">would shape and reshape listening until an ideal listening was achieved. The work would work out listening as work. This is the point: the moment the work of music begins to act as</w:t>
      </w:r>
      <w:r>
        <w:t xml:space="preserve"> </w:t>
      </w:r>
      <w:r>
        <w:t xml:space="preserve">‘</w:t>
      </w:r>
      <w:r>
        <w:t xml:space="preserve">work</w:t>
      </w:r>
      <w:r>
        <w:t xml:space="preserve">’</w:t>
      </w:r>
      <w:r>
        <w:t xml:space="preserve"> </w:t>
      </w:r>
      <w:r>
        <w:t xml:space="preserve">itself, its listening is worked out as well, not by the physicality of the waves in media, nor by the virtuality of perception, but by the concept of</w:t>
      </w:r>
      <w:r>
        <w:t xml:space="preserve"> </w:t>
      </w:r>
      <w:r>
        <w:t xml:space="preserve">‘</w:t>
      </w:r>
      <w:r>
        <w:t xml:space="preserve">work</w:t>
      </w:r>
      <w:r>
        <w:t xml:space="preserve">’</w:t>
      </w:r>
      <w:r>
        <w:t xml:space="preserve"> </w:t>
      </w:r>
      <w:r>
        <w:t xml:space="preserve">itself. The</w:t>
      </w:r>
      <w:r>
        <w:t xml:space="preserve"> </w:t>
      </w:r>
      <w:r>
        <w:t xml:space="preserve">“</w:t>
      </w:r>
      <w:r>
        <w:t xml:space="preserve">modern regime of listening</w:t>
      </w:r>
      <w:r>
        <w:t xml:space="preserve">”</w:t>
      </w:r>
      <w:r>
        <w:t xml:space="preserve"> </w:t>
      </w:r>
      <w:r>
        <w:t xml:space="preserve">played this through and through, shaping its listeners into an idealized listener. In this sense, this listener displays a measured listening, tailored, developed into different degrees of listening like a</w:t>
      </w:r>
      <w:r>
        <w:t xml:space="preserve"> </w:t>
      </w:r>
      <w:r>
        <w:rPr>
          <w:i/>
        </w:rPr>
        <w:t xml:space="preserve">gradus ad auscultare</w:t>
      </w:r>
      <w:r>
        <w:t xml:space="preserve">, one existing beyond any psychoacoustic measuring.</w:t>
      </w:r>
    </w:p>
    <w:p>
      <w:pPr>
        <w:pStyle w:val="Heading5"/>
      </w:pPr>
      <w:bookmarkStart w:id="279" w:name="working-rules"/>
      <w:r>
        <w:t xml:space="preserve">Working Rules</w:t>
      </w:r>
      <w:bookmarkEnd w:id="279"/>
    </w:p>
    <w:p>
      <w:pPr>
        <w:pStyle w:val="FirstParagraph"/>
      </w:pPr>
      <w:r>
        <w:t xml:space="preserve">From the shaping of listening by the work, and from the working activity that is performed by the work itself, the presence of the work as an object can be thus traced. In other words, the work of the music work can be considered as the work of an agent in the composition network: the music-work-as-object and the listening-as-object become nodes. In the modernist regime, the hierarchy priorizes the ruler (work-node), and all that can be identified with listening-node is arrived at by subordinating the relations to the work-node, and by restricting the directionality of this relation to being</w:t>
      </w:r>
      <w:r>
        <w:t xml:space="preserve"> </w:t>
      </w:r>
      <m:oMath>
        <m:r>
          <m:t>→</m:t>
        </m:r>
      </m:oMath>
      <w:r>
        <w:t xml:space="preserve"> </w:t>
      </w:r>
      <w:r>
        <w:t xml:space="preserve">. The only exception is, of course, the extremely cultivated case of composers, which revert the arrow. This exception, however, is not so much an exception, as it is the prescription of the rule and of ruling itself, since it is this reversal what enables the structure in the first place: the ruling of the exception. This is what occurs when the work begins to listen to itself. Which is radically different from the case of a</w:t>
      </w:r>
      <w:r>
        <w:t xml:space="preserve"> </w:t>
      </w:r>
      <w:r>
        <w:rPr>
          <w:i/>
        </w:rPr>
        <w:t xml:space="preserve">listening</w:t>
      </w:r>
      <w:r>
        <w:t xml:space="preserve"> </w:t>
      </w:r>
      <w:r>
        <w:t xml:space="preserve">that listens to itself. Jean-Luc Nancy, in the foreword to Szendy’s text, considers that</w:t>
      </w:r>
      <w:r>
        <w:t xml:space="preserve"> </w:t>
      </w:r>
      <w:r>
        <w:t xml:space="preserve">“</w:t>
      </w:r>
      <w:r>
        <w:t xml:space="preserve">music places us outside of ourselves,</w:t>
      </w:r>
      <w:r>
        <w:t xml:space="preserve">”</w:t>
      </w:r>
      <w:r>
        <w:t xml:space="preserve"> </w:t>
      </w:r>
      <w:r>
        <w:t xml:space="preserve">because</w:t>
      </w:r>
      <w:r>
        <w:t xml:space="preserve"> </w:t>
      </w:r>
      <w:r>
        <w:t xml:space="preserve">“</w:t>
      </w:r>
      <w:r>
        <w:t xml:space="preserve">…what listens to itself is not just what resounds in the self and what rebounds to the self: this same movement, and this very movement, places it outside of self and makes its rebound overflow.</w:t>
      </w:r>
      <w:r>
        <w:t xml:space="preserve"> </w:t>
      </w:r>
      <w:r>
        <w:t xml:space="preserve">(Szendy 2008 xii)</w:t>
      </w:r>
      <w:r>
        <w:t xml:space="preserve">”</w:t>
      </w:r>
      <w:r>
        <w:t xml:space="preserve"> </w:t>
      </w:r>
      <w:r>
        <w:t xml:space="preserve">As I have explained before using Nancy’s concept of the resonance of a return (See</w:t>
      </w:r>
      <w:r>
        <w:t xml:space="preserve"> </w:t>
      </w:r>
      <w:hyperlink w:anchor="resonance_of_a_return">
        <w:r>
          <w:rPr>
            <w:rStyle w:val="Hyperlink"/>
          </w:rPr>
          <w:t xml:space="preserve">5.1.2</w:t>
        </w:r>
      </w:hyperlink>
      <w:r>
        <w:t xml:space="preserve">), listening is an approach to the relationship in self. Implementing this relationship within the dynamics of listening and work, the previous graph can be revised as follows.</w:t>
      </w:r>
      <w:r>
        <w:t xml:space="preserve"> </w:t>
      </w:r>
      <w:r>
        <w:t xml:space="preserve">‘</w:t>
      </w:r>
      <w:r>
        <w:t xml:space="preserve">Work</w:t>
      </w:r>
      <w:r>
        <w:t xml:space="preserve">’</w:t>
      </w:r>
      <w:r>
        <w:t xml:space="preserve"> </w:t>
      </w:r>
      <w:r>
        <w:t xml:space="preserve">and</w:t>
      </w:r>
      <w:r>
        <w:t xml:space="preserve"> </w:t>
      </w:r>
      <w:r>
        <w:t xml:space="preserve">‘</w:t>
      </w:r>
      <w:r>
        <w:t xml:space="preserve">listening</w:t>
      </w:r>
      <w:r>
        <w:t xml:space="preserve">’</w:t>
      </w:r>
      <w:r>
        <w:t xml:space="preserve"> </w:t>
      </w:r>
      <w:r>
        <w:t xml:space="preserve">would exist as well in relation, with the difference now that it is a relation that exists in a permanent state of overload, redundancy, or excess:</w:t>
      </w:r>
      <w:r>
        <w:t xml:space="preserve"> </w:t>
      </w:r>
      <m:oMath>
        <m:r>
          <m:t>←</m:t>
        </m:r>
        <m:r>
          <m:t>→</m:t>
        </m:r>
      </m:oMath>
      <w:r>
        <w:t xml:space="preserve"> </w:t>
      </w:r>
      <w:r>
        <w:t xml:space="preserve">.</w:t>
      </w:r>
    </w:p>
    <w:p>
      <w:pPr>
        <w:pStyle w:val="Heading5"/>
      </w:pPr>
      <w:bookmarkStart w:id="280" w:name="a-space-of-difference"/>
      <w:r>
        <w:t xml:space="preserve">A Space of Difference</w:t>
      </w:r>
      <w:bookmarkEnd w:id="280"/>
    </w:p>
    <w:p>
      <w:pPr>
        <w:pStyle w:val="FirstParagraph"/>
      </w:pPr>
      <w:r>
        <w:t xml:space="preserve">In thinking listening this way, the concept of the work is relieved of its duties, discharged, fired, it becomes unemployed. The regime of listening becomes a listening space, but a space not of equality: a space of difference. Within this space where difference resonates, the music work no longer</w:t>
      </w:r>
      <w:r>
        <w:t xml:space="preserve"> </w:t>
      </w:r>
      <w:r>
        <w:t xml:space="preserve">‘</w:t>
      </w:r>
      <w:r>
        <w:t xml:space="preserve">works</w:t>
      </w:r>
      <w:r>
        <w:t xml:space="preserve">’</w:t>
      </w:r>
      <w:r>
        <w:t xml:space="preserve">, it</w:t>
      </w:r>
      <w:r>
        <w:t xml:space="preserve"> </w:t>
      </w:r>
      <w:r>
        <w:t xml:space="preserve">‘</w:t>
      </w:r>
      <w:r>
        <w:t xml:space="preserve">unworks</w:t>
      </w:r>
      <w:r>
        <w:t xml:space="preserve">’</w:t>
      </w:r>
      <w:r>
        <w:t xml:space="preserve"> </w:t>
      </w:r>
      <w:r>
        <w:t xml:space="preserve">(See</w:t>
      </w:r>
      <w:r>
        <w:t xml:space="preserve"> </w:t>
      </w:r>
      <w:hyperlink w:anchor="inoperativity">
        <w:r>
          <w:rPr>
            <w:rStyle w:val="Hyperlink"/>
          </w:rPr>
          <w:t xml:space="preserve">5.1.4</w:t>
        </w:r>
      </w:hyperlink>
      <w:r>
        <w:t xml:space="preserve">). That is to say, the relations between the different resonant points in the composition network expose themselves in a state of suspension, or interruption, creating space with the space of their own incompleteness by the fractality of their fracture. Thus, inoperativity is creation, it is techne, but it is a creativity that is necessarily indefinite, incomplete: the moment it becomes a thing it begins to work in the realm of the</w:t>
      </w:r>
      <w:r>
        <w:t xml:space="preserve"> </w:t>
      </w:r>
      <w:r>
        <w:t xml:space="preserve">‘</w:t>
      </w:r>
      <w:r>
        <w:t xml:space="preserve">archi</w:t>
      </w:r>
      <w:r>
        <w:t xml:space="preserve">’</w:t>
      </w:r>
      <w:r>
        <w:t xml:space="preserve">; the moment it remains suspended upon its limit, it unworks in negation of the</w:t>
      </w:r>
      <w:r>
        <w:t xml:space="preserve"> </w:t>
      </w:r>
      <w:r>
        <w:t xml:space="preserve">‘</w:t>
      </w:r>
      <w:r>
        <w:t xml:space="preserve">archi</w:t>
      </w:r>
      <w:r>
        <w:t xml:space="preserve">’</w:t>
      </w:r>
      <w:r>
        <w:t xml:space="preserve">. One is tempted to place this inoperativity in utopia, in the very instance of the non-place itself, but then one would forget what is already</w:t>
      </w:r>
      <w:r>
        <w:t xml:space="preserve"> </w:t>
      </w:r>
      <w:r>
        <w:t xml:space="preserve">‘</w:t>
      </w:r>
      <w:r>
        <w:t xml:space="preserve">there</w:t>
      </w:r>
      <w:r>
        <w:t xml:space="preserve">’</w:t>
      </w:r>
      <w:r>
        <w:t xml:space="preserve">, the fluid medium, as well as gravity itself, which was until recent studies, thought of as unrelated to sound.</w:t>
      </w:r>
      <w:r>
        <w:rPr>
          <w:rStyle w:val="FootnoteReference"/>
        </w:rPr>
        <w:footnoteReference w:id="281"/>
      </w:r>
      <w:r>
        <w:t xml:space="preserve"> </w:t>
      </w:r>
      <w:r>
        <w:t xml:space="preserve">One would be tempted, equally, to place this inoperativity outside temporality itself, but then one would forget forgetfulness itself. Inoperativity is within the resonant space of an always.</w:t>
      </w:r>
    </w:p>
    <w:p>
      <w:pPr>
        <w:pStyle w:val="Heading5"/>
      </w:pPr>
      <w:bookmarkStart w:id="282" w:name="a-severed-work"/>
      <w:r>
        <w:t xml:space="preserve">A Severed Work</w:t>
      </w:r>
      <w:bookmarkEnd w:id="282"/>
    </w:p>
    <w:p>
      <w:pPr>
        <w:pStyle w:val="FirstParagraph"/>
      </w:pPr>
      <w:r>
        <w:t xml:space="preserve">What constitutes, then, that moment when the music work becomes a work? How is it possible for the work to become a thing, for the object to become the ruler, for the regime to be built on the first place, if the resonant space is already an inoperative space, interrupted and suspended? I would like to revert Szendy’s metaphor of the amputated limb, and propose that it is the music work itself what is amputated, what falls off, the moment that it becomes a finished thing. Thus, just like the modern inattentive listener falls in the uselessness of its excess, sound</w:t>
      </w:r>
      <w:r>
        <w:t xml:space="preserve"> </w:t>
      </w:r>
      <w:r>
        <w:t xml:space="preserve">‘</w:t>
      </w:r>
      <w:r>
        <w:t xml:space="preserve">outside</w:t>
      </w:r>
      <w:r>
        <w:t xml:space="preserve">’</w:t>
      </w:r>
      <w:r>
        <w:t xml:space="preserve"> </w:t>
      </w:r>
      <w:r>
        <w:t xml:space="preserve">the work is cut from the work, fading out in the uselessness of its excess. Like the human in Kittler’s digitally converged apocalypse, redundancy is out of the question, it is left at the gates of the majestic concert hall, with the rest of the (useless) humans: it is literally and conceptually placed outside architecture itself. The created work, in its essential nature of being a cohesive, coherent whole, separates itself from the world of mechanical waves, and forms the one and only work: the piece of music. A</w:t>
      </w:r>
      <w:r>
        <w:t xml:space="preserve"> </w:t>
      </w:r>
      <w:r>
        <w:t xml:space="preserve">‘</w:t>
      </w:r>
      <w:r>
        <w:t xml:space="preserve">piece</w:t>
      </w:r>
      <w:r>
        <w:t xml:space="preserve">’</w:t>
      </w:r>
      <w:r>
        <w:t xml:space="preserve"> </w:t>
      </w:r>
      <w:r>
        <w:t xml:space="preserve">not because it is in itself incomplete, but because it is the piece of the whole of the work of the composer.</w:t>
      </w:r>
    </w:p>
    <w:p>
      <w:pPr>
        <w:pStyle w:val="Heading5"/>
      </w:pPr>
      <w:bookmarkStart w:id="283" w:name="absorbption"/>
      <w:r>
        <w:t xml:space="preserve">Absorbption</w:t>
      </w:r>
      <w:bookmarkEnd w:id="283"/>
    </w:p>
    <w:p>
      <w:pPr>
        <w:pStyle w:val="FirstParagraph"/>
      </w:pPr>
      <w:r>
        <w:t xml:space="preserve">I would like to add to this worldview another concept brought by Szendy, that of</w:t>
      </w:r>
      <w:r>
        <w:t xml:space="preserve"> </w:t>
      </w:r>
      <w:r>
        <w:t xml:space="preserve">‘</w:t>
      </w:r>
      <w:r>
        <w:t xml:space="preserve">absorption.</w:t>
      </w:r>
      <w:r>
        <w:t xml:space="preserve">’</w:t>
      </w:r>
      <w:r>
        <w:t xml:space="preserve"> </w:t>
      </w:r>
      <w:r>
        <w:t xml:space="preserve">He claims that it is the absorption of the listener in the work what is the ultimate aim of this modern regime of listening. Not surprisingly,</w:t>
      </w:r>
      <w:r>
        <w:t xml:space="preserve"> </w:t>
      </w:r>
      <w:r>
        <w:t xml:space="preserve">‘</w:t>
      </w:r>
      <w:r>
        <w:t xml:space="preserve">absorption</w:t>
      </w:r>
      <w:r>
        <w:t xml:space="preserve">’</w:t>
      </w:r>
      <w:r>
        <w:t xml:space="preserve"> </w:t>
      </w:r>
      <w:r>
        <w:t xml:space="preserve">is the key concept in Iannis Xenakis’ narrative of the fours stages of degradation of Western Music’s</w:t>
      </w:r>
      <w:r>
        <w:t xml:space="preserve"> </w:t>
      </w:r>
      <w:r>
        <w:t xml:space="preserve">“</w:t>
      </w:r>
      <w:r>
        <w:t xml:space="preserve">outside-time structures,</w:t>
      </w:r>
      <w:r>
        <w:t xml:space="preserve">”</w:t>
      </w:r>
      <w:r>
        <w:t xml:space="preserve"> </w:t>
      </w:r>
      <w:r>
        <w:t xml:space="preserve">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Further,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Therefore, considering the organicity of the work in Xenakis’s overly modern gesture towards unity, metastructure, and mechanization,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how can these notions of inoperativity be found together within architecture? How would this archi-techne be designed? Would it still be the product of the</w:t>
      </w:r>
      <w:r>
        <w:t xml:space="preserve"> </w:t>
      </w:r>
      <w:r>
        <w:t xml:space="preserve">‘</w:t>
      </w:r>
      <w:r>
        <w:t xml:space="preserve">archi</w:t>
      </w:r>
      <w:r>
        <w:t xml:space="preserve">’</w:t>
      </w:r>
      <w:r>
        <w:t xml:space="preserve">? Where is the poison that Xenakis the architect and composer, was identifying with</w:t>
      </w:r>
      <w:r>
        <w:t xml:space="preserve"> </w:t>
      </w:r>
      <w:r>
        <w:t xml:space="preserve">‘</w:t>
      </w:r>
      <w:r>
        <w:t xml:space="preserve">industrialized</w:t>
      </w:r>
      <w:r>
        <w:t xml:space="preserve">’</w:t>
      </w:r>
      <w:r>
        <w:t xml:space="preserve"> </w:t>
      </w:r>
      <w:r>
        <w:t xml:space="preserve">music? Is it not a product of modernity itself, as the working that listened to itself to the point of working out a Xenakis-listener-node to the extreme?</w:t>
      </w:r>
    </w:p>
    <w:p>
      <w:pPr>
        <w:pStyle w:val="Heading3"/>
      </w:pPr>
      <w:bookmarkStart w:id="284" w:name="practice"/>
      <w:r>
        <w:t xml:space="preserve">The Composer As Navigator</w:t>
      </w:r>
      <w:bookmarkEnd w:id="284"/>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5"/>
      </w:pPr>
      <w:bookmarkStart w:id="285" w:name="querying-the-sieves"/>
      <w:r>
        <w:t xml:space="preserve">Querying the Sieves</w:t>
      </w:r>
      <w:bookmarkEnd w:id="285"/>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is, not surprisingly, the computer itself, and not just any computer, the</w:t>
      </w:r>
      <w:r>
        <w:t xml:space="preserve"> </w:t>
      </w:r>
      <w:r>
        <w:t xml:space="preserve">ibm-7090</w:t>
      </w:r>
      <w:r>
        <w:t xml:space="preserve">.</w:t>
      </w:r>
      <w:r>
        <w:rPr>
          <w:rStyle w:val="FootnoteReference"/>
        </w:rPr>
        <w:footnoteReference w:id="286"/>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89"/>
      </w:r>
      <w:r>
        <w:t xml:space="preserve"> </w:t>
      </w:r>
      <w:r>
        <w:t xml:space="preserve">Xenakis’s work on sieves came a few years after his experiments on the</w:t>
      </w:r>
      <w:r>
        <w:t xml:space="preserve"> </w:t>
      </w:r>
      <w:r>
        <w:t xml:space="preserve">ibm-7090</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90"/>
      </w:r>
    </w:p>
    <w:p>
      <w:pPr>
        <w:pStyle w:val="Heading5"/>
      </w:pPr>
      <w:bookmarkStart w:id="291" w:name="sound-synthesis-parenthesis"/>
      <w:r>
        <w:t xml:space="preserve">Sound Synthesis Parenthesis</w:t>
      </w:r>
      <w:bookmarkEnd w:id="291"/>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292"/>
      </w:r>
      <w:r>
        <w:t xml:space="preserve"> </w:t>
      </w:r>
      <w:r>
        <w:t xml:space="preserve">I will close this parenthesis, not without returning to this discussion in the following section (See</w:t>
      </w:r>
      <w:r>
        <w:t xml:space="preserve"> </w:t>
      </w:r>
      <w:hyperlink w:anchor="improv">
        <w:r>
          <w:rPr>
            <w:rStyle w:val="Hyperlink"/>
          </w:rPr>
          <w:t xml:space="preserve">5.4.4</w:t>
        </w:r>
      </w:hyperlink>
      <w:r>
        <w:t xml:space="preserve">))</w:t>
      </w:r>
    </w:p>
    <w:p>
      <w:pPr>
        <w:pStyle w:val="Heading5"/>
      </w:pPr>
      <w:bookmarkStart w:id="294" w:name="algebraic-abstractions-for-freedom"/>
      <w:r>
        <w:t xml:space="preserve">Algebraic Abstractions for Freedom</w:t>
      </w:r>
      <w:bookmarkEnd w:id="294"/>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While sieve theory was aimed at providing a plethora of computable sets (or relations) of pitches, according to different temperings of the smallest displacement unit and the selected value for the modulo operator, Codd’s relational algebra was meant the internal structure of a query language for selecting elements based on their relations. Both of these can be considered algebraic abstractions of a selection process. In the case of Xenakis, the abstraction was one held outside-time. This meant that the composer could make a snapshot, or a tomography of the pitch space in order to analyze it, extrapolating structural relations. In Codd’s case, the abstraction was spatial: the query language would be separated from the database itself, allowing a distance between a</w:t>
      </w:r>
      <w:r>
        <w:t xml:space="preserve"> </w:t>
      </w:r>
      <w:r>
        <w:t xml:space="preserve">‘</w:t>
      </w:r>
      <w:r>
        <w:t xml:space="preserve">backend</w:t>
      </w:r>
      <w:r>
        <w:t xml:space="preserve">’</w:t>
      </w:r>
      <w:r>
        <w:t xml:space="preserve"> </w:t>
      </w:r>
      <w:r>
        <w:t xml:space="preserve">and a</w:t>
      </w:r>
      <w:r>
        <w:t xml:space="preserve"> </w:t>
      </w:r>
      <w:r>
        <w:t xml:space="preserve">‘</w:t>
      </w:r>
      <w:r>
        <w:t xml:space="preserve">frontend,</w:t>
      </w:r>
      <w:r>
        <w:t xml:space="preserve">’</w:t>
      </w:r>
      <w:r>
        <w:t xml:space="preserve"> </w:t>
      </w:r>
      <w:r>
        <w:t xml:space="preserve">allowing databasers to perform queries without worrying about internal data structures, memory allocation, since these operations would occur in the background. Both methods came as an extension of freedom on the human operator: by black-boxing hardware-specific programming, the human operator could devise any kind of algebraic queries, thus operating at a higher level of abstraction, enabling a less problematic kind of envisioning. Conversely, Xenakis writes:</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5"/>
      </w:pPr>
      <w:bookmarkStart w:id="295" w:name="a-cosmic-vessel-and-an-armchair"/>
      <w:r>
        <w:t xml:space="preserve">A Cosmic Vessel and an Armchair</w:t>
      </w:r>
      <w:bookmarkEnd w:id="295"/>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for the</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296"/>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itself, which the overall circuitry would itself complicate; criticism on account of this shortcoming of the circuit would thus be rendered anachronic, but recalling these limitations places composition and databasing in perspective.</w:t>
      </w:r>
    </w:p>
    <w:p>
      <w:pPr>
        <w:pStyle w:val="Heading3"/>
      </w:pPr>
      <w:bookmarkStart w:id="297" w:name="improv"/>
      <w:r>
        <w:t xml:space="preserve">The Database As Performer</w:t>
      </w:r>
      <w:bookmarkEnd w:id="297"/>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w:t>
      </w:r>
      <w:r>
        <w:t xml:space="preserve"> </w:t>
      </w:r>
      <w:r>
        <w:t xml:space="preserve">“</w:t>
      </w:r>
      <w:r>
        <w:t xml:space="preserve">a 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networked relation</w:t>
      </w:r>
      <w:r>
        <w:t xml:space="preserve"> </w:t>
      </w:r>
      <w:r>
        <w:rPr>
          <w:i/>
        </w:rPr>
        <w:t xml:space="preserve">with</w:t>
      </w:r>
      <w:r>
        <w:t xml:space="preserve"> </w:t>
      </w:r>
      <w:r>
        <w:t xml:space="preserve">the computer. That is to say, Xenakis’ metaphor of the computer as pilot, would be turned upside down, altogether reconfiguring the navigational metaphor: the ship begins to navigate itself.</w:t>
      </w:r>
    </w:p>
    <w:p>
      <w:pPr>
        <w:pStyle w:val="Heading5"/>
      </w:pPr>
      <w:bookmarkStart w:id="298" w:name="the-computer-as-a-musical-instrument"/>
      <w:r>
        <w:t xml:space="preserve">The Computer as a Musical Instrument</w:t>
      </w:r>
      <w:bookmarkEnd w:id="298"/>
    </w:p>
    <w:p>
      <w:pPr>
        <w:pStyle w:val="FirstParagraph"/>
      </w:pPr>
      <w:r>
        <w:t xml:space="preserve">It is now pertintent to bring back Max Mathews</w:t>
      </w:r>
      <w:r>
        <w:t xml:space="preserve"> </w:t>
      </w:r>
      <w:r>
        <w:t xml:space="preserve">“</w:t>
      </w:r>
      <w:r>
        <w:t xml:space="preserve">computer as musical instrument</w:t>
      </w:r>
      <w:r>
        <w:t xml:space="preserve">”</w:t>
      </w:r>
      <w:r>
        <w:t xml:space="preserve"> </w:t>
      </w:r>
      <w:r>
        <w:t xml:space="preserve">(Mathews 1963)</w:t>
      </w:r>
      <w:r>
        <w:t xml:space="preserve">. The architecture of</w:t>
      </w:r>
      <w:r>
        <w:t xml:space="preserve"> </w:t>
      </w:r>
      <w:r>
        <w:t xml:space="preserve">music-v</w:t>
      </w:r>
      <w:r>
        <w:t xml:space="preserve"> </w:t>
      </w:r>
      <w:r>
        <w:t xml:space="preserve">is buit on concept of the computer as an instrument that the composer performs by providing it a score. The three stages of data flow (reading, sorting, and executing) are modeled from three music concepts: score, metronome, and instrument. It is significant that two (human) elements of (european) music tradition (composer and performer) are missing from this triad, as well as the programmer. (A fourth missing element, the improviser, will appear further down this text.) On the one hand, the hybrid musical instrument that the computer represented already collapsed three concepts into one, resulting in a hybrid score/metronome/instrument. On the other hand, it can be argued that by this ellision, the three missing human terms have collapsed into one another, forming a new hybrid definition of composer, performer, and programmer. In any case, this hybridity became evident in the music work itself, as can be read from a rethorics of control in favor of the composer:</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5"/>
      </w:pPr>
      <w:bookmarkStart w:id="299" w:name="a-minor-liberty"/>
      <w:r>
        <w:t xml:space="preserve">A Minor Liberty</w:t>
      </w:r>
      <w:bookmarkEnd w:id="299"/>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generator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reassurment for the reader that computers would not take control over music, let alone over the world. As I see it, arguing for control while granting some liberty relates to a negotiation between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5"/>
      </w:pPr>
      <w:bookmarkStart w:id="300" w:name="the-computer-as-a-player"/>
      <w:r>
        <w:t xml:space="preserve">The Computer as a Player</w:t>
      </w:r>
      <w:bookmarkEnd w:id="300"/>
    </w:p>
    <w:p>
      <w:pPr>
        <w:pStyle w:val="FirstParagraph"/>
      </w:pPr>
      <w:r>
        <w:t xml:space="preserve">Rowe (1992)</w:t>
      </w:r>
      <w:r>
        <w:t xml:space="preserve"> </w:t>
      </w:r>
      <w:r>
        <w:t xml:space="preserve">(Rowe 1992)</w:t>
      </w:r>
      <w:r>
        <w:t xml:space="preserve"> </w:t>
      </w:r>
      <w:r>
        <w:t xml:space="preserve">identified two paradimgs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a response (sonic output) is elaborated.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instrument itself contains embedded processes that grant some level of independence. This means that the composer intentionally relinquishes control of the artwork’s structure to the system itself.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What this amount to is a distributed authority of the work among the elements of the system. For example, in</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as personal computers became affordable the type of negotiations no longer depeded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5"/>
      </w:pPr>
      <w:bookmarkStart w:id="301" w:name="programming-decisions"/>
      <w:r>
        <w:t xml:space="preserve">Programming Decisions</w:t>
      </w:r>
      <w:bookmarkEnd w:id="301"/>
    </w:p>
    <w:p>
      <w:pPr>
        <w:pStyle w:val="FirstParagraph"/>
      </w:pPr>
      <w:r>
        <w:t xml:space="preserve">However, in order to implement concepts coming from artificial intelligence such as machine listening and learning, the complexity of the program itself increases exponentially. In light of these difficulties arising from programming,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Furthermore, the player paradigm and its subsequence reconfiguration of authority is possible by means of an implemented database: the computer stores features during the course of the performance, which are then averaged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4.3.3.1.4</w:t>
        </w:r>
      </w:hyperlink>
      <w:r>
        <w:t xml:space="preserve">).</w:t>
      </w:r>
      <w:r>
        <w:t xml:space="preserve"> </w:t>
      </w:r>
      <w:r>
        <w:rPr>
          <w:i/>
        </w:rPr>
        <w:t xml:space="preserve">Voyager</w:t>
      </w:r>
      <w:r>
        <w:t xml:space="preserve"> </w:t>
      </w:r>
      <w:r>
        <w:t xml:space="preserve">indeed brings interactivity between human and nonhumans to another stage, and because of it, music composition can be seen differently. However, the intricacies of the programming decisions are still in play, specifically in the modelling of musical concepts within data structures.</w:t>
      </w:r>
    </w:p>
    <w:p>
      <w:pPr>
        <w:pStyle w:val="Heading5"/>
      </w:pPr>
      <w:bookmarkStart w:id="302" w:name="anachronic-composers"/>
      <w:r>
        <w:t xml:space="preserve">Anachronic Composers</w:t>
      </w:r>
      <w:bookmarkEnd w:id="302"/>
    </w:p>
    <w:p>
      <w:pPr>
        <w:pStyle w:val="FirstParagraph"/>
      </w:pPr>
      <w:r>
        <w:t xml:space="preserve">This notion of interactivity differs greatly from Xenakis’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5"/>
      </w:pPr>
      <w:bookmarkStart w:id="303" w:name="section"/>
      <w:bookmarkEnd w:id="303"/>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considered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5.3.3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itself, and to the unfortunate naming of</w:t>
      </w:r>
      <w:r>
        <w:t xml:space="preserve"> </w:t>
      </w:r>
      <w:r>
        <w:t xml:space="preserve">‘</w:t>
      </w:r>
      <w:r>
        <w:t xml:space="preserve">bang</w:t>
      </w:r>
      <w:r>
        <w:t xml:space="preserve">’</w:t>
      </w:r>
      <w:r>
        <w:t xml:space="preserve"> </w:t>
      </w:r>
      <w:r>
        <w:t xml:space="preserve">method of objects, a method which (generally) triggers the object’s core routine.</w:t>
      </w:r>
      <w:r>
        <w:rPr>
          <w:rStyle w:val="FootnoteReference"/>
        </w:rPr>
        <w:footnoteReference w:id="304"/>
      </w:r>
      <w:r>
        <w:t xml:space="preserve"> </w:t>
      </w:r>
      <w:r>
        <w:t xml:space="preserve">In order to address this shortcoming of interactivity, Lewis relates it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itself is at stake by the presence of a simple model of interaction. For Lewis, the crucial aspect of this model is the empowering of the image of the composer.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that would not allow for the nonhuman to become an operational agent beyond the instructions for which it was designed. In this sense, the simple-level automaton is a symbolic restrain representing the classical concept of the human itself, which allows a non-threatening relation between man and machine that can be considered functional, productive, and operative.</w:t>
      </w:r>
    </w:p>
    <w:p>
      <w:pPr>
        <w:pStyle w:val="Heading5"/>
      </w:pPr>
      <w:bookmarkStart w:id="305" w:name="nonhuman-composers"/>
      <w:r>
        <w:t xml:space="preserve">Nonhuman composers</w:t>
      </w:r>
      <w:bookmarkEnd w:id="305"/>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In Lewis’ narrative, this entails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itself, 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hybridity. A hybridity that cannot be considered</w:t>
      </w:r>
      <w:r>
        <w:t xml:space="preserve"> </w:t>
      </w:r>
      <w:r>
        <w:t xml:space="preserve">‘</w:t>
      </w:r>
      <w:r>
        <w:t xml:space="preserve">on its own</w:t>
      </w:r>
      <w:r>
        <w:t xml:space="preserve">’</w:t>
      </w:r>
      <w:r>
        <w:t xml:space="preserve">, since it escapes any idea of ownness (or oneness). Therefore, a hybridity that is expanded in networked resonance. It is in this sense that Lewis’ proposal is geared towards an interactive (computer) music</w:t>
      </w:r>
      <w:r>
        <w:t xml:space="preserve"> </w:t>
      </w:r>
      <w:r>
        <w:rPr>
          <w:i/>
        </w:rPr>
        <w:t xml:space="preserve">not entirely</w:t>
      </w:r>
      <w:r>
        <w:t xml:space="preserve"> </w:t>
      </w:r>
      <w:r>
        <w:t xml:space="preserve">driven by input.</w:t>
      </w:r>
    </w:p>
    <w:p>
      <w:pPr>
        <w:pStyle w:val="Heading5"/>
      </w:pPr>
      <w:bookmarkStart w:id="306" w:name="fractured-works"/>
      <w:r>
        <w:t xml:space="preserve">Fractured Works</w:t>
      </w:r>
      <w:bookmarkEnd w:id="306"/>
    </w:p>
    <w:p>
      <w:pPr>
        <w:pStyle w:val="BlockText"/>
      </w:pPr>
      <w:r>
        <w:t xml:space="preserve">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what begins to question the basis upon which our general concept of the human is built, and by extension, the agency of everything that falls outside of its definition. It is the beginning of a breakage, a crack on the foundation of Xenakis’ (old) armchair, from which the state of suspension of the concept of the music work can be understood:</w:t>
      </w:r>
    </w:p>
    <w:p>
      <w:pPr>
        <w:pStyle w:val="BlockText"/>
      </w:pPr>
      <w:r>
        <w:t xml:space="preserve">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 (Foster 1983). Rather, 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Furthermore, what this fracture reveals is hybrid nature of the notion of what is real and what is virtual. Understood traditionally, or better, understood under the stipulations of the first wave cyberneticians, the composer, being the real factor in the constitution of the (modern) image of the composer, is faced with the virtuality of the computer. Upon this encounter, the virtual comes as a form of threat to replace that which is real. In this sense, this is how I would like to approach Lewis’ consideration of</w:t>
      </w:r>
      <w:r>
        <w:t xml:space="preserve"> </w:t>
      </w:r>
      <w:r>
        <w:rPr>
          <w:i/>
        </w:rPr>
        <w:t xml:space="preserve">Voyager</w:t>
      </w:r>
      <w:r>
        <w:t xml:space="preserve"> </w:t>
      </w:r>
      <w:r>
        <w:t xml:space="preserve">as</w:t>
      </w:r>
      <w:r>
        <w:t xml:space="preserve"> </w:t>
      </w:r>
      <w:r>
        <w:t xml:space="preserve">“</w:t>
      </w:r>
      <w:r>
        <w:t xml:space="preserve">not really a work.</w:t>
      </w:r>
      <w:r>
        <w:t xml:space="preserve">”</w:t>
      </w:r>
      <w:r>
        <w:t xml:space="preserve"> </w:t>
      </w:r>
      <w:r>
        <w:t xml:space="preserve">I hope the reader would forgive me for having borrowed these adjectives out of context —</w:t>
      </w:r>
      <w:r>
        <w:t xml:space="preserve">‘</w:t>
      </w:r>
      <w:r>
        <w:t xml:space="preserve">entirely</w:t>
      </w:r>
      <w:r>
        <w:t xml:space="preserve">’</w:t>
      </w:r>
      <w:r>
        <w:t xml:space="preserve"> </w:t>
      </w:r>
      <w:r>
        <w:t xml:space="preserve">and</w:t>
      </w:r>
      <w:r>
        <w:t xml:space="preserve"> </w:t>
      </w:r>
      <w:r>
        <w:t xml:space="preserve">‘</w:t>
      </w:r>
      <w:r>
        <w:t xml:space="preserve">really</w:t>
      </w:r>
      <w:r>
        <w:t xml:space="preserve">’</w:t>
      </w:r>
      <w:r>
        <w:t xml:space="preserve">— so as to allow my argument to echo with Lewis’ for a while. On the one hand, as Lewis claims, the goal of the interactivity between the composer and the computer is to allow the real and the virtual,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 Seen in this light, virtuality should enhance, not interfere, with communication between us</w:t>
      </w:r>
      <w:r>
        <w:t xml:space="preserve">”</w:t>
      </w:r>
      <w:r>
        <w:t xml:space="preserve"> </w:t>
      </w:r>
      <w:r>
        <w:t xml:space="preserve">(Lewis 1999, p. 110)</w:t>
      </w:r>
      <w:r>
        <w:t xml:space="preserve">. Therefore, considering the role of virtuality after new media integrated theories of embodiment, the computer reveals to the human —composer, improviser, performer— the very condition of its own virtuality, that is, virtuality itself within the human.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it can’t be ’really’ a work, because it is virtuality itself resounding back. Another way to approach this is the fact that the computer can be said to be</w:t>
      </w:r>
      <w:r>
        <w:t xml:space="preserve"> </w:t>
      </w:r>
      <w:r>
        <w:t xml:space="preserve">‘</w:t>
      </w:r>
      <w:r>
        <w:t xml:space="preserve">listening</w:t>
      </w:r>
      <w:r>
        <w:t xml:space="preserve">’</w:t>
      </w:r>
      <w:r>
        <w:t xml:space="preserve"> </w:t>
      </w:r>
      <w:r>
        <w:t xml:space="preserve">to the performer, given that its real-time analysis is content-based, using techniques that have been applied to music information retrieval over the years (See</w:t>
      </w:r>
      <w:r>
        <w:t xml:space="preserve"> </w:t>
      </w:r>
      <w:hyperlink w:anchor="mir">
        <w:r>
          <w:rPr>
            <w:rStyle w:val="Hyperlink"/>
          </w:rPr>
          <w:t xml:space="preserve">4.3.1</w:t>
        </w:r>
      </w:hyperlink>
      <w:r>
        <w:t xml:space="preserve">).</w:t>
      </w:r>
    </w:p>
    <w:p>
      <w:pPr>
        <w:pStyle w:val="Heading5"/>
      </w:pPr>
      <w:bookmarkStart w:id="307" w:name="databasing-vessel"/>
      <w:r>
        <w:t xml:space="preserve">Databasing Vessel</w:t>
      </w:r>
      <w:bookmarkEnd w:id="307"/>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resonant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itself. This database of actions, however, is the sonic trace of the performance itself,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one that puts into question —though, to a certain extent— the operativity of the music work itself. To a certain extent, because the notion of productivity and cohesion are still present within Lewis’ music and texts, and also, to the (paradoxical) extent that it is still a</w:t>
      </w:r>
      <w:r>
        <w:t xml:space="preserve"> </w:t>
      </w:r>
      <w:r>
        <w:t xml:space="preserve">‘</w:t>
      </w:r>
      <w:r>
        <w:t xml:space="preserve">work,</w:t>
      </w:r>
      <w:r>
        <w:t xml:space="preserve">’</w:t>
      </w:r>
      <w:r>
        <w:t xml:space="preserve"> </w:t>
      </w:r>
      <w:r>
        <w:t xml:space="preserve">a destiny that somehow manages to persist within the practice of composition. Nonetheless, and without a doubt, Lewis’ claim for the</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08" w:name="music"/>
      <w:r>
        <w:t xml:space="preserve">The Severed Object Of Music</w:t>
      </w:r>
      <w:bookmarkEnd w:id="308"/>
    </w:p>
    <w:p>
      <w:pPr>
        <w:pStyle w:val="BlockText"/>
      </w:pPr>
      <w:r>
        <w:t xml:space="preserve">[The] Heideggerian ‘work of art’ is able to present a unified picture that may be used for political purposes [it] is only what it is in the world that it opens…Nancy is seeking a ‘workless’ or ‘unworking’ work,</w:t>
      </w:r>
      <w:r>
        <w:t xml:space="preserve"> </w:t>
      </w:r>
      <w:r>
        <w:rPr>
          <w:i/>
        </w:rPr>
        <w:t xml:space="preserve">a work that refuses to create itself as a total work</w:t>
      </w:r>
      <w:r>
        <w:t xml:space="preserve">. Hence, Nancy proposes an artwork that would offer itself as a permanently open whole, the concept of art remaining undecided and lacking anything that might unify it. [emphasis added]</w:t>
      </w:r>
      <w:r>
        <w:t xml:space="preserve"> </w:t>
      </w:r>
      <w:r>
        <w:t xml:space="preserve">(Gratton &amp; Morin 2015)</w:t>
      </w:r>
    </w:p>
    <w:p>
      <w:pPr>
        <w:pStyle w:val="Heading5"/>
      </w:pPr>
      <w:bookmarkStart w:id="309" w:name="an-incomplete-object"/>
      <w:r>
        <w:t xml:space="preserve">An Incomplete Object</w:t>
      </w:r>
      <w:bookmarkEnd w:id="309"/>
    </w:p>
    <w:p>
      <w:pPr>
        <w:pStyle w:val="FirstParagraph"/>
      </w:pPr>
      <w:r>
        <w:t xml:space="preserve">I would like to refer once again to Jean-Luc Nancy’s concept of inoperativity (See</w:t>
      </w:r>
      <w:r>
        <w:t xml:space="preserve"> </w:t>
      </w:r>
      <w:hyperlink w:anchor="inoperativity">
        <w:r>
          <w:rPr>
            <w:rStyle w:val="Hyperlink"/>
          </w:rPr>
          <w:t xml:space="preserve">5.1.4</w:t>
        </w:r>
      </w:hyperlink>
      <w:r>
        <w:t xml:space="preserve">), this time in relation to the music object. I argue that, given that the inoperativity of the listening experience reveals itself as the interaction between resonance —as the</w:t>
      </w:r>
      <w:r>
        <w:t xml:space="preserve"> </w:t>
      </w:r>
      <w:r>
        <w:rPr>
          <w:i/>
        </w:rPr>
        <w:t xml:space="preserve">différance</w:t>
      </w:r>
      <w:r>
        <w:t xml:space="preserve"> </w:t>
      </w:r>
      <w:r>
        <w:t xml:space="preserve">within sense and sensuality— and the unworking of the network, its resulting object, instead of being a complete whole —a finished, integral</w:t>
      </w:r>
      <w:r>
        <w:t xml:space="preserve"> </w:t>
      </w:r>
      <w:r>
        <w:t xml:space="preserve">‘</w:t>
      </w:r>
      <w:r>
        <w:t xml:space="preserve">thing</w:t>
      </w:r>
      <w:r>
        <w:t xml:space="preserve">’</w:t>
      </w:r>
      <w:r>
        <w:t xml:space="preserve">, or even, a</w:t>
      </w:r>
      <w:r>
        <w:t xml:space="preserve"> </w:t>
      </w:r>
      <w:r>
        <w:t xml:space="preserve">‘</w:t>
      </w:r>
      <w:r>
        <w:t xml:space="preserve">piece</w:t>
      </w:r>
      <w:r>
        <w:t xml:space="preserve">’</w:t>
      </w:r>
      <w:r>
        <w:rPr>
          <w:rStyle w:val="FootnoteReference"/>
        </w:rPr>
        <w:footnoteReference w:id="310"/>
      </w:r>
      <w:r>
        <w:t xml:space="preserve">—, it becomes a severed music object. This object is different from Pierre Schaeffer’s music or sound object, which comes to represent material with which to work. Neither it is related to Vaggione’s concept of object, which comes from object-oriented programming, meaning every composable primitive, from the micro to the macro. In both of the above, the object is used to provide, though not without their author’s intervention, a notion of</w:t>
      </w:r>
      <w:r>
        <w:t xml:space="preserve"> </w:t>
      </w:r>
      <w:r>
        <w:rPr>
          <w:i/>
        </w:rPr>
        <w:t xml:space="preserve">coherence</w:t>
      </w:r>
      <w:r>
        <w:t xml:space="preserve"> </w:t>
      </w:r>
      <w:r>
        <w:t xml:space="preserve">to the work.</w:t>
      </w:r>
    </w:p>
    <w:p>
      <w:pPr>
        <w:pStyle w:val="Heading5"/>
      </w:pPr>
      <w:bookmarkStart w:id="311" w:name="remains-of-listening"/>
      <w:r>
        <w:t xml:space="preserve">Remains of Listening</w:t>
      </w:r>
      <w:bookmarkEnd w:id="311"/>
    </w:p>
    <w:p>
      <w:pPr>
        <w:pStyle w:val="FirstParagraph"/>
      </w:pPr>
      <w:r>
        <w:t xml:space="preserve">The object I am referring to resides in memory, as the remains of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subject of analysis, it is forensic. In being fractured, it is the evidence of a destruction. In being severed, and this is the central aspect that I would like to focus on, risking simultaneously the severing of the object itself, it becomes the evidence of a sacrifice. If it can be said that the music object is a severed object, then the question of its severing necessarily relates to the question of listening. Therefore, by listening —and, by this, I mean entering in resonance with resonance itself, exposing the self to that which returns to itself— I participate in this severing, because in listening I choose what to listen in spite of being already deprived from that choice.</w:t>
      </w:r>
    </w:p>
    <w:p>
      <w:pPr>
        <w:pStyle w:val="Heading5"/>
      </w:pPr>
      <w:bookmarkStart w:id="312" w:name="sources-and-sorcerers"/>
      <w:r>
        <w:t xml:space="preserve">Sources and Sorcerers</w:t>
      </w:r>
      <w:bookmarkEnd w:id="312"/>
    </w:p>
    <w:p>
      <w:pPr>
        <w:pStyle w:val="FirstParagraph"/>
      </w:pPr>
      <w:r>
        <w:t xml:space="preserve">The sounds onstage are always before and after the staging. The severed object of music is what, as listeners, we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The severed object of music is always severed, but never in the same way, since there are as many severings as there are listeners, and as many listenings as there are moments. In this difference, what is resonant is the object of music, which is never one and the same because it is a singularity resonanting in plurality. Composers have traditionally been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w:t>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BlockText"/>
      </w:pPr>
      <w:r>
        <w:t xml:space="preserve">This is why for some years I have experimented with releasing music under other people’s names, so as to dilute their style, and under multiple versions of my own name, to case doubt on any claim to the future.</w:t>
      </w:r>
      <w:r>
        <w:t xml:space="preserve"> </w:t>
      </w:r>
      <w:r>
        <w:t xml:space="preserve">(Nilson 2016)</w:t>
      </w:r>
    </w:p>
    <w:p>
      <w:pPr>
        <w:pStyle w:val="Heading5"/>
      </w:pPr>
      <w:bookmarkStart w:id="313" w:name="naming"/>
      <w:r>
        <w:t xml:space="preserve">Naming</w:t>
      </w:r>
      <w:bookmarkEnd w:id="313"/>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itself as the one and only owner of the world —that is, owner of the mountain itself, and of the water, and every particle of the one and only universe. In being in resonance, listeners become the resonant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itself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itself. Further, the severing style itself now can be named. How many differet names or anagrams would it take for Click Nilson’s style to dilute or to arrive at the unclaimable work of art? The name of the composer becomes a synecdoche of the source itself,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14"/>
      </w:r>
    </w:p>
    <w:p>
      <w:pPr>
        <w:pStyle w:val="Heading5"/>
      </w:pPr>
      <w:bookmarkStart w:id="315" w:name="dynamics"/>
      <w:r>
        <w:t xml:space="preserve">Dynamics</w:t>
      </w:r>
      <w:bookmarkEnd w:id="315"/>
    </w:p>
    <w:p>
      <w:pPr>
        <w:pStyle w:val="FirstParagraph"/>
      </w:pPr>
      <w:r>
        <w:t xml:space="preserve">Furthermore, the activity of the sorcerer lends itself to its signature. In other words, the manner in which the composer defines the music, from beginning to end, becomes the shape of the music, understanding</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simply media in general—, the movement of air pressure. It is in front, because it filters the memory of the activity of sound sources. However, this composed shape and the singularity act together in the moment of listening. The question is, then, regarding the dynamics of this activity. Given that this activity happens during listening, what I addressing now is precisely how the shape of the music interacts with the listening itself. That is to say, the interaction between shape —but also the form, the idea— and the singularity of the listened. Interaction, here, refers to the shared activity that occurs</w:t>
      </w:r>
      <w:r>
        <w:t xml:space="preserve"> </w:t>
      </w:r>
      <w:r>
        <w:t xml:space="preserve">‘</w:t>
      </w:r>
      <w:r>
        <w:t xml:space="preserve">inside</w:t>
      </w:r>
      <w:r>
        <w:t xml:space="preserve">’</w:t>
      </w:r>
      <w:r>
        <w:t xml:space="preserve"> </w:t>
      </w:r>
      <w:r>
        <w:t xml:space="preserve">listening itself, and it happens</w:t>
      </w:r>
      <w:r>
        <w:t xml:space="preserve"> </w:t>
      </w:r>
      <w:r>
        <w:t xml:space="preserve">‘</w:t>
      </w:r>
      <w:r>
        <w:t xml:space="preserve">inside</w:t>
      </w:r>
      <w:r>
        <w:t xml:space="preserve">’</w:t>
      </w:r>
      <w:r>
        <w:t xml:space="preserve"> </w:t>
      </w:r>
      <w:r>
        <w:t xml:space="preserve">because of the severing that needed to occur prior —or immediately at— the resonant oscillation of air pressure. This is what I consider the moment of listening that is none other than listening to music. However, once this severing has occurred, and within its momentum, it is the internal dynamics that enter into play, and it is the shape of the music what begins to delineate the shape of the listened.</w:t>
      </w:r>
    </w:p>
    <w:p>
      <w:pPr>
        <w:pStyle w:val="Heading5"/>
      </w:pPr>
      <w:bookmarkStart w:id="316" w:name="masterwork"/>
      <w:r>
        <w:t xml:space="preserve">Masterwork</w:t>
      </w:r>
      <w:bookmarkEnd w:id="316"/>
    </w:p>
    <w:p>
      <w:pPr>
        <w:pStyle w:val="FirstParagraph"/>
      </w:pPr>
      <w:r>
        <w:t xml:space="preserve">Understood in this way, that is, the shape of the music as a force that produces a certain listening experience, therefore, the internal dynamics are already written.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 ideal force. The singularity of the listened is resistance itself, like I have mentioned before in relation to the trace (See</w:t>
      </w:r>
      <w:r>
        <w:t xml:space="preserve"> </w:t>
      </w:r>
      <w:hyperlink w:anchor="human">
        <w:r>
          <w:rPr>
            <w:rStyle w:val="Hyperlink"/>
          </w:rPr>
          <w:t xml:space="preserve">5.2.1</w:t>
        </w:r>
      </w:hyperlink>
      <w:r>
        <w:t xml:space="preserve">). It acts as resistance itself, and its force is not enough to resist the command of the excellent work. This is the very presence of the masterwork, at work, the work of a master that requires the slave —a slave that is not the rest of the works but the outshunned singularities that have been muted by its very own presence.</w:t>
      </w:r>
      <w:r>
        <w:t xml:space="preserve"> </w:t>
      </w:r>
      <w:r>
        <w:t xml:space="preserve">‘</w:t>
      </w:r>
      <w:r>
        <w:t xml:space="preserve">Almost,</w:t>
      </w:r>
      <w:r>
        <w:t xml:space="preserve">’</w:t>
      </w:r>
      <w:r>
        <w:t xml:space="preserve"> </w:t>
      </w:r>
      <w:r>
        <w:t xml:space="preserve">in the hope that its work can be relativized, disarticulated, disentangled from the source of sources, brought down the stream to the place where singularities can resonate in endless forms of matter. However, the problem is now of a different sort. Even if resisting forces match those of the masterwork, then, like Derrida’s concept of a paralysis of memory, we can encounter a paralysis of listening itself. This paralysis. This might (also) be what Szendy means, as well, by the cutting loose of the inattentive listener in modernity, but in a different way. It is not a paralysis caused by distraction, it is a paralysis caused by the very force that is needed to match the force of the master work. It is a paralysis that is directly called for from outside —from the shape of the music itself—, one which prevents any further listening. This is what is called for by the work of the masterwork: pure —and utterly ideal— silence.</w:t>
      </w:r>
    </w:p>
    <w:p>
      <w:pPr>
        <w:pStyle w:val="Heading5"/>
      </w:pPr>
      <w:bookmarkStart w:id="317" w:name="architecture-of-obedience"/>
      <w:r>
        <w:t xml:space="preserve">Architecture of Obedience</w:t>
      </w:r>
      <w:bookmarkEnd w:id="317"/>
    </w:p>
    <w:p>
      <w:pPr>
        <w:pStyle w:val="FirstParagraph"/>
      </w:pPr>
      <w:r>
        <w:t xml:space="preserve">Therefore, within these dynamics of work, what results is a function of the predicates, it is the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working out the work, of creating the structures, becomes the architect of the listened, the creator of a listening that of which he himself is the only chief. The sorcerer in charge of quenching a thirst that is only there because it is always already there, beforehand, instantiated with its own creation. The question now is how can this dynamics be approached once that I have recognized that it is there. How can composition continue, a composition that does not participate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18" w:name="anarchy"/>
      <w:r>
        <w:t xml:space="preserve">Anarchy And The Unwork</w:t>
      </w:r>
      <w:bookmarkEnd w:id="318"/>
    </w:p>
    <w:p>
      <w:pPr>
        <w:pStyle w:val="FirstParagraph"/>
      </w:pPr>
      <w:r>
        <w:t xml:space="preserve">What characterizes the aesthetic dimension in the severed music object of the composition that does not impose its own listening is inoperativity.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 The case is quite different from that of the</w:t>
      </w:r>
      <w:r>
        <w:t xml:space="preserve"> </w:t>
      </w:r>
      <w:r>
        <w:t xml:space="preserve">‘</w:t>
      </w:r>
      <w:r>
        <w:t xml:space="preserve">open</w:t>
      </w:r>
      <w:r>
        <w:t xml:space="preserve">’</w:t>
      </w:r>
      <w:r>
        <w:t xml:space="preserve"> </w:t>
      </w:r>
      <w:r>
        <w:t xml:space="preserve">work, since the work never reaches completion.</w:t>
      </w:r>
    </w:p>
    <w:p>
      <w:pPr>
        <w:pStyle w:val="Heading5"/>
      </w:pPr>
      <w:bookmarkStart w:id="319" w:name="place-in-common"/>
      <w:r>
        <w:t xml:space="preserve">Place in Common</w:t>
      </w:r>
      <w:bookmarkEnd w:id="319"/>
    </w:p>
    <w:p>
      <w:pPr>
        <w:pStyle w:val="FirstParagraph"/>
      </w:pPr>
      <w:r>
        <w:t xml:space="preserve">The unwork radically differs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 in inherent to the hybridity of its construction. The construction, in turn, is a result of the reticulated and fragmented state of exposure between the human and the nonhuman. In this sense, the limit of the unwork is the exposure of exposure itself, that is, an instantiation of the place in common.</w:t>
      </w:r>
    </w:p>
    <w:p>
      <w:pPr>
        <w:pStyle w:val="Heading5"/>
      </w:pPr>
      <w:bookmarkStart w:id="320" w:name="disintegrated-imperative"/>
      <w:r>
        <w:t xml:space="preserve">Disintegrated Imperative</w:t>
      </w:r>
      <w:bookmarkEnd w:id="320"/>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for if this were the case, such failure would be its paradoxical success.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5"/>
      </w:pPr>
      <w:bookmarkStart w:id="321" w:name="blind-experimentation"/>
      <w:r>
        <w:t xml:space="preserve">Blind Experimentation</w:t>
      </w:r>
      <w:bookmarkEnd w:id="321"/>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Therefore,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5"/>
      </w:pPr>
      <w:bookmarkStart w:id="322" w:name="doctoring-the-glitch"/>
      <w:r>
        <w:t xml:space="preserve">Doctoring the Glitch</w:t>
      </w:r>
      <w:bookmarkEnd w:id="322"/>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p>
    <w:p>
      <w:pPr>
        <w:pStyle w:val="BlockText"/>
      </w:pPr>
      <w:r>
        <w:t xml:space="preserve">But it seems this approach affects the listening habits of electronica aficionados…the</w:t>
      </w:r>
      <w:r>
        <w:t xml:space="preserve"> </w:t>
      </w:r>
      <w:r>
        <w:t xml:space="preserve">‘</w:t>
      </w:r>
      <w:r>
        <w:t xml:space="preserve">atomic</w:t>
      </w:r>
      <w:r>
        <w:t xml:space="preserve">’</w:t>
      </w:r>
      <w:r>
        <w:t xml:space="preserve"> </w:t>
      </w:r>
      <w:r>
        <w:t xml:space="preserve">parts, or samples, used in composing electronica from small modular pieces had become the whole. This is a clear indication that contemporary computer music has become fragmented, it is composed of stratified layers that intermingle and defer meaning until the listener takes an active role in the production of meaning.</w:t>
      </w:r>
      <w:r>
        <w:t xml:space="preserve"> </w:t>
      </w:r>
      <w:r>
        <w:t xml:space="preserve">(Cascone 2000, p. 17)</w:t>
      </w:r>
    </w:p>
    <w:p>
      <w:pPr>
        <w:pStyle w:val="Heading5"/>
      </w:pPr>
      <w:bookmarkStart w:id="323" w:name="unnecessary-blindfolds"/>
      <w:r>
        <w:t xml:space="preserve">Unnecessary Blindfolds</w:t>
      </w:r>
      <w:bookmarkEnd w:id="323"/>
    </w:p>
    <w:p>
      <w:pPr>
        <w:pStyle w:val="FirstParagraph"/>
      </w:pPr>
      <w:r>
        <w:t xml:space="preserve">How are we to interpret Cascone’s call for education? What is the center of this education: music technology, composition, or listening? If fragmentation, modularity, stratification, and deferred meaning are</w:t>
      </w:r>
      <w:r>
        <w:t xml:space="preserve"> </w:t>
      </w:r>
      <w:r>
        <w:t xml:space="preserve">‘</w:t>
      </w:r>
      <w:r>
        <w:t xml:space="preserve">affecting</w:t>
      </w:r>
      <w:r>
        <w:t xml:space="preserve">’</w:t>
      </w:r>
      <w:r>
        <w:t xml:space="preserve"> </w:t>
      </w:r>
      <w:r>
        <w:t xml:space="preserve">listening habits, are these</w:t>
      </w:r>
      <w:r>
        <w:t xml:space="preserve"> </w:t>
      </w:r>
      <w:r>
        <w:t xml:space="preserve">‘</w:t>
      </w:r>
      <w:r>
        <w:t xml:space="preserve">habits</w:t>
      </w:r>
      <w:r>
        <w:t xml:space="preserve">’</w:t>
      </w:r>
      <w:r>
        <w:t xml:space="preserve"> </w:t>
      </w:r>
      <w:r>
        <w:t xml:space="preserve">themselves that need to be taught? Or is the structure of the music in desperate need of medical attention? These ambiguities in his argument, however, I chose to understand as coming out of the main premise of the text, that of extending the concept of failure from the technology itself to the analysis of the work. Thus, in Cascone’s view, the aesthetics of failure of the late 1990s is still</w:t>
      </w:r>
      <w:r>
        <w:t xml:space="preserve"> </w:t>
      </w:r>
      <w:r>
        <w:t xml:space="preserve">‘</w:t>
      </w:r>
      <w:r>
        <w:t xml:space="preserve">failing</w:t>
      </w:r>
      <w:r>
        <w:t xml:space="preserve">’</w:t>
      </w:r>
      <w:r>
        <w:t xml:space="preserve"> </w:t>
      </w:r>
      <w:r>
        <w:t xml:space="preserve">to enter academia because it is itself</w:t>
      </w:r>
      <w:r>
        <w:t xml:space="preserve"> </w:t>
      </w:r>
      <w:r>
        <w:t xml:space="preserve">‘</w:t>
      </w:r>
      <w:r>
        <w:t xml:space="preserve">failing</w:t>
      </w:r>
      <w:r>
        <w:t xml:space="preserve">’</w:t>
      </w:r>
      <w:r>
        <w:t xml:space="preserve"> </w:t>
      </w:r>
      <w:r>
        <w:t xml:space="preserve">to achieve the same standards of formal cohesion that are required by the modern conception of the music</w:t>
      </w:r>
      <w:r>
        <w:t xml:space="preserve"> </w:t>
      </w:r>
      <w:r>
        <w:t xml:space="preserve">‘</w:t>
      </w:r>
      <w:r>
        <w:t xml:space="preserve">work</w:t>
      </w:r>
      <w:r>
        <w:t xml:space="preserve">’</w:t>
      </w:r>
      <w:r>
        <w:t xml:space="preserve">. Therefore, instead of finding an academic cure for blind experimentalism, I would claim to understand failure itself as an unnecessary blindfold since, at least in my consideration of the unwork, if there is no notion of success in the technology involved, there need not be any in the work itself. The success, if any, exists within the composer, and as such, it does so in relation to the very goal of disintegrating the imperative. This success is unrelated to popularity, for example, as is the case with software production, in which more users mean generally more chances of survival. This success is unrelated to value, since there is no measuring system that can determine how much of the imperative was disintegrated. In being for the composer, success is, like listening, inevitably private, a personal construction, like any other personal growth, or the overcoming of fears.</w:t>
      </w:r>
    </w:p>
    <w:p>
      <w:pPr>
        <w:pStyle w:val="Heading5"/>
      </w:pPr>
      <w:bookmarkStart w:id="324" w:name="spectral-remains"/>
      <w:r>
        <w:t xml:space="preserve">Spectral Remains</w:t>
      </w:r>
      <w:bookmarkEnd w:id="324"/>
    </w:p>
    <w:p>
      <w:pPr>
        <w:pStyle w:val="FirstParagraph"/>
      </w:pPr>
      <w:r>
        <w:t xml:space="preserve">The unwork cannot behave like a force, but it can be considered the spectral remains of a force. In this sense, if there is an illusion of a force, it must appear as wreckage, an after dream, a mirror that shows us our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 not us, but as yet again us. This is the moment that the unwork carries with it the most crucial aspect of all: it has nothing to give. It gives nothing. And this is when listening finds us without anything to hold on to but our very own resonance. Our very own listening to ourselves listening. The moment where we realize it is our own self that is returning to us. This is our resistance.</w:t>
      </w:r>
    </w:p>
    <w:p>
      <w:pPr>
        <w:pStyle w:val="Heading5"/>
      </w:pPr>
      <w:bookmarkStart w:id="325" w:name="macroforma"/>
      <w:r>
        <w:t xml:space="preserve">Macroforma</w:t>
      </w:r>
      <w:bookmarkEnd w:id="325"/>
    </w:p>
    <w:p>
      <w:pPr>
        <w:pStyle w:val="FirstParagraph"/>
      </w:pPr>
      <w:r>
        <w:t xml:space="preserve">The resonance of a return. This is why the unwork depends so extremely on its very state of fragility: it touches the self from itself, it engages the self with its own touch, with its own skin, with the resonance of itself. The moment this fragility is forgotten is when composers, performers, improvisors, programmers —humans and nonhuman listeners, in the most broadest sense possible— enable an operative</w:t>
      </w:r>
      <w:r>
        <w:t xml:space="preserve"> </w:t>
      </w:r>
      <w:r>
        <w:rPr>
          <w:rStyle w:val="VerbatimChar"/>
        </w:rPr>
        <w:t xml:space="preserve">macro</w:t>
      </w:r>
      <w:r>
        <w:t xml:space="preserve"> </w:t>
      </w:r>
      <w:r>
        <w:t xml:space="preserve">that has a political agency in the shaping of singularities. In order to to provide some insight into the difficulties that arise from this conceptualization of the unwork, I would like to brin again Vaggione.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singularly, and the value of his music is not put into question. I bring this as an example, as I have mentioned before, of the name of the composer and its impression on the music. In this case, the singularity that is the composer impresses its own singular shape, its own style, its own trace, on the music, and makes it a work. The problem is that the work now engages with its own operativity, with its integrity, and begins to dictate the shape of its own listening.</w:t>
      </w:r>
    </w:p>
    <w:p>
      <w:pPr>
        <w:pStyle w:val="Heading5"/>
      </w:pPr>
      <w:bookmarkStart w:id="326" w:name="overfitting"/>
      <w:r>
        <w:t xml:space="preserve">Overfitting</w:t>
      </w:r>
      <w:bookmarkEnd w:id="326"/>
    </w:p>
    <w:p>
      <w:pPr>
        <w:pStyle w:val="FirstParagraph"/>
      </w:pPr>
      <w:r>
        <w:t xml:space="preserve">Defining anarchy as a paradoxically productive force —a form of destruction which</w:t>
      </w:r>
      <w:r>
        <w:t xml:space="preserve"> </w:t>
      </w:r>
      <w:r>
        <w:t xml:space="preserve">“</w:t>
      </w:r>
      <w:r>
        <w:t xml:space="preserve">produces the very thing it reduces</w:t>
      </w:r>
      <w:r>
        <w:t xml:space="preserve">”</w:t>
      </w:r>
      <w:r>
        <w:t xml:space="preserve"> </w:t>
      </w:r>
      <w:r>
        <w:t xml:space="preserve">(Derrida &amp; Prenowitz 1995)</w:t>
      </w:r>
      <w:r>
        <w:t xml:space="preserve">—, Derrida locates it at the core of the concept of the archive (See</w:t>
      </w:r>
      <w:r>
        <w:t xml:space="preserve"> </w:t>
      </w:r>
      <w:hyperlink w:anchor="archontic">
        <w:r>
          <w:rPr>
            <w:rStyle w:val="Hyperlink"/>
          </w:rPr>
          <w:t xml:space="preserve">5.2.2</w:t>
        </w:r>
      </w:hyperlink>
      <w:r>
        <w:t xml:space="preserve">). As I have outlined before, databasing and composition bring forth their relation to the archive, and by doing so, they reveal themselves as repositories for the the archontic principle: bound to the origin and the rule. Like the name of the composer which is written in the shape of the music, the database has too the potential of becoming a source. Databasing becomes an activity of this source, and thus embeds the databaser with a specter of authority (See</w:t>
      </w:r>
      <w:r>
        <w:t xml:space="preserve"> </w:t>
      </w:r>
      <w:hyperlink w:anchor="authority">
        <w:r>
          <w:rPr>
            <w:rStyle w:val="Hyperlink"/>
          </w:rPr>
          <w:t xml:space="preserve">5.3.4</w:t>
        </w:r>
      </w:hyperlink>
      <w:r>
        <w:t xml:space="preserve">). Claiming, therefore, that composition can be identified with databasing means translating the</w:t>
      </w:r>
      <w:r>
        <w:t xml:space="preserve"> </w:t>
      </w:r>
      <w:r>
        <w:t xml:space="preserve">‘</w:t>
      </w:r>
      <w:r>
        <w:t xml:space="preserve">archic</w:t>
      </w:r>
      <w:r>
        <w:t xml:space="preserve">’</w:t>
      </w:r>
      <w:r>
        <w:t xml:space="preserve"> </w:t>
      </w:r>
      <w:r>
        <w:t xml:space="preserve">not only to the performativity of composition, also to the product of composing, to the composer and the composed, to the shape of the music, and to the singularity of the listened. An unwork, therefore, would be a necessarily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in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 set, tend to adapt themselves too closely to the data set, thus failing to render future predictions reliably. This is known as overfitting. Despite its uselessness (or better, because of it) I believe this to be a suitable metaphor for the pursuit of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27" w:name="worker"/>
      <w:r>
        <w:t xml:space="preserve">[Wip] Work In Progress</w:t>
      </w:r>
      <w:bookmarkEnd w:id="327"/>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28" w:name="chapter:Conclusion"/>
      <w:r>
        <w:t xml:space="preserve">Conclusion</w:t>
      </w:r>
      <w:bookmarkEnd w:id="328"/>
    </w:p>
    <w:p>
      <w:pPr>
        <w:pStyle w:val="FirstParagraph"/>
      </w:pPr>
      <w:r>
        <w:t xml:space="preserve">…</w:t>
      </w:r>
      <w:r>
        <w:t xml:space="preserve"> </w:t>
      </w:r>
      <w:r>
        <w:t xml:space="preserve">placeholder for conclusion abstract</w:t>
      </w:r>
      <w:r>
        <w:t xml:space="preserve"> </w:t>
      </w:r>
      <w:r>
        <w:t xml:space="preserve">…</w:t>
      </w:r>
    </w:p>
    <w:p>
      <w:pPr>
        <w:pStyle w:val="Heading1"/>
      </w:pPr>
      <w:bookmarkStart w:id="329" w:name="chapter:Appendices"/>
      <w:r>
        <w:t xml:space="preserve">Appendices</w:t>
      </w:r>
      <w:bookmarkEnd w:id="329"/>
    </w:p>
    <w:p>
      <w:pPr>
        <w:pStyle w:val="FirstParagraph"/>
      </w:pPr>
      <w:r>
        <w:t xml:space="preserve">abstract of appendices</w:t>
      </w:r>
    </w:p>
    <w:p>
      <w:pPr>
        <w:pStyle w:val="Heading2"/>
      </w:pPr>
      <w:bookmarkStart w:id="330" w:name="X10ee8bf4babf50c107e97e7a3ded64e4f2e7a3b"/>
      <w:r>
        <w:t xml:space="preserve">DIANA: Database for Image and Audio Navigation</w:t>
      </w:r>
      <w:bookmarkEnd w:id="330"/>
    </w:p>
    <w:p>
      <w:pPr>
        <w:pStyle w:val="FirstParagraph"/>
      </w:pPr>
      <w:r>
        <w:t xml:space="preserve">I use William Brent’s —timbre description algorithms— and Antoine Villeret’s —image descriptors using Computer Vision algorithms—, to develop a new software library for Pure Data. My model consists of a joint Database structure for Image and Audio descriptors suitable for realtime navigation. At its core, the Database is generated by calculating derivatives between both data sets, and it is performed by applying random probabilities, markov chains, or chaotic generators to this navigation. This allows for multiple paths to be traced on each navigation.</w:t>
      </w:r>
    </w:p>
    <w:p>
      <w:pPr>
        <w:pStyle w:val="Heading3"/>
      </w:pPr>
      <w:bookmarkStart w:id="331" w:name="dbmodel"/>
      <w:r>
        <w:t xml:space="preserve">A Database Model</w:t>
      </w:r>
      <w:bookmarkEnd w:id="331"/>
    </w:p>
    <w:p>
      <w:pPr>
        <w:pStyle w:val="FirstParagraph"/>
      </w:pPr>
      <w:r>
        <w:t xml:space="preserve">A detailed description of the image and audio navigation system…</w:t>
      </w:r>
    </w:p>
    <w:p>
      <w:pPr>
        <w:pStyle w:val="BlockText"/>
      </w:pPr>
      <w:r>
        <w:t xml:space="preserve">Just as a fractal has the same structure on different scales, a new media object has the same modular structure throughout. Media elements…are represented as collections of discrete samples</w:t>
      </w:r>
      <w:r>
        <w:t xml:space="preserve"> </w:t>
      </w:r>
      <w:r>
        <w:t xml:space="preserve">(Manovich 2001, p. 30)</w:t>
      </w:r>
      <w:r>
        <w:t xml:space="preserve">.</w:t>
      </w:r>
    </w:p>
    <w:p>
      <w:pPr>
        <w:pStyle w:val="BlockText"/>
      </w:pPr>
      <w:r>
        <w:t xml:space="preserve">First, data is sampled, most often at regular intervals, such as the grid of pixels used to represent a digital image. The frequency of sampling is referred to as resolution. Sampling turns continuous data into discrete data…Second, each sample is quantified, that is, it is assigned a numerical value drawn from a defined range (such as 0-255 in the case of an 8-bit greyscale image)</w:t>
      </w:r>
      <w:r>
        <w:t xml:space="preserve"> </w:t>
      </w:r>
      <w:r>
        <w:t xml:space="preserve">(Manovich 2002, p. 28)</w:t>
      </w:r>
    </w:p>
    <w:p>
      <w:pPr>
        <w:pStyle w:val="FirstParagraph"/>
      </w:pPr>
      <w:r>
        <w:t xml:space="preserve">I define the points in common between Database Practice and Music Composition. I describe the main technical concepts behind Database Navigation and provide use cases from both appendices A and B, the former relating to joint image and audio databases, and the latter to text databases. I then reflect on the quality of this navigation in relation to the type of navigation and results that they obtain.</w:t>
      </w:r>
    </w:p>
    <w:p>
      <w:pPr>
        <w:pStyle w:val="BodyText"/>
      </w:pPr>
      <w:r>
        <w:t xml:space="preserve">I use computer vision literature to briefly introduce and describe the most common visual descriptors. I focus on certain descriptors (TBD) which are suitable for live multimedia use, and which I will implement in Appendix A.</w:t>
      </w:r>
    </w:p>
    <w:p>
      <w:pPr>
        <w:pStyle w:val="BodyText"/>
      </w:pPr>
      <w:r>
        <w:t xml:space="preserve">I use Timbre Analysis literature to briefly introduce and describe the most useful audio descriptors. I take William Brent’s TimbreID library, complementing it with Tae Hong Park’s dissertation on timbre recognition, and I focus on the most useful descriptors for live multimedia use (TBD), which I will implement in Appendix A in relation to the image descriptors introduced above.</w:t>
      </w:r>
    </w:p>
    <w:p>
      <w:pPr>
        <w:pStyle w:val="Heading2"/>
      </w:pPr>
      <w:bookmarkStart w:id="332" w:name="Xbdeae474b30d0c6c153bc32937848dc3fd565e9"/>
      <w:r>
        <w:t xml:space="preserve">ABBY: An Online Environment for Annotated Bibliographies</w:t>
      </w:r>
      <w:bookmarkEnd w:id="332"/>
    </w:p>
    <w:p>
      <w:pPr>
        <w:pStyle w:val="FirstParagraph"/>
      </w:pPr>
      <w:r>
        <w:t xml:space="preserve">In order to write this dissertation, I have developed</w:t>
      </w:r>
      <w:r>
        <w:t xml:space="preserve"> </w:t>
      </w:r>
      <w:r>
        <w:t xml:space="preserve">“</w:t>
      </w:r>
      <w:r>
        <w:t xml:space="preserve">Abby</w:t>
      </w:r>
      <w:r>
        <w:t xml:space="preserve">”</w:t>
      </w:r>
      <w:r>
        <w:t xml:space="preserve"> </w:t>
      </w:r>
      <w:r>
        <w:t xml:space="preserve">an online Text Database tool namely to build an annotated bibliography. The program is mostly written in Javascript, with the data navigation and programming hosted in Github, and the datasets stored in the Google account that New York University has provided me. The annotated bibliography is available at</w:t>
      </w:r>
      <w:r>
        <w:t xml:space="preserve"> </w:t>
      </w:r>
      <w:hyperlink r:id="rId333">
        <w:r>
          <w:rPr>
            <w:rStyle w:val="Hyperlink"/>
          </w:rPr>
          <w:t xml:space="preserve">https://fdch.github.io/abby</w:t>
        </w:r>
      </w:hyperlink>
      <w:r>
        <w:t xml:space="preserve">, and the code can be accessed or cloned from</w:t>
      </w:r>
      <w:r>
        <w:t xml:space="preserve"> </w:t>
      </w:r>
      <w:hyperlink r:id="rId334">
        <w:r>
          <w:rPr>
            <w:rStyle w:val="Hyperlink"/>
          </w:rPr>
          <w:t xml:space="preserve">https://github.com/fdch/litrev</w:t>
        </w:r>
      </w:hyperlink>
      <w:r>
        <w:t xml:space="preserve">.</w:t>
      </w:r>
    </w:p>
    <w:p>
      <w:pPr>
        <w:pStyle w:val="Heading3"/>
      </w:pPr>
      <w:bookmarkStart w:id="335" w:name="texdb"/>
      <w:r>
        <w:t xml:space="preserve">A Text Database</w:t>
      </w:r>
      <w:bookmarkEnd w:id="335"/>
    </w:p>
    <w:p>
      <w:pPr>
        <w:pStyle w:val="FirstParagraph"/>
      </w:pPr>
      <w:r>
        <w:t xml:space="preserve">A detailed description of the text database model…</w:t>
      </w:r>
    </w:p>
    <w:bookmarkStart w:id="685" w:name="refs"/>
    <w:bookmarkStart w:id="336"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36"/>
    <w:bookmarkStart w:id="337"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37"/>
    <w:bookmarkStart w:id="338"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38"/>
    <w:bookmarkStart w:id="339"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39"/>
    <w:bookmarkStart w:id="340"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40"/>
    <w:bookmarkStart w:id="342"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41">
        <w:r>
          <w:rPr>
            <w:rStyle w:val="Hyperlink"/>
          </w:rPr>
          <w:t xml:space="preserve">http://www.terasoft.com.tw/conf/ismir2014/proceedings/T014_162_Paper.pdf</w:t>
        </w:r>
      </w:hyperlink>
    </w:p>
    <w:bookmarkEnd w:id="342"/>
    <w:bookmarkStart w:id="343"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43"/>
    <w:bookmarkStart w:id="344"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44"/>
    <w:bookmarkStart w:id="345"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45"/>
    <w:bookmarkStart w:id="346"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46"/>
    <w:bookmarkStart w:id="347"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47"/>
    <w:bookmarkStart w:id="348"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48"/>
    <w:bookmarkStart w:id="349"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49"/>
    <w:bookmarkStart w:id="350"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50"/>
    <w:bookmarkStart w:id="351"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51"/>
    <w:bookmarkStart w:id="352"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52"/>
    <w:bookmarkStart w:id="353" w:name="ref-Bar20:Viv"/>
    <w:p>
      <w:pPr>
        <w:pStyle w:val="Bibliography"/>
      </w:pPr>
      <w:r>
        <w:t xml:space="preserve">Barrett N. 2000b. Viva la selva</w:t>
      </w:r>
    </w:p>
    <w:bookmarkEnd w:id="353"/>
    <w:bookmarkStart w:id="354" w:name="ref-Bar68:Ele"/>
    <w:p>
      <w:pPr>
        <w:pStyle w:val="Bibliography"/>
      </w:pPr>
      <w:r>
        <w:t xml:space="preserve">Barthes R, Lavers A, Smith C. 1968.</w:t>
      </w:r>
      <w:r>
        <w:t xml:space="preserve"> </w:t>
      </w:r>
      <w:r>
        <w:rPr>
          <w:i/>
        </w:rPr>
        <w:t xml:space="preserve">Elements of Semiology</w:t>
      </w:r>
      <w:r>
        <w:t xml:space="preserve">. Hill; Wang, New York. ed.</w:t>
      </w:r>
    </w:p>
    <w:bookmarkEnd w:id="354"/>
    <w:bookmarkStart w:id="355"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55"/>
    <w:bookmarkStart w:id="356"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56"/>
    <w:bookmarkStart w:id="357"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57"/>
    <w:bookmarkStart w:id="359"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58">
        <w:r>
          <w:rPr>
            <w:rStyle w:val="Hyperlink"/>
          </w:rPr>
          <w:t xml:space="preserve">http://www.terasoft.com.tw/conf/ismir2014/proceedings/T028_322_Paper.pdf</w:t>
        </w:r>
      </w:hyperlink>
    </w:p>
    <w:bookmarkEnd w:id="359"/>
    <w:bookmarkStart w:id="360"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60"/>
    <w:bookmarkStart w:id="362"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61">
        <w:r>
          <w:rPr>
            <w:rStyle w:val="Hyperlink"/>
          </w:rPr>
          <w:t xml:space="preserve">http://www.ppgia.pucpr.br/ismir2013/wp-content/uploads/2013/09/177\_Paper.pdf</w:t>
        </w:r>
      </w:hyperlink>
    </w:p>
    <w:bookmarkEnd w:id="362"/>
    <w:bookmarkStart w:id="363"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63"/>
    <w:bookmarkStart w:id="364" w:name="ref-Bor42:Fun"/>
    <w:p>
      <w:pPr>
        <w:pStyle w:val="Bibliography"/>
      </w:pPr>
      <w:r>
        <w:t xml:space="preserve">Borges JL. 1942. Funes el memorioso.</w:t>
      </w:r>
      <w:r>
        <w:t xml:space="preserve"> </w:t>
      </w:r>
      <w:r>
        <w:rPr>
          <w:i/>
        </w:rPr>
        <w:t xml:space="preserve">Ficciones</w:t>
      </w:r>
    </w:p>
    <w:bookmarkEnd w:id="364"/>
    <w:bookmarkStart w:id="365" w:name="ref-Ker94:Fun"/>
    <w:p>
      <w:pPr>
        <w:pStyle w:val="Bibliography"/>
      </w:pPr>
      <w:r>
        <w:t xml:space="preserve">Borges JL. 1994.</w:t>
      </w:r>
      <w:r>
        <w:t xml:space="preserve"> </w:t>
      </w:r>
      <w:r>
        <w:rPr>
          <w:i/>
        </w:rPr>
        <w:t xml:space="preserve">Ficciones</w:t>
      </w:r>
      <w:r>
        <w:t xml:space="preserve">. Grove Press. ed.</w:t>
      </w:r>
    </w:p>
    <w:bookmarkEnd w:id="365"/>
    <w:bookmarkStart w:id="366" w:name="ref-Bor95:Rat"/>
    <w:p>
      <w:pPr>
        <w:pStyle w:val="Bibliography"/>
      </w:pPr>
      <w:r>
        <w:t xml:space="preserve">Born G. 1995.</w:t>
      </w:r>
      <w:r>
        <w:t xml:space="preserve"> </w:t>
      </w:r>
      <w:r>
        <w:rPr>
          <w:i/>
        </w:rPr>
        <w:t xml:space="preserve">Rationalizing Culture</w:t>
      </w:r>
      <w:r>
        <w:t xml:space="preserve">. University of California Press. ed.</w:t>
      </w:r>
    </w:p>
    <w:bookmarkEnd w:id="366"/>
    <w:bookmarkStart w:id="367"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67"/>
    <w:bookmarkStart w:id="368"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68"/>
    <w:bookmarkStart w:id="369"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69"/>
    <w:bookmarkStart w:id="370"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70"/>
    <w:bookmarkStart w:id="371"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71"/>
    <w:bookmarkStart w:id="372"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72"/>
    <w:bookmarkStart w:id="373" w:name="ref-score11manual"/>
    <w:p>
      <w:pPr>
        <w:pStyle w:val="Bibliography"/>
      </w:pPr>
      <w:r>
        <w:t xml:space="preserve">Brinkman AR. 1982. Original version of the score11 manual.</w:t>
      </w:r>
      <w:r>
        <w:t xml:space="preserve"> </w:t>
      </w:r>
      <w:r>
        <w:rPr>
          <w:i/>
        </w:rPr>
        <w:t xml:space="preserve">Score11 Manual</w:t>
      </w:r>
    </w:p>
    <w:bookmarkEnd w:id="373"/>
    <w:bookmarkStart w:id="374"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74"/>
    <w:bookmarkStart w:id="375"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75"/>
    <w:bookmarkStart w:id="376"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76"/>
    <w:bookmarkStart w:id="378"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77">
        <w:r>
          <w:rPr>
            <w:rStyle w:val="Hyperlink"/>
          </w:rPr>
          <w:t xml:space="preserve">http://www.nime.org/proceedings/2011/nime2011_387.pdf</w:t>
        </w:r>
      </w:hyperlink>
    </w:p>
    <w:bookmarkEnd w:id="378"/>
    <w:bookmarkStart w:id="380"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379">
        <w:r>
          <w:rPr>
            <w:rStyle w:val="Hyperlink"/>
          </w:rPr>
          <w:t xml:space="preserve">http://www.nime.org/proceedings/2009/nime2009_266.pdf</w:t>
        </w:r>
      </w:hyperlink>
    </w:p>
    <w:bookmarkEnd w:id="380"/>
    <w:bookmarkStart w:id="381"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381"/>
    <w:bookmarkStart w:id="382"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382"/>
    <w:bookmarkStart w:id="383"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383"/>
    <w:bookmarkStart w:id="384" w:name="ref-Bux77:Aco"/>
    <w:p>
      <w:pPr>
        <w:pStyle w:val="Bibliography"/>
      </w:pPr>
      <w:r>
        <w:t xml:space="preserve">Buxton W. 1977. A composer’s introduction to computer music.</w:t>
      </w:r>
      <w:r>
        <w:t xml:space="preserve"> </w:t>
      </w:r>
      <w:r>
        <w:rPr>
          <w:i/>
        </w:rPr>
        <w:t xml:space="preserve">Interface</w:t>
      </w:r>
      <w:r>
        <w:t xml:space="preserve">. 6:57–72</w:t>
      </w:r>
    </w:p>
    <w:bookmarkEnd w:id="384"/>
    <w:bookmarkStart w:id="385" w:name="ref-youtube/buxton10"/>
    <w:p>
      <w:pPr>
        <w:pStyle w:val="Bibliography"/>
      </w:pPr>
      <w:r>
        <w:t xml:space="preserve">Buxton W. 2016a. Objed: The sssp sound editing tool.</w:t>
      </w:r>
      <w:r>
        <w:t xml:space="preserve"> </w:t>
      </w:r>
      <w:r>
        <w:rPr>
          <w:i/>
        </w:rPr>
        <w:t xml:space="preserve">Youtube</w:t>
      </w:r>
    </w:p>
    <w:bookmarkEnd w:id="385"/>
    <w:bookmarkStart w:id="386"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386"/>
    <w:bookmarkStart w:id="387"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387"/>
    <w:bookmarkStart w:id="388"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388"/>
    <w:bookmarkStart w:id="389"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389"/>
    <w:bookmarkStart w:id="391"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390">
        <w:r>
          <w:rPr>
            <w:rStyle w:val="Hyperlink"/>
          </w:rPr>
          <w:t xml:space="preserve">http://www.nime.org/proceedings/2011/nime2011_329.pdf</w:t>
        </w:r>
      </w:hyperlink>
    </w:p>
    <w:bookmarkEnd w:id="391"/>
    <w:bookmarkStart w:id="392"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392"/>
    <w:bookmarkStart w:id="393"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393"/>
    <w:bookmarkStart w:id="394"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394"/>
    <w:bookmarkStart w:id="395" w:name="ref-Rya17:OnT"/>
    <w:p>
      <w:pPr>
        <w:pStyle w:val="Bibliography"/>
      </w:pPr>
      <w:r>
        <w:t xml:space="preserve">Carter R. 2017. On the expressive potential of suboptimal speakers</w:t>
      </w:r>
    </w:p>
    <w:bookmarkEnd w:id="395"/>
    <w:bookmarkStart w:id="396"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396"/>
    <w:bookmarkStart w:id="397"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397"/>
    <w:bookmarkStart w:id="398"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398"/>
    <w:bookmarkStart w:id="399"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399"/>
    <w:bookmarkStart w:id="400"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400"/>
    <w:bookmarkStart w:id="401"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401"/>
    <w:bookmarkStart w:id="402"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402"/>
    <w:bookmarkStart w:id="403"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403"/>
    <w:bookmarkStart w:id="404" w:name="ref-Cho00:Voi"/>
    <w:p>
      <w:pPr>
        <w:pStyle w:val="Bibliography"/>
      </w:pPr>
      <w:r>
        <w:t xml:space="preserve">Choi I. 2000. Voices in ruins — composition with residuals</w:t>
      </w:r>
    </w:p>
    <w:bookmarkEnd w:id="404"/>
    <w:bookmarkStart w:id="405"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405"/>
    <w:bookmarkStart w:id="406"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406"/>
    <w:bookmarkStart w:id="407"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407"/>
    <w:bookmarkStart w:id="408"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408"/>
    <w:bookmarkStart w:id="409"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409"/>
    <w:bookmarkStart w:id="410"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410"/>
    <w:bookmarkStart w:id="411"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411"/>
    <w:bookmarkStart w:id="412"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412"/>
    <w:bookmarkStart w:id="413"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413"/>
    <w:bookmarkStart w:id="414" w:name="ref-connes:shapes"/>
    <w:p>
      <w:pPr>
        <w:pStyle w:val="Bibliography"/>
      </w:pPr>
      <w:r>
        <w:t xml:space="preserve">Connes A. 2012. The music of shapes</w:t>
      </w:r>
    </w:p>
    <w:bookmarkEnd w:id="414"/>
    <w:bookmarkStart w:id="415"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415"/>
    <w:bookmarkStart w:id="416"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416"/>
    <w:bookmarkStart w:id="417"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17"/>
    <w:bookmarkStart w:id="418"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18"/>
    <w:bookmarkStart w:id="419"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19"/>
    <w:bookmarkStart w:id="421"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20">
        <w:r>
          <w:rPr>
            <w:rStyle w:val="Hyperlink"/>
          </w:rPr>
          <w:t xml:space="preserve">https://ismir2017.smcnus.org/wp-content/uploads/2017/10/235_Paper.pdf</w:t>
        </w:r>
      </w:hyperlink>
    </w:p>
    <w:bookmarkEnd w:id="421"/>
    <w:bookmarkStart w:id="423" w:name="ref-crowley98"/>
    <w:p>
      <w:pPr>
        <w:pStyle w:val="Bibliography"/>
      </w:pPr>
      <w:r>
        <w:t xml:space="preserve">Crowley C. 1998. Data structures for text sequences.</w:t>
      </w:r>
      <w:r>
        <w:t xml:space="preserve"> </w:t>
      </w:r>
      <w:hyperlink r:id="rId422">
        <w:r>
          <w:rPr>
            <w:rStyle w:val="Hyperlink"/>
          </w:rPr>
          <w:t xml:space="preserve">https://www.cs.unm.edu/~crowley/papers/sds.pdf</w:t>
        </w:r>
      </w:hyperlink>
    </w:p>
    <w:bookmarkEnd w:id="423"/>
    <w:bookmarkStart w:id="424"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24"/>
    <w:bookmarkStart w:id="426"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25">
        <w:r>
          <w:rPr>
            <w:rStyle w:val="Hyperlink"/>
          </w:rPr>
          <w:t xml:space="preserve">https://ismir2017.smcnus.org/wp-content/uploads/2017/10/75_Paper.pdf</w:t>
        </w:r>
      </w:hyperlink>
    </w:p>
    <w:bookmarkEnd w:id="426"/>
    <w:bookmarkStart w:id="427"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27"/>
    <w:bookmarkStart w:id="428"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28"/>
    <w:bookmarkStart w:id="429"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29"/>
    <w:bookmarkStart w:id="430" w:name="ref-Der78:Wri"/>
    <w:p>
      <w:pPr>
        <w:pStyle w:val="Bibliography"/>
      </w:pPr>
      <w:r>
        <w:t xml:space="preserve">Derrida J. 1978.</w:t>
      </w:r>
      <w:r>
        <w:t xml:space="preserve"> </w:t>
      </w:r>
      <w:r>
        <w:rPr>
          <w:i/>
        </w:rPr>
        <w:t xml:space="preserve">Writing and Difference</w:t>
      </w:r>
      <w:r>
        <w:t xml:space="preserve">. The University of Chicago. ed.</w:t>
      </w:r>
    </w:p>
    <w:bookmarkEnd w:id="430"/>
    <w:bookmarkStart w:id="431" w:name="ref-Der82:Mar"/>
    <w:p>
      <w:pPr>
        <w:pStyle w:val="Bibliography"/>
      </w:pPr>
      <w:r>
        <w:t xml:space="preserve">Derrida J. 1982.</w:t>
      </w:r>
      <w:r>
        <w:t xml:space="preserve"> </w:t>
      </w:r>
      <w:r>
        <w:rPr>
          <w:i/>
        </w:rPr>
        <w:t xml:space="preserve">Margins of Philosophy</w:t>
      </w:r>
      <w:r>
        <w:t xml:space="preserve">. The Harvester Press. ed.</w:t>
      </w:r>
    </w:p>
    <w:bookmarkEnd w:id="431"/>
    <w:bookmarkStart w:id="432" w:name="ref-Der95:Arc"/>
    <w:p>
      <w:pPr>
        <w:pStyle w:val="Bibliography"/>
      </w:pPr>
      <w:r>
        <w:t xml:space="preserve">Derrida J, Prenowitz E. 1995. Archive fever: A freudian impression.</w:t>
      </w:r>
      <w:r>
        <w:t xml:space="preserve"> </w:t>
      </w:r>
      <w:r>
        <w:rPr>
          <w:i/>
        </w:rPr>
        <w:t xml:space="preserve">Diacritics</w:t>
      </w:r>
      <w:r>
        <w:t xml:space="preserve">. 25(2):</w:t>
      </w:r>
    </w:p>
    <w:bookmarkEnd w:id="432"/>
    <w:bookmarkStart w:id="433" w:name="ref-Der76:Of"/>
    <w:p>
      <w:pPr>
        <w:pStyle w:val="Bibliography"/>
      </w:pPr>
      <w:r>
        <w:t xml:space="preserve">Derrida J, Spivak GC. 1976.</w:t>
      </w:r>
      <w:r>
        <w:t xml:space="preserve"> </w:t>
      </w:r>
      <w:r>
        <w:rPr>
          <w:i/>
        </w:rPr>
        <w:t xml:space="preserve">Of Grammatology.</w:t>
      </w:r>
      <w:r>
        <w:t xml:space="preserve"> </w:t>
      </w:r>
      <w:r>
        <w:t xml:space="preserve">The Johns Hopkins University Press. ed.</w:t>
      </w:r>
    </w:p>
    <w:bookmarkEnd w:id="433"/>
    <w:bookmarkStart w:id="435"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34">
        <w:r>
          <w:rPr>
            <w:rStyle w:val="Hyperlink"/>
          </w:rPr>
          <w:t xml:space="preserve">http://ismir2015.uma.es/articles/261_Paper.pdf</w:t>
        </w:r>
      </w:hyperlink>
    </w:p>
    <w:bookmarkEnd w:id="435"/>
    <w:bookmarkStart w:id="436"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36"/>
    <w:bookmarkStart w:id="437"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37"/>
    <w:bookmarkStart w:id="438"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38"/>
    <w:bookmarkStart w:id="439"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39"/>
    <w:bookmarkStart w:id="440"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40"/>
    <w:bookmarkStart w:id="441"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41"/>
    <w:bookmarkStart w:id="443"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42">
        <w:r>
          <w:rPr>
            <w:rStyle w:val="Hyperlink"/>
          </w:rPr>
          <w:t xml:space="preserve">http://ismir2018.ircam.fr/doc/pdfs/265_Paper.pdf</w:t>
        </w:r>
      </w:hyperlink>
    </w:p>
    <w:bookmarkEnd w:id="443"/>
    <w:bookmarkStart w:id="444"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44"/>
    <w:bookmarkStart w:id="446"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45">
        <w:r>
          <w:rPr>
            <w:rStyle w:val="Hyperlink"/>
          </w:rPr>
          <w:t xml:space="preserve">http://ismir2000.ismir.net/papers/invites/dunn_invite.pdf</w:t>
        </w:r>
      </w:hyperlink>
    </w:p>
    <w:bookmarkEnd w:id="446"/>
    <w:bookmarkStart w:id="447"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47"/>
    <w:bookmarkStart w:id="448"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48"/>
    <w:bookmarkStart w:id="449" w:name="ref-Eco04:The"/>
    <w:p>
      <w:pPr>
        <w:pStyle w:val="Bibliography"/>
      </w:pPr>
      <w:r>
        <w:t xml:space="preserve">Eco U. 2004. The poetics of the open work.</w:t>
      </w:r>
      <w:r>
        <w:t xml:space="preserve"> </w:t>
      </w:r>
      <w:r>
        <w:rPr>
          <w:i/>
        </w:rPr>
        <w:t xml:space="preserve">Audio Culture: Readings in Modern Music</w:t>
      </w:r>
    </w:p>
    <w:bookmarkEnd w:id="449"/>
    <w:bookmarkStart w:id="450" w:name="ref-Emm86:The"/>
    <w:p>
      <w:pPr>
        <w:pStyle w:val="Bibliography"/>
      </w:pPr>
      <w:r>
        <w:t xml:space="preserve">Emmerson S. 1986.</w:t>
      </w:r>
      <w:r>
        <w:t xml:space="preserve"> </w:t>
      </w:r>
      <w:r>
        <w:rPr>
          <w:i/>
        </w:rPr>
        <w:t xml:space="preserve">The Language of Electroacoustic Music</w:t>
      </w:r>
      <w:r>
        <w:t xml:space="preserve">. ed.</w:t>
      </w:r>
    </w:p>
    <w:bookmarkEnd w:id="450"/>
    <w:bookmarkStart w:id="452"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51">
        <w:r>
          <w:rPr>
            <w:rStyle w:val="Hyperlink"/>
          </w:rPr>
          <w:t xml:space="preserve">http://ismir2018.ircam.fr/doc/pdfs/206_Paper.pdf</w:t>
        </w:r>
      </w:hyperlink>
    </w:p>
    <w:bookmarkEnd w:id="452"/>
    <w:bookmarkStart w:id="453"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53"/>
    <w:bookmarkStart w:id="454" w:name="ref-Ern13:Dig"/>
    <w:p>
      <w:pPr>
        <w:pStyle w:val="Bibliography"/>
      </w:pPr>
      <w:r>
        <w:t xml:space="preserve">Ernst W. 2013.</w:t>
      </w:r>
      <w:r>
        <w:t xml:space="preserve"> </w:t>
      </w:r>
      <w:r>
        <w:rPr>
          <w:i/>
        </w:rPr>
        <w:t xml:space="preserve">Digital Memory and the Archive</w:t>
      </w:r>
      <w:r>
        <w:t xml:space="preserve">. University of Minnesota Press. ed.</w:t>
      </w:r>
    </w:p>
    <w:bookmarkEnd w:id="454"/>
    <w:bookmarkStart w:id="455" w:name="ref-PhysRevLett.122.084501"/>
    <w:p>
      <w:pPr>
        <w:pStyle w:val="Bibliography"/>
      </w:pPr>
      <w:r>
        <w:t xml:space="preserve">Esposito A, Krichevsky R, Nicolis A. 2019. Gravitational mass carried by sound waves.</w:t>
      </w:r>
      <w:r>
        <w:t xml:space="preserve"> </w:t>
      </w:r>
      <w:r>
        <w:rPr>
          <w:i/>
        </w:rPr>
        <w:t xml:space="preserve">Phys. Rev. Lett.</w:t>
      </w:r>
      <w:r>
        <w:t xml:space="preserve"> </w:t>
      </w:r>
      <w:r>
        <w:t xml:space="preserve">122(8):084501</w:t>
      </w:r>
    </w:p>
    <w:bookmarkEnd w:id="455"/>
    <w:bookmarkStart w:id="456"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56"/>
    <w:bookmarkStart w:id="458"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57">
        <w:r>
          <w:rPr>
            <w:rStyle w:val="Hyperlink"/>
          </w:rPr>
          <w:t xml:space="preserve">https://ismir2017.smcnus.org/wp-content/uploads/2017/10/161_Paper.pdf</w:t>
        </w:r>
      </w:hyperlink>
    </w:p>
    <w:bookmarkEnd w:id="458"/>
    <w:bookmarkStart w:id="459"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59"/>
    <w:bookmarkStart w:id="460"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60"/>
    <w:bookmarkStart w:id="461"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61"/>
    <w:bookmarkStart w:id="462"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62"/>
    <w:bookmarkStart w:id="463"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63"/>
    <w:bookmarkStart w:id="464"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64"/>
    <w:bookmarkStart w:id="466"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65">
        <w:r>
          <w:rPr>
            <w:rStyle w:val="Hyperlink"/>
          </w:rPr>
          <w:t xml:space="preserve">http://www.nime.org/proceedings/2011/nime2011_124.pdf</w:t>
        </w:r>
      </w:hyperlink>
    </w:p>
    <w:bookmarkEnd w:id="466"/>
    <w:bookmarkStart w:id="467"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67"/>
    <w:bookmarkStart w:id="469"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68">
        <w:r>
          <w:rPr>
            <w:rStyle w:val="Hyperlink"/>
          </w:rPr>
          <w:t xml:space="preserve">http://ismir2000.ismir.net/posters/good.pdf</w:t>
        </w:r>
      </w:hyperlink>
    </w:p>
    <w:bookmarkEnd w:id="469"/>
    <w:bookmarkStart w:id="471"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70">
        <w:r>
          <w:rPr>
            <w:rStyle w:val="Hyperlink"/>
          </w:rPr>
          <w:t xml:space="preserve">http://ismir2002.ismir.net/proceedings/03-SP04-1.pdf</w:t>
        </w:r>
      </w:hyperlink>
    </w:p>
    <w:bookmarkEnd w:id="471"/>
    <w:bookmarkStart w:id="473"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72">
        <w:r>
          <w:rPr>
            <w:rStyle w:val="Hyperlink"/>
          </w:rPr>
          <w:t xml:space="preserve">http://ismir2003.ismir.net/papers/Goto1.PDF</w:t>
        </w:r>
      </w:hyperlink>
    </w:p>
    <w:bookmarkEnd w:id="473"/>
    <w:bookmarkStart w:id="474" w:name="ref-Gra15:The"/>
    <w:p>
      <w:pPr>
        <w:pStyle w:val="Bibliography"/>
      </w:pPr>
      <w:r>
        <w:t xml:space="preserve">Gratton P, Morin M-E. 2015.</w:t>
      </w:r>
      <w:r>
        <w:t xml:space="preserve"> </w:t>
      </w:r>
      <w:r>
        <w:rPr>
          <w:i/>
        </w:rPr>
        <w:t xml:space="preserve">The Nancy Dictionary</w:t>
      </w:r>
      <w:r>
        <w:t xml:space="preserve">. Edinburgh University Press. ed.</w:t>
      </w:r>
    </w:p>
    <w:bookmarkEnd w:id="474"/>
    <w:bookmarkStart w:id="475"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75"/>
    <w:bookmarkStart w:id="477"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76">
        <w:r>
          <w:rPr>
            <w:rStyle w:val="Hyperlink"/>
          </w:rPr>
          <w:t xml:space="preserve">http://www.terasoft.com.tw/conf/ismir2014/proceedings/T059_257_Paper.pdf</w:t>
        </w:r>
      </w:hyperlink>
    </w:p>
    <w:bookmarkEnd w:id="477"/>
    <w:bookmarkStart w:id="478"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78"/>
    <w:bookmarkStart w:id="479"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79"/>
    <w:bookmarkStart w:id="480" w:name="ref-Han04:New"/>
    <w:p>
      <w:pPr>
        <w:pStyle w:val="Bibliography"/>
      </w:pPr>
      <w:r>
        <w:t xml:space="preserve">Hansen MBN. 2004.</w:t>
      </w:r>
      <w:r>
        <w:t xml:space="preserve"> </w:t>
      </w:r>
      <w:r>
        <w:rPr>
          <w:i/>
        </w:rPr>
        <w:t xml:space="preserve">New Philosophy for New Media</w:t>
      </w:r>
      <w:r>
        <w:t xml:space="preserve">. The MIT Press. ed.</w:t>
      </w:r>
    </w:p>
    <w:bookmarkEnd w:id="480"/>
    <w:bookmarkStart w:id="482"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481">
        <w:r>
          <w:rPr>
            <w:rStyle w:val="Hyperlink"/>
          </w:rPr>
          <w:t xml:space="preserve">http://ismir2008.ismir.net/papers/ISMIR2008_173.pdf</w:t>
        </w:r>
      </w:hyperlink>
    </w:p>
    <w:bookmarkEnd w:id="482"/>
    <w:bookmarkStart w:id="483"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483"/>
    <w:bookmarkStart w:id="484"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484"/>
    <w:bookmarkStart w:id="486"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485">
        <w:r>
          <w:rPr>
            <w:rStyle w:val="Hyperlink"/>
          </w:rPr>
          <w:t xml:space="preserve">http://www.ppgia.pucpr.br/ismir2013/wp-content/uploads/2013/09/85_Paper.pdf</w:t>
        </w:r>
      </w:hyperlink>
    </w:p>
    <w:bookmarkEnd w:id="486"/>
    <w:bookmarkStart w:id="487"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487"/>
    <w:bookmarkStart w:id="488" w:name="ref-Hay93:The"/>
    <w:p>
      <w:pPr>
        <w:pStyle w:val="Bibliography"/>
      </w:pPr>
      <w:r>
        <w:t xml:space="preserve">Hayles NK. 1993. The materiality of informatics.</w:t>
      </w:r>
      <w:r>
        <w:t xml:space="preserve"> </w:t>
      </w:r>
      <w:r>
        <w:rPr>
          <w:i/>
        </w:rPr>
        <w:t xml:space="preserve">Configurations</w:t>
      </w:r>
      <w:r>
        <w:t xml:space="preserve">. 1(1):</w:t>
      </w:r>
    </w:p>
    <w:bookmarkEnd w:id="488"/>
    <w:bookmarkStart w:id="489"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489"/>
    <w:bookmarkStart w:id="490"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490"/>
    <w:bookmarkStart w:id="491"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491"/>
    <w:bookmarkStart w:id="493"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492">
        <w:r>
          <w:rPr>
            <w:rStyle w:val="Hyperlink"/>
          </w:rPr>
          <w:t xml:space="preserve">http://www.nime.org/proceedings/2010/nime2010_233.pdf</w:t>
        </w:r>
      </w:hyperlink>
    </w:p>
    <w:bookmarkEnd w:id="493"/>
    <w:bookmarkStart w:id="495"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494">
        <w:r>
          <w:rPr>
            <w:rStyle w:val="Hyperlink"/>
          </w:rPr>
          <w:t xml:space="preserve">http://ismir2005.ismir.net/proceedings/2117.pdf</w:t>
        </w:r>
      </w:hyperlink>
    </w:p>
    <w:bookmarkEnd w:id="495"/>
    <w:bookmarkStart w:id="496"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496"/>
    <w:bookmarkStart w:id="498"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497">
        <w:r>
          <w:rPr>
            <w:rStyle w:val="Hyperlink"/>
          </w:rPr>
          <w:t xml:space="preserve">http://ismir2018.ircam.fr/doc/pdfs/248_Paper.pdf</w:t>
        </w:r>
      </w:hyperlink>
    </w:p>
    <w:bookmarkEnd w:id="498"/>
    <w:bookmarkStart w:id="499" w:name="ref-Mau99:Abr"/>
    <w:p>
      <w:pPr>
        <w:pStyle w:val="Bibliography"/>
      </w:pPr>
      <w:r>
        <w:t xml:space="preserve">IV JAM. 1999.</w:t>
      </w:r>
      <w:r>
        <w:t xml:space="preserve"> </w:t>
      </w:r>
      <w:r>
        <w:rPr>
          <w:i/>
        </w:rPr>
        <w:t xml:space="preserve">A Brief History of Algorithmic Composition</w:t>
      </w:r>
      <w:r>
        <w:t xml:space="preserve">. Online. ed.</w:t>
      </w:r>
    </w:p>
    <w:bookmarkEnd w:id="499"/>
    <w:bookmarkStart w:id="500"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500"/>
    <w:bookmarkStart w:id="501"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501"/>
    <w:bookmarkStart w:id="502"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502"/>
    <w:bookmarkStart w:id="504"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503">
        <w:r>
          <w:rPr>
            <w:rStyle w:val="Hyperlink"/>
          </w:rPr>
          <w:t xml:space="preserve">http://ismir2008.ismir.net/papers/ISMIR2008_106.pdf</w:t>
        </w:r>
      </w:hyperlink>
    </w:p>
    <w:bookmarkEnd w:id="504"/>
    <w:bookmarkStart w:id="505"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505"/>
    <w:bookmarkStart w:id="506" w:name="ref-Kan14:Sou"/>
    <w:p>
      <w:pPr>
        <w:pStyle w:val="Bibliography"/>
      </w:pPr>
      <w:r>
        <w:t xml:space="preserve">Kane B. 2014.</w:t>
      </w:r>
      <w:r>
        <w:t xml:space="preserve"> </w:t>
      </w:r>
      <w:r>
        <w:rPr>
          <w:i/>
        </w:rPr>
        <w:t xml:space="preserve">Sound Unseen: Acousmatic Sound in Theory and Practice</w:t>
      </w:r>
      <w:r>
        <w:t xml:space="preserve">. Oxford University Press. ed.</w:t>
      </w:r>
    </w:p>
    <w:bookmarkEnd w:id="506"/>
    <w:bookmarkStart w:id="507"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507"/>
    <w:bookmarkStart w:id="508"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508"/>
    <w:bookmarkStart w:id="509"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509"/>
    <w:bookmarkStart w:id="511"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510">
        <w:r>
          <w:rPr>
            <w:rStyle w:val="Hyperlink"/>
          </w:rPr>
          <w:t xml:space="preserve">http://www.terasoft.com.tw/conf/ismir2014/proceedings/T039_344_Paper.pdf</w:t>
        </w:r>
      </w:hyperlink>
    </w:p>
    <w:bookmarkEnd w:id="511"/>
    <w:bookmarkStart w:id="512" w:name="ref-Kle98:The"/>
    <w:p>
      <w:pPr>
        <w:pStyle w:val="Bibliography"/>
      </w:pPr>
      <w:r>
        <w:t xml:space="preserve">Klein J. 1998. The wolves of bays mountain</w:t>
      </w:r>
    </w:p>
    <w:bookmarkEnd w:id="512"/>
    <w:bookmarkStart w:id="513" w:name="ref-Kle17:Lec"/>
    <w:p>
      <w:pPr>
        <w:pStyle w:val="Bibliography"/>
      </w:pPr>
      <w:r>
        <w:t xml:space="preserve">Klein J. 2017.</w:t>
      </w:r>
      <w:r>
        <w:t xml:space="preserve"> </w:t>
      </w:r>
      <w:r>
        <w:rPr>
          <w:i/>
        </w:rPr>
        <w:t xml:space="preserve">On my compositional approach</w:t>
      </w:r>
      <w:r>
        <w:t xml:space="preserve">. Work. Pap.</w:t>
      </w:r>
    </w:p>
    <w:bookmarkEnd w:id="513"/>
    <w:bookmarkStart w:id="514"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514"/>
    <w:bookmarkStart w:id="516"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515">
        <w:r>
          <w:rPr>
            <w:rStyle w:val="Hyperlink"/>
          </w:rPr>
          <w:t xml:space="preserve">http://ismir2015.uma.es/articles/246_Paper.pdf</w:t>
        </w:r>
      </w:hyperlink>
    </w:p>
    <w:bookmarkEnd w:id="516"/>
    <w:bookmarkStart w:id="517"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517"/>
    <w:bookmarkStart w:id="518"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18"/>
    <w:bookmarkStart w:id="519"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19"/>
    <w:bookmarkStart w:id="520"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20"/>
    <w:bookmarkStart w:id="521"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21"/>
    <w:bookmarkStart w:id="522"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22"/>
    <w:bookmarkStart w:id="523"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23"/>
    <w:bookmarkStart w:id="524"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24"/>
    <w:bookmarkStart w:id="525"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25"/>
    <w:bookmarkStart w:id="526"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26"/>
    <w:bookmarkStart w:id="527"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27"/>
    <w:bookmarkStart w:id="528" w:name="ref-Lod98:MUS"/>
    <w:p>
      <w:pPr>
        <w:pStyle w:val="Bibliography"/>
      </w:pPr>
      <w:r>
        <w:t xml:space="preserve">Lodha S, Beahan J, Joseph A, Zane-ulman B. 1998. MUSE: A musical data sonification toolkit</w:t>
      </w:r>
    </w:p>
    <w:bookmarkEnd w:id="528"/>
    <w:bookmarkStart w:id="529"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29"/>
    <w:bookmarkStart w:id="531"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30">
        <w:r>
          <w:rPr>
            <w:rStyle w:val="Hyperlink"/>
          </w:rPr>
          <w:t xml:space="preserve">http://www.nime.org/proceedings/2008/nime2008_221.pdf</w:t>
        </w:r>
      </w:hyperlink>
    </w:p>
    <w:bookmarkEnd w:id="531"/>
    <w:bookmarkStart w:id="532"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32"/>
    <w:bookmarkStart w:id="533" w:name="ref-Luc70:Iam"/>
    <w:p>
      <w:pPr>
        <w:pStyle w:val="Bibliography"/>
      </w:pPr>
      <w:r>
        <w:t xml:space="preserve">Lucier A. 1970. I am sitting in a room</w:t>
      </w:r>
    </w:p>
    <w:bookmarkEnd w:id="533"/>
    <w:bookmarkStart w:id="534" w:name="ref-Man01:The"/>
    <w:p>
      <w:pPr>
        <w:pStyle w:val="Bibliography"/>
      </w:pPr>
      <w:r>
        <w:t xml:space="preserve">Manovich L. 2001.</w:t>
      </w:r>
      <w:r>
        <w:t xml:space="preserve"> </w:t>
      </w:r>
      <w:r>
        <w:rPr>
          <w:i/>
        </w:rPr>
        <w:t xml:space="preserve">The Language of New Media</w:t>
      </w:r>
      <w:r>
        <w:t xml:space="preserve">. MIT Press. ed.</w:t>
      </w:r>
    </w:p>
    <w:bookmarkEnd w:id="534"/>
    <w:bookmarkStart w:id="535" w:name="ref-Man02:Old"/>
    <w:p>
      <w:pPr>
        <w:pStyle w:val="Bibliography"/>
      </w:pPr>
      <w:r>
        <w:t xml:space="preserve">Manovich L. 2002. Old media as new media: Cinema.</w:t>
      </w:r>
      <w:r>
        <w:t xml:space="preserve"> </w:t>
      </w:r>
      <w:r>
        <w:rPr>
          <w:i/>
        </w:rPr>
        <w:t xml:space="preserve">The New Media Book</w:t>
      </w:r>
    </w:p>
    <w:bookmarkEnd w:id="535"/>
    <w:bookmarkStart w:id="536" w:name="ref-Mat63:The"/>
    <w:p>
      <w:pPr>
        <w:pStyle w:val="Bibliography"/>
      </w:pPr>
      <w:r>
        <w:t xml:space="preserve">Mathews MV. 1963. The digital computer as a musical instrument.</w:t>
      </w:r>
      <w:r>
        <w:t xml:space="preserve"> </w:t>
      </w:r>
      <w:r>
        <w:rPr>
          <w:i/>
        </w:rPr>
        <w:t xml:space="preserve">Science</w:t>
      </w:r>
      <w:r>
        <w:t xml:space="preserve">. 142(3592):553–57</w:t>
      </w:r>
    </w:p>
    <w:bookmarkEnd w:id="536"/>
    <w:bookmarkStart w:id="538"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37">
        <w:r>
          <w:rPr>
            <w:rStyle w:val="Hyperlink"/>
          </w:rPr>
          <w:t xml:space="preserve">http://ismir2008.ismir.net/papers/ISMIR2008_158.pdf</w:t>
        </w:r>
      </w:hyperlink>
    </w:p>
    <w:bookmarkEnd w:id="538"/>
    <w:bookmarkStart w:id="539"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39"/>
    <w:bookmarkStart w:id="540"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40"/>
    <w:bookmarkStart w:id="541"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41"/>
    <w:bookmarkStart w:id="542" w:name="ref-csoundMethods"/>
    <w:p>
      <w:pPr>
        <w:pStyle w:val="Bibliography"/>
      </w:pPr>
      <w:r>
        <w:t xml:space="preserve">McCurdy I, Heintz J, Joaquin J, Knevel M. 2015. Methods of writing csound scores.</w:t>
      </w:r>
      <w:r>
        <w:t xml:space="preserve"> </w:t>
      </w:r>
      <w:r>
        <w:rPr>
          <w:i/>
        </w:rPr>
        <w:t xml:space="preserve">FLOSS Manuals</w:t>
      </w:r>
    </w:p>
    <w:bookmarkEnd w:id="542"/>
    <w:bookmarkStart w:id="543"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43"/>
    <w:bookmarkStart w:id="545"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44">
        <w:r>
          <w:rPr>
            <w:rStyle w:val="Hyperlink"/>
          </w:rPr>
          <w:t xml:space="preserve">http://ismir2018.ircam.fr/doc/pdfs/35_Paper.pdf</w:t>
        </w:r>
      </w:hyperlink>
    </w:p>
    <w:bookmarkEnd w:id="545"/>
    <w:bookmarkStart w:id="546"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46"/>
    <w:bookmarkStart w:id="547"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47"/>
    <w:bookmarkStart w:id="548"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48"/>
    <w:bookmarkStart w:id="549"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49"/>
    <w:bookmarkStart w:id="550" w:name="ref-ods-cpp"/>
    <w:p>
      <w:pPr>
        <w:pStyle w:val="Bibliography"/>
      </w:pPr>
      <w:r>
        <w:t xml:space="preserve">Morin P. 2019.</w:t>
      </w:r>
      <w:r>
        <w:t xml:space="preserve"> </w:t>
      </w:r>
      <w:r>
        <w:rPr>
          <w:i/>
        </w:rPr>
        <w:t xml:space="preserve">Open Data Structures</w:t>
      </w:r>
      <w:r>
        <w:t xml:space="preserve">. Creative Commons. ed.</w:t>
      </w:r>
    </w:p>
    <w:bookmarkEnd w:id="550"/>
    <w:bookmarkStart w:id="551"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51"/>
    <w:bookmarkStart w:id="552"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52"/>
    <w:bookmarkStart w:id="553"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53"/>
    <w:bookmarkStart w:id="555"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54">
        <w:r>
          <w:rPr>
            <w:rStyle w:val="Hyperlink"/>
          </w:rPr>
          <w:t xml:space="preserve">http://www.nime.org/proceedings/2007/nime2007_409.pdf</w:t>
        </w:r>
      </w:hyperlink>
    </w:p>
    <w:bookmarkEnd w:id="555"/>
    <w:bookmarkStart w:id="556"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56"/>
    <w:bookmarkStart w:id="557" w:name="ref-Nan07:Lis"/>
    <w:p>
      <w:pPr>
        <w:pStyle w:val="Bibliography"/>
      </w:pPr>
      <w:r>
        <w:t xml:space="preserve">Nancy J-L. 2007.</w:t>
      </w:r>
      <w:r>
        <w:t xml:space="preserve"> </w:t>
      </w:r>
      <w:r>
        <w:rPr>
          <w:i/>
        </w:rPr>
        <w:t xml:space="preserve">Listening</w:t>
      </w:r>
      <w:r>
        <w:t xml:space="preserve">. Fordham University Place. ed.</w:t>
      </w:r>
    </w:p>
    <w:bookmarkEnd w:id="557"/>
    <w:bookmarkStart w:id="558"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58"/>
    <w:bookmarkStart w:id="560"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59">
        <w:r>
          <w:rPr>
            <w:rStyle w:val="Hyperlink"/>
          </w:rPr>
          <w:t xml:space="preserve">http://www.nime.org/proceedings/2007/nime2007_112.pdf</w:t>
        </w:r>
      </w:hyperlink>
    </w:p>
    <w:bookmarkEnd w:id="560"/>
    <w:bookmarkStart w:id="561"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61"/>
    <w:bookmarkStart w:id="562"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62"/>
    <w:bookmarkStart w:id="563"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63"/>
    <w:bookmarkStart w:id="564"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64"/>
    <w:bookmarkStart w:id="565"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65"/>
    <w:bookmarkStart w:id="566"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66"/>
    <w:bookmarkStart w:id="567" w:name="ref-DBLP:conf/icmc/OliverJ10"/>
    <w:p>
      <w:pPr>
        <w:pStyle w:val="Bibliography"/>
      </w:pPr>
      <w:r>
        <w:t xml:space="preserve">Oliver J. 2010. The mano controller: A video based hand tracking system.</w:t>
      </w:r>
      <w:r>
        <w:t xml:space="preserve"> </w:t>
      </w:r>
      <w:r>
        <w:rPr>
          <w:i/>
        </w:rPr>
        <w:t xml:space="preserve">Proceedings of the 2010 International Computer Music Conference, ICMC 2010, New York, Usa, 2010</w:t>
      </w:r>
      <w:r>
        <w:t xml:space="preserve">. Michigan Publishing</w:t>
      </w:r>
    </w:p>
    <w:bookmarkEnd w:id="567"/>
    <w:bookmarkStart w:id="568" w:name="ref-DBLP:conf/icmc/OliverJ08"/>
    <w:p>
      <w:pPr>
        <w:pStyle w:val="Bibliography"/>
      </w:pPr>
      <w:r>
        <w:t xml:space="preserve">Oliver J, Jenkins M. 2008. The silent drum controller: A new percussive gestural interface.</w:t>
      </w:r>
      <w:r>
        <w:t xml:space="preserve"> </w:t>
      </w:r>
      <w:r>
        <w:rPr>
          <w:i/>
        </w:rPr>
        <w:t xml:space="preserve">Proceedings of the 2008 International Computer Music Conference, ICMC 2008, Belfast, Ireland, August 24-29, 2008</w:t>
      </w:r>
      <w:r>
        <w:t xml:space="preserve">. Michigan Publishing</w:t>
      </w:r>
    </w:p>
    <w:bookmarkEnd w:id="568"/>
    <w:bookmarkStart w:id="569"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69"/>
    <w:bookmarkStart w:id="570"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70"/>
    <w:bookmarkStart w:id="571"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71"/>
    <w:bookmarkStart w:id="572" w:name="ref-Wil96:Lis"/>
    <w:p>
      <w:pPr>
        <w:pStyle w:val="Bibliography"/>
      </w:pPr>
      <w:r>
        <w:t xml:space="preserve">Pauletto S, Hunt A. 2004a. A toolkit for interactive sonification.</w:t>
      </w:r>
      <w:r>
        <w:t xml:space="preserve"> </w:t>
      </w:r>
      <w:r>
        <w:rPr>
          <w:i/>
        </w:rPr>
        <w:t xml:space="preserve">ICAD</w:t>
      </w:r>
      <w:r>
        <w:t xml:space="preserve">. Georgia Institute of Technology</w:t>
      </w:r>
    </w:p>
    <w:bookmarkEnd w:id="572"/>
    <w:bookmarkStart w:id="573" w:name="ref-pauletto04"/>
    <w:p>
      <w:pPr>
        <w:pStyle w:val="Bibliography"/>
      </w:pPr>
      <w:r>
        <w:t xml:space="preserve">Pauletto S, Hunt A. 2004b.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p>
    <w:bookmarkEnd w:id="573"/>
    <w:bookmarkStart w:id="574"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74"/>
    <w:bookmarkStart w:id="576"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75">
        <w:r>
          <w:rPr>
            <w:rStyle w:val="Hyperlink"/>
          </w:rPr>
          <w:t xml:space="preserve">http://www.terasoft.com.tw/conf/ismir2014/proceedings/T064_307_Paper.pdf</w:t>
        </w:r>
      </w:hyperlink>
    </w:p>
    <w:bookmarkEnd w:id="576"/>
    <w:bookmarkStart w:id="577"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77"/>
    <w:bookmarkStart w:id="578" w:name="ref-Pos11:Int"/>
    <w:p>
      <w:pPr>
        <w:pStyle w:val="Bibliography"/>
      </w:pPr>
      <w:r>
        <w:t xml:space="preserve">Poster M. 2011. Introduction.</w:t>
      </w:r>
      <w:r>
        <w:t xml:space="preserve"> </w:t>
      </w:r>
      <w:r>
        <w:rPr>
          <w:i/>
        </w:rPr>
        <w:t xml:space="preserve">Into the Universe of Technical Images</w:t>
      </w:r>
    </w:p>
    <w:bookmarkEnd w:id="578"/>
    <w:bookmarkStart w:id="580"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79">
        <w:r>
          <w:rPr>
            <w:rStyle w:val="Hyperlink"/>
          </w:rPr>
          <w:t xml:space="preserve">http://www.nime.org/proceedings/2008/nime2008_311.pdf</w:t>
        </w:r>
      </w:hyperlink>
    </w:p>
    <w:bookmarkEnd w:id="580"/>
    <w:bookmarkStart w:id="581"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581"/>
    <w:bookmarkStart w:id="582"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582"/>
    <w:bookmarkStart w:id="583" w:name="ref-Puc91:Som"/>
    <w:p>
      <w:pPr>
        <w:pStyle w:val="Bibliography"/>
      </w:pPr>
      <w:r>
        <w:t xml:space="preserve">Puckette M. 1991. Something digital.</w:t>
      </w:r>
      <w:r>
        <w:t xml:space="preserve"> </w:t>
      </w:r>
      <w:r>
        <w:rPr>
          <w:i/>
        </w:rPr>
        <w:t xml:space="preserve">Computer Music Journal</w:t>
      </w:r>
      <w:r>
        <w:t xml:space="preserve">. 15(4):65–69</w:t>
      </w:r>
    </w:p>
    <w:bookmarkEnd w:id="583"/>
    <w:bookmarkStart w:id="584"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584"/>
    <w:bookmarkStart w:id="585"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585"/>
    <w:bookmarkStart w:id="586"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586"/>
    <w:bookmarkStart w:id="587"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587"/>
    <w:bookmarkStart w:id="588"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588"/>
    <w:bookmarkStart w:id="589"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589"/>
    <w:bookmarkStart w:id="590" w:name="ref-Roa04:Mic"/>
    <w:p>
      <w:pPr>
        <w:pStyle w:val="Bibliography"/>
      </w:pPr>
      <w:r>
        <w:t xml:space="preserve">Roads C. 2001.</w:t>
      </w:r>
      <w:r>
        <w:t xml:space="preserve"> </w:t>
      </w:r>
      <w:r>
        <w:rPr>
          <w:i/>
        </w:rPr>
        <w:t xml:space="preserve">Microsound</w:t>
      </w:r>
      <w:r>
        <w:t xml:space="preserve">. MIT Press. ed.</w:t>
      </w:r>
    </w:p>
    <w:bookmarkEnd w:id="590"/>
    <w:bookmarkStart w:id="591" w:name="ref-Roa80:Int"/>
    <w:p>
      <w:pPr>
        <w:pStyle w:val="Bibliography"/>
      </w:pPr>
      <w:r>
        <w:t xml:space="preserve">Roads C, Mathews M. 1980. Interview with max mathews.</w:t>
      </w:r>
      <w:r>
        <w:t xml:space="preserve"> </w:t>
      </w:r>
      <w:r>
        <w:rPr>
          <w:i/>
        </w:rPr>
        <w:t xml:space="preserve">Computer Music Journal</w:t>
      </w:r>
      <w:r>
        <w:t xml:space="preserve">. 4(4):15–22</w:t>
      </w:r>
    </w:p>
    <w:bookmarkEnd w:id="591"/>
    <w:bookmarkStart w:id="592"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592"/>
    <w:bookmarkStart w:id="593"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593"/>
    <w:bookmarkStart w:id="594"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594"/>
    <w:bookmarkStart w:id="595"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595"/>
    <w:bookmarkStart w:id="596"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596"/>
    <w:bookmarkStart w:id="597"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597"/>
    <w:bookmarkStart w:id="598"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598"/>
    <w:bookmarkStart w:id="599"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599"/>
    <w:bookmarkStart w:id="600"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600"/>
    <w:bookmarkStart w:id="601"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601"/>
    <w:bookmarkStart w:id="603"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602">
        <w:r>
          <w:rPr>
            <w:rStyle w:val="Hyperlink"/>
          </w:rPr>
          <w:t xml:space="preserve">http://ismir2005.ismir.net/proceedings/3123.pdf</w:t>
        </w:r>
      </w:hyperlink>
    </w:p>
    <w:bookmarkEnd w:id="603"/>
    <w:bookmarkStart w:id="604"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604"/>
    <w:bookmarkStart w:id="605"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605"/>
    <w:bookmarkStart w:id="606"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606"/>
    <w:bookmarkStart w:id="607"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607"/>
    <w:bookmarkStart w:id="608"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608"/>
    <w:bookmarkStart w:id="609"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609"/>
    <w:bookmarkStart w:id="610"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610"/>
    <w:bookmarkStart w:id="611"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611"/>
    <w:bookmarkStart w:id="612" w:name="ref-Sch06:Rea"/>
    <w:p>
      <w:pPr>
        <w:pStyle w:val="Bibliography"/>
      </w:pPr>
      <w:r>
        <w:t xml:space="preserve">Schwarz D. 2006b. Real-time corpus-based concatenative synthesis with catart., pp. 18–21</w:t>
      </w:r>
    </w:p>
    <w:bookmarkEnd w:id="612"/>
    <w:bookmarkStart w:id="613"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613"/>
    <w:bookmarkStart w:id="614"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614"/>
    <w:bookmarkStart w:id="615"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615"/>
    <w:bookmarkStart w:id="616" w:name="ref-scoremus"/>
    <w:p>
      <w:pPr>
        <w:pStyle w:val="Bibliography"/>
      </w:pPr>
      <w:r>
        <w:t xml:space="preserve">Selfridge-Field E. 1997. The score music publishing system.</w:t>
      </w:r>
      <w:r>
        <w:t xml:space="preserve"> </w:t>
      </w:r>
      <w:r>
        <w:rPr>
          <w:i/>
        </w:rPr>
        <w:t xml:space="preserve">SCORE</w:t>
      </w:r>
    </w:p>
    <w:bookmarkEnd w:id="616"/>
    <w:bookmarkStart w:id="617"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617"/>
    <w:bookmarkStart w:id="619"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618">
        <w:r>
          <w:rPr>
            <w:rStyle w:val="Hyperlink"/>
          </w:rPr>
          <w:t xml:space="preserve">https://hal.archives-ouvertes.fr/hal-01393959</w:t>
        </w:r>
      </w:hyperlink>
    </w:p>
    <w:bookmarkEnd w:id="619"/>
    <w:bookmarkStart w:id="620"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20"/>
    <w:bookmarkStart w:id="621"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21"/>
    <w:bookmarkStart w:id="622" w:name="ref-fdch/installation/spectral"/>
    <w:p>
      <w:pPr>
        <w:pStyle w:val="Bibliography"/>
      </w:pPr>
      <w:r>
        <w:t xml:space="preserve">Simonelli L, Delgadino M, Cámara Halac F. 2017.</w:t>
      </w:r>
      <w:r>
        <w:t xml:space="preserve"> </w:t>
      </w:r>
      <w:r>
        <w:rPr>
          <w:i/>
        </w:rPr>
        <w:t xml:space="preserve">Hearing the Self: A Spectral Experience</w:t>
      </w:r>
      <w:r>
        <w:t xml:space="preserve">. Xuhui Art Museum, Shanghai, China: International Computer Music Conference. ed.</w:t>
      </w:r>
    </w:p>
    <w:bookmarkEnd w:id="622"/>
    <w:bookmarkStart w:id="623" w:name="ref-10.2307/941442"/>
    <w:p>
      <w:pPr>
        <w:pStyle w:val="Bibliography"/>
      </w:pPr>
      <w:r>
        <w:t xml:space="preserve">Skinner R. 1990a. Music software.</w:t>
      </w:r>
      <w:r>
        <w:t xml:space="preserve"> </w:t>
      </w:r>
      <w:r>
        <w:rPr>
          <w:i/>
        </w:rPr>
        <w:t xml:space="preserve">Notes</w:t>
      </w:r>
      <w:r>
        <w:t xml:space="preserve">. 46(3):660–84</w:t>
      </w:r>
    </w:p>
    <w:bookmarkEnd w:id="623"/>
    <w:bookmarkStart w:id="624" w:name="ref-10.2307/940555"/>
    <w:p>
      <w:pPr>
        <w:pStyle w:val="Bibliography"/>
      </w:pPr>
      <w:r>
        <w:t xml:space="preserve">Skinner R. 1990b. Music software.</w:t>
      </w:r>
      <w:r>
        <w:t xml:space="preserve"> </w:t>
      </w:r>
      <w:r>
        <w:rPr>
          <w:i/>
        </w:rPr>
        <w:t xml:space="preserve">Notes</w:t>
      </w:r>
      <w:r>
        <w:t xml:space="preserve">. 47(1):91–101</w:t>
      </w:r>
    </w:p>
    <w:bookmarkEnd w:id="624"/>
    <w:bookmarkStart w:id="625"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25"/>
    <w:bookmarkStart w:id="626"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26"/>
    <w:bookmarkStart w:id="627"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27"/>
    <w:bookmarkStart w:id="628" w:name="ref-Ste03:Aud"/>
    <w:p>
      <w:pPr>
        <w:pStyle w:val="Bibliography"/>
      </w:pPr>
      <w:r>
        <w:t xml:space="preserve">Sterne J. 2003.</w:t>
      </w:r>
      <w:r>
        <w:t xml:space="preserve"> </w:t>
      </w:r>
      <w:r>
        <w:rPr>
          <w:i/>
        </w:rPr>
        <w:t xml:space="preserve">The Audible Past : Cultural Origins of Sound Reproduction</w:t>
      </w:r>
      <w:r>
        <w:t xml:space="preserve">. Duke University Press. ed.</w:t>
      </w:r>
    </w:p>
    <w:bookmarkEnd w:id="628"/>
    <w:bookmarkStart w:id="629" w:name="ref-Ste12:MP3"/>
    <w:p>
      <w:pPr>
        <w:pStyle w:val="Bibliography"/>
      </w:pPr>
      <w:r>
        <w:t xml:space="preserve">Sterne J. 2012.</w:t>
      </w:r>
      <w:r>
        <w:t xml:space="preserve"> </w:t>
      </w:r>
      <w:r>
        <w:rPr>
          <w:i/>
        </w:rPr>
        <w:t xml:space="preserve">MP3: The Meaning of a Format</w:t>
      </w:r>
      <w:r>
        <w:t xml:space="preserve">. Duke University Press. ed.</w:t>
      </w:r>
    </w:p>
    <w:bookmarkEnd w:id="629"/>
    <w:bookmarkStart w:id="630"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30"/>
    <w:bookmarkStart w:id="631" w:name="ref-Stu04:Mat"/>
    <w:p>
      <w:pPr>
        <w:pStyle w:val="Bibliography"/>
      </w:pPr>
      <w:r>
        <w:t xml:space="preserve">Sturm B. 2004. MATConcat: An application for exploring concatenative sound synthesis using matlab</w:t>
      </w:r>
    </w:p>
    <w:bookmarkEnd w:id="631"/>
    <w:bookmarkStart w:id="632"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32"/>
    <w:bookmarkStart w:id="633" w:name="ref-Sze08:Lis"/>
    <w:p>
      <w:pPr>
        <w:pStyle w:val="Bibliography"/>
      </w:pPr>
      <w:r>
        <w:t xml:space="preserve">Szendy P. 2008.</w:t>
      </w:r>
      <w:r>
        <w:t xml:space="preserve"> </w:t>
      </w:r>
      <w:r>
        <w:rPr>
          <w:i/>
        </w:rPr>
        <w:t xml:space="preserve">Listen: A History of Our Ears</w:t>
      </w:r>
      <w:r>
        <w:t xml:space="preserve">. Fordham University. ed.</w:t>
      </w:r>
    </w:p>
    <w:bookmarkEnd w:id="633"/>
    <w:bookmarkStart w:id="634"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34"/>
    <w:bookmarkStart w:id="635" w:name="ref-Sch07:How"/>
    <w:p>
      <w:pPr>
        <w:pStyle w:val="Bibliography"/>
      </w:pPr>
      <w:r>
        <w:t xml:space="preserve">Thiebaut J-B, Bello J, Schwarz D. 2007. How musical are images? From sound representation to image sonification: An eco systemic approach</w:t>
      </w:r>
    </w:p>
    <w:bookmarkEnd w:id="635"/>
    <w:bookmarkStart w:id="636"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36"/>
    <w:bookmarkStart w:id="637"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37"/>
    <w:bookmarkStart w:id="638"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38"/>
    <w:bookmarkStart w:id="639"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39"/>
    <w:bookmarkStart w:id="640"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40"/>
    <w:bookmarkStart w:id="641"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41"/>
    <w:bookmarkStart w:id="642"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42"/>
    <w:bookmarkStart w:id="644"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43">
        <w:r>
          <w:rPr>
            <w:rStyle w:val="Hyperlink"/>
          </w:rPr>
          <w:t xml:space="preserve">https://quod.lib.umich.edu/i/icmc/bbp2372.2012.006</w:t>
        </w:r>
      </w:hyperlink>
    </w:p>
    <w:bookmarkEnd w:id="644"/>
    <w:bookmarkStart w:id="645" w:name="ref-Var04:The"/>
    <w:p>
      <w:pPr>
        <w:pStyle w:val="Bibliography"/>
      </w:pPr>
      <w:r>
        <w:t xml:space="preserve">Varese E. 2004. The liberation of sound.</w:t>
      </w:r>
      <w:r>
        <w:t xml:space="preserve"> </w:t>
      </w:r>
      <w:r>
        <w:rPr>
          <w:i/>
        </w:rPr>
        <w:t xml:space="preserve">Audio Culture: Readings in Modern Music</w:t>
      </w:r>
    </w:p>
    <w:bookmarkEnd w:id="645"/>
    <w:bookmarkStart w:id="646" w:name="ref-Ver84:The"/>
    <w:p>
      <w:pPr>
        <w:pStyle w:val="Bibliography"/>
      </w:pPr>
      <w:r>
        <w:t xml:space="preserve">Vercoe B. 1984. The synthetic performer in the context of live performance</w:t>
      </w:r>
    </w:p>
    <w:bookmarkEnd w:id="646"/>
    <w:bookmarkStart w:id="647" w:name="ref-Ves07:Dat"/>
    <w:p>
      <w:pPr>
        <w:pStyle w:val="Bibliography"/>
      </w:pPr>
      <w:r>
        <w:t xml:space="preserve">Vesna V. 2007.</w:t>
      </w:r>
      <w:r>
        <w:t xml:space="preserve"> </w:t>
      </w:r>
      <w:r>
        <w:rPr>
          <w:i/>
        </w:rPr>
        <w:t xml:space="preserve">Database Aesthetics: Art in the Age of Information Overflow</w:t>
      </w:r>
      <w:r>
        <w:t xml:space="preserve">. University of Minnesotta Press. ed.</w:t>
      </w:r>
    </w:p>
    <w:bookmarkEnd w:id="647"/>
    <w:bookmarkStart w:id="648"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48"/>
    <w:bookmarkStart w:id="650"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49">
        <w:r>
          <w:rPr>
            <w:rStyle w:val="Hyperlink"/>
          </w:rPr>
          <w:t xml:space="preserve">https://ismir2017.smcnus.org/wp-content/uploads/2017/10/180_Paper.pdf</w:t>
        </w:r>
      </w:hyperlink>
    </w:p>
    <w:bookmarkEnd w:id="650"/>
    <w:bookmarkStart w:id="651"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51"/>
    <w:bookmarkStart w:id="653"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52">
        <w:r>
          <w:rPr>
            <w:rStyle w:val="Hyperlink"/>
          </w:rPr>
          <w:t xml:space="preserve">http://ismir2002.ismir.net/proceedings/02-FP06-3.pdf</w:t>
        </w:r>
      </w:hyperlink>
    </w:p>
    <w:bookmarkEnd w:id="653"/>
    <w:bookmarkStart w:id="654"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54"/>
    <w:bookmarkStart w:id="655"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55"/>
    <w:bookmarkStart w:id="656"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56"/>
    <w:bookmarkStart w:id="657"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57"/>
    <w:bookmarkStart w:id="658"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58"/>
    <w:bookmarkStart w:id="659"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59"/>
    <w:bookmarkStart w:id="660"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60"/>
    <w:bookmarkStart w:id="661"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61"/>
    <w:bookmarkStart w:id="662"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62"/>
    <w:bookmarkStart w:id="663" w:name="ref-Wei07:Oce"/>
    <w:p>
      <w:pPr>
        <w:pStyle w:val="Bibliography"/>
      </w:pPr>
      <w:r>
        <w:t xml:space="preserve">Weinbren G. 2007. Ocean, database, recut.</w:t>
      </w:r>
      <w:r>
        <w:t xml:space="preserve"> </w:t>
      </w:r>
      <w:r>
        <w:rPr>
          <w:i/>
        </w:rPr>
        <w:t xml:space="preserve">Database Aesthetics: Art in the Age of Information Overflow</w:t>
      </w:r>
    </w:p>
    <w:bookmarkEnd w:id="663"/>
    <w:bookmarkStart w:id="664"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64"/>
    <w:bookmarkStart w:id="666"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65">
        <w:r>
          <w:rPr>
            <w:rStyle w:val="Hyperlink"/>
          </w:rPr>
          <w:t xml:space="preserve">http://ismir2018.ircam.fr/doc/pdfs/114_Paper.pdf</w:t>
        </w:r>
      </w:hyperlink>
    </w:p>
    <w:bookmarkEnd w:id="666"/>
    <w:bookmarkStart w:id="667"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67"/>
    <w:bookmarkStart w:id="669"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68">
        <w:r>
          <w:rPr>
            <w:rStyle w:val="Hyperlink"/>
          </w:rPr>
          <w:t xml:space="preserve">http://ismir2004.ismir.net/proceedings/p010-page-48-paper227.pdf</w:t>
        </w:r>
      </w:hyperlink>
    </w:p>
    <w:bookmarkEnd w:id="669"/>
    <w:bookmarkStart w:id="670"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70"/>
    <w:bookmarkStart w:id="671"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71"/>
    <w:bookmarkStart w:id="672"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72"/>
    <w:bookmarkStart w:id="674"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73">
        <w:r>
          <w:rPr>
            <w:rStyle w:val="Hyperlink"/>
          </w:rPr>
          <w:t xml:space="preserve">http://ismir2018.ircam.fr/doc/pdfs/188_Paper.pdf</w:t>
        </w:r>
      </w:hyperlink>
    </w:p>
    <w:bookmarkEnd w:id="674"/>
    <w:bookmarkStart w:id="675"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75"/>
    <w:bookmarkStart w:id="676"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76"/>
    <w:bookmarkStart w:id="677"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77"/>
    <w:bookmarkStart w:id="678"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78"/>
    <w:bookmarkStart w:id="679"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679"/>
    <w:bookmarkStart w:id="680"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680"/>
    <w:bookmarkStart w:id="682"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681">
        <w:r>
          <w:rPr>
            <w:rStyle w:val="Hyperlink"/>
          </w:rPr>
          <w:t xml:space="preserve">http://www.nime.org/proceedings/2007/nime2007_352.pdf</w:t>
        </w:r>
      </w:hyperlink>
    </w:p>
    <w:bookmarkEnd w:id="682"/>
    <w:bookmarkStart w:id="683"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683"/>
    <w:bookmarkStart w:id="684" w:name="ref-Zmo15:Liv"/>
    <w:p>
      <w:pPr>
        <w:pStyle w:val="Bibliography"/>
      </w:pPr>
      <w:r>
        <w:t xml:space="preserve">zmölnig I m, Eckel G. 2015.</w:t>
      </w:r>
      <w:r>
        <w:t xml:space="preserve"> </w:t>
      </w:r>
      <w:r>
        <w:rPr>
          <w:i/>
        </w:rPr>
        <w:t xml:space="preserve">LIVE coding: AN overview</w:t>
      </w:r>
      <w:r>
        <w:t xml:space="preserve">. Work. Pap.</w:t>
      </w:r>
    </w:p>
    <w:bookmarkEnd w:id="684"/>
    <w:bookmarkEnd w:id="68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0">
    <w:p>
      <w:pPr>
        <w:pStyle w:val="FootnoteText"/>
      </w:pPr>
      <w:r>
        <w:rPr>
          <w:rStyle w:val="FootnoteReference"/>
        </w:rPr>
        <w:footnoteRef/>
      </w:r>
      <w:r>
        <w:t xml:space="preserve"> </w:t>
      </w:r>
      <w:r>
        <w:t xml:space="preserve">Graham Weinbren 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4">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5">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41">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42">
    <w:p>
      <w:pPr>
        <w:pStyle w:val="FootnoteText"/>
      </w:pPr>
      <w:r>
        <w:rPr>
          <w:rStyle w:val="FootnoteReference"/>
        </w:rPr>
        <w:footnoteRef/>
      </w:r>
      <w:r>
        <w:t xml:space="preserve"> </w:t>
      </w:r>
      <w:r>
        <w:t xml:space="preserve">It is worth noting how Oviedo finds in Funes a premonitory</w:t>
      </w:r>
      <w:r>
        <w:t xml:space="preserve"> </w:t>
      </w:r>
      <w:r>
        <w:t xml:space="preserve">‘</w:t>
      </w:r>
      <w:r>
        <w:t xml:space="preserve">antithesis of the writer</w:t>
      </w:r>
      <w:r>
        <w:t xml:space="preserve">’</w:t>
      </w:r>
      <w:r>
        <w:t xml:space="preserve"> </w:t>
      </w:r>
      <w:r>
        <w:t xml:space="preserve">himself: the latter (blind) Borges could find himself immersed in a constant flow of narrativiy</w:t>
      </w:r>
      <w:r>
        <w:t xml:space="preserve"> </w:t>
      </w:r>
      <w:r>
        <w:t xml:space="preserve">(Oviedo 2019)</w:t>
      </w:r>
      <w:r>
        <w:t xml:space="preserve">.</w:t>
      </w:r>
    </w:p>
  </w:footnote>
  <w:footnote w:id="43">
    <w:p>
      <w:pPr>
        <w:pStyle w:val="FootnoteText"/>
      </w:pPr>
      <w:r>
        <w:rPr>
          <w:rStyle w:val="FootnoteReference"/>
        </w:rPr>
        <w:footnoteRef/>
      </w:r>
      <w:r>
        <w:t xml:space="preserve"> </w:t>
      </w:r>
      <w:r>
        <w:t xml:space="preserve">In this sense, Funes is a bit like an Oracle —pun intended with the other</w:t>
      </w:r>
      <w:r>
        <w:t xml:space="preserve"> </w:t>
      </w:r>
      <w:r>
        <w:t xml:space="preserve">oracle</w:t>
      </w:r>
      <w:r>
        <w:t xml:space="preserve">—, with absolute knowledge of the past and the future, but with no time to think…</w:t>
      </w:r>
    </w:p>
  </w:footnote>
  <w:footnote w:id="44">
    <w:p>
      <w:pPr>
        <w:pStyle w:val="FootnoteText"/>
      </w:pPr>
      <w:r>
        <w:rPr>
          <w:rStyle w:val="FootnoteReference"/>
        </w:rPr>
        <w:footnoteRef/>
      </w:r>
      <w:r>
        <w:t xml:space="preserve"> </w:t>
      </w:r>
      <w:r>
        <w:t xml:space="preserve">The acousmatic quality of Funes’ voice will not be touched here, but it is indeed a good point of departure for another time.</w:t>
      </w:r>
    </w:p>
  </w:footnote>
  <w:footnote w:id="45">
    <w:p>
      <w:pPr>
        <w:pStyle w:val="FootnoteText"/>
      </w:pPr>
      <w:r>
        <w:rPr>
          <w:rStyle w:val="FootnoteReference"/>
        </w:rPr>
        <w:footnoteRef/>
      </w:r>
      <w:r>
        <w:t xml:space="preserve"> </w:t>
      </w:r>
      <w:hyperlink r:id="rId46">
        <w:r>
          <w:rPr>
            <w:rStyle w:val="Hyperlink"/>
          </w:rPr>
          <w:t xml:space="preserve">https://en.wikipedia.org/wiki/Leo_Beranek</w:t>
        </w:r>
      </w:hyperlink>
    </w:p>
  </w:footnote>
  <w:footnote w:id="93">
    <w:p>
      <w:pPr>
        <w:pStyle w:val="FootnoteText"/>
      </w:pPr>
      <w:r>
        <w:rPr>
          <w:rStyle w:val="FootnoteReference"/>
        </w:rPr>
        <w:footnoteRef/>
      </w:r>
      <w:r>
        <w:t xml:space="preserve"> </w:t>
      </w:r>
      <w:r>
        <w:t xml:space="preserve">Miller Puckette suggested this during an open discussion at</w:t>
      </w:r>
    </w:p>
  </w:footnote>
  <w:footnote w:id="100">
    <w:p>
      <w:pPr>
        <w:pStyle w:val="FootnoteText"/>
      </w:pPr>
      <w:r>
        <w:rPr>
          <w:rStyle w:val="FootnoteReference"/>
        </w:rPr>
        <w:footnoteRef/>
      </w:r>
      <w:r>
        <w:t xml:space="preserve"> </w:t>
      </w:r>
      <w:hyperlink r:id="rId101">
        <w:r>
          <w:rPr>
            <w:rStyle w:val="Hyperlink"/>
          </w:rPr>
          <w:t xml:space="preserve">http://kern.ccarh.org/</w:t>
        </w:r>
      </w:hyperlink>
    </w:p>
  </w:footnote>
  <w:footnote w:id="102">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106">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09">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23">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See</w:t>
      </w:r>
      <w:r>
        <w:t xml:space="preserve"> </w:t>
      </w:r>
      <w:hyperlink r:id="rId124">
        <w:r>
          <w:rPr>
            <w:rStyle w:val="Hyperlink"/>
          </w:rPr>
          <w:t xml:space="preserve">https://developer.apple.com/documentation/metal</w:t>
        </w:r>
      </w:hyperlink>
    </w:p>
  </w:footnote>
  <w:footnote w:id="125">
    <w:p>
      <w:pPr>
        <w:pStyle w:val="FootnoteText"/>
      </w:pPr>
      <w:r>
        <w:rPr>
          <w:rStyle w:val="FootnoteReference"/>
        </w:rPr>
        <w:footnoteRef/>
      </w:r>
      <w:r>
        <w:t xml:space="preserve"> </w:t>
      </w:r>
      <w:hyperlink r:id="rId126">
        <w:r>
          <w:rPr>
            <w:rStyle w:val="Hyperlink"/>
          </w:rPr>
          <w:t xml:space="preserve">https://vimeo.com/167646306</w:t>
        </w:r>
      </w:hyperlink>
    </w:p>
  </w:footnote>
  <w:footnote w:id="137">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and he is now a major figure in the Microsoft Research department.</w:t>
      </w:r>
    </w:p>
  </w:footnote>
  <w:footnote w:id="153">
    <w:p>
      <w:pPr>
        <w:pStyle w:val="FootnoteText"/>
      </w:pPr>
      <w:r>
        <w:rPr>
          <w:rStyle w:val="FootnoteReference"/>
        </w:rPr>
        <w:footnoteRef/>
      </w:r>
      <w:r>
        <w:t xml:space="preserve"> </w:t>
      </w:r>
      <w:r>
        <w:t xml:space="preserve">“</w:t>
      </w:r>
      <w:r>
        <w:t xml:space="preserve">The scheduler always sends the first message in the lowest-latency non 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55">
    <w:p>
      <w:pPr>
        <w:pStyle w:val="FootnoteText"/>
      </w:pPr>
      <w:r>
        <w:rPr>
          <w:rStyle w:val="FootnoteReference"/>
        </w:rPr>
        <w:footnoteRef/>
      </w:r>
      <w:r>
        <w:t xml:space="preserve"> </w:t>
      </w:r>
      <w:hyperlink r:id="rId156">
        <w:r>
          <w:rPr>
            <w:rStyle w:val="Hyperlink"/>
          </w:rPr>
          <w:t xml:space="preserve">https://kyma.symbolicsound.com/</w:t>
        </w:r>
      </w:hyperlink>
    </w:p>
  </w:footnote>
  <w:footnote w:id="159">
    <w:p>
      <w:pPr>
        <w:pStyle w:val="FootnoteText"/>
      </w:pPr>
      <w:r>
        <w:rPr>
          <w:rStyle w:val="FootnoteReference"/>
        </w:rPr>
        <w:footnoteRef/>
      </w:r>
      <w:r>
        <w:t xml:space="preserve"> </w:t>
      </w: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the</w:t>
      </w:r>
      <w:r>
        <w:t xml:space="preserve"> </w:t>
      </w:r>
      <w:r>
        <w:t xml:space="preserve">sssp</w:t>
      </w:r>
      <w:r>
        <w:t xml:space="preserve">’s user-defined features for graphical representations.</w:t>
      </w:r>
    </w:p>
  </w:footnote>
  <w:footnote w:id="166">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71">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72">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80">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90">
    <w:p>
      <w:pPr>
        <w:pStyle w:val="FootnoteText"/>
      </w:pPr>
      <w:r>
        <w:rPr>
          <w:rStyle w:val="FootnoteReference"/>
        </w:rPr>
        <w:footnoteRef/>
      </w:r>
      <w:r>
        <w:t xml:space="preserve"> </w:t>
      </w:r>
      <w:hyperlink r:id="rId191">
        <w:r>
          <w:rPr>
            <w:rStyle w:val="Hyperlink"/>
          </w:rPr>
          <w:t xml:space="preserve">https://www.youtube.com/watch?v=fAxHlLK3Oyk</w:t>
        </w:r>
      </w:hyperlink>
    </w:p>
  </w:footnote>
  <w:footnote w:id="216">
    <w:p>
      <w:pPr>
        <w:pStyle w:val="FootnoteText"/>
      </w:pPr>
      <w:r>
        <w:rPr>
          <w:rStyle w:val="FootnoteReference"/>
        </w:rPr>
        <w:footnoteRef/>
      </w:r>
      <w:r>
        <w:t xml:space="preserve"> </w:t>
      </w:r>
      <w:r>
        <w:t xml:space="preserve">For Nancy</w:t>
      </w:r>
      <w:r>
        <w:t xml:space="preserve"> </w:t>
      </w:r>
      <w:r>
        <w:t xml:space="preserve">“</w:t>
      </w:r>
      <w:r>
        <w:t xml:space="preserve">there is no communion of singularities in a totality superior to them and immanent to their common being</w:t>
      </w:r>
      <w:r>
        <w:t xml:space="preserve">”</w:t>
      </w:r>
      <w:r>
        <w:t xml:space="preserve"> </w:t>
      </w:r>
      <w:r>
        <w:t xml:space="preserve">(Nancy 1991, p. 28)</w:t>
      </w:r>
      <w:r>
        <w:t xml:space="preserve">.</w:t>
      </w:r>
    </w:p>
  </w:footnote>
  <w:footnote w:id="220">
    <w:p>
      <w:pPr>
        <w:pStyle w:val="FootnoteText"/>
      </w:pPr>
      <w:r>
        <w:rPr>
          <w:rStyle w:val="FootnoteReference"/>
        </w:rPr>
        <w:footnoteRef/>
      </w:r>
      <w:r>
        <w:t xml:space="preserve"> </w:t>
      </w:r>
      <w:r>
        <w:t xml:space="preserve">For further reference on</w:t>
      </w:r>
      <w:r>
        <w:t xml:space="preserve"> </w:t>
      </w:r>
      <w:r>
        <w:rPr>
          <w:i/>
        </w:rPr>
        <w:t xml:space="preserve">différance</w:t>
      </w:r>
      <w:r>
        <w:t xml:space="preserve">, see</w:t>
      </w:r>
      <w:r>
        <w:t xml:space="preserve"> </w:t>
      </w:r>
      <w:r>
        <w:t xml:space="preserve">(Derrida 1978, p. 219, 1982; Gratton &amp; Morin 2015, pp. 71–72)</w:t>
      </w:r>
    </w:p>
  </w:footnote>
  <w:footnote w:id="225">
    <w:p>
      <w:pPr>
        <w:pStyle w:val="FootnoteText"/>
      </w:pPr>
      <w:r>
        <w:rPr>
          <w:rStyle w:val="FootnoteReference"/>
        </w:rPr>
        <w:footnoteRef/>
      </w:r>
      <w:r>
        <w:t xml:space="preserve"> </w:t>
      </w:r>
      <w:r>
        <w:t xml:space="preserve">His example was the Sigmund Freud Museum, which is located in the same house where Freud lived.</w:t>
      </w:r>
      <w:hyperlink r:id="rId226">
        <w:r>
          <w:rPr>
            <w:rStyle w:val="Hyperlink"/>
          </w:rPr>
          <w:t xml:space="preserve">https://www.freud-museum.at/en/</w:t>
        </w:r>
      </w:hyperlink>
    </w:p>
  </w:footnote>
  <w:footnote w:id="229">
    <w:p>
      <w:pPr>
        <w:pStyle w:val="FootnoteText"/>
      </w:pPr>
      <w:r>
        <w:rPr>
          <w:rStyle w:val="FootnoteReference"/>
        </w:rPr>
        <w:footnoteRef/>
      </w:r>
      <w:r>
        <w:t xml:space="preserve"> </w:t>
      </w:r>
      <w:hyperlink r:id="rId230">
        <w:r>
          <w:rPr>
            <w:rStyle w:val="Hyperlink"/>
          </w:rPr>
          <w:t xml:space="preserve">https://mpc.chs.harvard.edu/</w:t>
        </w:r>
      </w:hyperlink>
    </w:p>
  </w:footnote>
  <w:footnote w:id="231">
    <w:p>
      <w:pPr>
        <w:pStyle w:val="FootnoteText"/>
      </w:pPr>
      <w:r>
        <w:rPr>
          <w:rStyle w:val="FootnoteReference"/>
        </w:rPr>
        <w:footnoteRef/>
      </w:r>
      <w:r>
        <w:t xml:space="preserve"> </w:t>
      </w:r>
      <w:r>
        <w:t xml:space="preserve">Another example Ernst provides of the anarchive is the Internet itself:</w:t>
      </w:r>
      <w:r>
        <w:t xml:space="preserve"> </w:t>
      </w:r>
      <w:r>
        <w:t xml:space="preserve">“</w:t>
      </w:r>
      <w:r>
        <w:t xml:space="preserve"> </w:t>
      </w:r>
      <w:r>
        <w:t xml:space="preserve">[The Internet] is a collection not just of unforeseen texts but of sound and images as well, an anarchive of sensory data for which no genuine archival culture has been developed so far in the occident</w:t>
      </w:r>
      <w:r>
        <w:t xml:space="preserve">”</w:t>
      </w:r>
      <w:r>
        <w:t xml:space="preserve"> </w:t>
      </w:r>
      <w:r>
        <w:t xml:space="preserve">(Ernst 2013, p. 139)</w:t>
      </w:r>
      <w:r>
        <w:t xml:space="preserve">.</w:t>
      </w:r>
    </w:p>
  </w:footnote>
  <w:footnote w:id="235">
    <w:p>
      <w:pPr>
        <w:pStyle w:val="FootnoteText"/>
      </w:pPr>
      <w:r>
        <w:rPr>
          <w:rStyle w:val="FootnoteReference"/>
        </w:rPr>
        <w:footnoteRef/>
      </w:r>
      <w:r>
        <w:t xml:space="preserve"> </w:t>
      </w:r>
      <w:r>
        <w:t xml:space="preserve">Transducers can also be understood as the limit be between databases and the tactile world</w:t>
      </w:r>
      <w:r>
        <w:t xml:space="preserve"> </w:t>
      </w:r>
      <w:r>
        <w:t xml:space="preserve">(Eck 2013, p. 223)</w:t>
      </w:r>
    </w:p>
  </w:footnote>
  <w:footnote w:id="236">
    <w:p>
      <w:pPr>
        <w:pStyle w:val="FootnoteText"/>
      </w:pPr>
      <w:r>
        <w:rPr>
          <w:rStyle w:val="FootnoteReference"/>
        </w:rPr>
        <w:footnoteRef/>
      </w:r>
      <w:r>
        <w:t xml:space="preserve"> </w:t>
      </w:r>
      <w:r>
        <w:t xml:space="preserve">For a detailed revision of acousmatic history, see</w:t>
      </w:r>
      <w:r>
        <w:t xml:space="preserve"> </w:t>
      </w:r>
      <w:r>
        <w:t xml:space="preserve">Kane (2014)</w:t>
      </w:r>
    </w:p>
  </w:footnote>
  <w:footnote w:id="253">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64">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67">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68">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81">
    <w:p>
      <w:pPr>
        <w:pStyle w:val="FootnoteText"/>
      </w:pPr>
      <w:r>
        <w:rPr>
          <w:rStyle w:val="FootnoteReference"/>
        </w:rPr>
        <w:footnoteRef/>
      </w:r>
      <w:r>
        <w:t xml:space="preserve"> </w:t>
      </w:r>
      <w:r>
        <w:t xml:space="preserve">In a recent study, sound itself proven to make (tiny) gravitational fields:</w:t>
      </w:r>
      <w:r>
        <w:t xml:space="preserve"> </w:t>
      </w:r>
      <w:r>
        <w:t xml:space="preserve">“</w:t>
      </w:r>
      <w:r>
        <w:t xml:space="preserve">We show that, in fact, sound waves do carry mass —in particular, gravitational mass. This implies that a sound wave not only is affected by gravity but also generates a tiny gravitational field, an aspect not appreciated thus far</w:t>
      </w:r>
      <w:r>
        <w:t xml:space="preserve">”</w:t>
      </w:r>
      <w:r>
        <w:t xml:space="preserve"> </w:t>
      </w:r>
      <w:r>
        <w:t xml:space="preserve">(Esposito et al. 2019)</w:t>
      </w:r>
      <w:r>
        <w:t xml:space="preserve">.</w:t>
      </w:r>
    </w:p>
  </w:footnote>
  <w:footnote w:id="286">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87">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88">
        <w:r>
          <w:rPr>
            <w:rStyle w:val="Hyperlink"/>
          </w:rPr>
          <w:t xml:space="preserve">https://en.wikipedia.org/wiki/Dr._Strangelove</w:t>
        </w:r>
      </w:hyperlink>
    </w:p>
  </w:footnote>
  <w:footnote w:id="289">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90">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292">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293">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296">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304">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it makes one think back to the 1946 setting of the UNIVAC computer, in the military context of the Manhattan Project, for which the computer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10">
    <w:p>
      <w:pPr>
        <w:pStyle w:val="FootnoteText"/>
      </w:pPr>
      <w:r>
        <w:rPr>
          <w:rStyle w:val="FootnoteReference"/>
        </w:rPr>
        <w:footnoteRef/>
      </w:r>
      <w:r>
        <w:t xml:space="preserve"> </w:t>
      </w:r>
      <w:r>
        <w:t xml:space="preserve">Since, the notion of a</w:t>
      </w:r>
      <w:r>
        <w:t xml:space="preserve"> </w:t>
      </w:r>
      <w:r>
        <w:t xml:space="preserve">‘</w:t>
      </w:r>
      <w:r>
        <w:t xml:space="preserve">piece</w:t>
      </w:r>
      <w:r>
        <w:t xml:space="preserve">’</w:t>
      </w:r>
      <w:r>
        <w:t xml:space="preserve"> </w:t>
      </w:r>
      <w:r>
        <w:t xml:space="preserve">presupposes that of the whole to which it belongs.</w:t>
      </w:r>
    </w:p>
  </w:footnote>
  <w:footnote w:id="314">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3" Target="media/rId133.png" /><Relationship Type="http://schemas.openxmlformats.org/officeDocument/2006/relationships/image" Id="rId20" Target="media/rId20.png" /><Relationship Type="http://schemas.openxmlformats.org/officeDocument/2006/relationships/image" Id="rId213" Target="media/rId213.png" /><Relationship Type="http://schemas.openxmlformats.org/officeDocument/2006/relationships/image" Id="rId75" Target="media/rId75.png" /><Relationship Type="http://schemas.openxmlformats.org/officeDocument/2006/relationships/image" Id="rId185" Target="media/rId185.png" /><Relationship Type="http://schemas.openxmlformats.org/officeDocument/2006/relationships/image" Id="rId256" Target="media/rId256.png" /><Relationship Type="http://schemas.openxmlformats.org/officeDocument/2006/relationships/image" Id="rId48" Target="media/rId48.png" /><Relationship Type="http://schemas.openxmlformats.org/officeDocument/2006/relationships/image" Id="rId98" Target="media/rId98.png" /><Relationship Type="http://schemas.openxmlformats.org/officeDocument/2006/relationships/image" Id="rId95" Target="media/rId95.png" /><Relationship Type="http://schemas.openxmlformats.org/officeDocument/2006/relationships/image" Id="rId78" Target="media/rId78.png" /><Relationship Type="http://schemas.openxmlformats.org/officeDocument/2006/relationships/image" Id="rId87" Target="media/rId87.png" /><Relationship Type="http://schemas.openxmlformats.org/officeDocument/2006/relationships/image" Id="rId32" Target="media/rId32.png" /><Relationship Type="http://schemas.openxmlformats.org/officeDocument/2006/relationships/image" Id="rId150" Target="media/rId150.png" /><Relationship Type="http://schemas.openxmlformats.org/officeDocument/2006/relationships/image" Id="rId82" Target="media/rId82.png" /><Relationship Type="http://schemas.openxmlformats.org/officeDocument/2006/relationships/image" Id="rId90" Target="media/rId90.png" /><Relationship Type="http://schemas.openxmlformats.org/officeDocument/2006/relationships/image" Id="rId104" Target="media/rId104.png" /><Relationship Type="http://schemas.openxmlformats.org/officeDocument/2006/relationships/image" Id="rId143" Target="media/rId143.png" /><Relationship Type="http://schemas.openxmlformats.org/officeDocument/2006/relationships/image" Id="rId210" Target="media/rId210.png" /><Relationship Type="http://schemas.openxmlformats.org/officeDocument/2006/relationships/image" Id="rId207" Target="media/rId207.png" /><Relationship Type="http://schemas.openxmlformats.org/officeDocument/2006/relationships/hyperlink" Id="rId445" Target="http://ismir2000.ismir.net/papers/invites/dunn_invite.pdf" TargetMode="External" /><Relationship Type="http://schemas.openxmlformats.org/officeDocument/2006/relationships/hyperlink" Id="rId468" Target="http://ismir2000.ismir.net/posters/good.pdf" TargetMode="External" /><Relationship Type="http://schemas.openxmlformats.org/officeDocument/2006/relationships/hyperlink" Id="rId652" Target="http://ismir2002.ismir.net/proceedings/02-FP06-3.pdf" TargetMode="External" /><Relationship Type="http://schemas.openxmlformats.org/officeDocument/2006/relationships/hyperlink" Id="rId470" Target="http://ismir2002.ismir.net/proceedings/03-SP04-1.pdf" TargetMode="External" /><Relationship Type="http://schemas.openxmlformats.org/officeDocument/2006/relationships/hyperlink" Id="rId472" Target="http://ismir2003.ismir.net/papers/Goto1.PDF" TargetMode="External" /><Relationship Type="http://schemas.openxmlformats.org/officeDocument/2006/relationships/hyperlink" Id="rId668" Target="http://ismir2004.ismir.net/proceedings/p010-page-48-paper227.pdf" TargetMode="External" /><Relationship Type="http://schemas.openxmlformats.org/officeDocument/2006/relationships/hyperlink" Id="rId494" Target="http://ismir2005.ismir.net/proceedings/2117.pdf" TargetMode="External" /><Relationship Type="http://schemas.openxmlformats.org/officeDocument/2006/relationships/hyperlink" Id="rId602" Target="http://ismir2005.ismir.net/proceedings/3123.pdf" TargetMode="External" /><Relationship Type="http://schemas.openxmlformats.org/officeDocument/2006/relationships/hyperlink" Id="rId503" Target="http://ismir2008.ismir.net/papers/ISMIR2008_106.pdf" TargetMode="External" /><Relationship Type="http://schemas.openxmlformats.org/officeDocument/2006/relationships/hyperlink" Id="rId537" Target="http://ismir2008.ismir.net/papers/ISMIR2008_158.pdf" TargetMode="External" /><Relationship Type="http://schemas.openxmlformats.org/officeDocument/2006/relationships/hyperlink" Id="rId481" Target="http://ismir2008.ismir.net/papers/ISMIR2008_173.pdf" TargetMode="External" /><Relationship Type="http://schemas.openxmlformats.org/officeDocument/2006/relationships/hyperlink" Id="rId515" Target="http://ismir2015.uma.es/articles/246_Paper.pdf" TargetMode="External" /><Relationship Type="http://schemas.openxmlformats.org/officeDocument/2006/relationships/hyperlink" Id="rId434" Target="http://ismir2015.uma.es/articles/261_Paper.pdf" TargetMode="External" /><Relationship Type="http://schemas.openxmlformats.org/officeDocument/2006/relationships/hyperlink" Id="rId665" Target="http://ismir2018.ircam.fr/doc/pdfs/114_Paper.pdf" TargetMode="External" /><Relationship Type="http://schemas.openxmlformats.org/officeDocument/2006/relationships/hyperlink" Id="rId673" Target="http://ismir2018.ircam.fr/doc/pdfs/188_Paper.pdf" TargetMode="External" /><Relationship Type="http://schemas.openxmlformats.org/officeDocument/2006/relationships/hyperlink" Id="rId451" Target="http://ismir2018.ircam.fr/doc/pdfs/206_Paper.pdf" TargetMode="External" /><Relationship Type="http://schemas.openxmlformats.org/officeDocument/2006/relationships/hyperlink" Id="rId497" Target="http://ismir2018.ircam.fr/doc/pdfs/248_Paper.pdf" TargetMode="External" /><Relationship Type="http://schemas.openxmlformats.org/officeDocument/2006/relationships/hyperlink" Id="rId442" Target="http://ismir2018.ircam.fr/doc/pdfs/265_Paper.pdf" TargetMode="External" /><Relationship Type="http://schemas.openxmlformats.org/officeDocument/2006/relationships/hyperlink" Id="rId544" Target="http://ismir2018.ircam.fr/doc/pdfs/35_Paper.pdf" TargetMode="External" /><Relationship Type="http://schemas.openxmlformats.org/officeDocument/2006/relationships/hyperlink" Id="rId101" Target="http://kern.ccarh.org/" TargetMode="External" /><Relationship Type="http://schemas.openxmlformats.org/officeDocument/2006/relationships/hyperlink" Id="rId559" Target="http://www.nime.org/proceedings/2007/nime2007_112.pdf" TargetMode="External" /><Relationship Type="http://schemas.openxmlformats.org/officeDocument/2006/relationships/hyperlink" Id="rId681" Target="http://www.nime.org/proceedings/2007/nime2007_352.pdf" TargetMode="External" /><Relationship Type="http://schemas.openxmlformats.org/officeDocument/2006/relationships/hyperlink" Id="rId554" Target="http://www.nime.org/proceedings/2007/nime2007_409.pdf" TargetMode="External" /><Relationship Type="http://schemas.openxmlformats.org/officeDocument/2006/relationships/hyperlink" Id="rId530" Target="http://www.nime.org/proceedings/2008/nime2008_221.pdf" TargetMode="External" /><Relationship Type="http://schemas.openxmlformats.org/officeDocument/2006/relationships/hyperlink" Id="rId579" Target="http://www.nime.org/proceedings/2008/nime2008_311.pdf" TargetMode="External" /><Relationship Type="http://schemas.openxmlformats.org/officeDocument/2006/relationships/hyperlink" Id="rId379" Target="http://www.nime.org/proceedings/2009/nime2009_266.pdf" TargetMode="External" /><Relationship Type="http://schemas.openxmlformats.org/officeDocument/2006/relationships/hyperlink" Id="rId492" Target="http://www.nime.org/proceedings/2010/nime2010_233.pdf" TargetMode="External" /><Relationship Type="http://schemas.openxmlformats.org/officeDocument/2006/relationships/hyperlink" Id="rId465" Target="http://www.nime.org/proceedings/2011/nime2011_124.pdf" TargetMode="External" /><Relationship Type="http://schemas.openxmlformats.org/officeDocument/2006/relationships/hyperlink" Id="rId390" Target="http://www.nime.org/proceedings/2011/nime2011_329.pdf" TargetMode="External" /><Relationship Type="http://schemas.openxmlformats.org/officeDocument/2006/relationships/hyperlink" Id="rId377" Target="http://www.nime.org/proceedings/2011/nime2011_387.pdf" TargetMode="External" /><Relationship Type="http://schemas.openxmlformats.org/officeDocument/2006/relationships/hyperlink" Id="rId361" Target="http://www.ppgia.pucpr.br/ismir2013/wp-content/uploads/2013/09/177\_Paper.pdf" TargetMode="External" /><Relationship Type="http://schemas.openxmlformats.org/officeDocument/2006/relationships/hyperlink" Id="rId485" Target="http://www.ppgia.pucpr.br/ismir2013/wp-content/uploads/2013/09/85_Paper.pdf" TargetMode="External" /><Relationship Type="http://schemas.openxmlformats.org/officeDocument/2006/relationships/hyperlink" Id="rId341" Target="http://www.terasoft.com.tw/conf/ismir2014/proceedings/T014_162_Paper.pdf" TargetMode="External" /><Relationship Type="http://schemas.openxmlformats.org/officeDocument/2006/relationships/hyperlink" Id="rId358" Target="http://www.terasoft.com.tw/conf/ismir2014/proceedings/T028_322_Paper.pdf" TargetMode="External" /><Relationship Type="http://schemas.openxmlformats.org/officeDocument/2006/relationships/hyperlink" Id="rId510" Target="http://www.terasoft.com.tw/conf/ismir2014/proceedings/T039_344_Paper.pdf" TargetMode="External" /><Relationship Type="http://schemas.openxmlformats.org/officeDocument/2006/relationships/hyperlink" Id="rId476" Target="http://www.terasoft.com.tw/conf/ismir2014/proceedings/T059_257_Paper.pdf" TargetMode="External" /><Relationship Type="http://schemas.openxmlformats.org/officeDocument/2006/relationships/hyperlink" Id="rId575" Target="http://www.terasoft.com.tw/conf/ismir2014/proceedings/T064_307_Paper.pdf" TargetMode="External" /><Relationship Type="http://schemas.openxmlformats.org/officeDocument/2006/relationships/hyperlink" Id="rId124" Target="https://developer.apple.com/documentation/metal" TargetMode="External" /><Relationship Type="http://schemas.openxmlformats.org/officeDocument/2006/relationships/hyperlink" Id="rId288" Target="https://en.wikipedia.org/wiki/Dr._Strangelove" TargetMode="External" /><Relationship Type="http://schemas.openxmlformats.org/officeDocument/2006/relationships/hyperlink" Id="rId46" Target="https://en.wikipedia.org/wiki/Leo_Beranek" TargetMode="External" /><Relationship Type="http://schemas.openxmlformats.org/officeDocument/2006/relationships/hyperlink" Id="rId333" Target="https://fdch.github.io/abby" TargetMode="External" /><Relationship Type="http://schemas.openxmlformats.org/officeDocument/2006/relationships/hyperlink" Id="rId334" Target="https://github.com/fdch/litrev" TargetMode="External" /><Relationship Type="http://schemas.openxmlformats.org/officeDocument/2006/relationships/hyperlink" Id="rId618" Target="https://hal.archives-ouvertes.fr/hal-01393959" TargetMode="External" /><Relationship Type="http://schemas.openxmlformats.org/officeDocument/2006/relationships/hyperlink" Id="rId457" Target="https://ismir2017.smcnus.org/wp-content/uploads/2017/10/161_Paper.pdf" TargetMode="External" /><Relationship Type="http://schemas.openxmlformats.org/officeDocument/2006/relationships/hyperlink" Id="rId649" Target="https://ismir2017.smcnus.org/wp-content/uploads/2017/10/180_Paper.pdf" TargetMode="External" /><Relationship Type="http://schemas.openxmlformats.org/officeDocument/2006/relationships/hyperlink" Id="rId420" Target="https://ismir2017.smcnus.org/wp-content/uploads/2017/10/235_Paper.pdf" TargetMode="External" /><Relationship Type="http://schemas.openxmlformats.org/officeDocument/2006/relationships/hyperlink" Id="rId425" Target="https://ismir2017.smcnus.org/wp-content/uploads/2017/10/75_Paper.pdf" TargetMode="External" /><Relationship Type="http://schemas.openxmlformats.org/officeDocument/2006/relationships/hyperlink" Id="rId156" Target="https://kyma.symbolicsound.com/" TargetMode="External" /><Relationship Type="http://schemas.openxmlformats.org/officeDocument/2006/relationships/hyperlink" Id="rId230" Target="https://mpc.chs.harvard.edu/" TargetMode="External" /><Relationship Type="http://schemas.openxmlformats.org/officeDocument/2006/relationships/hyperlink" Id="rId643" Target="https://quod.lib.umich.edu/i/icmc/bbp2372.2012.006" TargetMode="External" /><Relationship Type="http://schemas.openxmlformats.org/officeDocument/2006/relationships/hyperlink" Id="rId126" Target="https://vimeo.com/167646306" TargetMode="External" /><Relationship Type="http://schemas.openxmlformats.org/officeDocument/2006/relationships/hyperlink" Id="rId422" Target="https://www.cs.unm.edu/~crowley/papers/sds.pdf" TargetMode="External" /><Relationship Type="http://schemas.openxmlformats.org/officeDocument/2006/relationships/hyperlink" Id="rId226" Target="https://www.freud-museum.at/en/" TargetMode="External" /><Relationship Type="http://schemas.openxmlformats.org/officeDocument/2006/relationships/hyperlink" Id="rId287" Target="https://www.mersenne.org/primes/" TargetMode="External" /><Relationship Type="http://schemas.openxmlformats.org/officeDocument/2006/relationships/hyperlink" Id="rId293" Target="https://www.youtube.com/channel/UCEzSaoPnxCJVzXxA9obuRWg/videos" TargetMode="External" /><Relationship Type="http://schemas.openxmlformats.org/officeDocument/2006/relationships/hyperlink" Id="rId191"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445" Target="http://ismir2000.ismir.net/papers/invites/dunn_invite.pdf" TargetMode="External" /><Relationship Type="http://schemas.openxmlformats.org/officeDocument/2006/relationships/hyperlink" Id="rId468" Target="http://ismir2000.ismir.net/posters/good.pdf" TargetMode="External" /><Relationship Type="http://schemas.openxmlformats.org/officeDocument/2006/relationships/hyperlink" Id="rId652" Target="http://ismir2002.ismir.net/proceedings/02-FP06-3.pdf" TargetMode="External" /><Relationship Type="http://schemas.openxmlformats.org/officeDocument/2006/relationships/hyperlink" Id="rId470" Target="http://ismir2002.ismir.net/proceedings/03-SP04-1.pdf" TargetMode="External" /><Relationship Type="http://schemas.openxmlformats.org/officeDocument/2006/relationships/hyperlink" Id="rId472" Target="http://ismir2003.ismir.net/papers/Goto1.PDF" TargetMode="External" /><Relationship Type="http://schemas.openxmlformats.org/officeDocument/2006/relationships/hyperlink" Id="rId668" Target="http://ismir2004.ismir.net/proceedings/p010-page-48-paper227.pdf" TargetMode="External" /><Relationship Type="http://schemas.openxmlformats.org/officeDocument/2006/relationships/hyperlink" Id="rId494" Target="http://ismir2005.ismir.net/proceedings/2117.pdf" TargetMode="External" /><Relationship Type="http://schemas.openxmlformats.org/officeDocument/2006/relationships/hyperlink" Id="rId602" Target="http://ismir2005.ismir.net/proceedings/3123.pdf" TargetMode="External" /><Relationship Type="http://schemas.openxmlformats.org/officeDocument/2006/relationships/hyperlink" Id="rId503" Target="http://ismir2008.ismir.net/papers/ISMIR2008_106.pdf" TargetMode="External" /><Relationship Type="http://schemas.openxmlformats.org/officeDocument/2006/relationships/hyperlink" Id="rId537" Target="http://ismir2008.ismir.net/papers/ISMIR2008_158.pdf" TargetMode="External" /><Relationship Type="http://schemas.openxmlformats.org/officeDocument/2006/relationships/hyperlink" Id="rId481" Target="http://ismir2008.ismir.net/papers/ISMIR2008_173.pdf" TargetMode="External" /><Relationship Type="http://schemas.openxmlformats.org/officeDocument/2006/relationships/hyperlink" Id="rId515" Target="http://ismir2015.uma.es/articles/246_Paper.pdf" TargetMode="External" /><Relationship Type="http://schemas.openxmlformats.org/officeDocument/2006/relationships/hyperlink" Id="rId434" Target="http://ismir2015.uma.es/articles/261_Paper.pdf" TargetMode="External" /><Relationship Type="http://schemas.openxmlformats.org/officeDocument/2006/relationships/hyperlink" Id="rId665" Target="http://ismir2018.ircam.fr/doc/pdfs/114_Paper.pdf" TargetMode="External" /><Relationship Type="http://schemas.openxmlformats.org/officeDocument/2006/relationships/hyperlink" Id="rId673" Target="http://ismir2018.ircam.fr/doc/pdfs/188_Paper.pdf" TargetMode="External" /><Relationship Type="http://schemas.openxmlformats.org/officeDocument/2006/relationships/hyperlink" Id="rId451" Target="http://ismir2018.ircam.fr/doc/pdfs/206_Paper.pdf" TargetMode="External" /><Relationship Type="http://schemas.openxmlformats.org/officeDocument/2006/relationships/hyperlink" Id="rId497" Target="http://ismir2018.ircam.fr/doc/pdfs/248_Paper.pdf" TargetMode="External" /><Relationship Type="http://schemas.openxmlformats.org/officeDocument/2006/relationships/hyperlink" Id="rId442" Target="http://ismir2018.ircam.fr/doc/pdfs/265_Paper.pdf" TargetMode="External" /><Relationship Type="http://schemas.openxmlformats.org/officeDocument/2006/relationships/hyperlink" Id="rId544" Target="http://ismir2018.ircam.fr/doc/pdfs/35_Paper.pdf" TargetMode="External" /><Relationship Type="http://schemas.openxmlformats.org/officeDocument/2006/relationships/hyperlink" Id="rId101" Target="http://kern.ccarh.org/" TargetMode="External" /><Relationship Type="http://schemas.openxmlformats.org/officeDocument/2006/relationships/hyperlink" Id="rId559" Target="http://www.nime.org/proceedings/2007/nime2007_112.pdf" TargetMode="External" /><Relationship Type="http://schemas.openxmlformats.org/officeDocument/2006/relationships/hyperlink" Id="rId681" Target="http://www.nime.org/proceedings/2007/nime2007_352.pdf" TargetMode="External" /><Relationship Type="http://schemas.openxmlformats.org/officeDocument/2006/relationships/hyperlink" Id="rId554" Target="http://www.nime.org/proceedings/2007/nime2007_409.pdf" TargetMode="External" /><Relationship Type="http://schemas.openxmlformats.org/officeDocument/2006/relationships/hyperlink" Id="rId530" Target="http://www.nime.org/proceedings/2008/nime2008_221.pdf" TargetMode="External" /><Relationship Type="http://schemas.openxmlformats.org/officeDocument/2006/relationships/hyperlink" Id="rId579" Target="http://www.nime.org/proceedings/2008/nime2008_311.pdf" TargetMode="External" /><Relationship Type="http://schemas.openxmlformats.org/officeDocument/2006/relationships/hyperlink" Id="rId379" Target="http://www.nime.org/proceedings/2009/nime2009_266.pdf" TargetMode="External" /><Relationship Type="http://schemas.openxmlformats.org/officeDocument/2006/relationships/hyperlink" Id="rId492" Target="http://www.nime.org/proceedings/2010/nime2010_233.pdf" TargetMode="External" /><Relationship Type="http://schemas.openxmlformats.org/officeDocument/2006/relationships/hyperlink" Id="rId465" Target="http://www.nime.org/proceedings/2011/nime2011_124.pdf" TargetMode="External" /><Relationship Type="http://schemas.openxmlformats.org/officeDocument/2006/relationships/hyperlink" Id="rId390" Target="http://www.nime.org/proceedings/2011/nime2011_329.pdf" TargetMode="External" /><Relationship Type="http://schemas.openxmlformats.org/officeDocument/2006/relationships/hyperlink" Id="rId377" Target="http://www.nime.org/proceedings/2011/nime2011_387.pdf" TargetMode="External" /><Relationship Type="http://schemas.openxmlformats.org/officeDocument/2006/relationships/hyperlink" Id="rId361" Target="http://www.ppgia.pucpr.br/ismir2013/wp-content/uploads/2013/09/177\_Paper.pdf" TargetMode="External" /><Relationship Type="http://schemas.openxmlformats.org/officeDocument/2006/relationships/hyperlink" Id="rId485" Target="http://www.ppgia.pucpr.br/ismir2013/wp-content/uploads/2013/09/85_Paper.pdf" TargetMode="External" /><Relationship Type="http://schemas.openxmlformats.org/officeDocument/2006/relationships/hyperlink" Id="rId341" Target="http://www.terasoft.com.tw/conf/ismir2014/proceedings/T014_162_Paper.pdf" TargetMode="External" /><Relationship Type="http://schemas.openxmlformats.org/officeDocument/2006/relationships/hyperlink" Id="rId358" Target="http://www.terasoft.com.tw/conf/ismir2014/proceedings/T028_322_Paper.pdf" TargetMode="External" /><Relationship Type="http://schemas.openxmlformats.org/officeDocument/2006/relationships/hyperlink" Id="rId510" Target="http://www.terasoft.com.tw/conf/ismir2014/proceedings/T039_344_Paper.pdf" TargetMode="External" /><Relationship Type="http://schemas.openxmlformats.org/officeDocument/2006/relationships/hyperlink" Id="rId476" Target="http://www.terasoft.com.tw/conf/ismir2014/proceedings/T059_257_Paper.pdf" TargetMode="External" /><Relationship Type="http://schemas.openxmlformats.org/officeDocument/2006/relationships/hyperlink" Id="rId575" Target="http://www.terasoft.com.tw/conf/ismir2014/proceedings/T064_307_Paper.pdf" TargetMode="External" /><Relationship Type="http://schemas.openxmlformats.org/officeDocument/2006/relationships/hyperlink" Id="rId124" Target="https://developer.apple.com/documentation/metal" TargetMode="External" /><Relationship Type="http://schemas.openxmlformats.org/officeDocument/2006/relationships/hyperlink" Id="rId288" Target="https://en.wikipedia.org/wiki/Dr._Strangelove" TargetMode="External" /><Relationship Type="http://schemas.openxmlformats.org/officeDocument/2006/relationships/hyperlink" Id="rId46" Target="https://en.wikipedia.org/wiki/Leo_Beranek" TargetMode="External" /><Relationship Type="http://schemas.openxmlformats.org/officeDocument/2006/relationships/hyperlink" Id="rId333" Target="https://fdch.github.io/abby" TargetMode="External" /><Relationship Type="http://schemas.openxmlformats.org/officeDocument/2006/relationships/hyperlink" Id="rId334" Target="https://github.com/fdch/litrev" TargetMode="External" /><Relationship Type="http://schemas.openxmlformats.org/officeDocument/2006/relationships/hyperlink" Id="rId618" Target="https://hal.archives-ouvertes.fr/hal-01393959" TargetMode="External" /><Relationship Type="http://schemas.openxmlformats.org/officeDocument/2006/relationships/hyperlink" Id="rId457" Target="https://ismir2017.smcnus.org/wp-content/uploads/2017/10/161_Paper.pdf" TargetMode="External" /><Relationship Type="http://schemas.openxmlformats.org/officeDocument/2006/relationships/hyperlink" Id="rId649" Target="https://ismir2017.smcnus.org/wp-content/uploads/2017/10/180_Paper.pdf" TargetMode="External" /><Relationship Type="http://schemas.openxmlformats.org/officeDocument/2006/relationships/hyperlink" Id="rId420" Target="https://ismir2017.smcnus.org/wp-content/uploads/2017/10/235_Paper.pdf" TargetMode="External" /><Relationship Type="http://schemas.openxmlformats.org/officeDocument/2006/relationships/hyperlink" Id="rId425" Target="https://ismir2017.smcnus.org/wp-content/uploads/2017/10/75_Paper.pdf" TargetMode="External" /><Relationship Type="http://schemas.openxmlformats.org/officeDocument/2006/relationships/hyperlink" Id="rId156" Target="https://kyma.symbolicsound.com/" TargetMode="External" /><Relationship Type="http://schemas.openxmlformats.org/officeDocument/2006/relationships/hyperlink" Id="rId230" Target="https://mpc.chs.harvard.edu/" TargetMode="External" /><Relationship Type="http://schemas.openxmlformats.org/officeDocument/2006/relationships/hyperlink" Id="rId643" Target="https://quod.lib.umich.edu/i/icmc/bbp2372.2012.006" TargetMode="External" /><Relationship Type="http://schemas.openxmlformats.org/officeDocument/2006/relationships/hyperlink" Id="rId126" Target="https://vimeo.com/167646306" TargetMode="External" /><Relationship Type="http://schemas.openxmlformats.org/officeDocument/2006/relationships/hyperlink" Id="rId422" Target="https://www.cs.unm.edu/~crowley/papers/sds.pdf" TargetMode="External" /><Relationship Type="http://schemas.openxmlformats.org/officeDocument/2006/relationships/hyperlink" Id="rId226" Target="https://www.freud-museum.at/en/" TargetMode="External" /><Relationship Type="http://schemas.openxmlformats.org/officeDocument/2006/relationships/hyperlink" Id="rId287" Target="https://www.mersenne.org/primes/" TargetMode="External" /><Relationship Type="http://schemas.openxmlformats.org/officeDocument/2006/relationships/hyperlink" Id="rId293" Target="https://www.youtube.com/channel/UCEzSaoPnxCJVzXxA9obuRWg/videos" TargetMode="External" /><Relationship Type="http://schemas.openxmlformats.org/officeDocument/2006/relationships/hyperlink" Id="rId191"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2019-04-13T15:15:43Z</dcterms:created>
  <dcterms:modified xsi:type="dcterms:W3CDTF">2019-04-13T15:15:43Z</dcterms:modified>
</cp:coreProperties>
</file>

<file path=docProps/custom.xml><?xml version="1.0" encoding="utf-8"?>
<Properties xmlns="http://schemas.openxmlformats.org/officeDocument/2006/custom-properties" xmlns:vt="http://schemas.openxmlformats.org/officeDocument/2006/docPropsVTypes"/>
</file>