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58.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without his help and continuous guidance, this would have never been possible. Finally to my loving wife, Aye, whose love and support helped me make it through the sleepless evenings.</w:t>
      </w:r>
    </w:p>
    <w:p>
      <w:pPr>
        <w:pStyle w:val="Heading1"/>
      </w:pPr>
      <w:bookmarkStart w:id="22" w:name="acknowledgements"/>
      <w:r>
        <w:t xml:space="preserve">Acknowledgements</w:t>
      </w:r>
      <w:bookmarkEnd w:id="22"/>
    </w:p>
    <w:p>
      <w:pPr>
        <w:pStyle w:val="FirstParagraph"/>
      </w:pPr>
      <w:r>
        <w:t xml:space="preserve">I would like to thank my advisor, David Ledesma, for his role in inspiring this project, as well as his commitment to introspection, and to reflecting upon and exploring meaningful issues in clinical psychology. I am also indebted to committee members John Hilaire and Michael Douglas for their ongoing guidance and support, as well as their frequent feedback (often in the</w:t>
      </w:r>
      <w:r>
        <w:t xml:space="preserve"> </w:t>
      </w:r>
      <w:r>
        <w:t xml:space="preserve">form of exceedingly prompt email responses), at every stage of this project. This dissertation could not have come to fruition without the help of Del Aware and Barney Rubble, who offered balanced yet insightful, thought-provoking input. I am also everlastingly grateful to Jill Pullman, for always being available to listen and empathize, as well as to my husband John Doe, for his endless tolerance and his helping me maintain hope that I would indeed finish this project! I would also like to thank my parents, Paul</w:t>
      </w:r>
      <w:r>
        <w:t xml:space="preserve"> </w:t>
      </w:r>
      <w:r>
        <w:t xml:space="preserve">and Mary Williamson, who inspired and nurtured my interest in observation and clinical judgement from a very young age. Finally, many thanks to all of the undergraduates who so patiently offered their time and clinical judgements.</w:t>
      </w:r>
    </w:p>
    <w:p>
      <w:pPr>
        <w:pStyle w:val="Heading1"/>
      </w:pPr>
      <w:bookmarkStart w:id="23" w:name="preface"/>
      <w:r>
        <w:t xml:space="preserve">Preface</w:t>
      </w:r>
      <w:bookmarkEnd w:id="23"/>
    </w:p>
    <w:p>
      <w:pPr>
        <w:pStyle w:val="Heading1"/>
      </w:pPr>
      <w:bookmarkStart w:id="24" w:name="abstract"/>
      <w:r>
        <w:t xml:space="preserve">Abstract</w:t>
      </w:r>
      <w:bookmarkEnd w:id="24"/>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BodyText"/>
      </w:pPr>
      <w:r>
        <w:t xml:space="preserve">As an appendix, I develop an open-source library for multimedia composition that combines computer vision and timbre analysis algorithms to generate a database of descriptors, interpreting them as nodes in a network suitable for automated navigation.</w:t>
      </w:r>
    </w:p>
    <w:p>
      <w:pPr>
        <w:pStyle w:val="Heading1"/>
      </w:pPr>
      <w:bookmarkStart w:id="25" w:name="chapter:Introduction"/>
      <w:r>
        <w:t xml:space="preserve">Introduction</w:t>
      </w:r>
      <w:bookmarkEnd w:id="25"/>
    </w:p>
    <w:p>
      <w:pPr>
        <w:pStyle w:val="Heading5"/>
      </w:pPr>
      <w:bookmarkStart w:id="26" w:name="dataloquy-you-dont-need-to-read-this"/>
      <w:r>
        <w:t xml:space="preserve">Dataloquy (you don’t need to read this)</w:t>
      </w:r>
      <w:bookmarkEnd w:id="26"/>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w:t>
      </w:r>
      <w:r>
        <w:t xml:space="preserve"> </w:t>
      </w:r>
      <w:r>
        <w:rPr>
          <w:i/>
        </w:rPr>
        <w:t xml:space="preserve">pata</w:t>
      </w:r>
      <w:r>
        <w:t xml:space="preserve">)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(Data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BodyText"/>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queries, such as</w:t>
      </w:r>
      <w:r>
        <w:t xml:space="preserve"> </w:t>
      </w:r>
      <w:r>
        <w:rPr>
          <w:rStyle w:val="VerbatimChar"/>
        </w:rPr>
        <w:t xml:space="preserve">“database AND music”</w:t>
      </w:r>
      <w:r>
        <w:t xml:space="preserve">), the database has many histories and many names attached to it. I make no attempt to cover all of these, but I admit that I have (foolishly) tried. The</w:t>
      </w:r>
      <w:r>
        <w:t xml:space="preserve"> </w:t>
      </w:r>
      <w:r>
        <w:rPr>
          <w:rStyle w:val="VerbatimChar"/>
        </w:rPr>
        <w:t xml:space="preserve">AND</w:t>
      </w:r>
      <w:r>
        <w:t xml:space="preserve"> </w:t>
      </w:r>
      <w:r>
        <w:t xml:space="preserve">of the query had indeed much less data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Although my subtitle begins</w:t>
      </w:r>
      <w:r>
        <w:t xml:space="preserve"> </w:t>
      </w:r>
      <w:r>
        <w:t xml:space="preserve">“</w:t>
      </w:r>
      <w:r>
        <w:t xml:space="preserve">a history of…</w:t>
      </w:r>
      <w:r>
        <w:t xml:space="preserve">”</w:t>
      </w:r>
      <w:r>
        <w:t xml:space="preserve"> </w:t>
      </w:r>
      <w:r>
        <w:t xml:space="preserve">it is the</w:t>
      </w:r>
      <w:r>
        <w:t xml:space="preserve"> </w:t>
      </w:r>
      <w:r>
        <w:t xml:space="preserve">‘</w:t>
      </w:r>
      <w:r>
        <w:t xml:space="preserve">a</w:t>
      </w:r>
      <w:r>
        <w:t xml:space="preserve">’</w:t>
      </w:r>
      <w:r>
        <w:t xml:space="preserve"> </w:t>
      </w:r>
      <w:r>
        <w:t xml:space="preserve">that would account for the gaps and missing parts to which this text is inevitably bound.</w:t>
      </w:r>
    </w:p>
    <w:p>
      <w:pPr>
        <w:pStyle w:val="Heading1"/>
      </w:pPr>
      <w:bookmarkStart w:id="27" w:name="chapter:Database_Art"/>
      <w:r>
        <w:t xml:space="preserve">Database Art</w:t>
      </w:r>
      <w:bookmarkEnd w:id="27"/>
    </w:p>
    <w:p>
      <w:pPr>
        <w:pStyle w:val="FirstParagraph"/>
      </w:pPr>
      <w:r>
        <w:t xml:space="preserve">In order to define and contextualize database practices, I engage with the existing literature on data-driven art. Drawing mostly from media theory, I provide a sample of a variety of authors who have studied the use of databases in art. Specifically, I emphasize certain aspects of affect theory which relate to the intersection between the database and the body, in order to link database practice with sound and performance practices.</w:t>
      </w:r>
    </w:p>
    <w:p>
      <w:pPr>
        <w:pStyle w:val="BodyText"/>
      </w:pPr>
      <w:r>
        <w:t xml:space="preserve">Therefore, in</w:t>
      </w:r>
      <w:r>
        <w:t xml:space="preserve"> </w:t>
      </w:r>
      <w:r>
        <w:t xml:space="preserve">‘</w:t>
      </w:r>
      <w:r>
        <w:t xml:space="preserve">databasing music,</w:t>
      </w:r>
      <w:r>
        <w:t xml:space="preserve">’</w:t>
      </w:r>
      <w:r>
        <w:t xml:space="preserve"> </w:t>
      </w:r>
      <w:r>
        <w:t xml:space="preserve">I describe different approaches to music practices —computer music, sonification, music information retrieval— and their interrelation with software design, to show how some of the major breakthroughs of these practices are related to changes in data structures. In the last section of the chapter, 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w:t>
      </w:r>
      <w:r>
        <w:t xml:space="preserve"> </w:t>
      </w:r>
      <w:r>
        <w:t xml:space="preserve">argues that creating a memory bank is a means of testifying to our existence</w:t>
      </w:r>
      <w:r>
        <w:t xml:space="preserve"> </w:t>
      </w:r>
      <w:r>
        <w:t xml:space="preserve">(Vesna 2007,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FirstParagraph"/>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Second, 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Finally, 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Heading2"/>
      </w:pPr>
      <w:bookmarkStart w:id="181" w:name="section:Listening_Databases"/>
      <w:r>
        <w:t xml:space="preserve">Listening Databases</w:t>
      </w:r>
      <w:bookmarkEnd w:id="181"/>
    </w:p>
    <w:p>
      <w:pPr>
        <w:pStyle w:val="Heading3"/>
      </w:pPr>
      <w:bookmarkStart w:id="182" w:name="resonance_of_a_return"/>
      <w:r>
        <w:t xml:space="preserve">The Resonance Of A Return</w:t>
      </w:r>
      <w:bookmarkEnd w:id="182"/>
    </w:p>
    <w:p>
      <w:pPr>
        <w:pStyle w:val="Heading5"/>
      </w:pPr>
      <w:bookmarkStart w:id="183" w:name="a-reverb"/>
      <w:r>
        <w:t xml:space="preserve">A Reverb</w:t>
      </w:r>
      <w:bookmarkEnd w:id="18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4" w:name="a-filter"/>
      <w:r>
        <w:t xml:space="preserve">A Filter</w:t>
      </w:r>
      <w:bookmarkEnd w:id="184"/>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5" w:name="a-loop"/>
      <w:r>
        <w:t xml:space="preserve">A Loop</w:t>
      </w:r>
      <w:bookmarkEnd w:id="18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feedback circuit, or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6" w:name="an-attack"/>
      <w:r>
        <w:t xml:space="preserve">An Attack</w:t>
      </w:r>
      <w:bookmarkEnd w:id="18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87" w:name="an-sampler"/>
      <w:r>
        <w:t xml:space="preserve">An Sampler</w:t>
      </w:r>
      <w:bookmarkEnd w:id="18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88" w:name="a-texture"/>
      <w:r>
        <w:t xml:space="preserve">A Texture</w:t>
      </w:r>
      <w:bookmarkEnd w:id="18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structure appears that can be understood as a feedback delay network.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89" w:name="a-return"/>
      <w:r>
        <w:t xml:space="preserve">A Return</w:t>
      </w:r>
      <w:bookmarkEnd w:id="18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0" w:name="network"/>
      <w:r>
        <w:t xml:space="preserve">Resonant Network</w:t>
      </w:r>
      <w:bookmarkEnd w:id="190"/>
    </w:p>
    <w:p>
      <w:pPr>
        <w:pStyle w:val="Heading5"/>
      </w:pPr>
      <w:bookmarkStart w:id="191" w:name="the-recorded-movement-of-a-thing"/>
      <w:r>
        <w:t xml:space="preserve">The Recorded Movement of a Thing</w:t>
      </w:r>
      <w:bookmarkEnd w:id="191"/>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each other. In this sense, it is an image of a world made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 agents— and as the interconnected accounts that these semiotic actors have of each other. The motion of these interconnected accounts can thus be understood as a mode of navigation. This is when the visual metaphor of a</w:t>
      </w:r>
      <w:r>
        <w:t xml:space="preserve"> </w:t>
      </w:r>
      <w:r>
        <w:t xml:space="preserve">‘</w:t>
      </w:r>
      <w:r>
        <w:t xml:space="preserve">network</w:t>
      </w:r>
      <w:r>
        <w:t xml:space="preserve">’</w:t>
      </w:r>
      <w:r>
        <w:t xml:space="preserve"> </w:t>
      </w:r>
      <w:r>
        <w:t xml:space="preserve">might limit the understanding of its activity. Nodes and edges collapse into each other. Therefore,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 </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 Within this movement of actors, only meaning and connectivity is present, and there is nothing that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w:t>
      </w:r>
    </w:p>
    <w:p>
      <w:pPr>
        <w:pStyle w:val="Heading5"/>
      </w:pPr>
      <w:bookmarkStart w:id="192" w:name="the-resonant-movement-of-a-thing"/>
      <w:r>
        <w:t xml:space="preserve">The Resonant Movement of a Thing</w:t>
      </w:r>
      <w:bookmarkEnd w:id="192"/>
    </w:p>
    <w:p>
      <w:pPr>
        <w:pStyle w:val="FirstParagraph"/>
      </w:pPr>
      <w:r>
        <w:t xml:space="preserve">Considering that networks are comprised on movement, and, precisely, on the movement of meaning, it is possible to think about this movement under the scope of Nancy’s ontology of sound. That is to say, given that we can understand sound as an experience within an interconnected web-like texture of delays and distinctions, then Latour’s phrase can be reformulated as follows:</w:t>
      </w:r>
      <w:r>
        <w:t xml:space="preserve"> </w:t>
      </w:r>
      <w:r>
        <w:rPr>
          <w:i/>
        </w:rPr>
        <w:t xml:space="preserve">the network is not a thing, but resonant movement of a thing</w:t>
      </w:r>
      <w:r>
        <w:t xml:space="preserve">. If semiotic actors in Latour’s network are in constant reference to each other, it can be argued that they are in infinite resonance with each other, in a permanent state of vibration, or simply,</w:t>
      </w:r>
      <w:r>
        <w:t xml:space="preserve"> </w:t>
      </w:r>
      <w:r>
        <w:rPr>
          <w:i/>
        </w:rPr>
        <w:t xml:space="preserve">listening</w:t>
      </w:r>
      <w:r>
        <w:t xml:space="preserve">. Therefore, these listening actors are resonant subjects in Nancy’s sense described above. In this sense, semiotic actors within the network can be considered resonant agents.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3"/>
      </w:pPr>
      <w:bookmarkStart w:id="193" w:name="inoperativity"/>
      <w:r>
        <w:t xml:space="preserve">The Unworking Network</w:t>
      </w:r>
      <w:bookmarkEnd w:id="193"/>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194" w:name="community-as-unwork"/>
      <w:r>
        <w:t xml:space="preserve">Community as unwork</w:t>
      </w:r>
      <w:bookmarkEnd w:id="194"/>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195" w:name="resonant-inoperativity"/>
      <w:r>
        <w:t xml:space="preserve">Resonant Inoperativity</w:t>
      </w:r>
      <w:bookmarkEnd w:id="195"/>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196" w:name="space-of-community"/>
      <w:r>
        <w:t xml:space="preserve">Space of Community</w:t>
      </w:r>
      <w:bookmarkEnd w:id="196"/>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197" w:name="at-the-limit"/>
      <w:r>
        <w:t xml:space="preserve">At the Limit</w:t>
      </w:r>
      <w:bookmarkEnd w:id="197"/>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198" w:name="reticulated-skin"/>
      <w:r>
        <w:t xml:space="preserve">Reticulated Skin</w:t>
      </w:r>
      <w:bookmarkEnd w:id="198"/>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199" w:name="database-community"/>
      <w:r>
        <w:t xml:space="preserve">Database Community</w:t>
      </w:r>
      <w:bookmarkEnd w:id="199"/>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0" w:name="section:Databases_And_Memory"/>
      <w:r>
        <w:t xml:space="preserve">Databases And Memory</w:t>
      </w:r>
      <w:bookmarkEnd w:id="200"/>
    </w:p>
    <w:p>
      <w:pPr>
        <w:pStyle w:val="Heading3"/>
      </w:pPr>
      <w:bookmarkStart w:id="201" w:name="funeslude"/>
      <w:r>
        <w:t xml:space="preserve">Interlude: Embodied Memory</w:t>
      </w:r>
      <w:bookmarkEnd w:id="20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2"/>
      </w:r>
      <w:r>
        <w:t xml:space="preserve"> </w:t>
      </w:r>
      <w:r>
        <w:t xml:space="preserve">he was secluded in a dark and enclosed space so as not to perceive the world.</w:t>
      </w:r>
      <w:r>
        <w:rPr>
          <w:rStyle w:val="FootnoteReference"/>
        </w:rPr>
        <w:footnoteReference w:id="203"/>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5"/>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06"/>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07"/>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09" w:name="human"/>
      <w:r>
        <w:t xml:space="preserve">The Effraction Of The Trace</w:t>
      </w:r>
      <w:bookmarkEnd w:id="209"/>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0"/>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1" w:name="memory-as-breaching"/>
      <w:r>
        <w:t xml:space="preserve">Memory as Breaching</w:t>
      </w:r>
      <w:bookmarkEnd w:id="211"/>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2" w:name="breaching-and-différance"/>
      <w:r>
        <w:t xml:space="preserve">Breaching and</w:t>
      </w:r>
      <w:r>
        <w:t xml:space="preserve"> </w:t>
      </w:r>
      <w:r>
        <w:rPr>
          <w:i/>
        </w:rPr>
        <w:t xml:space="preserve">différance</w:t>
      </w:r>
      <w:bookmarkEnd w:id="212"/>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3" w:name="hypomnesis-and-the-mystic-pad"/>
      <w:r>
        <w:t xml:space="preserve">Hypomnesis and the Mystic Pad</w:t>
      </w:r>
      <w:bookmarkEnd w:id="213"/>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4" w:name="nonhuman-authors"/>
      <w:r>
        <w:t xml:space="preserve">Nonhuman Authors</w:t>
      </w:r>
      <w:bookmarkEnd w:id="214"/>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5" w:name="database-as-agents"/>
      <w:r>
        <w:t xml:space="preserve">Database as Agents</w:t>
      </w:r>
      <w:bookmarkEnd w:id="215"/>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16" w:name="archontic"/>
      <w:r>
        <w:t xml:space="preserve">The Archontic Principle</w:t>
      </w:r>
      <w:bookmarkEnd w:id="216"/>
    </w:p>
    <w:p>
      <w:pPr>
        <w:pStyle w:val="Heading5"/>
      </w:pPr>
      <w:bookmarkStart w:id="217" w:name="archives-and-memory"/>
      <w:r>
        <w:t xml:space="preserve">Archives and Memory</w:t>
      </w:r>
      <w:bookmarkEnd w:id="217"/>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18" w:name="hierarchies"/>
      <w:r>
        <w:t xml:space="preserve">Hierarchies</w:t>
      </w:r>
      <w:bookmarkEnd w:id="21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19" w:name="archontic-principle"/>
      <w:r>
        <w:t xml:space="preserve">Archontic Principle</w:t>
      </w:r>
      <w:bookmarkEnd w:id="219"/>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0" w:name="patriarchy"/>
      <w:r>
        <w:t xml:space="preserve">Patriarchy</w:t>
      </w:r>
      <w:bookmarkEnd w:id="220"/>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1" w:name="institutional-passage"/>
      <w:r>
        <w:t xml:space="preserve">Institutional Passage</w:t>
      </w:r>
      <w:bookmarkEnd w:id="221"/>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2" w:name="authorities"/>
      <w:r>
        <w:t xml:space="preserve">Authorities</w:t>
      </w:r>
      <w:bookmarkEnd w:id="222"/>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3" w:name="anarchic-memory"/>
      <w:r>
        <w:t xml:space="preserve">Anarchic Memory</w:t>
      </w:r>
      <w:bookmarkEnd w:id="223"/>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4" w:name="collective-memory"/>
      <w:r>
        <w:t xml:space="preserve">Collective Memory</w:t>
      </w:r>
      <w:bookmarkEnd w:id="224"/>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5" w:name="writing-code"/>
      <w:r>
        <w:t xml:space="preserve">Writing Code</w:t>
      </w:r>
      <w:bookmarkEnd w:id="225"/>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6"/>
      </w:r>
    </w:p>
    <w:p>
      <w:pPr>
        <w:pStyle w:val="Heading5"/>
      </w:pPr>
      <w:bookmarkStart w:id="228" w:name="anarchic-computer-memory"/>
      <w:r>
        <w:t xml:space="preserve">Anarchic Computer Memory</w:t>
      </w:r>
      <w:bookmarkEnd w:id="228"/>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29" w:name="spectrality"/>
      <w:r>
        <w:t xml:space="preserve">The Spectral Database</w:t>
      </w:r>
      <w:bookmarkEnd w:id="229"/>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0" w:name="computer-memory-and-writing"/>
      <w:r>
        <w:t xml:space="preserve">Computer Memory and Writing</w:t>
      </w:r>
      <w:bookmarkEnd w:id="230"/>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1" w:name="memory-replacement"/>
      <w:r>
        <w:t xml:space="preserve">Memory Replacement</w:t>
      </w:r>
      <w:bookmarkEnd w:id="231"/>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2" w:name="anarchic-records"/>
      <w:r>
        <w:t xml:space="preserve">Anarchic Records</w:t>
      </w:r>
      <w:bookmarkEnd w:id="232"/>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3"/>
      </w:r>
      <w:r>
        <w:t xml:space="preserve"> </w:t>
      </w:r>
      <w:r>
        <w:t xml:space="preserve">becomes an archivization process, that is, a process by which symbolic transcription leads to an ordered archive, i.e., a score.</w:t>
      </w:r>
      <w:r>
        <w:rPr>
          <w:rStyle w:val="FootnoteReference"/>
        </w:rPr>
        <w:footnoteReference w:id="235"/>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6" w:name="memory-and-framing"/>
      <w:r>
        <w:t xml:space="preserve">Memory and Framing</w:t>
      </w:r>
      <w:bookmarkEnd w:id="236"/>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7" w:name="nonhuman-tympans"/>
      <w:r>
        <w:t xml:space="preserve">Nonhuman Tympans</w:t>
      </w:r>
      <w:bookmarkEnd w:id="237"/>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8" w:name="spectrality-of-archives"/>
      <w:r>
        <w:t xml:space="preserve">Spectrality of Archives</w:t>
      </w:r>
      <w:bookmarkEnd w:id="238"/>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9" w:name="spectrality-of-databases"/>
      <w:r>
        <w:t xml:space="preserve">Spectrality of Databases</w:t>
      </w:r>
      <w:bookmarkEnd w:id="239"/>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0" w:name="agency-of-the-uncanny"/>
      <w:r>
        <w:t xml:space="preserve">Agency of the Uncanny</w:t>
      </w:r>
      <w:bookmarkEnd w:id="240"/>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5.1.1</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1" w:name="section:Performativity_Of_Databases"/>
      <w:r>
        <w:t xml:space="preserve">Performativity Of Databases</w:t>
      </w:r>
      <w:bookmarkEnd w:id="241"/>
    </w:p>
    <w:p>
      <w:pPr>
        <w:pStyle w:val="Heading3"/>
      </w:pPr>
      <w:bookmarkStart w:id="242" w:name="gender"/>
      <w:r>
        <w:t xml:space="preserve">Gendered Database</w:t>
      </w:r>
      <w:bookmarkEnd w:id="242"/>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3" w:name="skin-of-the-database"/>
      <w:r>
        <w:t xml:space="preserve">Skin of the Database</w:t>
      </w:r>
      <w:bookmarkEnd w:id="243"/>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4" w:name="expressing-nothing"/>
      <w:r>
        <w:t xml:space="preserve">Expressing Nothing</w:t>
      </w:r>
      <w:bookmarkEnd w:id="244"/>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5" w:name="a-historical-situation"/>
      <w:r>
        <w:t xml:space="preserve">A Historical Situation</w:t>
      </w:r>
      <w:bookmarkEnd w:id="245"/>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6" w:name="subversive-repetition"/>
      <w:r>
        <w:t xml:space="preserve">Subversive Repetition</w:t>
      </w:r>
      <w:bookmarkEnd w:id="246"/>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7" w:name="gendered-database"/>
      <w:r>
        <w:t xml:space="preserve">Gendered Database</w:t>
      </w:r>
      <w:bookmarkEnd w:id="247"/>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8" w:name="limits"/>
      <w:r>
        <w:t xml:space="preserve">Towards The Limits</w:t>
      </w:r>
      <w:bookmarkEnd w:id="248"/>
    </w:p>
    <w:p>
      <w:pPr>
        <w:pStyle w:val="Heading5"/>
      </w:pPr>
      <w:bookmarkStart w:id="249" w:name="exposure"/>
      <w:r>
        <w:t xml:space="preserve">Exposure</w:t>
      </w:r>
      <w:bookmarkEnd w:id="249"/>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0" w:name="anarchic-touch"/>
      <w:r>
        <w:t xml:space="preserve">Anarchic Touch</w:t>
      </w:r>
      <w:bookmarkEnd w:id="250"/>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1" w:name="communities-of-skin"/>
      <w:r>
        <w:t xml:space="preserve">Communities of Skin</w:t>
      </w:r>
      <w:bookmarkEnd w:id="251"/>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2" w:name="hybrid-pluralities"/>
      <w:r>
        <w:t xml:space="preserve">Hybrid Pluralities</w:t>
      </w:r>
      <w:bookmarkEnd w:id="252"/>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3" w:name="style"/>
      <w:r>
        <w:t xml:space="preserve">Contingencies Of Style</w:t>
      </w:r>
      <w:bookmarkEnd w:id="253"/>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4" w:name="style-and-timbre"/>
      <w:r>
        <w:t xml:space="preserve">Style and Timbre</w:t>
      </w:r>
      <w:bookmarkEnd w:id="254"/>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5"/>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6" w:name="endless-databases"/>
      <w:r>
        <w:t xml:space="preserve">Endless Databases</w:t>
      </w:r>
      <w:bookmarkEnd w:id="256"/>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7" w:name="database-and-chaos"/>
      <w:r>
        <w:t xml:space="preserve">Database and Chaos</w:t>
      </w:r>
      <w:bookmarkEnd w:id="257"/>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9" w:name="img:lorenz_plotter"/>
      <w:r>
        <w:t xml:space="preserve">[img:lorenz_plotter]</w:t>
      </w:r>
      <w:bookmarkEnd w:id="259"/>
    </w:p>
    <w:p>
      <w:pPr>
        <w:pStyle w:val="BodyText"/>
      </w:pPr>
      <w:r>
        <w:t xml:space="preserve">Plotting of the Lorenz system in Pure Data.</w:t>
      </w:r>
    </w:p>
    <w:p>
      <w:pPr>
        <w:pStyle w:val="Heading5"/>
      </w:pPr>
      <w:bookmarkStart w:id="260" w:name="fractality"/>
      <w:r>
        <w:t xml:space="preserve">Fractality</w:t>
      </w:r>
      <w:bookmarkEnd w:id="260"/>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1" w:name="a-music-work-as-a-singularity"/>
      <w:r>
        <w:t xml:space="preserve">A Music Work as a Singularity</w:t>
      </w:r>
      <w:bookmarkEnd w:id="261"/>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2" w:name="arbitrariness"/>
      <w:r>
        <w:t xml:space="preserve">Arbitrariness</w:t>
      </w:r>
      <w:bookmarkEnd w:id="262"/>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3" w:name="inoperative-style"/>
      <w:r>
        <w:t xml:space="preserve">Inoperative Style</w:t>
      </w:r>
      <w:bookmarkEnd w:id="263"/>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4" w:name="authority"/>
      <w:r>
        <w:t xml:space="preserve">A Specter Of Authority</w:t>
      </w:r>
      <w:bookmarkEnd w:id="264"/>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5" w:name="the-name"/>
      <w:r>
        <w:t xml:space="preserve">The Name</w:t>
      </w:r>
      <w:bookmarkEnd w:id="265"/>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6"/>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67" w:name="dictionaries"/>
      <w:r>
        <w:t xml:space="preserve">Dictionaries</w:t>
      </w:r>
      <w:bookmarkEnd w:id="267"/>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8" w:name="artistry"/>
      <w:r>
        <w:t xml:space="preserve">Artistry</w:t>
      </w:r>
      <w:bookmarkEnd w:id="268"/>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9"/>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0"/>
      </w:r>
    </w:p>
    <w:p>
      <w:pPr>
        <w:pStyle w:val="Heading5"/>
      </w:pPr>
      <w:bookmarkStart w:id="271" w:name="the-work-of-mice"/>
      <w:r>
        <w:t xml:space="preserve">The Work of Mice</w:t>
      </w:r>
      <w:bookmarkEnd w:id="271"/>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2" w:name="section:Rethinking_Composition"/>
      <w:r>
        <w:t xml:space="preserve">Rethinking Composition</w:t>
      </w:r>
      <w:bookmarkEnd w:id="272"/>
    </w:p>
    <w:p>
      <w:pPr>
        <w:pStyle w:val="Heading3"/>
      </w:pPr>
      <w:bookmarkStart w:id="273" w:name="performance"/>
      <w:r>
        <w:t xml:space="preserve">Interlude: Hyperbolic Reactions</w:t>
      </w:r>
      <w:bookmarkEnd w:id="273"/>
    </w:p>
    <w:p>
      <w:pPr>
        <w:pStyle w:val="Heading5"/>
      </w:pPr>
      <w:bookmarkStart w:id="274" w:name="imagining-composers"/>
      <w:r>
        <w:t xml:space="preserve">Imagining Composers</w:t>
      </w:r>
      <w:bookmarkEnd w:id="274"/>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5" w:name="composers-and-technology"/>
      <w:r>
        <w:t xml:space="preserve">Composers and Technology</w:t>
      </w:r>
      <w:bookmarkEnd w:id="275"/>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6" w:name="playing-with-shadows"/>
      <w:r>
        <w:t xml:space="preserve">Playing with Shadows</w:t>
      </w:r>
      <w:bookmarkEnd w:id="276"/>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7" w:name="composers-without-computers"/>
      <w:r>
        <w:t xml:space="preserve">Composers Without Computers</w:t>
      </w:r>
      <w:bookmarkEnd w:id="277"/>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8" w:name="databasing-without-computers"/>
      <w:r>
        <w:t xml:space="preserve">Databasing Without Computers</w:t>
      </w:r>
      <w:bookmarkEnd w:id="27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9" w:name="organic"/>
      <w:r>
        <w:t xml:space="preserve">Working Composition</w:t>
      </w:r>
      <w:bookmarkEnd w:id="279"/>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0" w:name="the-work-problem"/>
      <w:r>
        <w:t xml:space="preserve">The Work Problem</w:t>
      </w:r>
      <w:bookmarkEnd w:id="280"/>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1" w:name="working-rules"/>
      <w:r>
        <w:t xml:space="preserve">Working Rules</w:t>
      </w:r>
      <w:bookmarkEnd w:id="281"/>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2" w:name="a-space-of-difference"/>
      <w:r>
        <w:t xml:space="preserve">A Space of Difference</w:t>
      </w:r>
      <w:bookmarkEnd w:id="282"/>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3"/>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4" w:name="a-severed-work"/>
      <w:r>
        <w:t xml:space="preserve">A Severed Work</w:t>
      </w:r>
      <w:bookmarkEnd w:id="28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5" w:name="absorbption"/>
      <w:r>
        <w:t xml:space="preserve">Absorbption</w:t>
      </w:r>
      <w:bookmarkEnd w:id="285"/>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6" w:name="practice"/>
      <w:r>
        <w:t xml:space="preserve">The Composer As Navigator</w:t>
      </w:r>
      <w:bookmarkEnd w:id="28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7" w:name="querying-the-sieves"/>
      <w:r>
        <w:t xml:space="preserve">Querying the Sieves</w:t>
      </w:r>
      <w:bookmarkEnd w:id="28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1"/>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2"/>
      </w:r>
    </w:p>
    <w:p>
      <w:pPr>
        <w:pStyle w:val="Heading5"/>
      </w:pPr>
      <w:bookmarkStart w:id="293" w:name="sound-synthesis-parenthesis"/>
      <w:r>
        <w:t xml:space="preserve">Sound Synthesis Parenthesis</w:t>
      </w:r>
      <w:bookmarkEnd w:id="29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4"/>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6" w:name="algebraic-abstractions-for-freedom"/>
      <w:r>
        <w:t xml:space="preserve">Algebraic Abstractions for Freedom</w:t>
      </w:r>
      <w:bookmarkEnd w:id="29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7" w:name="a-cosmic-vessel-and-an-armchair"/>
      <w:r>
        <w:t xml:space="preserve">A Cosmic Vessel and an Armchair</w:t>
      </w:r>
      <w:bookmarkEnd w:id="29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9" w:name="improv"/>
      <w:r>
        <w:t xml:space="preserve">The Database As Performer</w:t>
      </w:r>
      <w:bookmarkEnd w:id="29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0" w:name="the-computer-as-a-musical-instrument"/>
      <w:r>
        <w:t xml:space="preserve">The Computer as a Musical Instrument</w:t>
      </w:r>
      <w:bookmarkEnd w:id="300"/>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1" w:name="a-minor-liberty"/>
      <w:r>
        <w:t xml:space="preserve">A Minor Liberty</w:t>
      </w:r>
      <w:bookmarkEnd w:id="30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2" w:name="the-computer-as-a-player"/>
      <w:r>
        <w:t xml:space="preserve">The Computer as a Player</w:t>
      </w:r>
      <w:bookmarkEnd w:id="302"/>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3" w:name="programming-decisions"/>
      <w:r>
        <w:t xml:space="preserve">Programming Decisions</w:t>
      </w:r>
      <w:bookmarkEnd w:id="303"/>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4" w:name="anachronic-composers"/>
      <w:r>
        <w:t xml:space="preserve">Anachronic Composers</w:t>
      </w:r>
      <w:bookmarkEnd w:id="304"/>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5" w:name="section"/>
      <w:bookmarkEnd w:id="30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6"/>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7" w:name="nonhuman-composers"/>
      <w:r>
        <w:t xml:space="preserve">Nonhuman composers</w:t>
      </w:r>
      <w:bookmarkEnd w:id="30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8" w:name="fractured-works"/>
      <w:r>
        <w:t xml:space="preserve">Fractured Works</w:t>
      </w:r>
      <w:bookmarkEnd w:id="308"/>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9" w:name="databasing-vessel"/>
      <w:r>
        <w:t xml:space="preserve">Databasing Vessel</w:t>
      </w:r>
      <w:bookmarkEnd w:id="30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0" w:name="music"/>
      <w:r>
        <w:t xml:space="preserve">The Severed Object Of Music</w:t>
      </w:r>
      <w:bookmarkEnd w:id="310"/>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1" w:name="an-incomplete-object"/>
      <w:r>
        <w:t xml:space="preserve">An Incomplete Object</w:t>
      </w:r>
      <w:bookmarkEnd w:id="311"/>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2"/>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3" w:name="remains-of-listening"/>
      <w:r>
        <w:t xml:space="preserve">Remains of Listening</w:t>
      </w:r>
      <w:bookmarkEnd w:id="313"/>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4" w:name="sources-and-sorcerers"/>
      <w:r>
        <w:t xml:space="preserve">Sources and Sorcerers</w:t>
      </w:r>
      <w:bookmarkEnd w:id="314"/>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5" w:name="naming"/>
      <w:r>
        <w:t xml:space="preserve">Naming</w:t>
      </w:r>
      <w:bookmarkEnd w:id="315"/>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6"/>
      </w:r>
    </w:p>
    <w:p>
      <w:pPr>
        <w:pStyle w:val="Heading5"/>
      </w:pPr>
      <w:bookmarkStart w:id="317" w:name="dynamics"/>
      <w:r>
        <w:t xml:space="preserve">Dynamics</w:t>
      </w:r>
      <w:bookmarkEnd w:id="317"/>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8" w:name="masterwork"/>
      <w:r>
        <w:t xml:space="preserve">Masterwork</w:t>
      </w:r>
      <w:bookmarkEnd w:id="318"/>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9" w:name="architecture-of-obedience"/>
      <w:r>
        <w:t xml:space="preserve">Architecture of Obedience</w:t>
      </w:r>
      <w:bookmarkEnd w:id="319"/>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0" w:name="anarchy"/>
      <w:r>
        <w:t xml:space="preserve">Anarchy And The Unwork</w:t>
      </w:r>
      <w:bookmarkEnd w:id="320"/>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1" w:name="place-in-common"/>
      <w:r>
        <w:t xml:space="preserve">Place in Common</w:t>
      </w:r>
      <w:bookmarkEnd w:id="321"/>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2" w:name="disintegrated-imperative"/>
      <w:r>
        <w:t xml:space="preserve">Disintegrated Imperative</w:t>
      </w:r>
      <w:bookmarkEnd w:id="322"/>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3" w:name="blind-experimentation"/>
      <w:r>
        <w:t xml:space="preserve">Blind Experimentation</w:t>
      </w:r>
      <w:bookmarkEnd w:id="323"/>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4" w:name="doctoring-the-glitch"/>
      <w:r>
        <w:t xml:space="preserve">Doctoring the Glitch</w:t>
      </w:r>
      <w:bookmarkEnd w:id="324"/>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5" w:name="unnecessary-blindfolds"/>
      <w:r>
        <w:t xml:space="preserve">Unnecessary Blindfolds</w:t>
      </w:r>
      <w:bookmarkEnd w:id="325"/>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6" w:name="spectral-remains"/>
      <w:r>
        <w:t xml:space="preserve">Spectral Remains</w:t>
      </w:r>
      <w:bookmarkEnd w:id="326"/>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7" w:name="macroforma"/>
      <w:r>
        <w:t xml:space="preserve">Macroforma</w:t>
      </w:r>
      <w:bookmarkEnd w:id="327"/>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8" w:name="overfitting"/>
      <w:r>
        <w:t xml:space="preserve">Overfitting</w:t>
      </w:r>
      <w:bookmarkEnd w:id="328"/>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 musical behaviors.</w:t>
      </w:r>
    </w:p>
    <w:p>
      <w:pPr>
        <w:pStyle w:val="Heading3"/>
      </w:pPr>
      <w:bookmarkStart w:id="329" w:name="worker"/>
      <w:r>
        <w:t xml:space="preserve">[Wip] Work In Progress</w:t>
      </w:r>
      <w:bookmarkEnd w:id="329"/>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0" w:name="chapter:Conclusion"/>
      <w:r>
        <w:t xml:space="preserve">Conclusion</w:t>
      </w:r>
      <w:bookmarkEnd w:id="330"/>
    </w:p>
    <w:p>
      <w:pPr>
        <w:pStyle w:val="FirstParagraph"/>
      </w:pPr>
      <w:r>
        <w:t xml:space="preserve">…</w:t>
      </w:r>
      <w:r>
        <w:t xml:space="preserve"> </w:t>
      </w:r>
      <w:r>
        <w:t xml:space="preserve">placeholder for conclusion abstract</w:t>
      </w:r>
      <w:r>
        <w:t xml:space="preserve"> </w:t>
      </w:r>
      <w:r>
        <w:t xml:space="preserve">…</w:t>
      </w:r>
    </w:p>
    <w:p>
      <w:pPr>
        <w:pStyle w:val="Heading1"/>
      </w:pPr>
      <w:bookmarkStart w:id="331" w:name="chapter:Appendices"/>
      <w:r>
        <w:t xml:space="preserve">Appendices</w:t>
      </w:r>
      <w:bookmarkEnd w:id="331"/>
    </w:p>
    <w:p>
      <w:pPr>
        <w:pStyle w:val="FirstParagraph"/>
      </w:pPr>
      <w:r>
        <w:t xml:space="preserve">abstract of appendices</w:t>
      </w:r>
    </w:p>
    <w:p>
      <w:pPr>
        <w:pStyle w:val="Heading2"/>
      </w:pPr>
      <w:bookmarkStart w:id="332" w:name="X9928d5a4298d9156e673c83842d96a99bfb66d7"/>
      <w:r>
        <w:t xml:space="preserve">DIANA: Database for Image and Audio Navigation</w:t>
      </w:r>
      <w:bookmarkEnd w:id="332"/>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3" w:name="dbmodel"/>
      <w:r>
        <w:t xml:space="preserve">A Database Model</w:t>
      </w:r>
      <w:bookmarkEnd w:id="333"/>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4" w:name="X7616598f194c52ee6f4c09f01c755a7090177ba"/>
      <w:r>
        <w:t xml:space="preserve">ABBY: An Online Environment for Annotated Bibliographies</w:t>
      </w:r>
      <w:bookmarkEnd w:id="334"/>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5">
        <w:r>
          <w:rPr>
            <w:rStyle w:val="Hyperlink"/>
          </w:rPr>
          <w:t xml:space="preserve">https://fdch.github.io/abby</w:t>
        </w:r>
      </w:hyperlink>
      <w:r>
        <w:t xml:space="preserve">, and the code can be accessed or cloned from</w:t>
      </w:r>
      <w:r>
        <w:t xml:space="preserve"> </w:t>
      </w:r>
      <w:hyperlink r:id="rId336">
        <w:r>
          <w:rPr>
            <w:rStyle w:val="Hyperlink"/>
          </w:rPr>
          <w:t xml:space="preserve">https://github.com/fdch/litrev</w:t>
        </w:r>
      </w:hyperlink>
      <w:r>
        <w:t xml:space="preserve">.</w:t>
      </w:r>
    </w:p>
    <w:p>
      <w:pPr>
        <w:pStyle w:val="Heading3"/>
      </w:pPr>
      <w:bookmarkStart w:id="337" w:name="texdb"/>
      <w:r>
        <w:t xml:space="preserve">A Text Database</w:t>
      </w:r>
      <w:bookmarkEnd w:id="337"/>
    </w:p>
    <w:p>
      <w:pPr>
        <w:pStyle w:val="FirstParagraph"/>
      </w:pPr>
      <w:r>
        <w:t xml:space="preserve">A detailed description of the text database model…</w:t>
      </w:r>
    </w:p>
    <w:bookmarkStart w:id="678" w:name="refs"/>
    <w:bookmarkStart w:id="33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8"/>
    <w:bookmarkStart w:id="33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9"/>
    <w:bookmarkStart w:id="34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0"/>
    <w:bookmarkStart w:id="34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1"/>
    <w:bookmarkStart w:id="34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2"/>
    <w:bookmarkStart w:id="34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3">
        <w:r>
          <w:rPr>
            <w:rStyle w:val="Hyperlink"/>
          </w:rPr>
          <w:t xml:space="preserve">http://www.terasoft.com.tw/conf/ismir2014/proceedings/T014_162_Paper.pdf</w:t>
        </w:r>
      </w:hyperlink>
    </w:p>
    <w:bookmarkEnd w:id="344"/>
    <w:bookmarkStart w:id="34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5"/>
    <w:bookmarkStart w:id="34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6"/>
    <w:bookmarkStart w:id="34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7"/>
    <w:bookmarkStart w:id="34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8"/>
    <w:bookmarkStart w:id="34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9"/>
    <w:bookmarkStart w:id="35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0"/>
    <w:bookmarkStart w:id="35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1"/>
    <w:bookmarkStart w:id="35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2"/>
    <w:bookmarkStart w:id="35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3"/>
    <w:bookmarkStart w:id="35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4"/>
    <w:bookmarkStart w:id="355" w:name="ref-Bar20:Viv"/>
    <w:p>
      <w:pPr>
        <w:pStyle w:val="Bibliography"/>
      </w:pPr>
      <w:r>
        <w:t xml:space="preserve">Barrett N. 2000b. Viva la selva</w:t>
      </w:r>
    </w:p>
    <w:bookmarkEnd w:id="355"/>
    <w:bookmarkStart w:id="356" w:name="ref-Bar68:Ele"/>
    <w:p>
      <w:pPr>
        <w:pStyle w:val="Bibliography"/>
      </w:pPr>
      <w:r>
        <w:t xml:space="preserve">Barthes R, Lavers A, Smith C. 1968.</w:t>
      </w:r>
      <w:r>
        <w:t xml:space="preserve"> </w:t>
      </w:r>
      <w:r>
        <w:rPr>
          <w:i/>
        </w:rPr>
        <w:t xml:space="preserve">Elements of Semiology</w:t>
      </w:r>
      <w:r>
        <w:t xml:space="preserve">. Hill; Wang, New York. ed.</w:t>
      </w:r>
    </w:p>
    <w:bookmarkEnd w:id="356"/>
    <w:bookmarkStart w:id="35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7"/>
    <w:bookmarkStart w:id="35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8"/>
    <w:bookmarkStart w:id="35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9"/>
    <w:bookmarkStart w:id="36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0">
        <w:r>
          <w:rPr>
            <w:rStyle w:val="Hyperlink"/>
          </w:rPr>
          <w:t xml:space="preserve">http://www.terasoft.com.tw/conf/ismir2014/proceedings/T028_322_Paper.pdf</w:t>
        </w:r>
      </w:hyperlink>
    </w:p>
    <w:bookmarkEnd w:id="361"/>
    <w:bookmarkStart w:id="36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2"/>
    <w:bookmarkStart w:id="36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3">
        <w:r>
          <w:rPr>
            <w:rStyle w:val="Hyperlink"/>
          </w:rPr>
          <w:t xml:space="preserve">http://www.ppgia.pucpr.br/ismir2013/wp-content/uploads/2013/09/177\_Paper.pdf</w:t>
        </w:r>
      </w:hyperlink>
    </w:p>
    <w:bookmarkEnd w:id="364"/>
    <w:bookmarkStart w:id="36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5"/>
    <w:bookmarkStart w:id="366" w:name="ref-Bor42:Fun"/>
    <w:p>
      <w:pPr>
        <w:pStyle w:val="Bibliography"/>
      </w:pPr>
      <w:r>
        <w:t xml:space="preserve">Borges JL. 1942. Funes el memorioso.</w:t>
      </w:r>
      <w:r>
        <w:t xml:space="preserve"> </w:t>
      </w:r>
      <w:r>
        <w:rPr>
          <w:i/>
        </w:rPr>
        <w:t xml:space="preserve">Ficciones</w:t>
      </w:r>
    </w:p>
    <w:bookmarkEnd w:id="366"/>
    <w:bookmarkStart w:id="367" w:name="ref-Bor95:Rat"/>
    <w:p>
      <w:pPr>
        <w:pStyle w:val="Bibliography"/>
      </w:pPr>
      <w:r>
        <w:t xml:space="preserve">Born G. 1995.</w:t>
      </w:r>
      <w:r>
        <w:t xml:space="preserve"> </w:t>
      </w:r>
      <w:r>
        <w:rPr>
          <w:i/>
        </w:rPr>
        <w:t xml:space="preserve">Rationalizing Culture</w:t>
      </w:r>
      <w:r>
        <w:t xml:space="preserve">. University of California Press. ed.</w:t>
      </w:r>
    </w:p>
    <w:bookmarkEnd w:id="367"/>
    <w:bookmarkStart w:id="36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8"/>
    <w:bookmarkStart w:id="36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9"/>
    <w:bookmarkStart w:id="37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0"/>
    <w:bookmarkStart w:id="37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1"/>
    <w:bookmarkStart w:id="37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2"/>
    <w:bookmarkStart w:id="37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3"/>
    <w:bookmarkStart w:id="374" w:name="ref-score11manual"/>
    <w:p>
      <w:pPr>
        <w:pStyle w:val="Bibliography"/>
      </w:pPr>
      <w:r>
        <w:t xml:space="preserve">Brinkman AR. 1982. Original version of the score11 manual.</w:t>
      </w:r>
      <w:r>
        <w:t xml:space="preserve"> </w:t>
      </w:r>
      <w:r>
        <w:rPr>
          <w:i/>
        </w:rPr>
        <w:t xml:space="preserve">Score11 Manual</w:t>
      </w:r>
    </w:p>
    <w:bookmarkEnd w:id="374"/>
    <w:bookmarkStart w:id="37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5"/>
    <w:bookmarkStart w:id="37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6"/>
    <w:bookmarkStart w:id="37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7"/>
    <w:bookmarkStart w:id="37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8">
        <w:r>
          <w:rPr>
            <w:rStyle w:val="Hyperlink"/>
          </w:rPr>
          <w:t xml:space="preserve">http://www.nime.org/proceedings/2011/nime2011_387.pdf</w:t>
        </w:r>
      </w:hyperlink>
    </w:p>
    <w:bookmarkEnd w:id="379"/>
    <w:bookmarkStart w:id="38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0">
        <w:r>
          <w:rPr>
            <w:rStyle w:val="Hyperlink"/>
          </w:rPr>
          <w:t xml:space="preserve">http://www.nime.org/proceedings/2009/nime2009_266.pdf</w:t>
        </w:r>
      </w:hyperlink>
    </w:p>
    <w:bookmarkEnd w:id="381"/>
    <w:bookmarkStart w:id="38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2"/>
    <w:bookmarkStart w:id="38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3"/>
    <w:bookmarkStart w:id="38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4"/>
    <w:bookmarkStart w:id="385" w:name="ref-Bux77:Aco"/>
    <w:p>
      <w:pPr>
        <w:pStyle w:val="Bibliography"/>
      </w:pPr>
      <w:r>
        <w:t xml:space="preserve">Buxton W. 1977. A composer’s introduction to computer music.</w:t>
      </w:r>
      <w:r>
        <w:t xml:space="preserve"> </w:t>
      </w:r>
      <w:r>
        <w:rPr>
          <w:i/>
        </w:rPr>
        <w:t xml:space="preserve">Interface</w:t>
      </w:r>
      <w:r>
        <w:t xml:space="preserve">. 6:57–72</w:t>
      </w:r>
    </w:p>
    <w:bookmarkEnd w:id="385"/>
    <w:bookmarkStart w:id="386" w:name="ref-youtube/buxton10"/>
    <w:p>
      <w:pPr>
        <w:pStyle w:val="Bibliography"/>
      </w:pPr>
      <w:r>
        <w:t xml:space="preserve">Buxton W. 2016a. Objed: The sssp sound editing tool.</w:t>
      </w:r>
      <w:r>
        <w:t xml:space="preserve"> </w:t>
      </w:r>
      <w:r>
        <w:rPr>
          <w:i/>
        </w:rPr>
        <w:t xml:space="preserve">Youtube</w:t>
      </w:r>
    </w:p>
    <w:bookmarkEnd w:id="386"/>
    <w:bookmarkStart w:id="38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7"/>
    <w:bookmarkStart w:id="38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8"/>
    <w:bookmarkStart w:id="38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9"/>
    <w:bookmarkStart w:id="39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0"/>
    <w:bookmarkStart w:id="39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1">
        <w:r>
          <w:rPr>
            <w:rStyle w:val="Hyperlink"/>
          </w:rPr>
          <w:t xml:space="preserve">http://www.nime.org/proceedings/2011/nime2011_329.pdf</w:t>
        </w:r>
      </w:hyperlink>
    </w:p>
    <w:bookmarkEnd w:id="392"/>
    <w:bookmarkStart w:id="39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3"/>
    <w:bookmarkStart w:id="39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4"/>
    <w:bookmarkStart w:id="39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5"/>
    <w:bookmarkStart w:id="396" w:name="ref-Rya17:OnT"/>
    <w:p>
      <w:pPr>
        <w:pStyle w:val="Bibliography"/>
      </w:pPr>
      <w:r>
        <w:t xml:space="preserve">Carter R. 2017. On the expressive potential of suboptimal speakers</w:t>
      </w:r>
    </w:p>
    <w:bookmarkEnd w:id="396"/>
    <w:bookmarkStart w:id="39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7"/>
    <w:bookmarkStart w:id="39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8"/>
    <w:bookmarkStart w:id="39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9"/>
    <w:bookmarkStart w:id="40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0"/>
    <w:bookmarkStart w:id="40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1"/>
    <w:bookmarkStart w:id="40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2"/>
    <w:bookmarkStart w:id="40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3"/>
    <w:bookmarkStart w:id="40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4"/>
    <w:bookmarkStart w:id="405" w:name="ref-Cho00:Voi"/>
    <w:p>
      <w:pPr>
        <w:pStyle w:val="Bibliography"/>
      </w:pPr>
      <w:r>
        <w:t xml:space="preserve">Choi I. 2000. Voices in ruins — composition with residuals</w:t>
      </w:r>
    </w:p>
    <w:bookmarkEnd w:id="405"/>
    <w:bookmarkStart w:id="40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6"/>
    <w:bookmarkStart w:id="40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7"/>
    <w:bookmarkStart w:id="40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8"/>
    <w:bookmarkStart w:id="40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9"/>
    <w:bookmarkStart w:id="41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0"/>
    <w:bookmarkStart w:id="41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1"/>
    <w:bookmarkStart w:id="41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2"/>
    <w:bookmarkStart w:id="41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3"/>
    <w:bookmarkStart w:id="41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4"/>
    <w:bookmarkStart w:id="415" w:name="ref-connes:shapes"/>
    <w:p>
      <w:pPr>
        <w:pStyle w:val="Bibliography"/>
      </w:pPr>
      <w:r>
        <w:t xml:space="preserve">Connes A. 2012. The music of shapes</w:t>
      </w:r>
    </w:p>
    <w:bookmarkEnd w:id="415"/>
    <w:bookmarkStart w:id="41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6"/>
    <w:bookmarkStart w:id="41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7"/>
    <w:bookmarkStart w:id="41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8"/>
    <w:bookmarkStart w:id="41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9"/>
    <w:bookmarkStart w:id="42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0"/>
    <w:bookmarkStart w:id="42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1">
        <w:r>
          <w:rPr>
            <w:rStyle w:val="Hyperlink"/>
          </w:rPr>
          <w:t xml:space="preserve">https://ismir2017.smcnus.org/wp-content/uploads/2017/10/235_Paper.pdf</w:t>
        </w:r>
      </w:hyperlink>
    </w:p>
    <w:bookmarkEnd w:id="422"/>
    <w:bookmarkStart w:id="424" w:name="ref-crowley98"/>
    <w:p>
      <w:pPr>
        <w:pStyle w:val="Bibliography"/>
      </w:pPr>
      <w:r>
        <w:t xml:space="preserve">Crowley C. 1998. Data structures for text sequences.</w:t>
      </w:r>
      <w:r>
        <w:t xml:space="preserve"> </w:t>
      </w:r>
      <w:hyperlink r:id="rId423">
        <w:r>
          <w:rPr>
            <w:rStyle w:val="Hyperlink"/>
          </w:rPr>
          <w:t xml:space="preserve">https://www.cs.unm.edu/~crowley/papers/sds.pdf</w:t>
        </w:r>
      </w:hyperlink>
    </w:p>
    <w:bookmarkEnd w:id="424"/>
    <w:bookmarkStart w:id="42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5"/>
    <w:bookmarkStart w:id="42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6">
        <w:r>
          <w:rPr>
            <w:rStyle w:val="Hyperlink"/>
          </w:rPr>
          <w:t xml:space="preserve">https://ismir2017.smcnus.org/wp-content/uploads/2017/10/75_Paper.pdf</w:t>
        </w:r>
      </w:hyperlink>
    </w:p>
    <w:bookmarkEnd w:id="427"/>
    <w:bookmarkStart w:id="42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8"/>
    <w:bookmarkStart w:id="42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9"/>
    <w:bookmarkStart w:id="43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0"/>
    <w:bookmarkStart w:id="431" w:name="ref-Der78:Wri"/>
    <w:p>
      <w:pPr>
        <w:pStyle w:val="Bibliography"/>
      </w:pPr>
      <w:r>
        <w:t xml:space="preserve">Derrida J. 1978.</w:t>
      </w:r>
      <w:r>
        <w:t xml:space="preserve"> </w:t>
      </w:r>
      <w:r>
        <w:rPr>
          <w:i/>
        </w:rPr>
        <w:t xml:space="preserve">Writing and Difference</w:t>
      </w:r>
      <w:r>
        <w:t xml:space="preserve">. The University of Chicago. ed.</w:t>
      </w:r>
    </w:p>
    <w:bookmarkEnd w:id="431"/>
    <w:bookmarkStart w:id="432" w:name="ref-Der82:Mar"/>
    <w:p>
      <w:pPr>
        <w:pStyle w:val="Bibliography"/>
      </w:pPr>
      <w:r>
        <w:t xml:space="preserve">Derrida J. 1982.</w:t>
      </w:r>
      <w:r>
        <w:t xml:space="preserve"> </w:t>
      </w:r>
      <w:r>
        <w:rPr>
          <w:i/>
        </w:rPr>
        <w:t xml:space="preserve">Margins of Philosophy</w:t>
      </w:r>
      <w:r>
        <w:t xml:space="preserve">. The Harvester Press. ed.</w:t>
      </w:r>
    </w:p>
    <w:bookmarkEnd w:id="432"/>
    <w:bookmarkStart w:id="433" w:name="ref-Der95:Arc"/>
    <w:p>
      <w:pPr>
        <w:pStyle w:val="Bibliography"/>
      </w:pPr>
      <w:r>
        <w:t xml:space="preserve">Derrida J, Prenowitz E. 1995. Archive fever: A freudian impression.</w:t>
      </w:r>
      <w:r>
        <w:t xml:space="preserve"> </w:t>
      </w:r>
      <w:r>
        <w:rPr>
          <w:i/>
        </w:rPr>
        <w:t xml:space="preserve">Diacritics</w:t>
      </w:r>
      <w:r>
        <w:t xml:space="preserve">. 25(2):</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7"/>
    <w:bookmarkStart w:id="518"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8"/>
    <w:bookmarkStart w:id="519"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9"/>
    <w:bookmarkStart w:id="520"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0"/>
    <w:bookmarkStart w:id="521"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1"/>
    <w:bookmarkStart w:id="522"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2"/>
    <w:bookmarkStart w:id="523"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3"/>
    <w:bookmarkStart w:id="524"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5"/>
    <w:bookmarkStart w:id="526" w:name="ref-Lod98:MUS"/>
    <w:p>
      <w:pPr>
        <w:pStyle w:val="Bibliography"/>
      </w:pPr>
      <w:r>
        <w:t xml:space="preserve">Lodha S, Beahan J, Joseph A, Zane-ulman B. 1998. MUSE: A musical data sonification toolkit</w:t>
      </w:r>
    </w:p>
    <w:bookmarkEnd w:id="526"/>
    <w:bookmarkStart w:id="527"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7"/>
    <w:bookmarkStart w:id="52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8">
        <w:r>
          <w:rPr>
            <w:rStyle w:val="Hyperlink"/>
          </w:rPr>
          <w:t xml:space="preserve">http://www.nime.org/proceedings/2008/nime2008_221.pdf</w:t>
        </w:r>
      </w:hyperlink>
    </w:p>
    <w:bookmarkEnd w:id="529"/>
    <w:bookmarkStart w:id="53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0"/>
    <w:bookmarkStart w:id="531" w:name="ref-Man01:The"/>
    <w:p>
      <w:pPr>
        <w:pStyle w:val="Bibliography"/>
      </w:pPr>
      <w:r>
        <w:t xml:space="preserve">Manovich L. 2001.</w:t>
      </w:r>
      <w:r>
        <w:t xml:space="preserve"> </w:t>
      </w:r>
      <w:r>
        <w:rPr>
          <w:i/>
        </w:rPr>
        <w:t xml:space="preserve">The Language of New Media</w:t>
      </w:r>
      <w:r>
        <w:t xml:space="preserve">. MIT Press. ed.</w:t>
      </w:r>
    </w:p>
    <w:bookmarkEnd w:id="531"/>
    <w:bookmarkStart w:id="532" w:name="ref-Man02:Old"/>
    <w:p>
      <w:pPr>
        <w:pStyle w:val="Bibliography"/>
      </w:pPr>
      <w:r>
        <w:t xml:space="preserve">Manovich L. 2002. Old media as new media: Cinema.</w:t>
      </w:r>
      <w:r>
        <w:t xml:space="preserve"> </w:t>
      </w:r>
      <w:r>
        <w:rPr>
          <w:i/>
        </w:rPr>
        <w:t xml:space="preserve">The New Media Book</w:t>
      </w:r>
    </w:p>
    <w:bookmarkEnd w:id="532"/>
    <w:bookmarkStart w:id="533"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3"/>
    <w:bookmarkStart w:id="53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4">
        <w:r>
          <w:rPr>
            <w:rStyle w:val="Hyperlink"/>
          </w:rPr>
          <w:t xml:space="preserve">http://ismir2008.ismir.net/papers/ISMIR2008_158.pdf</w:t>
        </w:r>
      </w:hyperlink>
    </w:p>
    <w:bookmarkEnd w:id="535"/>
    <w:bookmarkStart w:id="53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6"/>
    <w:bookmarkStart w:id="53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7"/>
    <w:bookmarkStart w:id="53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8"/>
    <w:bookmarkStart w:id="539" w:name="ref-csoundMethods"/>
    <w:p>
      <w:pPr>
        <w:pStyle w:val="Bibliography"/>
      </w:pPr>
      <w:r>
        <w:t xml:space="preserve">McCurdy I, Heintz J, Joaquin J, Knevel M. 2015. Methods of writing csound scores.</w:t>
      </w:r>
      <w:r>
        <w:t xml:space="preserve"> </w:t>
      </w:r>
      <w:r>
        <w:rPr>
          <w:i/>
        </w:rPr>
        <w:t xml:space="preserve">FLOSS Manuals</w:t>
      </w:r>
    </w:p>
    <w:bookmarkEnd w:id="539"/>
    <w:bookmarkStart w:id="54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0"/>
    <w:bookmarkStart w:id="54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1">
        <w:r>
          <w:rPr>
            <w:rStyle w:val="Hyperlink"/>
          </w:rPr>
          <w:t xml:space="preserve">http://ismir2018.ircam.fr/doc/pdfs/35_Paper.pdf</w:t>
        </w:r>
      </w:hyperlink>
    </w:p>
    <w:bookmarkEnd w:id="542"/>
    <w:bookmarkStart w:id="54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3"/>
    <w:bookmarkStart w:id="54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4"/>
    <w:bookmarkStart w:id="54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5"/>
    <w:bookmarkStart w:id="54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6"/>
    <w:bookmarkStart w:id="547" w:name="ref-ods-cpp"/>
    <w:p>
      <w:pPr>
        <w:pStyle w:val="Bibliography"/>
      </w:pPr>
      <w:r>
        <w:t xml:space="preserve">Morin P. 2019.</w:t>
      </w:r>
      <w:r>
        <w:t xml:space="preserve"> </w:t>
      </w:r>
      <w:r>
        <w:rPr>
          <w:i/>
        </w:rPr>
        <w:t xml:space="preserve">Open Data Structures</w:t>
      </w:r>
      <w:r>
        <w:t xml:space="preserve">. Creative Commons. ed.</w:t>
      </w:r>
    </w:p>
    <w:bookmarkEnd w:id="547"/>
    <w:bookmarkStart w:id="54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8"/>
    <w:bookmarkStart w:id="54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9"/>
    <w:bookmarkStart w:id="55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0"/>
    <w:bookmarkStart w:id="55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1">
        <w:r>
          <w:rPr>
            <w:rStyle w:val="Hyperlink"/>
          </w:rPr>
          <w:t xml:space="preserve">http://www.nime.org/proceedings/2007/nime2007_409.pdf</w:t>
        </w:r>
      </w:hyperlink>
    </w:p>
    <w:bookmarkEnd w:id="552"/>
    <w:bookmarkStart w:id="55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3"/>
    <w:bookmarkStart w:id="554" w:name="ref-Nan07:Lis"/>
    <w:p>
      <w:pPr>
        <w:pStyle w:val="Bibliography"/>
      </w:pPr>
      <w:r>
        <w:t xml:space="preserve">Nancy J-L. 2007.</w:t>
      </w:r>
      <w:r>
        <w:t xml:space="preserve"> </w:t>
      </w:r>
      <w:r>
        <w:rPr>
          <w:i/>
        </w:rPr>
        <w:t xml:space="preserve">Listening</w:t>
      </w:r>
      <w:r>
        <w:t xml:space="preserve">. Fordham University Place. ed.</w:t>
      </w:r>
    </w:p>
    <w:bookmarkEnd w:id="554"/>
    <w:bookmarkStart w:id="55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5"/>
    <w:bookmarkStart w:id="55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6">
        <w:r>
          <w:rPr>
            <w:rStyle w:val="Hyperlink"/>
          </w:rPr>
          <w:t xml:space="preserve">http://www.nime.org/proceedings/2007/nime2007_112.pdf</w:t>
        </w:r>
      </w:hyperlink>
    </w:p>
    <w:bookmarkEnd w:id="557"/>
    <w:bookmarkStart w:id="55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8"/>
    <w:bookmarkStart w:id="55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9"/>
    <w:bookmarkStart w:id="56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0"/>
    <w:bookmarkStart w:id="56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1"/>
    <w:bookmarkStart w:id="56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2"/>
    <w:bookmarkStart w:id="56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3"/>
    <w:bookmarkStart w:id="56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4"/>
    <w:bookmarkStart w:id="56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5"/>
    <w:bookmarkStart w:id="56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6"/>
    <w:bookmarkStart w:id="567"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7"/>
    <w:bookmarkStart w:id="568"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8"/>
    <w:bookmarkStart w:id="56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9"/>
    <w:bookmarkStart w:id="57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0">
        <w:r>
          <w:rPr>
            <w:rStyle w:val="Hyperlink"/>
          </w:rPr>
          <w:t xml:space="preserve">http://www.terasoft.com.tw/conf/ismir2014/proceedings/T064_307_Paper.pdf</w:t>
        </w:r>
      </w:hyperlink>
    </w:p>
    <w:bookmarkEnd w:id="571"/>
    <w:bookmarkStart w:id="57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2"/>
    <w:bookmarkStart w:id="573" w:name="ref-Pos11:Int"/>
    <w:p>
      <w:pPr>
        <w:pStyle w:val="Bibliography"/>
      </w:pPr>
      <w:r>
        <w:t xml:space="preserve">Poster M. 2011. Introduction.</w:t>
      </w:r>
      <w:r>
        <w:t xml:space="preserve"> </w:t>
      </w:r>
      <w:r>
        <w:rPr>
          <w:i/>
        </w:rPr>
        <w:t xml:space="preserve">Into the Universe of Technical Images</w:t>
      </w:r>
    </w:p>
    <w:bookmarkEnd w:id="573"/>
    <w:bookmarkStart w:id="57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4">
        <w:r>
          <w:rPr>
            <w:rStyle w:val="Hyperlink"/>
          </w:rPr>
          <w:t xml:space="preserve">http://www.nime.org/proceedings/2008/nime2008_311.pdf</w:t>
        </w:r>
      </w:hyperlink>
    </w:p>
    <w:bookmarkEnd w:id="575"/>
    <w:bookmarkStart w:id="57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6"/>
    <w:bookmarkStart w:id="57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7"/>
    <w:bookmarkStart w:id="578" w:name="ref-Puc91:Som"/>
    <w:p>
      <w:pPr>
        <w:pStyle w:val="Bibliography"/>
      </w:pPr>
      <w:r>
        <w:t xml:space="preserve">Puckette M. 1991. Something digital.</w:t>
      </w:r>
      <w:r>
        <w:t xml:space="preserve"> </w:t>
      </w:r>
      <w:r>
        <w:rPr>
          <w:i/>
        </w:rPr>
        <w:t xml:space="preserve">Computer Music Journal</w:t>
      </w:r>
      <w:r>
        <w:t xml:space="preserve">. 15(4):65–69</w:t>
      </w:r>
    </w:p>
    <w:bookmarkEnd w:id="578"/>
    <w:bookmarkStart w:id="57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9"/>
    <w:bookmarkStart w:id="58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0"/>
    <w:bookmarkStart w:id="58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1"/>
    <w:bookmarkStart w:id="58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2"/>
    <w:bookmarkStart w:id="58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3"/>
    <w:bookmarkStart w:id="58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4"/>
    <w:bookmarkStart w:id="585" w:name="ref-Roa04:Mic"/>
    <w:p>
      <w:pPr>
        <w:pStyle w:val="Bibliography"/>
      </w:pPr>
      <w:r>
        <w:t xml:space="preserve">Roads C. 2001.</w:t>
      </w:r>
      <w:r>
        <w:t xml:space="preserve"> </w:t>
      </w:r>
      <w:r>
        <w:rPr>
          <w:i/>
        </w:rPr>
        <w:t xml:space="preserve">Microsound</w:t>
      </w:r>
      <w:r>
        <w:t xml:space="preserve">. MIT Press. ed.</w:t>
      </w:r>
    </w:p>
    <w:bookmarkEnd w:id="585"/>
    <w:bookmarkStart w:id="58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6"/>
    <w:bookmarkStart w:id="58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7"/>
    <w:bookmarkStart w:id="58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8"/>
    <w:bookmarkStart w:id="58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9"/>
    <w:bookmarkStart w:id="59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0"/>
    <w:bookmarkStart w:id="59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1"/>
    <w:bookmarkStart w:id="59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2"/>
    <w:bookmarkStart w:id="59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3"/>
    <w:bookmarkStart w:id="59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4"/>
    <w:bookmarkStart w:id="59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5"/>
    <w:bookmarkStart w:id="59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6"/>
    <w:bookmarkStart w:id="59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7">
        <w:r>
          <w:rPr>
            <w:rStyle w:val="Hyperlink"/>
          </w:rPr>
          <w:t xml:space="preserve">http://ismir2005.ismir.net/proceedings/3123.pdf</w:t>
        </w:r>
      </w:hyperlink>
    </w:p>
    <w:bookmarkEnd w:id="598"/>
    <w:bookmarkStart w:id="59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9"/>
    <w:bookmarkStart w:id="60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0"/>
    <w:bookmarkStart w:id="60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1"/>
    <w:bookmarkStart w:id="60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2"/>
    <w:bookmarkStart w:id="60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3"/>
    <w:bookmarkStart w:id="60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4"/>
    <w:bookmarkStart w:id="60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5"/>
    <w:bookmarkStart w:id="60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6"/>
    <w:bookmarkStart w:id="607" w:name="ref-Sch06:Rea"/>
    <w:p>
      <w:pPr>
        <w:pStyle w:val="Bibliography"/>
      </w:pPr>
      <w:r>
        <w:t xml:space="preserve">Schwarz D. 2006b. Real-time corpus-based concatenative synthesis with catart., pp. 18–21</w:t>
      </w:r>
    </w:p>
    <w:bookmarkEnd w:id="607"/>
    <w:bookmarkStart w:id="60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8"/>
    <w:bookmarkStart w:id="60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9"/>
    <w:bookmarkStart w:id="61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0"/>
    <w:bookmarkStart w:id="611" w:name="ref-scoremus"/>
    <w:p>
      <w:pPr>
        <w:pStyle w:val="Bibliography"/>
      </w:pPr>
      <w:r>
        <w:t xml:space="preserve">Selfridge-Field E. 1997. The score music publishing system.</w:t>
      </w:r>
      <w:r>
        <w:t xml:space="preserve"> </w:t>
      </w:r>
      <w:r>
        <w:rPr>
          <w:i/>
        </w:rPr>
        <w:t xml:space="preserve">SCORE</w:t>
      </w:r>
    </w:p>
    <w:bookmarkEnd w:id="611"/>
    <w:bookmarkStart w:id="61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2"/>
    <w:bookmarkStart w:id="61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3">
        <w:r>
          <w:rPr>
            <w:rStyle w:val="Hyperlink"/>
          </w:rPr>
          <w:t xml:space="preserve">https://hal.archives-ouvertes.fr/hal-01393959</w:t>
        </w:r>
      </w:hyperlink>
    </w:p>
    <w:bookmarkEnd w:id="614"/>
    <w:bookmarkStart w:id="61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5"/>
    <w:bookmarkStart w:id="61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6"/>
    <w:bookmarkStart w:id="617"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7"/>
    <w:bookmarkStart w:id="618" w:name="ref-10.2307/941442"/>
    <w:p>
      <w:pPr>
        <w:pStyle w:val="Bibliography"/>
      </w:pPr>
      <w:r>
        <w:t xml:space="preserve">Skinner R. 1990a. Music software.</w:t>
      </w:r>
      <w:r>
        <w:t xml:space="preserve"> </w:t>
      </w:r>
      <w:r>
        <w:rPr>
          <w:i/>
        </w:rPr>
        <w:t xml:space="preserve">Notes</w:t>
      </w:r>
      <w:r>
        <w:t xml:space="preserve">. 46(3):660–84</w:t>
      </w:r>
    </w:p>
    <w:bookmarkEnd w:id="618"/>
    <w:bookmarkStart w:id="619" w:name="ref-10.2307/940555"/>
    <w:p>
      <w:pPr>
        <w:pStyle w:val="Bibliography"/>
      </w:pPr>
      <w:r>
        <w:t xml:space="preserve">Skinner R. 1990b. Music software.</w:t>
      </w:r>
      <w:r>
        <w:t xml:space="preserve"> </w:t>
      </w:r>
      <w:r>
        <w:rPr>
          <w:i/>
        </w:rPr>
        <w:t xml:space="preserve">Notes</w:t>
      </w:r>
      <w:r>
        <w:t xml:space="preserve">. 47(1):91–101</w:t>
      </w:r>
    </w:p>
    <w:bookmarkEnd w:id="619"/>
    <w:bookmarkStart w:id="62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0"/>
    <w:bookmarkStart w:id="62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1"/>
    <w:bookmarkStart w:id="62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2"/>
    <w:bookmarkStart w:id="623" w:name="ref-Ste12:MP3"/>
    <w:p>
      <w:pPr>
        <w:pStyle w:val="Bibliography"/>
      </w:pPr>
      <w:r>
        <w:t xml:space="preserve">Sterne J. 2012.</w:t>
      </w:r>
      <w:r>
        <w:t xml:space="preserve"> </w:t>
      </w:r>
      <w:r>
        <w:rPr>
          <w:i/>
        </w:rPr>
        <w:t xml:space="preserve">MP3: The Meaning of a Format</w:t>
      </w:r>
      <w:r>
        <w:t xml:space="preserve">. Duke University Press. ed.</w:t>
      </w:r>
    </w:p>
    <w:bookmarkEnd w:id="623"/>
    <w:bookmarkStart w:id="624"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4"/>
    <w:bookmarkStart w:id="625" w:name="ref-Stu04:Mat"/>
    <w:p>
      <w:pPr>
        <w:pStyle w:val="Bibliography"/>
      </w:pPr>
      <w:r>
        <w:t xml:space="preserve">Sturm B. 2004. MATConcat: An application for exploring concatenative sound synthesis using matlab</w:t>
      </w:r>
    </w:p>
    <w:bookmarkEnd w:id="625"/>
    <w:bookmarkStart w:id="626"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6"/>
    <w:bookmarkStart w:id="627" w:name="ref-Sze08:Lis"/>
    <w:p>
      <w:pPr>
        <w:pStyle w:val="Bibliography"/>
      </w:pPr>
      <w:r>
        <w:t xml:space="preserve">Szendy P. 2008.</w:t>
      </w:r>
      <w:r>
        <w:t xml:space="preserve"> </w:t>
      </w:r>
      <w:r>
        <w:rPr>
          <w:i/>
        </w:rPr>
        <w:t xml:space="preserve">Listen: A History of Our Ears</w:t>
      </w:r>
      <w:r>
        <w:t xml:space="preserve">. Fordham University. ed.</w:t>
      </w:r>
    </w:p>
    <w:bookmarkEnd w:id="627"/>
    <w:bookmarkStart w:id="628"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8"/>
    <w:bookmarkStart w:id="629" w:name="ref-Sch07:How"/>
    <w:p>
      <w:pPr>
        <w:pStyle w:val="Bibliography"/>
      </w:pPr>
      <w:r>
        <w:t xml:space="preserve">Thiebaut J-B, Bello J, Schwarz D. 2007. How musical are images? From sound representation to image sonification: An eco systemic approach</w:t>
      </w:r>
    </w:p>
    <w:bookmarkEnd w:id="629"/>
    <w:bookmarkStart w:id="630"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0"/>
    <w:bookmarkStart w:id="631"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1"/>
    <w:bookmarkStart w:id="632"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2"/>
    <w:bookmarkStart w:id="633"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3"/>
    <w:bookmarkStart w:id="634"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4"/>
    <w:bookmarkStart w:id="635"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5"/>
    <w:bookmarkStart w:id="636"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6"/>
    <w:bookmarkStart w:id="637" w:name="ref-Var04:The"/>
    <w:p>
      <w:pPr>
        <w:pStyle w:val="Bibliography"/>
      </w:pPr>
      <w:r>
        <w:t xml:space="preserve">Varese E. 2004. The liberation of sound.</w:t>
      </w:r>
      <w:r>
        <w:t xml:space="preserve"> </w:t>
      </w:r>
      <w:r>
        <w:rPr>
          <w:i/>
        </w:rPr>
        <w:t xml:space="preserve">Audio Culture: Readings in Modern Music</w:t>
      </w:r>
    </w:p>
    <w:bookmarkEnd w:id="637"/>
    <w:bookmarkStart w:id="638" w:name="ref-Ver84:The"/>
    <w:p>
      <w:pPr>
        <w:pStyle w:val="Bibliography"/>
      </w:pPr>
      <w:r>
        <w:t xml:space="preserve">Vercoe B. 1984. The synthetic performer in the context of live performance</w:t>
      </w:r>
    </w:p>
    <w:bookmarkEnd w:id="638"/>
    <w:bookmarkStart w:id="639" w:name="ref-Ves07:See"/>
    <w:p>
      <w:pPr>
        <w:pStyle w:val="Bibliography"/>
      </w:pPr>
      <w:r>
        <w:t xml:space="preserve">Vesna V. 2007. Seeing the world in a grain of sand: The database aesthetics of everything.</w:t>
      </w:r>
      <w:r>
        <w:t xml:space="preserve"> </w:t>
      </w:r>
      <w:r>
        <w:rPr>
          <w:i/>
        </w:rPr>
        <w:t xml:space="preserve">Database Aesthetics: Art in the Age of Information Overflow</w:t>
      </w:r>
    </w:p>
    <w:bookmarkEnd w:id="639"/>
    <w:bookmarkStart w:id="640"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0"/>
    <w:bookmarkStart w:id="642"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1">
        <w:r>
          <w:rPr>
            <w:rStyle w:val="Hyperlink"/>
          </w:rPr>
          <w:t xml:space="preserve">https://ismir2017.smcnus.org/wp-content/uploads/2017/10/180_Paper.pdf</w:t>
        </w:r>
      </w:hyperlink>
    </w:p>
    <w:bookmarkEnd w:id="642"/>
    <w:bookmarkStart w:id="643"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3"/>
    <w:bookmarkStart w:id="645"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4">
        <w:r>
          <w:rPr>
            <w:rStyle w:val="Hyperlink"/>
          </w:rPr>
          <w:t xml:space="preserve">http://ismir2002.ismir.net/proceedings/02-FP06-3.pdf</w:t>
        </w:r>
      </w:hyperlink>
    </w:p>
    <w:bookmarkEnd w:id="645"/>
    <w:bookmarkStart w:id="646"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6"/>
    <w:bookmarkStart w:id="647"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7"/>
    <w:bookmarkStart w:id="648"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8"/>
    <w:bookmarkStart w:id="649"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9"/>
    <w:bookmarkStart w:id="650"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0"/>
    <w:bookmarkStart w:id="651"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1"/>
    <w:bookmarkStart w:id="652"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2"/>
    <w:bookmarkStart w:id="653"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3"/>
    <w:bookmarkStart w:id="654"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4"/>
    <w:bookmarkStart w:id="655" w:name="ref-Wei07:Oce"/>
    <w:p>
      <w:pPr>
        <w:pStyle w:val="Bibliography"/>
      </w:pPr>
      <w:r>
        <w:t xml:space="preserve">Weinbren G. 2007. Ocean, database, recut.</w:t>
      </w:r>
      <w:r>
        <w:t xml:space="preserve"> </w:t>
      </w:r>
      <w:r>
        <w:rPr>
          <w:i/>
        </w:rPr>
        <w:t xml:space="preserve">Database Aesthetics: Art in the Age of Information Overflow</w:t>
      </w:r>
    </w:p>
    <w:bookmarkEnd w:id="655"/>
    <w:bookmarkStart w:id="656"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56"/>
    <w:bookmarkStart w:id="657"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7"/>
    <w:bookmarkStart w:id="659"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8">
        <w:r>
          <w:rPr>
            <w:rStyle w:val="Hyperlink"/>
          </w:rPr>
          <w:t xml:space="preserve">http://ismir2018.ircam.fr/doc/pdfs/114_Paper.pdf</w:t>
        </w:r>
      </w:hyperlink>
    </w:p>
    <w:bookmarkEnd w:id="659"/>
    <w:bookmarkStart w:id="660"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0"/>
    <w:bookmarkStart w:id="662"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1">
        <w:r>
          <w:rPr>
            <w:rStyle w:val="Hyperlink"/>
          </w:rPr>
          <w:t xml:space="preserve">http://ismir2004.ismir.net/proceedings/p010-page-48-paper227.pdf</w:t>
        </w:r>
      </w:hyperlink>
    </w:p>
    <w:bookmarkEnd w:id="662"/>
    <w:bookmarkStart w:id="663"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3"/>
    <w:bookmarkStart w:id="664"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4"/>
    <w:bookmarkStart w:id="665"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5"/>
    <w:bookmarkStart w:id="667"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6">
        <w:r>
          <w:rPr>
            <w:rStyle w:val="Hyperlink"/>
          </w:rPr>
          <w:t xml:space="preserve">http://ismir2018.ircam.fr/doc/pdfs/188_Paper.pdf</w:t>
        </w:r>
      </w:hyperlink>
    </w:p>
    <w:bookmarkEnd w:id="667"/>
    <w:bookmarkStart w:id="668"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8"/>
    <w:bookmarkStart w:id="669"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9"/>
    <w:bookmarkStart w:id="670"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0"/>
    <w:bookmarkStart w:id="671"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1"/>
    <w:bookmarkStart w:id="672"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2"/>
    <w:bookmarkStart w:id="673"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3"/>
    <w:bookmarkStart w:id="675"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4">
        <w:r>
          <w:rPr>
            <w:rStyle w:val="Hyperlink"/>
          </w:rPr>
          <w:t xml:space="preserve">http://www.nime.org/proceedings/2007/nime2007_352.pdf</w:t>
        </w:r>
      </w:hyperlink>
    </w:p>
    <w:bookmarkEnd w:id="675"/>
    <w:bookmarkStart w:id="676"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6"/>
    <w:bookmarkStart w:id="677" w:name="ref-Zmo15:Liv"/>
    <w:p>
      <w:pPr>
        <w:pStyle w:val="Bibliography"/>
      </w:pPr>
      <w:r>
        <w:t xml:space="preserve">zmölnig I m, Eckel G. 2015.</w:t>
      </w:r>
      <w:r>
        <w:t xml:space="preserve"> </w:t>
      </w:r>
      <w:r>
        <w:rPr>
          <w:i/>
        </w:rPr>
        <w:t xml:space="preserve">LIVE coding: AN overview</w:t>
      </w:r>
      <w:r>
        <w:t xml:space="preserve">. Work. Pap.</w:t>
      </w:r>
    </w:p>
    <w:bookmarkEnd w:id="677"/>
    <w:bookmarkEnd w:id="6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20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3">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06">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07">
    <w:p>
      <w:pPr>
        <w:pStyle w:val="FootnoteText"/>
      </w:pPr>
      <w:r>
        <w:rPr>
          <w:rStyle w:val="FootnoteReference"/>
        </w:rPr>
        <w:footnoteRef/>
      </w:r>
      <w:r>
        <w:t xml:space="preserve"> </w:t>
      </w:r>
      <w:hyperlink r:id="rId208">
        <w:r>
          <w:rPr>
            <w:rStyle w:val="Hyperlink"/>
          </w:rPr>
          <w:t xml:space="preserve">https://en.wikipedia.org/wiki/Leo_Beranek</w:t>
        </w:r>
      </w:hyperlink>
    </w:p>
  </w:footnote>
  <w:footnote w:id="210">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26">
    <w:p>
      <w:pPr>
        <w:pStyle w:val="FootnoteText"/>
      </w:pPr>
      <w:r>
        <w:rPr>
          <w:rStyle w:val="FootnoteReference"/>
        </w:rPr>
        <w:footnoteRef/>
      </w:r>
      <w:r>
        <w:t xml:space="preserve"> </w:t>
      </w:r>
      <w:hyperlink r:id="rId227">
        <w:r>
          <w:rPr>
            <w:rStyle w:val="Hyperlink"/>
          </w:rPr>
          <w:t xml:space="preserve">https://en.cppreference.com/w/cpp/language/destructor</w:t>
        </w:r>
      </w:hyperlink>
    </w:p>
  </w:footnote>
  <w:footnote w:id="233">
    <w:p>
      <w:pPr>
        <w:pStyle w:val="FootnoteText"/>
      </w:pPr>
      <w:r>
        <w:rPr>
          <w:rStyle w:val="FootnoteReference"/>
        </w:rPr>
        <w:footnoteRef/>
      </w:r>
      <w:r>
        <w:t xml:space="preserve"> </w:t>
      </w:r>
      <w:hyperlink r:id="rId234">
        <w:r>
          <w:rPr>
            <w:rStyle w:val="Hyperlink"/>
          </w:rPr>
          <w:t xml:space="preserve">https://mpc.chs.harvard.edu/</w:t>
        </w:r>
      </w:hyperlink>
    </w:p>
  </w:footnote>
  <w:footnote w:id="235">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5">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6">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9">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0">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3">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0">
        <w:r>
          <w:rPr>
            <w:rStyle w:val="Hyperlink"/>
          </w:rPr>
          <w:t xml:space="preserve">https://en.wikipedia.org/wiki/Dr._Strangelove</w:t>
        </w:r>
      </w:hyperlink>
    </w:p>
  </w:footnote>
  <w:footnote w:id="29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2">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6">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58" Target="media/rId258.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1"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8" Target="http://ismir2018.ircam.fr/doc/pdfs/114_Paper.pdf" TargetMode="External" /><Relationship Type="http://schemas.openxmlformats.org/officeDocument/2006/relationships/hyperlink" Id="rId666"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4"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7" Target="https://en.cppreference.com/w/cpp/language/destructor" TargetMode="External" /><Relationship Type="http://schemas.openxmlformats.org/officeDocument/2006/relationships/hyperlink" Id="rId290" Target="https://en.wikipedia.org/wiki/Dr._Strangelove" TargetMode="External" /><Relationship Type="http://schemas.openxmlformats.org/officeDocument/2006/relationships/hyperlink" Id="rId208" Target="https://en.wikipedia.org/wiki/Leo_Beranek" TargetMode="External" /><Relationship Type="http://schemas.openxmlformats.org/officeDocument/2006/relationships/hyperlink" Id="rId335" Target="https://fdch.github.io/abby" TargetMode="External" /><Relationship Type="http://schemas.openxmlformats.org/officeDocument/2006/relationships/hyperlink" Id="rId336"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4" Target="https://mpc.chs.harvard.edu/" TargetMode="External" /><Relationship Type="http://schemas.openxmlformats.org/officeDocument/2006/relationships/hyperlink" Id="rId119"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89" Target="https://www.mersenne.org/primes/" TargetMode="External" /><Relationship Type="http://schemas.openxmlformats.org/officeDocument/2006/relationships/hyperlink" Id="rId295" Target="https://www.youtube.com/channel/UCEzSaoPnxCJVzXxA9obuRWg/videos"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1"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8" Target="http://ismir2018.ircam.fr/doc/pdfs/114_Paper.pdf" TargetMode="External" /><Relationship Type="http://schemas.openxmlformats.org/officeDocument/2006/relationships/hyperlink" Id="rId666"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4"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7" Target="https://en.cppreference.com/w/cpp/language/destructor" TargetMode="External" /><Relationship Type="http://schemas.openxmlformats.org/officeDocument/2006/relationships/hyperlink" Id="rId290" Target="https://en.wikipedia.org/wiki/Dr._Strangelove" TargetMode="External" /><Relationship Type="http://schemas.openxmlformats.org/officeDocument/2006/relationships/hyperlink" Id="rId208" Target="https://en.wikipedia.org/wiki/Leo_Beranek" TargetMode="External" /><Relationship Type="http://schemas.openxmlformats.org/officeDocument/2006/relationships/hyperlink" Id="rId335" Target="https://fdch.github.io/abby" TargetMode="External" /><Relationship Type="http://schemas.openxmlformats.org/officeDocument/2006/relationships/hyperlink" Id="rId336"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4" Target="https://mpc.chs.harvard.edu/" TargetMode="External" /><Relationship Type="http://schemas.openxmlformats.org/officeDocument/2006/relationships/hyperlink" Id="rId119"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89" Target="https://www.mersenne.org/primes/" TargetMode="External" /><Relationship Type="http://schemas.openxmlformats.org/officeDocument/2006/relationships/hyperlink" Id="rId295" Target="https://www.youtube.com/channel/UCEzSaoPnxCJVzXxA9obuRWg/vide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2019-04-07T20:45:56Z</dcterms:created>
  <dcterms:modified xsi:type="dcterms:W3CDTF">2019-04-07T20:45:56Z</dcterms:modified>
</cp:coreProperties>
</file>

<file path=docProps/custom.xml><?xml version="1.0" encoding="utf-8"?>
<Properties xmlns="http://schemas.openxmlformats.org/officeDocument/2006/custom-properties" xmlns:vt="http://schemas.openxmlformats.org/officeDocument/2006/docPropsVTypes"/>
</file>