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20.jpg" ContentType="image/jpeg"/>
  <Override PartName="/word/media/rId71.png" ContentType="image/png"/>
  <Override PartName="/word/media/rId181.png" ContentType="image/png"/>
  <Override PartName="/word/media/rId266.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46.png" ContentType="image/png"/>
  <Override PartName="/word/media/rId78.png" ContentType="image/png"/>
  <Override PartName="/word/media/rId86.png" ContentType="image/png"/>
  <Override PartName="/word/media/rId100.png" ContentType="image/png"/>
  <Override PartName="/word/media/rId1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chapter: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section: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Syntagm and Paradigm reversal"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Syntagm and Paradigm reversal</w:t>
      </w:r>
    </w:p>
    <w:p>
      <w:pPr>
        <w:pStyle w:val="BodyText"/>
      </w:pPr>
      <w:r>
        <w:t xml:space="preserve">Top: syntagm, paradigm, and their relation.</w:t>
      </w:r>
      <w:r>
        <w:t xml:space="preserve"> </w:t>
      </w:r>
      <w:r>
        <w:t xml:space="preserve">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dc6db904ad977d5b954cf3c9c455f3f4fa43e5b"/>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5" w:name="img:dbtree"/>
      <w:r>
        <w:t xml:space="preserve"> </w:t>
      </w:r>
      <w:r>
        <w:t xml:space="preserve">A very simple sketch of a tree representing the database tree of computer evolution</w:t>
      </w:r>
      <w:r>
        <w:t xml:space="preserve"> </w:t>
      </w:r>
      <w:bookmarkEnd w:id="55"/>
    </w:p>
    <w:p>
      <w:pPr>
        <w:pStyle w:val="ImageCaption"/>
      </w:pPr>
      <w:r>
        <w:t xml:space="preserve"> </w:t>
      </w:r>
      <w:r>
        <w:t xml:space="preserve">A very simple sketch of a tree representing the database tree of computer evolution</w:t>
      </w:r>
      <w:r>
        <w:t xml:space="preserve"> </w:t>
      </w:r>
    </w:p>
    <w:p>
      <w:pPr>
        <w:pStyle w:val="BodyText"/>
      </w:pPr>
      <w:r>
        <w:t xml:space="preserve">0.4</w:t>
      </w:r>
    </w:p>
    <w:p>
      <w:pPr>
        <w:pStyle w:val="Heading5"/>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(See</w:t>
      </w:r>
      <w:r>
        <w:t xml:space="preserve"> </w:t>
      </w:r>
      <w:hyperlink w:anchor="computer:sssp">
        <w:r>
          <w:rPr>
            <w:rStyle w:val="Hyperlink"/>
          </w:rPr>
          <w:t xml:space="preserve">4.3.3.1</w:t>
        </w:r>
      </w:hyperlink>
      <w:r>
        <w:t xml:space="preserve">), linked lists were used in the (then) very recent C programming language.</w:t>
      </w:r>
      <w:r>
        <w:t xml:space="preserve"> </w:t>
      </w:r>
      <w:r>
        <w:t xml:space="preserve">Ames (1985)</w:t>
      </w:r>
      <w:r>
        <w:t xml:space="preserve"> </w:t>
      </w:r>
      <w:r>
        <w:t xml:space="preserve">as well as</w:t>
      </w:r>
      <w:r>
        <w:t xml:space="preserve"> </w:t>
      </w:r>
      <w:r>
        <w:t xml:space="preserve">Rowe (1992)</w:t>
      </w:r>
      <w:r>
        <w:t xml:space="preserve"> </w:t>
      </w:r>
      <w:r>
        <w:t xml:space="preserve">used linked lists, the former to represent melodies within an automated composition system, the latter within the</w:t>
      </w:r>
      <w:r>
        <w:t xml:space="preserve"> </w:t>
      </w:r>
      <w:r>
        <w:rPr>
          <w:rStyle w:val="VerbatimChar"/>
        </w:rPr>
        <w:t xml:space="preserve">Event</w:t>
      </w:r>
      <w:r>
        <w:t xml:space="preserve"> </w:t>
      </w:r>
      <w:r>
        <w:t xml:space="preserve">data structures of the interactive music system</w:t>
      </w:r>
      <w:r>
        <w:t xml:space="preserve"> </w:t>
      </w:r>
      <w:r>
        <w:rPr>
          <w:i/>
        </w:rPr>
        <w:t xml:space="preserve">Cypher</w:t>
      </w:r>
      <w:r>
        <w:t xml:space="preserve">.</w:t>
      </w:r>
    </w:p>
    <w:p>
      <w:pPr>
        <w:pStyle w:val="Heading5"/>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&amp; Gutierrez (2008)</w:t>
      </w:r>
      <w:r>
        <w:t xml:space="preserve"> </w:t>
      </w:r>
      <w:r>
        <w:t xml:space="preserve">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w:t>
      </w:r>
      <w:r>
        <w:t xml:space="preserve"> </w:t>
      </w:r>
      <w:r>
        <w:t xml:space="preserve">Abiteboul et al. (1995)</w:t>
      </w:r>
      <w:r>
        <w:t xml:space="preserve"> </w:t>
      </w:r>
      <w:r>
        <w:t xml:space="preserve">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w:t>
      </w:r>
      <w:r>
        <w:t xml:space="preserve"> </w:t>
      </w:r>
      <w:r>
        <w:t xml:space="preserve">Angles &amp; Gutierrez (2008)</w:t>
      </w:r>
      <w:r>
        <w:t xml:space="preserve"> </w:t>
      </w:r>
      <w:r>
        <w:t xml:space="preserve">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Hierarchical Model</w:t>
      </w:r>
    </w:p>
    <w:p>
      <w:pPr>
        <w:pStyle w:val="BodyText"/>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Network Model</w:t>
      </w:r>
    </w:p>
    <w:p>
      <w:pPr>
        <w:pStyle w:val="BodyText"/>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Relational Model</w:t>
      </w:r>
    </w:p>
    <w:p>
      <w:pPr>
        <w:pStyle w:val="BodyText"/>
      </w:pPr>
      <w:r>
        <w:t xml:space="preserve">Diagram of the relational model</w:t>
      </w:r>
    </w:p>
    <w:p>
      <w:pPr>
        <w:pStyle w:val="BodyText"/>
      </w:pPr>
      <w:r>
        <w:t xml:space="preserve">The relational model was first designed by</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Object Model</w:t>
      </w:r>
    </w:p>
    <w:p>
      <w:pPr>
        <w:pStyle w:val="BodyText"/>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Semi-structured Model</w:t>
      </w:r>
    </w:p>
    <w:p>
      <w:pPr>
        <w:pStyle w:val="BodyText"/>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ec68453c8cc129b4ce436d3f67f46ba702f92a5"/>
      <w:r>
        <w:t xml:space="preserve">Databasing Sound: Applications Of Databases In Sound</w:t>
      </w:r>
      <w:bookmarkEnd w:id="90"/>
    </w:p>
    <w:p>
      <w:pPr>
        <w:pStyle w:val="CaptionedFigure"/>
      </w:pPr>
      <w:r>
        <w:drawing>
          <wp:inline>
            <wp:extent cx="5334000" cy="1046259"/>
            <wp:effectExtent b="0" l="0" r="0" t="0"/>
            <wp:docPr descr="Database performance and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and interdisciplinary feedback.</w:t>
      </w:r>
    </w:p>
    <w:p>
      <w:pPr>
        <w:pStyle w:val="BodyText"/>
      </w:pPr>
      <w:bookmarkStart w:id="92" w:name="img:mir_comp_sonif_interaction"/>
      <w:r>
        <w:t xml:space="preserve">[img:mir_comp_sonif_interaction]</w:t>
      </w:r>
      <w:bookmarkEnd w:id="92"/>
    </w:p>
    <w:p>
      <w:pPr>
        <w:pStyle w:val="BodyText"/>
      </w:pPr>
      <w:r>
        <w:t xml:space="preserve">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Diagram of database performance in mir practices."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Diagram of database performance in</w:t>
      </w:r>
      <w:r>
        <w:t xml:space="preserve"> </w:t>
      </w:r>
      <w:r>
        <w:t xml:space="preserve">mir</w:t>
      </w:r>
      <w:r>
        <w:t xml:space="preserve"> </w:t>
      </w:r>
      <w:r>
        <w:t xml:space="preserve">practices.</w:t>
      </w:r>
    </w:p>
    <w:p>
      <w:pPr>
        <w:pStyle w:val="BodyText"/>
      </w:pPr>
      <w:r>
        <w:t xml:space="preserve">The database is visibly next to the computer, and the two bottom arrows indicate the intervention of the human operator.</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 Tzanetakis &amp; Cook 2002)</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w:t>
      </w:r>
      <w:r>
        <w:t xml:space="preserve"> </w:t>
      </w:r>
      <w:r>
        <w:t xml:space="preserve">Collins (2015)</w:t>
      </w:r>
      <w:r>
        <w:t xml:space="preserve"> </w:t>
      </w:r>
      <w:r>
        <w:t xml:space="preserve">created open-source software implementing</w:t>
      </w:r>
      <w:r>
        <w:t xml:space="preserve"> </w:t>
      </w:r>
      <w:r>
        <w:t xml:space="preserve">mir</w:t>
      </w:r>
      <w:r>
        <w:t xml:space="preserve"> </w:t>
      </w:r>
      <w:r>
        <w:t xml:space="preserve">techniques for navigation, analysis, and classification of the electronic music archive within</w:t>
      </w:r>
      <w:r>
        <w:t xml:space="preserve"> </w:t>
      </w:r>
      <w:r>
        <w:t xml:space="preserve">ubuweb</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Two examples of widely used libraries for audio analysis, classification, and synthesis are</w:t>
      </w:r>
      <w:r>
        <w:t xml:space="preserve"> </w:t>
      </w:r>
      <w:r>
        <w:t xml:space="preserve">marsyas</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For a more general overview of</w:t>
      </w:r>
      <w:r>
        <w:t xml:space="preserve"> </w:t>
      </w:r>
      <w:r>
        <w:t xml:space="preserve">mir</w:t>
      </w:r>
      <w:r>
        <w:t xml:space="preserve"> </w:t>
      </w:r>
      <w:r>
        <w:t xml:space="preserve">software, see</w:t>
      </w:r>
      <w:r>
        <w:t xml:space="preserve"> </w:t>
      </w:r>
      <w:r>
        <w:t xml:space="preserve">(Bogdanov et al. 2013)</w:t>
      </w:r>
      <w:r>
        <w:t xml:space="preserve">. The different applications of databases are endless and so varied that would extend the scope of this study.</w:t>
      </w:r>
      <w:r>
        <w:rPr>
          <w:rStyle w:val="FootnoteReference"/>
        </w:rPr>
        <w:footnoteReference w:id="98"/>
      </w:r>
      <w:r>
        <w:t xml:space="preserve"> </w:t>
      </w:r>
      <w:r>
        <w:t xml:space="preserve">Some specific uses that</w:t>
      </w:r>
      <w:r>
        <w:t xml:space="preserve"> </w:t>
      </w:r>
      <w:r>
        <w:t xml:space="preserve">mir</w:t>
      </w:r>
      <w:r>
        <w:t xml:space="preserve"> </w:t>
      </w:r>
      <w:r>
        <w:t xml:space="preserve">has given to databases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Goto et al. (2002, 2003; Bertin-Mahieux et al. 2011, Bortz et al. 2015, Defferrard et al. 2017, Donahue et al. 2018,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Diagram of database performance in sonification practices."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Diagram of database performance in sonification practices.</w:t>
      </w:r>
    </w:p>
    <w:p>
      <w:pPr>
        <w:pStyle w:val="BodyText"/>
      </w:pPr>
      <w:r>
        <w:t xml:space="preserve">The database is visibly below the computer, and it feeds the computer from an external source represented by the right-most arrow.</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3" w:name="sonification:parametermapping"/>
      <w:r>
        <w:t xml:space="preserve">Parameter mapping</w:t>
      </w:r>
      <w:bookmarkEnd w:id="103"/>
    </w:p>
    <w:p>
      <w:pPr>
        <w:pStyle w:val="Heading5"/>
      </w:pPr>
      <w:bookmarkStart w:id="104" w:name="dow"/>
      <w:r>
        <w:t xml:space="preserve">DOW</w:t>
      </w:r>
      <w:bookmarkEnd w:id="104"/>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5"/>
      </w:pPr>
      <w:bookmarkStart w:id="106" w:name="medical-images"/>
      <w:r>
        <w:t xml:space="preserve">Medical Images</w:t>
      </w:r>
      <w:bookmarkEnd w:id="106"/>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7" w:name="sonification:model"/>
      <w:r>
        <w:t xml:space="preserve">Model-based sonification</w:t>
      </w:r>
      <w:bookmarkEnd w:id="107"/>
    </w:p>
    <w:p>
      <w:pPr>
        <w:pStyle w:val="Heading5"/>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9" w:name="sonification:artistic"/>
      <w:r>
        <w:t xml:space="preserve">Artistic sonification</w:t>
      </w:r>
      <w:bookmarkEnd w:id="109"/>
    </w:p>
    <w:p>
      <w:pPr>
        <w:pStyle w:val="Heading5"/>
      </w:pPr>
      <w:bookmarkStart w:id="110" w:name="wolves"/>
      <w:r>
        <w:t xml:space="preserve">Wolves</w:t>
      </w:r>
      <w:bookmarkEnd w:id="110"/>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5"/>
      </w:pPr>
      <w:bookmarkStart w:id="111" w:name="selva"/>
      <w:r>
        <w:t xml:space="preserve">Selva</w:t>
      </w:r>
      <w:bookmarkEnd w:id="111"/>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2" w:name="ocean"/>
      <w:r>
        <w:t xml:space="preserve">Ocean</w:t>
      </w:r>
      <w:bookmarkEnd w:id="112"/>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3" w:name="molecules"/>
      <w:r>
        <w:t xml:space="preserve">Molecules</w:t>
      </w:r>
      <w:bookmarkEnd w:id="113"/>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4" w:name="gender-distribution"/>
      <w:r>
        <w:t xml:space="preserve">Gender Distribution</w:t>
      </w:r>
      <w:bookmarkEnd w:id="114"/>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5" w:name="sonification:installations"/>
      <w:r>
        <w:t xml:space="preserve">Sonification Installations</w:t>
      </w:r>
      <w:bookmarkEnd w:id="115"/>
    </w:p>
    <w:p>
      <w:pPr>
        <w:pStyle w:val="Heading5"/>
      </w:pPr>
      <w:bookmarkStart w:id="116" w:name="ip-based-soundscape"/>
      <w:r>
        <w:t xml:space="preserve">IP-based soundscape</w:t>
      </w:r>
      <w:bookmarkEnd w:id="116"/>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17" w:name="earthquakes"/>
      <w:r>
        <w:t xml:space="preserve">Earthquakes</w:t>
      </w:r>
      <w:bookmarkEnd w:id="117"/>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18" w:name="gpu-based-waveforms"/>
      <w:r>
        <w:t xml:space="preserve">GPU-based waveforms</w:t>
      </w:r>
      <w:bookmarkEnd w:id="118"/>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9"/>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1"/>
      </w:r>
      <w:r>
        <w:t xml:space="preserve">, they used the generated waveforms as a database, composing each waveform together with their visual generators as a collage.</w:t>
      </w:r>
    </w:p>
    <w:p>
      <w:pPr>
        <w:pStyle w:val="Heading5"/>
      </w:pPr>
      <w:bookmarkStart w:id="123" w:name="ucanny-faces"/>
      <w:r>
        <w:t xml:space="preserve">Ucanny Faces</w:t>
      </w:r>
      <w:bookmarkEnd w:id="123"/>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4" w:name="sonification:software"/>
      <w:r>
        <w:t xml:space="preserve">Sonification Software</w:t>
      </w:r>
      <w:bookmarkEnd w:id="124"/>
    </w:p>
    <w:p>
      <w:pPr>
        <w:pStyle w:val="Heading5"/>
      </w:pPr>
      <w:bookmarkStart w:id="125" w:name="sonart"/>
      <w:r>
        <w:t xml:space="preserve">SonArt</w:t>
      </w:r>
      <w:bookmarkEnd w:id="125"/>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26" w:name="dataplayer"/>
      <w:r>
        <w:t xml:space="preserve">DataPlayer</w:t>
      </w:r>
      <w:bookmarkEnd w:id="126"/>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27" w:name="madbpm"/>
      <w:r>
        <w:t xml:space="preserve">madBPM</w:t>
      </w:r>
      <w:bookmarkEnd w:id="127"/>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28" w:name="computer_music"/>
      <w:r>
        <w:t xml:space="preserve">Computer Music</w:t>
      </w:r>
      <w:bookmarkEnd w:id="128"/>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0" w:name="img:comp"/>
      <w:r>
        <w:drawing>
          <wp:inline>
            <wp:extent cx="1181100" cy="863600"/>
            <wp:effectExtent b="0" l="0" r="0" t="0"/>
            <wp:docPr descr="Diagram of database performance in computer music practices."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9"/>
                    <a:stretch>
                      <a:fillRect/>
                    </a:stretch>
                  </pic:blipFill>
                  <pic:spPr bwMode="auto">
                    <a:xfrm>
                      <a:off x="0" y="0"/>
                      <a:ext cx="1181100" cy="863600"/>
                    </a:xfrm>
                    <a:prstGeom prst="rect">
                      <a:avLst/>
                    </a:prstGeom>
                    <a:noFill/>
                    <a:ln w="9525">
                      <a:noFill/>
                      <a:headEnd/>
                      <a:tailEnd/>
                    </a:ln>
                  </pic:spPr>
                </pic:pic>
              </a:graphicData>
            </a:graphic>
          </wp:inline>
        </w:drawing>
      </w:r>
      <w:bookmarkEnd w:id="130"/>
    </w:p>
    <w:p>
      <w:pPr>
        <w:pStyle w:val="ImageCaption"/>
      </w:pPr>
      <w:r>
        <w:t xml:space="preserve">Diagram of database performance in computer music practices.</w:t>
      </w:r>
    </w:p>
    <w:p>
      <w:pPr>
        <w:pStyle w:val="BodyText"/>
      </w:pPr>
      <w:r>
        <w:t xml:space="preserve">The database is invisibly behind the computer, within the softwares used to create musical works.</w:t>
      </w:r>
    </w:p>
    <w:p>
      <w:pPr>
        <w:pStyle w:val="Heading4"/>
      </w:pPr>
      <w:bookmarkStart w:id="131" w:name="computer:sssp"/>
      <w:r>
        <w:t xml:space="preserve">Hierarchical environments</w:t>
      </w:r>
      <w:bookmarkEnd w:id="131"/>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2" w:name="reducing-cognitive-burden"/>
      <w:r>
        <w:t xml:space="preserve">Reducing cognitive burden</w:t>
      </w:r>
      <w:bookmarkEnd w:id="132"/>
    </w:p>
    <w:p>
      <w:pPr>
        <w:pStyle w:val="FirstParagraph"/>
      </w:pPr>
      <w:r>
        <w:t xml:space="preserve">In William Buxton’s survey of computer music practices</w:t>
      </w:r>
      <w:r>
        <w:t xml:space="preserve"> </w:t>
      </w:r>
      <w:r>
        <w:t xml:space="preserve">(Buxton 1977)</w:t>
      </w:r>
      <w:r>
        <w:t xml:space="preserve">icmc/bbp2372.1978.012</w:t>
      </w:r>
      <w:r>
        <w:t xml:space="preserve">DBLP:conf/icmc/BuxtonPRB80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3"/>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4" w:name="a-hierarchical-representation"/>
      <w:r>
        <w:t xml:space="preserve">A Hierarchical Representation</w:t>
      </w:r>
      <w:bookmarkEnd w:id="134"/>
    </w:p>
    <w:p>
      <w:pPr>
        <w:pStyle w:val="FirstParagraph"/>
      </w:pPr>
      <w:r>
        <w:t xml:space="preserve">Buxton et al. (1978a)</w:t>
      </w:r>
      <w:r>
        <w:t xml:space="preserve"> </w:t>
      </w:r>
      <w:r>
        <w:t xml:space="preserve">based their research on differing approaches to composition: Iannis Xenakis’s score-as-entity approach in his 1971</w:t>
      </w:r>
      <w:r>
        <w:t xml:space="preserve"> </w:t>
      </w:r>
      <w:r>
        <w:rPr>
          <w:i/>
        </w:rPr>
        <w:t xml:space="preserve">Formalized Music</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for Buxton, located somewhere in between the first two but did not provide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5" w:name="black-boxing"/>
      <w:r>
        <w:t xml:space="preserve">Black-boxing</w:t>
      </w:r>
      <w:bookmarkEnd w:id="135"/>
    </w:p>
    <w:p>
      <w:pPr>
        <w:pStyle w:val="FirstParagraph"/>
      </w:pPr>
      <w:r>
        <w:t xml:space="preserve">Media theorist</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36" w:name="computer:free"/>
      <w:r>
        <w:t xml:space="preserve">Generality and Portability</w:t>
      </w:r>
      <w:bookmarkEnd w:id="13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w:t>
      </w:r>
      <w:r>
        <w:t xml:space="preserve"> </w:t>
      </w:r>
      <w:r>
        <w:t xml:space="preserve">Free &amp; Vytas (1986, 1988; 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37" w:name="computer:vanilla"/>
      <w:r>
        <w:t xml:space="preserve">Simplification</w:t>
      </w:r>
      <w:bookmarkEnd w:id="137"/>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38" w:name="computer:balance"/>
      <w:r>
        <w:t xml:space="preserve">Balance</w:t>
      </w:r>
      <w:bookmarkEnd w:id="138"/>
    </w:p>
    <w:p>
      <w:pPr>
        <w:pStyle w:val="CaptionedFigure"/>
      </w:pPr>
      <w:r>
        <w:drawing>
          <wp:inline>
            <wp:extent cx="5334000" cy="3492272"/>
            <wp:effectExtent b="0" l="0" r="0" t="0"/>
            <wp:docPr descr="Generality vs. Strength"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Generality vs. Strength</w:t>
      </w:r>
    </w:p>
    <w:p>
      <w:pPr>
        <w:pStyle w:val="BodyText"/>
      </w:pPr>
      <w:bookmarkStart w:id="140" w:name="img:truax_generality_b"/>
      <w:r>
        <w:t xml:space="preserve">[img:truax_generality_b]</w:t>
      </w:r>
      <w:bookmarkEnd w:id="140"/>
    </w:p>
    <w:p>
      <w:pPr>
        <w:pStyle w:val="BodyText"/>
      </w:pP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Truax (1973, 1976, 1980; Emmerson 1986 Chapter 8)</w:t>
      </w:r>
      <w:r>
        <w:t xml:space="preserve"> </w:t>
      </w:r>
      <w:r>
        <w:t xml:space="preserve">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1" w:name="applications:notation"/>
      <w:r>
        <w:t xml:space="preserve">Music Notation Software</w:t>
      </w:r>
      <w:bookmarkEnd w:id="141"/>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2" w:name="darms-and-score"/>
      <w:r>
        <w:t xml:space="preserve">DARMS and SCORE</w:t>
      </w:r>
      <w:bookmarkEnd w:id="142"/>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3" w:name="from-staves-to-speakers"/>
      <w:r>
        <w:t xml:space="preserve">From Staves to Speakers</w:t>
      </w:r>
      <w:bookmarkEnd w:id="143"/>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w:t>
      </w:r>
      <w:r>
        <w:t xml:space="preserve"> </w:t>
      </w:r>
      <w:r>
        <w:t xml:space="preserve">Brinkman (1983)</w:t>
      </w:r>
      <w:r>
        <w:t xml:space="preserve"> </w:t>
      </w:r>
      <w:r>
        <w:t xml:space="preserve">later designed an interpreter for the</w:t>
      </w:r>
      <w:r>
        <w:t xml:space="preserve"> </w:t>
      </w:r>
      <w:r>
        <w:t xml:space="preserve">darms</w:t>
      </w:r>
      <w:r>
        <w:t xml:space="preserve"> </w:t>
      </w:r>
      <w:r>
        <w:t xml:space="preserve">language,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4" w:name="theoretical-performance"/>
      <w:r>
        <w:t xml:space="preserve">Theoretical Performance</w:t>
      </w:r>
      <w:bookmarkEnd w:id="144"/>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5" w:name="enter-objects"/>
      <w:r>
        <w:t xml:space="preserve">Enter Objects</w:t>
      </w:r>
      <w:bookmarkEnd w:id="145"/>
    </w:p>
    <w:p>
      <w:pPr>
        <w:pStyle w:val="CaptionedFigure"/>
      </w:pPr>
      <w:bookmarkStart w:id="147" w:name="img:realtime"/>
      <w:r>
        <w:drawing>
          <wp:inline>
            <wp:extent cx="5334000" cy="1616153"/>
            <wp:effectExtent b="0" l="0" r="0" t="0"/>
            <wp:docPr descr="A real-time version of music-11."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6"/>
                    <a:stretch>
                      <a:fillRect/>
                    </a:stretch>
                  </pic:blipFill>
                  <pic:spPr bwMode="auto">
                    <a:xfrm>
                      <a:off x="0" y="0"/>
                      <a:ext cx="5334000" cy="1616153"/>
                    </a:xfrm>
                    <a:prstGeom prst="rect">
                      <a:avLst/>
                    </a:prstGeom>
                    <a:noFill/>
                    <a:ln w="9525">
                      <a:noFill/>
                      <a:headEnd/>
                      <a:tailEnd/>
                    </a:ln>
                  </pic:spPr>
                </pic:pic>
              </a:graphicData>
            </a:graphic>
          </wp:inline>
        </w:drawing>
      </w:r>
      <w:bookmarkEnd w:id="147"/>
    </w:p>
    <w:p>
      <w:pPr>
        <w:pStyle w:val="ImageCaption"/>
      </w:pPr>
      <w:r>
        <w:t xml:space="preserve">A real-time version of</w:t>
      </w:r>
      <w:r>
        <w:t xml:space="preserve"> </w:t>
      </w:r>
      <w:r>
        <w:t xml:space="preserve">music-11</w:t>
      </w:r>
      <w:r>
        <w:t xml:space="preserve">.</w:t>
      </w:r>
    </w:p>
    <w:p>
      <w:pPr>
        <w:pStyle w:val="BodyText"/>
      </w:pPr>
      <w:r>
        <w:t xml:space="preserve">A bodyless abstract published at the</w:t>
      </w:r>
      <w:r>
        <w:t xml:space="preserve"> </w:t>
      </w:r>
      <w:r>
        <w:t xml:space="preserve">icmc</w:t>
      </w:r>
      <w:r>
        <w:t xml:space="preserve"> </w:t>
      </w:r>
      <w:r>
        <w:t xml:space="preserve">(1981) stating that a real-time version of</w:t>
      </w:r>
      <w:r>
        <w:t xml:space="preserve"> </w:t>
      </w:r>
      <w:r>
        <w:t xml:space="preserve">music-11</w:t>
      </w:r>
      <w:r>
        <w:t xml:space="preserve"> </w:t>
      </w:r>
      <w:r>
        <w:t xml:space="preserve">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p>
    <w:p>
      <w:pPr>
        <w:pStyle w:val="Heading5"/>
      </w:pPr>
      <w:bookmarkStart w:id="148" w:name="computer:real-time"/>
      <w:r>
        <w:t xml:space="preserve">Max</w:t>
      </w:r>
      <w:bookmarkEnd w:id="148"/>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9"/>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50" w:name="computer:kyma"/>
      <w:r>
        <w:t xml:space="preserve">Kyma</w:t>
      </w:r>
      <w:bookmarkEnd w:id="150"/>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1"/>
      </w:r>
    </w:p>
    <w:p>
      <w:pPr>
        <w:pStyle w:val="Heading5"/>
      </w:pPr>
      <w:bookmarkStart w:id="153" w:name="computer:puredata"/>
      <w:r>
        <w:t xml:space="preserve">Pure Data</w:t>
      </w:r>
      <w:bookmarkEnd w:id="153"/>
    </w:p>
    <w:p>
      <w:pPr>
        <w:pStyle w:val="FirstParagraph"/>
      </w:pPr>
      <w:r>
        <w:t xml:space="preserve">Ten years after</w:t>
      </w:r>
      <w:r>
        <w:t xml:space="preserve"> </w:t>
      </w:r>
      <w:r>
        <w:t xml:space="preserve">max</w:t>
      </w:r>
      <w:r>
        <w:t xml:space="preserve">,</w:t>
      </w:r>
      <w:r>
        <w:t xml:space="preserve"> </w:t>
      </w:r>
      <w:r>
        <w:t xml:space="preserve">Puckette (1997)</w:t>
      </w:r>
      <w:r>
        <w:t xml:space="preserve"> </w:t>
      </w:r>
      <w:r>
        <w:t xml:space="preserve">moved on to Pure Data.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4" w:name="graphic_scores"/>
      <w:r>
        <w:t xml:space="preserve">Graphic Scores</w:t>
      </w:r>
      <w:bookmarkEnd w:id="154"/>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5"/>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w:t>
      </w:r>
      <w:r>
        <w:t xml:space="preserve"> </w:t>
      </w:r>
      <m:oMath>
        <m:r>
          <m:t>x</m:t>
        </m:r>
      </m:oMath>
      <w:r>
        <w:t xml:space="preserve">-ordered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by Curtis Roads (1985)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6" w:name="openmusic"/>
      <w:r>
        <w:t xml:space="preserve">OpenMusic</w:t>
      </w:r>
      <w:bookmarkEnd w:id="156"/>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7" w:name="heaps-and-nodes"/>
      <w:r>
        <w:t xml:space="preserve">Heaps and Nodes</w:t>
      </w:r>
      <w:bookmarkEnd w:id="157"/>
    </w:p>
    <w:p>
      <w:pPr>
        <w:pStyle w:val="FirstParagraph"/>
      </w:pPr>
      <w:r>
        <w:t xml:space="preserve">Garton &amp; Topper (1997)</w:t>
      </w:r>
      <w:r>
        <w:t xml:space="preserve"> </w:t>
      </w:r>
      <w:r>
        <w:t xml:space="preserve">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8" w:name="applications"/>
      <w:r>
        <w:t xml:space="preserve">Intersections</w:t>
      </w:r>
      <w:bookmarkEnd w:id="158"/>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9" w:name="corpus-based-approaches"/>
      <w:r>
        <w:t xml:space="preserve">Corpus-based Approaches</w:t>
      </w:r>
      <w:bookmarkEnd w:id="159"/>
    </w:p>
    <w:p>
      <w:pPr>
        <w:pStyle w:val="FirstParagraph"/>
      </w:pPr>
      <w:r>
        <w:t xml:space="preserve">Modern uses of databases in computer music take the general form of a corpus of sounds from which descriptors are obtained and then used to create sounds. These are known as corpus-based approaches, also known as data-driven approaches. Their difference is a matter of scale. These approaches have emerged in opposition to rule-based ones, highly useful still in many applications. In what follows, I show some implementations of the corpus-based model in sound.</w:t>
      </w:r>
    </w:p>
    <w:p>
      <w:pPr>
        <w:pStyle w:val="Heading5"/>
      </w:pPr>
      <w:bookmarkStart w:id="160" w:name="concatenative-synthesis"/>
      <w:r>
        <w:t xml:space="preserve">Concatenative Synthesis</w:t>
      </w:r>
      <w:bookmarkEnd w:id="160"/>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or corpus-driven (when refering to larger databases).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5"/>
      </w:pPr>
      <w:bookmarkStart w:id="161" w:name="other-approaches"/>
      <w:r>
        <w:t xml:space="preserve">Other approaches</w:t>
      </w:r>
      <w:bookmarkEnd w:id="161"/>
    </w:p>
    <w:p>
      <w:pPr>
        <w:pStyle w:val="FirstParagraph"/>
      </w:pPr>
      <w:r>
        <w:t xml:space="preserve">The variety of applications of corpus-based or data-driven is still a fruitful research area. I present here only some data-driven cases that arrive at other ways to generate sounds than sample concatenation.</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A recent case in which concatenative synthesis was applied to rhythm can be found in</w:t>
      </w:r>
      <w:r>
        <w:t xml:space="preserve"> </w:t>
      </w:r>
      <w:r>
        <w:t xml:space="preserve">Nuanàin et al. (2016)</w:t>
      </w:r>
      <w:r>
        <w:t xml:space="preserve">.</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62"/>
      </w:r>
      <w:r>
        <w:t xml:space="preserve"> </w:t>
      </w:r>
      <w:r>
        <w:t xml:space="preserve">music into a database that enabled him to present a data structure of the ornament. The implementation of analysis and subsequent algorithmic rule extraction can be thought of as a form of analysis-based sound generation: by inputting a sound file, a dataset of rules was obtained to approach a model for the ornament. Therefore, a rule-model was obtained by means of a data-driven approach. This relates to</w:t>
      </w:r>
      <w:r>
        <w:t xml:space="preserve"> </w:t>
      </w:r>
      <w:r>
        <w:rPr>
          <w:i/>
        </w:rPr>
        <w:t xml:space="preserve">Orchidée</w:t>
      </w:r>
      <w:r>
        <w:t xml:space="preserve"> </w:t>
      </w:r>
      <w:r>
        <w:t xml:space="preserve">(Carpentier et al. 2006)</w:t>
      </w:r>
      <w:r>
        <w:t xml:space="preserve">, a computer-aided orchestration tool based on database input-matching and a series of candidate orchestration targets. The data-driven approach is combined with a highly dense corpus of instrumental techniques, in order to concatenate orchestral targets.</w:t>
      </w:r>
    </w:p>
    <w:p>
      <w:pPr>
        <w:pStyle w:val="Heading5"/>
      </w:pPr>
      <w:bookmarkStart w:id="163" w:name="software-libraries"/>
      <w:r>
        <w:t xml:space="preserve">Software Libraries</w:t>
      </w:r>
      <w:bookmarkEnd w:id="163"/>
    </w:p>
    <w:p>
      <w:pPr>
        <w:pStyle w:val="FirstParagraph"/>
      </w:pPr>
      <w:r>
        <w:t xml:space="preserve">One of the central concepts of the object-oriented programming is extensibility. The list of objects that can be added to the main program tends to grow exponentially as a function of its use. A list covering all extensions would require a research project of its own. However, I would like to focus on those extensions that enable further and more specific use of databases in the context of music composition.</w:t>
      </w:r>
      <w:r>
        <w:t xml:space="preserve"> </w:t>
      </w:r>
      <w:r>
        <w:t xml:space="preserve">Sturm (2004)</w:t>
      </w:r>
      <w:r>
        <w:t xml:space="preserve"> </w:t>
      </w:r>
      <w:r>
        <w:t xml:space="preserve">developed</w:t>
      </w:r>
      <w:r>
        <w:t xml:space="preserve"> </w:t>
      </w:r>
      <w:r>
        <w:rPr>
          <w:i/>
        </w:rPr>
        <w:t xml:space="preserve">MATCONCAT</w:t>
      </w:r>
      <w:r>
        <w:t xml:space="preserve">, a concatenative synthesis library for</w:t>
      </w:r>
      <w:r>
        <w:t xml:space="preserve"> </w:t>
      </w:r>
      <w:r>
        <w:rPr>
          <w:i/>
        </w:rPr>
        <w:t xml:space="preserve">Matlab</w:t>
      </w:r>
      <w:r>
        <w:t xml:space="preserve">.</w:t>
      </w:r>
      <w:r>
        <w:t xml:space="preserve"> </w:t>
      </w:r>
      <w:r>
        <w:t xml:space="preserve">Schwarz (2006b)</w:t>
      </w:r>
      <w:r>
        <w:t xml:space="preserve"> </w:t>
      </w:r>
      <w:r>
        <w:t xml:space="preserve">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4" w:name="querying-methods"/>
      <w:r>
        <w:t xml:space="preserve">Querying Methods</w:t>
      </w:r>
      <w:bookmarkEnd w:id="164"/>
    </w:p>
    <w:p>
      <w:pPr>
        <w:pStyle w:val="Heading5"/>
      </w:pPr>
      <w:bookmarkStart w:id="165" w:name="query-by-content"/>
      <w:r>
        <w:t xml:space="preserve">Query-by-content</w:t>
      </w:r>
      <w:bookmarkEnd w:id="165"/>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t xml:space="preserve">Norman &amp; Amatriain (2007)</w:t>
      </w:r>
      <w:r>
        <w:t xml:space="preserve"> </w:t>
      </w:r>
      <w:r>
        <w:t xml:space="preserve">enabled users generation of personalized audio description databases that could also be queried by content in</w:t>
      </w:r>
      <w:r>
        <w:t xml:space="preserve"> </w:t>
      </w:r>
      <w:r>
        <w:rPr>
          <w:i/>
        </w:rPr>
        <w:t xml:space="preserve">Data Jockey</w:t>
      </w:r>
      <w:r>
        <w:t xml:space="preserve">.</w:t>
      </w:r>
    </w:p>
    <w:p>
      <w:pPr>
        <w:pStyle w:val="Heading5"/>
      </w:pPr>
      <w:bookmarkStart w:id="166" w:name="similarity-based"/>
      <w:r>
        <w:t xml:space="preserve">Similarity-based</w:t>
      </w:r>
      <w:bookmarkEnd w:id="166"/>
    </w:p>
    <w:p>
      <w:pPr>
        <w:pStyle w:val="FirstParagraph"/>
      </w:pPr>
      <w:r>
        <w:t xml:space="preserve">Frisson (2015)</w:t>
      </w:r>
      <w:r>
        <w:t xml:space="preserve"> </w:t>
      </w:r>
      <w:r>
        <w:t xml:space="preserve">provides an overview of multimedia browsing by similarity.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7"/>
      </w:r>
    </w:p>
    <w:p>
      <w:pPr>
        <w:pStyle w:val="BodyText"/>
      </w:pPr>
      <w:r>
        <w:t xml:space="preserve">Querying a database by similarity appeared in contexts other than performance workstations.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8"/>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5"/>
      </w:pPr>
      <w:bookmarkStart w:id="169" w:name="hybrid-queries"/>
      <w:r>
        <w:t xml:space="preserve">Hybrid Queries</w:t>
      </w:r>
      <w:bookmarkEnd w:id="169"/>
    </w:p>
    <w:p>
      <w:pPr>
        <w:pStyle w:val="FirstParagraph"/>
      </w:pPr>
      <w:r>
        <w:t xml:space="preserve">Some authors have managed to conjugate disparate database uses by hybridizing the queries. The following modal translations represent only some of the many examples in the literature.</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w:t>
      </w:r>
      <w:r>
        <w:t xml:space="preserve"> </w:t>
      </w:r>
      <w:r>
        <w:t xml:space="preserve">Schloss et al. (2001)</w:t>
      </w:r>
      <w:r>
        <w:t xml:space="preserve"> </w:t>
      </w:r>
      <w:r>
        <w:t xml:space="preserve">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r>
        <w:t xml:space="preserve"> </w:t>
      </w:r>
      <w:r>
        <w:t xml:space="preserve">Caramiaux et al. (2011)</w:t>
      </w:r>
      <w:r>
        <w:t xml:space="preserve"> </w:t>
      </w:r>
      <w:r>
        <w:t xml:space="preserve">proposed gestural input for the query-by-content method. They used gesture-to-sound matching techniques based on the similarities of temporal evolution between the gesture query and the sound target. Another example of hybrid querying is</w:t>
      </w:r>
      <w:r>
        <w:t xml:space="preserve"> </w:t>
      </w:r>
      <w:r>
        <w:t xml:space="preserve">Cartwright &amp; Pardo (2014)</w:t>
      </w:r>
      <w:r>
        <w:t xml:space="preserve">, where a database of computer synthesis parameters was queried by vocal input, enabling users to mimic sounds with their voices in order to obtain parameter settings (presets) that would approach the analyzed vocal sound.</w:t>
      </w:r>
    </w:p>
    <w:p>
      <w:pPr>
        <w:pStyle w:val="Heading4"/>
      </w:pPr>
      <w:bookmarkStart w:id="170" w:name="traversing-methods"/>
      <w:r>
        <w:t xml:space="preserve">Traversing Methods</w:t>
      </w:r>
      <w:bookmarkEnd w:id="170"/>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1" w:name="sensorial-networks"/>
      <w:r>
        <w:t xml:space="preserve">Sensorial Networks</w:t>
      </w:r>
      <w:bookmarkEnd w:id="171"/>
    </w:p>
    <w:p>
      <w:pPr>
        <w:pStyle w:val="FirstParagraph"/>
      </w:pPr>
      <w:r>
        <w:t xml:space="preserve">Choi (2000, Choi et al. 2000)</w:t>
      </w:r>
      <w:r>
        <w:t xml:space="preserve"> </w:t>
      </w:r>
      <w:r>
        <w:t xml:space="preserve">presented an interactive installation at the Dorsky Gallery in NYC where a</w:t>
      </w:r>
      <w:r>
        <w:t xml:space="preserve"> </w:t>
      </w:r>
      <w:r>
        <w:t xml:space="preserve">‘</w:t>
      </w:r>
      <w:r>
        <w:t xml:space="preserve">sensorial network</w:t>
      </w:r>
      <w:r>
        <w:t xml:space="preserve">’</w:t>
      </w:r>
      <w:r>
        <w:t xml:space="preserve"> </w:t>
      </w:r>
      <w:r>
        <w:t xml:space="preserve">made from a sound database of speeches by famous leaders was distributed along the installation space.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2" w:name="involuntary-navigation"/>
      <w:r>
        <w:t xml:space="preserve">Involuntary Navigation</w:t>
      </w:r>
      <w:bookmarkEnd w:id="172"/>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3" w:name="networked-collaborations"/>
      <w:r>
        <w:t xml:space="preserve">Networked Collaborations</w:t>
      </w:r>
      <w:bookmarkEnd w:id="173"/>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4" w:name="mobile-devices"/>
      <w:r>
        <w:t xml:space="preserve">Mobile Devices</w:t>
      </w:r>
      <w:bookmarkEnd w:id="174"/>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implemented centralized database systems to include user-defined interfaces to be saved and shared within their mobile device platform.</w:t>
      </w:r>
      <w:r>
        <w:t xml:space="preserve"> </w:t>
      </w:r>
      <w:r>
        <w:t xml:space="preserve">Carter (2017)</w:t>
      </w:r>
      <w:r>
        <w:t xml:space="preserve"> </w:t>
      </w:r>
      <w:r>
        <w:t xml:space="preserve">presented a work that 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w:t>
      </w:r>
      <w:r>
        <w:t xml:space="preserve">Carter (2017)</w:t>
      </w:r>
      <w:r>
        <w:t xml:space="preserve">)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5" w:name="resource-sharing"/>
      <w:r>
        <w:t xml:space="preserve">Resource Sharing</w:t>
      </w:r>
      <w:bookmarkEnd w:id="175"/>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6"/>
      </w:r>
      <w:r>
        <w:t xml:space="preserve"> </w:t>
      </w:r>
      <w:r>
        <w:t xml:space="preserve">In any case, what is common between these forms of sharing is an entropic and endless plurality.</w:t>
      </w:r>
    </w:p>
    <w:p>
      <w:pPr>
        <w:pStyle w:val="Heading5"/>
      </w:pPr>
      <w:bookmarkStart w:id="177" w:name="multimodal-datasets"/>
      <w:r>
        <w:t xml:space="preserve">Multimodal Datasets</w:t>
      </w:r>
      <w:bookmarkEnd w:id="177"/>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w:t>
      </w:r>
      <w:r>
        <w:t xml:space="preserve"> </w:t>
      </w:r>
      <w:r>
        <w:t xml:space="preserve">Young &amp; Deshmane (2007)</w:t>
      </w:r>
      <w:r>
        <w:t xml:space="preserve"> </w:t>
      </w:r>
      <w:r>
        <w:t xml:space="preserve">created web-accessible databases of gestural and audio data concerning violin bow strokes.</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w:t>
      </w:r>
    </w:p>
    <w:p>
      <w:pPr>
        <w:pStyle w:val="Heading5"/>
      </w:pPr>
      <w:bookmarkStart w:id="178" w:name="formats"/>
      <w:r>
        <w:t xml:space="preserve">Formats</w:t>
      </w:r>
      <w:bookmarkEnd w:id="178"/>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(LaTeXbibliography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79" w:name="live-coding"/>
      <w:r>
        <w:t xml:space="preserve">Live Coding</w:t>
      </w:r>
      <w:bookmarkEnd w:id="179"/>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4"/>
      </w:pPr>
      <w:bookmarkStart w:id="180" w:name="closing-remarks"/>
      <w:r>
        <w:t xml:space="preserve">Closing Remarks</w:t>
      </w:r>
      <w:bookmarkEnd w:id="180"/>
    </w:p>
    <w:p>
      <w:pPr>
        <w:pStyle w:val="FirstParagraph"/>
      </w:pPr>
      <w:r>
        <w:t xml:space="preserve">The many shapes that database performance has taken over the years can be approached with what I have shown so far. Since many applications of the database in music continues to grow, I have only selected a few areas in which the database has had some agency. One area that I have not included above is that of artificial intelligence for music applications, where databases have been used for training models, and other forms of machine learninc. For example, in iteractive music systems</w:t>
      </w:r>
      <w:r>
        <w:t xml:space="preserve"> </w:t>
      </w:r>
      <w:r>
        <w:t xml:space="preserve">(Rowe 1992)</w:t>
      </w:r>
      <w:r>
        <w:t xml:space="preserve">, in improvisation systems</w:t>
      </w:r>
      <w:r>
        <w:t xml:space="preserve"> </w:t>
      </w:r>
      <w:r>
        <w:t xml:space="preserve">(Assayag et al. 1999, Bloch &amp; Dubnov 2008)</w:t>
      </w:r>
      <w:r>
        <w:t xml:space="preserve">, to model</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Multimodal datasets have also been used in training</w:t>
      </w:r>
      <w:r>
        <w:t xml:space="preserve"> </w:t>
      </w:r>
      <w:r>
        <w:t xml:space="preserve">(Schöner et al. 1998)</w:t>
      </w:r>
      <w:r>
        <w:t xml:space="preserve">. Notwithstanding the multiple gaps and omissions that these lines reveal, I believe the plurality of shapes speaks for itself. As I have shown, from bytes to terabytes, from data structures and files to datasets and databases, has had different positions in relation to sound practices. These positions can be summarized in a three-dimensional diagram (See Figure</w:t>
      </w:r>
      <w:r>
        <w:t xml:space="preserve"> </w:t>
      </w:r>
      <w:hyperlink w:anchor="img:intersections">
        <w:r>
          <w:rPr>
            <w:rStyle w:val="Hyperlink"/>
          </w:rPr>
          <w:t xml:space="preserve">4.12</w:t>
        </w:r>
      </w:hyperlink>
      <w:r>
        <w:t xml:space="preserve">) where the database can be placed along three axes. Visibility of the database can be represented by the sign: positive values indicate visibility and negative indicate invisibility.</w:t>
      </w:r>
      <w:r>
        <w:t xml:space="preserve"> </w:t>
      </w:r>
      <w:r>
        <w:t xml:space="preserve">‘</w:t>
      </w:r>
      <w:r>
        <w:t xml:space="preserve">Negative</w:t>
      </w:r>
      <w:r>
        <w:t xml:space="preserve">’</w:t>
      </w:r>
      <w:r>
        <w:t xml:space="preserve"> </w:t>
      </w:r>
      <w:r>
        <w:t xml:space="preserve">in this context relates only to the sign of the value, and not to any</w:t>
      </w:r>
      <w:r>
        <w:t xml:space="preserve"> </w:t>
      </w:r>
      <w:r>
        <w:t xml:space="preserve">‘</w:t>
      </w:r>
      <w:r>
        <w:t xml:space="preserve">judgment</w:t>
      </w:r>
      <w:r>
        <w:t xml:space="preserve">’</w:t>
      </w:r>
      <w:r>
        <w:t xml:space="preserve"> </w:t>
      </w:r>
      <w:r>
        <w:t xml:space="preserve">whatsoever. If anything, this graph is intended as a metaphor. As I have mentioned earlier, the database is generally the grounds of sonification, so it can be represented by the</w:t>
      </w:r>
      <w:r>
        <w:t xml:space="preserve"> </w:t>
      </w:r>
      <m:oMath>
        <m:r>
          <m:t>y</m:t>
        </m:r>
      </m:oMath>
      <w:r>
        <w:t xml:space="preserve">-axis. In</w:t>
      </w:r>
      <w:r>
        <w:t xml:space="preserve"> </w:t>
      </w:r>
      <w:r>
        <w:t xml:space="preserve">mir</w:t>
      </w:r>
      <w:r>
        <w:t xml:space="preserve">, the database is next to the databaser, that is, in the</w:t>
      </w:r>
      <w:r>
        <w:t xml:space="preserve"> </w:t>
      </w:r>
      <m:oMath>
        <m:r>
          <m:t>x</m:t>
        </m:r>
      </m:oMath>
      <w:r>
        <w:t xml:space="preserve">-axis. Finally, I mentioned that the database in computer music is behind the databaser, therefore the</w:t>
      </w:r>
      <w:r>
        <w:t xml:space="preserve"> </w:t>
      </w:r>
      <m:oMath>
        <m:r>
          <m:t>z</m:t>
        </m:r>
      </m:oMath>
      <w:r>
        <w:t xml:space="preserve">-axis seems appropriate.</w:t>
      </w:r>
    </w:p>
    <w:p>
      <w:pPr>
        <w:pStyle w:val="CaptionedFigure"/>
      </w:pPr>
      <w:bookmarkStart w:id="182" w:name="img:intersections"/>
      <w:r>
        <w:drawing>
          <wp:inline>
            <wp:extent cx="3759200" cy="2438400"/>
            <wp:effectExtent b="0" l="0" r="0" t="0"/>
            <wp:docPr descr="Intersection space." title="" id="1" name="Picture"/>
            <a:graphic>
              <a:graphicData uri="http://schemas.openxmlformats.org/drawingml/2006/picture">
                <pic:pic>
                  <pic:nvPicPr>
                    <pic:cNvPr descr="/Users/federicocamarahalac/Documents/fd_work/text/waves/bin/img/intersections.png" id="0" name="Picture"/>
                    <pic:cNvPicPr>
                      <a:picLocks noChangeArrowheads="1" noChangeAspect="1"/>
                    </pic:cNvPicPr>
                  </pic:nvPicPr>
                  <pic:blipFill>
                    <a:blip r:embed="rId181"/>
                    <a:stretch>
                      <a:fillRect/>
                    </a:stretch>
                  </pic:blipFill>
                  <pic:spPr bwMode="auto">
                    <a:xfrm>
                      <a:off x="0" y="0"/>
                      <a:ext cx="3759200" cy="2438400"/>
                    </a:xfrm>
                    <a:prstGeom prst="rect">
                      <a:avLst/>
                    </a:prstGeom>
                    <a:noFill/>
                    <a:ln w="9525">
                      <a:noFill/>
                      <a:headEnd/>
                      <a:tailEnd/>
                    </a:ln>
                  </pic:spPr>
                </pic:pic>
              </a:graphicData>
            </a:graphic>
          </wp:inline>
        </w:drawing>
      </w:r>
      <w:bookmarkEnd w:id="182"/>
    </w:p>
    <w:p>
      <w:pPr>
        <w:pStyle w:val="ImageCaption"/>
      </w:pPr>
      <w:r>
        <w:t xml:space="preserve">Intersection space.</w:t>
      </w:r>
    </w:p>
    <w:p>
      <w:pPr>
        <w:pStyle w:val="BodyText"/>
      </w:pPr>
      <w:r>
        <w:t xml:space="preserve">Position of the database in terms of visibility among</w:t>
      </w:r>
      <w:r>
        <w:t xml:space="preserve"> </w:t>
      </w:r>
      <w:r>
        <w:t xml:space="preserve">mir</w:t>
      </w:r>
      <w:r>
        <w:t xml:space="preserve">, Sonification, and Computer Music. Positive values indicate visibility and negative indicate invisibility.</w:t>
      </w:r>
    </w:p>
    <w:p>
      <w:pPr>
        <w:pStyle w:val="BodyText"/>
      </w:pPr>
      <w:r>
        <w:t xml:space="preserve">The simplicity of this diagram is intentional, to avoid any attempt to quantize the actual value that the database represents in the plurality of shapes that I have discussed. There is no percentage that can be drawn from how visible a database can be. Therefore, when practices begin to intersect, as I have shown here, the visibility of the database can thus be understood as in constant motion along these axes. Database performance, in this sense, provides a key to understand the motion of this intersection. Furthermore, there is one dimension not contemplated within this diagram: time. The intersections referenced here are always moving in time, which indicates that the diagram that I have shown here is but just one frame. At each point in time the databaser can pause for a second, analyze the frame, and perhaps describe the motion that the database has taken thus far. This has been my task until now, and it is safe to say that we have looked at the database. In what follows, I will change gears and approach the database from a different perspective, one not guided by light, but immersed within sound.</w:t>
      </w:r>
    </w:p>
    <w:p>
      <w:pPr>
        <w:pStyle w:val="Heading1"/>
      </w:pPr>
      <w:bookmarkStart w:id="183" w:name="chapter:Database_Aesthetics"/>
      <w:r>
        <w:t xml:space="preserve">Database Aesthetics</w:t>
      </w:r>
      <w:bookmarkEnd w:id="18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4" w:name="section:Listening_Databases"/>
      <w:r>
        <w:t xml:space="preserve">Listening Databases</w:t>
      </w:r>
      <w:bookmarkEnd w:id="184"/>
    </w:p>
    <w:p>
      <w:pPr>
        <w:pStyle w:val="Heading3"/>
      </w:pPr>
      <w:bookmarkStart w:id="185" w:name="resonance_of_a_return"/>
      <w:r>
        <w:t xml:space="preserve">The Resonance Of A Return</w:t>
      </w:r>
      <w:bookmarkEnd w:id="185"/>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186" w:name="sonorous-presence"/>
      <w:r>
        <w:t xml:space="preserve">Sonorous presence</w:t>
      </w:r>
      <w:bookmarkEnd w:id="186"/>
    </w:p>
    <w:p>
      <w:pPr>
        <w:pStyle w:val="FirstParagraph"/>
      </w:pPr>
      <w:r>
        <w:t xml:space="preserve">Philosopher</w:t>
      </w:r>
      <w:r>
        <w:t xml:space="preserve"> </w:t>
      </w:r>
      <w:r>
        <w:t xml:space="preserve">Nancy (2007)</w:t>
      </w:r>
      <w:r>
        <w:t xml:space="preserve"> </w:t>
      </w:r>
      <w:r>
        <w:t xml:space="preserve">brings forth an ontology of sound that can be understood in terms of a performativity of listening that links an embodied theory of listening with a phenomenology of the self. Nancy’s ‘sonorous presence’ is built on the premises that the listening body is part of the medium through which sound propagates and that the body’s sense perception is immersed within that medium. Medium here refers to the matter through which sound propagates, such as a space filled with gas, liquid, or solid particles of matter including human and nonhuman bodies. Sound reaches, enters, and traverses bodies. This means that sound, in its most basic and general form makes listeners vibrate and therefore, the listening subject is always already part of the listened sound.</w:t>
      </w:r>
    </w:p>
    <w:p>
      <w:pPr>
        <w:pStyle w:val="Heading5"/>
      </w:pPr>
      <w:bookmarkStart w:id="187" w:name="an-a-priori-filter"/>
      <w:r>
        <w:t xml:space="preserve">An a priori filter</w:t>
      </w:r>
      <w:bookmarkEnd w:id="187"/>
    </w:p>
    <w:p>
      <w:pPr>
        <w:pStyle w:val="FirstParagraph"/>
      </w:pPr>
      <w:r>
        <w:t xml:space="preserve">Being part of sound, bodies change sound even before listening. On a mechanical level, the body is an a priori physical filter. Sound is filtered differently and uniquely within each body: my body changes the incoming sound for me, just as it does for others. For instance, a longitudinal wave passing through a body affects how it will arrive at other points in space. Sound propagation is conditioned by the qualities of the medium. That is to say, while the combination of density, pressure, temperature, and motion affect sound speed, a medium’s viscosity affects its attenuation rate. This means that within hot and humid climates sound will move slower, and if there is wind blowing in the same direction of a sound it will travel faster, but it also means the listening body changes how sound moves both inside and outside of itself. Waves change direction by way of reflection or refraction, and they fade out by way of attenuation. This means that waves are affected in different ways by different media, some being more (concert halls) or less reflective (anechoic chambers). Therefore, bodies filter sounds for other bodies while affecting sound waves before they reach the tympani. That is to say, since the listener’s body itself refracts, reflects, and attenuates waves, the singular filter that is the body changes wave propagation not only for itself and its own listening experience, also for the listening experience of others. This explains why empty concert halls sound more reverberant than filled concert halls. Most importantly, the filtering qualities of the listening body reveal the extent to which listening as such is a singular experience.</w:t>
      </w:r>
    </w:p>
    <w:p>
      <w:pPr>
        <w:pStyle w:val="Heading5"/>
      </w:pPr>
      <w:bookmarkStart w:id="188" w:name="sonorous-presence-in-an-attack"/>
      <w:r>
        <w:t xml:space="preserve">Sonorous presence in an attack</w:t>
      </w:r>
      <w:bookmarkEnd w:id="188"/>
    </w:p>
    <w:p>
      <w:pPr>
        <w:pStyle w:val="FirstParagraph"/>
      </w:pPr>
      <w:r>
        <w:t xml:space="preserve">The sonorous presence exposes listeners to themselves and to one another. The duration of this exposure is always an instant. Nancy refers to this instant as an</w:t>
      </w:r>
      <w:r>
        <w:t xml:space="preserve"> </w:t>
      </w:r>
      <w:r>
        <w:t xml:space="preserve">‘</w:t>
      </w:r>
      <w:r>
        <w:t xml:space="preserve">attack.</w:t>
      </w:r>
      <w:r>
        <w:t xml:space="preserve">’</w:t>
      </w:r>
      <w:r>
        <w:t xml:space="preserve"> </w:t>
      </w:r>
      <w:r>
        <w:t xml:space="preserve">All mechanical waves require an initial energy input and in the case of sound, particularly in musical contexts, this input is generally referred to as an attack. Instead, Nancy uses this term to describe the exact moment when a sound arrives and simultaneously leaves the body: the instantaneous appearance of sound within the body. An attack therefore instantiates the sonorous presence. The experience of this exposure points to the presence of sound as a sensing experience in itself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w:t>
      </w:r>
    </w:p>
    <w:p>
      <w:pPr>
        <w:pStyle w:val="BodyText"/>
      </w:pPr>
      <w:r>
        <w:t xml:space="preserve">This means that in the sonorous present, the listening body emerges as a creation of itself as sense.</w:t>
      </w:r>
    </w:p>
    <w:p>
      <w:pPr>
        <w:pStyle w:val="BodyText"/>
      </w:pPr>
      <w:r>
        <w:t xml:space="preserve">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89" w:name="referrals-and-deferrals"/>
      <w:r>
        <w:t xml:space="preserve">Referrals and Deferrals</w:t>
      </w:r>
      <w:bookmarkEnd w:id="189"/>
    </w:p>
    <w:p>
      <w:pPr>
        <w:pStyle w:val="FirstParagraph"/>
      </w:pPr>
      <w:r>
        <w:t xml:space="preserve">Kane finds Nancy’s ontology of sound as</w:t>
      </w:r>
      <w:r>
        <w:t xml:space="preserve"> </w:t>
      </w:r>
      <w:r>
        <w:t xml:space="preserve">“</w:t>
      </w:r>
      <w:r>
        <w:t xml:space="preserve">a structure of infinite referrals and deferrals</w:t>
      </w:r>
      <w:r>
        <w:t xml:space="preserve">”</w:t>
      </w:r>
      <w:r>
        <w:t xml:space="preserve"> </w:t>
      </w:r>
      <w:r>
        <w:t xml:space="preserve">(Gratton &amp; Morin 2015, p. 143)</w:t>
      </w:r>
      <w:r>
        <w:t xml:space="preserve">, that is, what Nancy refers to as</w:t>
      </w:r>
      <w:r>
        <w:t xml:space="preserve"> </w:t>
      </w:r>
      <w:r>
        <w:t xml:space="preserve">‘</w:t>
      </w:r>
      <w:r>
        <w:t xml:space="preserve">resonance.</w:t>
      </w:r>
      <w:r>
        <w:t xml:space="preserve">’</w:t>
      </w:r>
      <w:r>
        <w:t xml:space="preserve"> </w:t>
      </w:r>
      <w:r>
        <w:t xml:space="preserve">This structure comprises, for Kane, Nancy’s reading of Jacques Derrida’s concept of</w:t>
      </w:r>
      <w:r>
        <w:t xml:space="preserve"> </w:t>
      </w:r>
      <w:r>
        <w:rPr>
          <w:i/>
        </w:rPr>
        <w:t xml:space="preserve">différance</w:t>
      </w:r>
      <w:r>
        <w:t xml:space="preserve"> </w:t>
      </w:r>
      <w:r>
        <w:t xml:space="preserve">(See</w:t>
      </w:r>
      <w:r>
        <w:t xml:space="preserve"> </w:t>
      </w:r>
      <w:hyperlink w:anchor="human">
        <w:r>
          <w:rPr>
            <w:rStyle w:val="Hyperlink"/>
          </w:rPr>
          <w:t xml:space="preserve">5.2.2</w:t>
        </w:r>
      </w:hyperlink>
      <w:r>
        <w:t xml:space="preserve">).</w:t>
      </w:r>
      <w:r>
        <w:rPr>
          <w:rStyle w:val="FootnoteReference"/>
        </w:rPr>
        <w:footnoteReference w:id="190"/>
      </w:r>
      <w:r>
        <w:t xml:space="preserve"> </w:t>
      </w:r>
      <w:r>
        <w:t xml:space="preserve">Resonance, in this terms, can be understood as an activity that takes place in</w:t>
      </w:r>
    </w:p>
    <w:p>
      <w:pPr>
        <w:pStyle w:val="BodyText"/>
      </w:pPr>
      <w:r>
        <w:t xml:space="preserve">Inasmuch as the sensing body is aware of its own multiplicity of sense, this multiplicity is itself dislocated spatially and temporally.</w:t>
      </w:r>
    </w:p>
    <w:p>
      <w:pPr>
        <w:pStyle w:val="BodyText"/>
      </w:pPr>
      <w:r>
        <w:t xml:space="preserve">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91" w:name="a-loop"/>
      <w:r>
        <w:t xml:space="preserve">A Loop</w:t>
      </w:r>
      <w:bookmarkEnd w:id="191"/>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of the listening experience. For Nancy,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 listening subject is in a state of being exposed to every other listening subject, that is, in resonance or in touch with one other.</w:t>
      </w:r>
    </w:p>
    <w:p>
      <w:pPr>
        <w:pStyle w:val="Heading5"/>
      </w:pPr>
      <w:bookmarkStart w:id="192" w:name="an-approach-to-self"/>
      <w:r>
        <w:t xml:space="preserve">An Approach to Self</w:t>
      </w:r>
      <w:bookmarkEnd w:id="192"/>
    </w:p>
    <w:p>
      <w:pPr>
        <w:pStyle w:val="FirstParagraph"/>
      </w:pPr>
      <w:r>
        <w:t xml:space="preserve">In this context, the self is not an expressive substance inherent to bodies, or already in the body, as if it were some originary essence that appears out of resonance. On the contrary, for Nancy, the self comes as a result of the resonance, in the form of a return.</w:t>
      </w:r>
    </w:p>
    <w:p>
      <w:pPr>
        <w:pStyle w:val="BodyText"/>
      </w:pPr>
      <w:r>
        <w:rPr>
          <w:rStyle w:val="FootnoteReference"/>
        </w:rPr>
        <w:footnoteReference w:id="193"/>
      </w:r>
    </w:p>
    <w:p>
      <w:pPr>
        <w:pStyle w:val="Heading3"/>
      </w:pPr>
      <w:bookmarkStart w:id="194" w:name="network"/>
      <w:r>
        <w:t xml:space="preserve">Resonant Network</w:t>
      </w:r>
      <w:bookmarkEnd w:id="19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5" w:name="an-illusory-violin"/>
      <w:r>
        <w:t xml:space="preserve">An Illusory Violin</w:t>
      </w:r>
      <w:bookmarkEnd w:id="19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6" w:name="virtuality"/>
      <w:r>
        <w:t xml:space="preserve">Virtuality</w:t>
      </w:r>
      <w:bookmarkEnd w:id="19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7" w:name="performativity-of-networks"/>
      <w:r>
        <w:t xml:space="preserve">Performativity of Networks</w:t>
      </w:r>
      <w:bookmarkEnd w:id="197"/>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8" w:name="a-resonant-movement-of-a-thing"/>
      <w:r>
        <w:t xml:space="preserve">A Resonant Movement of a Thing</w:t>
      </w:r>
      <w:bookmarkEnd w:id="19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199" w:name="positive-feedback"/>
      <w:r>
        <w:t xml:space="preserve">Positive Feedback</w:t>
      </w:r>
      <w:bookmarkEnd w:id="19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200" w:name="the-work-of-actors"/>
      <w:r>
        <w:t xml:space="preserve">The Work of Actors</w:t>
      </w:r>
      <w:bookmarkEnd w:id="200"/>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01" w:name="inoperativity"/>
      <w:r>
        <w:t xml:space="preserve">The Unworking Network</w:t>
      </w:r>
      <w:bookmarkEnd w:id="201"/>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202" w:name="community-as-unwork"/>
      <w:r>
        <w:t xml:space="preserve">Community as unwork</w:t>
      </w:r>
      <w:bookmarkEnd w:id="20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203" w:name="resonant-inoperativity"/>
      <w:r>
        <w:t xml:space="preserve">Resonant Inoperativity</w:t>
      </w:r>
      <w:bookmarkEnd w:id="20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4" w:name="space-of-community"/>
      <w:r>
        <w:t xml:space="preserve">Space of Community</w:t>
      </w:r>
      <w:bookmarkEnd w:id="20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5" w:name="at-the-limit"/>
      <w:r>
        <w:t xml:space="preserve">At the Limit</w:t>
      </w:r>
      <w:bookmarkEnd w:id="20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6" w:name="reticulated-skin"/>
      <w:r>
        <w:t xml:space="preserve">Reticulated Skin</w:t>
      </w:r>
      <w:bookmarkEnd w:id="20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7" w:name="resistance-in-database-music"/>
      <w:r>
        <w:t xml:space="preserve">Resistance in Database Music</w:t>
      </w:r>
      <w:bookmarkEnd w:id="20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8" w:name="section:Databases_And_Memory"/>
      <w:r>
        <w:t xml:space="preserve">Databases And Memory</w:t>
      </w:r>
      <w:bookmarkEnd w:id="208"/>
    </w:p>
    <w:p>
      <w:pPr>
        <w:pStyle w:val="Heading3"/>
      </w:pPr>
      <w:bookmarkStart w:id="209" w:name="funeslude"/>
      <w:r>
        <w:t xml:space="preserve">Interlude: Embodied Memory</w:t>
      </w:r>
      <w:bookmarkEnd w:id="20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10"/>
      </w:r>
      <w:r>
        <w:t xml:space="preserve"> </w:t>
      </w:r>
      <w:r>
        <w:t xml:space="preserve">he was secluded in a dark and enclosed space so as not to perceive the world.</w:t>
      </w:r>
      <w:r>
        <w:rPr>
          <w:rStyle w:val="FootnoteReference"/>
        </w:rPr>
        <w:footnoteReference w:id="211"/>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12"/>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3"/>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4"/>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5"/>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7" w:name="human"/>
      <w:r>
        <w:t xml:space="preserve">The Effraction Of The Trace</w:t>
      </w:r>
      <w:bookmarkEnd w:id="217"/>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8"/>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19" w:name="memory-as-breaching"/>
      <w:r>
        <w:t xml:space="preserve">Memory as Breaching</w:t>
      </w:r>
      <w:bookmarkEnd w:id="219"/>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20" w:name="breaching-and-différance"/>
      <w:r>
        <w:t xml:space="preserve">Breaching and</w:t>
      </w:r>
      <w:r>
        <w:t xml:space="preserve"> </w:t>
      </w:r>
      <w:r>
        <w:rPr>
          <w:i/>
        </w:rPr>
        <w:t xml:space="preserve">différance</w:t>
      </w:r>
      <w:bookmarkEnd w:id="220"/>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21" w:name="hypomnesis-and-the-mystic-pad"/>
      <w:r>
        <w:t xml:space="preserve">Hypomnesis and the Mystic Pad</w:t>
      </w:r>
      <w:bookmarkEnd w:id="221"/>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22" w:name="nonhuman-authors"/>
      <w:r>
        <w:t xml:space="preserve">Nonhuman Authors</w:t>
      </w:r>
      <w:bookmarkEnd w:id="222"/>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23" w:name="database-as-agents"/>
      <w:r>
        <w:t xml:space="preserve">Database as Agents</w:t>
      </w:r>
      <w:bookmarkEnd w:id="223"/>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4" w:name="archontic"/>
      <w:r>
        <w:t xml:space="preserve">The Archontic Principle</w:t>
      </w:r>
      <w:bookmarkEnd w:id="224"/>
    </w:p>
    <w:p>
      <w:pPr>
        <w:pStyle w:val="Heading5"/>
      </w:pPr>
      <w:bookmarkStart w:id="225" w:name="archives-and-memory"/>
      <w:r>
        <w:t xml:space="preserve">Archives and Memory</w:t>
      </w:r>
      <w:bookmarkEnd w:id="225"/>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6" w:name="hierarchies"/>
      <w:r>
        <w:t xml:space="preserve">Hierarchies</w:t>
      </w:r>
      <w:bookmarkEnd w:id="226"/>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7" w:name="archontic-principle"/>
      <w:r>
        <w:t xml:space="preserve">Archontic Principle</w:t>
      </w:r>
      <w:bookmarkEnd w:id="227"/>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8" w:name="patriarchy"/>
      <w:r>
        <w:t xml:space="preserve">Patriarchy</w:t>
      </w:r>
      <w:bookmarkEnd w:id="228"/>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29" w:name="institutional-passage"/>
      <w:r>
        <w:t xml:space="preserve">Institutional Passage</w:t>
      </w:r>
      <w:bookmarkEnd w:id="229"/>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30" w:name="authorities"/>
      <w:r>
        <w:t xml:space="preserve">Authorities</w:t>
      </w:r>
      <w:bookmarkEnd w:id="230"/>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31" w:name="anarchic-memory"/>
      <w:r>
        <w:t xml:space="preserve">Anarchic Memory</w:t>
      </w:r>
      <w:bookmarkEnd w:id="231"/>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32" w:name="collective-memory"/>
      <w:r>
        <w:t xml:space="preserve">Collective Memory</w:t>
      </w:r>
      <w:bookmarkEnd w:id="232"/>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33" w:name="writing-code"/>
      <w:r>
        <w:t xml:space="preserve">Writing Code</w:t>
      </w:r>
      <w:bookmarkEnd w:id="233"/>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4"/>
      </w:r>
    </w:p>
    <w:p>
      <w:pPr>
        <w:pStyle w:val="Heading5"/>
      </w:pPr>
      <w:bookmarkStart w:id="236" w:name="anarchic-computer-memory"/>
      <w:r>
        <w:t xml:space="preserve">Anarchic Computer Memory</w:t>
      </w:r>
      <w:bookmarkEnd w:id="23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7" w:name="spectrality"/>
      <w:r>
        <w:t xml:space="preserve">The Spectral Database</w:t>
      </w:r>
      <w:bookmarkEnd w:id="23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8" w:name="computer-memory-and-writing"/>
      <w:r>
        <w:t xml:space="preserve">Computer Memory and Writing</w:t>
      </w:r>
      <w:bookmarkEnd w:id="23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39" w:name="memory-replacement"/>
      <w:r>
        <w:t xml:space="preserve">Memory Replacement</w:t>
      </w:r>
      <w:bookmarkEnd w:id="23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40" w:name="anarchic-records"/>
      <w:r>
        <w:t xml:space="preserve">Anarchic Records</w:t>
      </w:r>
      <w:bookmarkEnd w:id="24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41"/>
      </w:r>
      <w:r>
        <w:t xml:space="preserve"> </w:t>
      </w:r>
      <w:r>
        <w:t xml:space="preserve">becomes an archivization process, that is, a process by which symbolic transcription leads to an ordered archive, i.e., a score.</w:t>
      </w:r>
      <w:r>
        <w:rPr>
          <w:rStyle w:val="FootnoteReference"/>
        </w:rPr>
        <w:footnoteReference w:id="243"/>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4" w:name="memory-and-framing"/>
      <w:r>
        <w:t xml:space="preserve">Memory and Framing</w:t>
      </w:r>
      <w:bookmarkEnd w:id="244"/>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5" w:name="nonhuman-tympans"/>
      <w:r>
        <w:t xml:space="preserve">Nonhuman Tympans</w:t>
      </w:r>
      <w:bookmarkEnd w:id="245"/>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6" w:name="spectrality-of-archives"/>
      <w:r>
        <w:t xml:space="preserve">Spectrality of Archives</w:t>
      </w:r>
      <w:bookmarkEnd w:id="246"/>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7" w:name="spectrality-of-databases"/>
      <w:r>
        <w:t xml:space="preserve">Spectrality of Databases</w:t>
      </w:r>
      <w:bookmarkEnd w:id="247"/>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8" w:name="agency-of-the-uncanny"/>
      <w:r>
        <w:t xml:space="preserve">Agency of the Uncanny</w:t>
      </w:r>
      <w:bookmarkEnd w:id="248"/>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9" w:name="section:Performativity_Of_Databases"/>
      <w:r>
        <w:t xml:space="preserve">Performativity Of Databases</w:t>
      </w:r>
      <w:bookmarkEnd w:id="249"/>
    </w:p>
    <w:p>
      <w:pPr>
        <w:pStyle w:val="Heading3"/>
      </w:pPr>
      <w:bookmarkStart w:id="250" w:name="gender"/>
      <w:r>
        <w:t xml:space="preserve">Gendered Database</w:t>
      </w:r>
      <w:bookmarkEnd w:id="250"/>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51" w:name="skin-of-the-database"/>
      <w:r>
        <w:t xml:space="preserve">Skin of the Database</w:t>
      </w:r>
      <w:bookmarkEnd w:id="251"/>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52" w:name="expressing-nothing"/>
      <w:r>
        <w:t xml:space="preserve">Expressing Nothing</w:t>
      </w:r>
      <w:bookmarkEnd w:id="252"/>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53" w:name="a-historical-situation"/>
      <w:r>
        <w:t xml:space="preserve">A Historical Situation</w:t>
      </w:r>
      <w:bookmarkEnd w:id="253"/>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4" w:name="subversive-repetition"/>
      <w:r>
        <w:t xml:space="preserve">Subversive Repetition</w:t>
      </w:r>
      <w:bookmarkEnd w:id="254"/>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5" w:name="gendered-database"/>
      <w:r>
        <w:t xml:space="preserve">Gendered Database</w:t>
      </w:r>
      <w:bookmarkEnd w:id="255"/>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6" w:name="limits"/>
      <w:r>
        <w:t xml:space="preserve">Towards The Limits</w:t>
      </w:r>
      <w:bookmarkEnd w:id="256"/>
    </w:p>
    <w:p>
      <w:pPr>
        <w:pStyle w:val="Heading5"/>
      </w:pPr>
      <w:bookmarkStart w:id="257" w:name="exposure"/>
      <w:r>
        <w:t xml:space="preserve">Exposure</w:t>
      </w:r>
      <w:bookmarkEnd w:id="257"/>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8" w:name="anarchic-touch"/>
      <w:r>
        <w:t xml:space="preserve">Anarchic Touch</w:t>
      </w:r>
      <w:bookmarkEnd w:id="258"/>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59" w:name="communities-of-skin"/>
      <w:r>
        <w:t xml:space="preserve">Communities of Skin</w:t>
      </w:r>
      <w:bookmarkEnd w:id="259"/>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60" w:name="hybrid-pluralities"/>
      <w:r>
        <w:t xml:space="preserve">Hybrid Pluralities</w:t>
      </w:r>
      <w:bookmarkEnd w:id="260"/>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61" w:name="style"/>
      <w:r>
        <w:t xml:space="preserve">Contingencies Of Style</w:t>
      </w:r>
      <w:bookmarkEnd w:id="26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62" w:name="style-and-timbre"/>
      <w:r>
        <w:t xml:space="preserve">Style and Timbre</w:t>
      </w:r>
      <w:bookmarkEnd w:id="262"/>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3"/>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4" w:name="endless-databases"/>
      <w:r>
        <w:t xml:space="preserve">Endless Databases</w:t>
      </w:r>
      <w:bookmarkEnd w:id="264"/>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5" w:name="database-and-chaos"/>
      <w:r>
        <w:t xml:space="preserve">Database and Chaos</w:t>
      </w:r>
      <w:bookmarkEnd w:id="265"/>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Lorenz Attractor"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Lorenz Attractor</w:t>
      </w:r>
    </w:p>
    <w:p>
      <w:pPr>
        <w:pStyle w:val="BodyText"/>
      </w:pPr>
      <w:bookmarkStart w:id="267" w:name="img:lorenz_plotter"/>
      <w:r>
        <w:t xml:space="preserve">[img:lorenz_plotter]</w:t>
      </w:r>
      <w:bookmarkEnd w:id="267"/>
    </w:p>
    <w:p>
      <w:pPr>
        <w:pStyle w:val="BodyText"/>
      </w:pPr>
      <w:r>
        <w:t xml:space="preserve">Plotting of the Lorenz system in Pure Data.</w:t>
      </w:r>
    </w:p>
    <w:p>
      <w:pPr>
        <w:pStyle w:val="Heading5"/>
      </w:pPr>
      <w:bookmarkStart w:id="268" w:name="fractality"/>
      <w:r>
        <w:t xml:space="preserve">Fractality</w:t>
      </w:r>
      <w:bookmarkEnd w:id="268"/>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69" w:name="a-music-work-as-a-singularity"/>
      <w:r>
        <w:t xml:space="preserve">A Music Work as a Singularity</w:t>
      </w:r>
      <w:bookmarkEnd w:id="269"/>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70" w:name="arbitrariness"/>
      <w:r>
        <w:t xml:space="preserve">Arbitrariness</w:t>
      </w:r>
      <w:bookmarkEnd w:id="270"/>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71" w:name="inoperative-style"/>
      <w:r>
        <w:t xml:space="preserve">Inoperative Style</w:t>
      </w:r>
      <w:bookmarkEnd w:id="271"/>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72" w:name="authority"/>
      <w:r>
        <w:t xml:space="preserve">A Specter Of Authority</w:t>
      </w:r>
      <w:bookmarkEnd w:id="27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73" w:name="the-name"/>
      <w:r>
        <w:t xml:space="preserve">The Name</w:t>
      </w:r>
      <w:bookmarkEnd w:id="273"/>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4"/>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5" w:name="dictionaries"/>
      <w:r>
        <w:t xml:space="preserve">Dictionaries</w:t>
      </w:r>
      <w:bookmarkEnd w:id="275"/>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6" w:name="artistry"/>
      <w:r>
        <w:t xml:space="preserve">Artistry</w:t>
      </w:r>
      <w:bookmarkEnd w:id="276"/>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7"/>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8"/>
      </w:r>
    </w:p>
    <w:p>
      <w:pPr>
        <w:pStyle w:val="Heading5"/>
      </w:pPr>
      <w:bookmarkStart w:id="279" w:name="the-work-of-mice"/>
      <w:r>
        <w:t xml:space="preserve">The Work of Mice</w:t>
      </w:r>
      <w:bookmarkEnd w:id="279"/>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80" w:name="section:Rethinking_Composition"/>
      <w:r>
        <w:t xml:space="preserve">Rethinking Composition</w:t>
      </w:r>
      <w:bookmarkEnd w:id="280"/>
    </w:p>
    <w:p>
      <w:pPr>
        <w:pStyle w:val="Heading3"/>
      </w:pPr>
      <w:bookmarkStart w:id="281" w:name="performance"/>
      <w:r>
        <w:t xml:space="preserve">Interlude: Hyperbolic Reactions</w:t>
      </w:r>
      <w:bookmarkEnd w:id="281"/>
    </w:p>
    <w:p>
      <w:pPr>
        <w:pStyle w:val="Heading5"/>
      </w:pPr>
      <w:bookmarkStart w:id="282" w:name="imagining-composers"/>
      <w:r>
        <w:t xml:space="preserve">Imagining Composers</w:t>
      </w:r>
      <w:bookmarkEnd w:id="282"/>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83" w:name="composers-and-technology"/>
      <w:r>
        <w:t xml:space="preserve">Composers and Technology</w:t>
      </w:r>
      <w:bookmarkEnd w:id="283"/>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4" w:name="playing-with-shadows"/>
      <w:r>
        <w:t xml:space="preserve">Playing with Shadows</w:t>
      </w:r>
      <w:bookmarkEnd w:id="284"/>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5" w:name="composers-without-computers"/>
      <w:r>
        <w:t xml:space="preserve">Composers Without Computers</w:t>
      </w:r>
      <w:bookmarkEnd w:id="285"/>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6" w:name="databasing-without-computers"/>
      <w:r>
        <w:t xml:space="preserve">Databasing Without Computers</w:t>
      </w:r>
      <w:bookmarkEnd w:id="286"/>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7" w:name="organic"/>
      <w:r>
        <w:t xml:space="preserve">Working Composition</w:t>
      </w:r>
      <w:bookmarkEnd w:id="287"/>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8" w:name="the-work-problem"/>
      <w:r>
        <w:t xml:space="preserve">The Work Problem</w:t>
      </w:r>
      <w:bookmarkEnd w:id="288"/>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89" w:name="working-rules"/>
      <w:r>
        <w:t xml:space="preserve">Working Rules</w:t>
      </w:r>
      <w:bookmarkEnd w:id="289"/>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90" w:name="a-space-of-difference"/>
      <w:r>
        <w:t xml:space="preserve">A Space of Difference</w:t>
      </w:r>
      <w:bookmarkEnd w:id="290"/>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91"/>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92" w:name="a-severed-work"/>
      <w:r>
        <w:t xml:space="preserve">A Severed Work</w:t>
      </w:r>
      <w:bookmarkEnd w:id="292"/>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93" w:name="absorbption"/>
      <w:r>
        <w:t xml:space="preserve">Absorbption</w:t>
      </w:r>
      <w:bookmarkEnd w:id="293"/>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4" w:name="practice"/>
      <w:r>
        <w:t xml:space="preserve">The Composer As Navigator</w:t>
      </w:r>
      <w:bookmarkEnd w:id="294"/>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5" w:name="querying-the-sieves"/>
      <w:r>
        <w:t xml:space="preserve">Querying the Sieves</w:t>
      </w:r>
      <w:bookmarkEnd w:id="295"/>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6"/>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9"/>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300"/>
      </w:r>
    </w:p>
    <w:p>
      <w:pPr>
        <w:pStyle w:val="Heading5"/>
      </w:pPr>
      <w:bookmarkStart w:id="301" w:name="sound-synthesis-parenthesis"/>
      <w:r>
        <w:t xml:space="preserve">Sound Synthesis Parenthesis</w:t>
      </w:r>
      <w:bookmarkEnd w:id="301"/>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02"/>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4" w:name="algebraic-abstractions-for-freedom"/>
      <w:r>
        <w:t xml:space="preserve">Algebraic Abstractions for Freedom</w:t>
      </w:r>
      <w:bookmarkEnd w:id="304"/>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5" w:name="a-cosmic-vessel-and-an-armchair"/>
      <w:r>
        <w:t xml:space="preserve">A Cosmic Vessel and an Armchair</w:t>
      </w:r>
      <w:bookmarkEnd w:id="305"/>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6"/>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7" w:name="improv"/>
      <w:r>
        <w:t xml:space="preserve">The Database As Performer</w:t>
      </w:r>
      <w:bookmarkEnd w:id="307"/>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8" w:name="the-computer-as-a-musical-instrument"/>
      <w:r>
        <w:t xml:space="preserve">The Computer as a Musical Instrument</w:t>
      </w:r>
      <w:bookmarkEnd w:id="308"/>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09" w:name="a-minor-liberty"/>
      <w:r>
        <w:t xml:space="preserve">A Minor Liberty</w:t>
      </w:r>
      <w:bookmarkEnd w:id="309"/>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10" w:name="the-computer-as-a-player"/>
      <w:r>
        <w:t xml:space="preserve">The Computer as a Player</w:t>
      </w:r>
      <w:bookmarkEnd w:id="310"/>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11" w:name="programming-decisions"/>
      <w:r>
        <w:t xml:space="preserve">Programming Decisions</w:t>
      </w:r>
      <w:bookmarkEnd w:id="311"/>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12" w:name="anachronic-composers"/>
      <w:r>
        <w:t xml:space="preserve">Anachronic Composers</w:t>
      </w:r>
      <w:bookmarkEnd w:id="312"/>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13" w:name="section"/>
      <w:bookmarkEnd w:id="313"/>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4"/>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5" w:name="nonhuman-composers"/>
      <w:r>
        <w:t xml:space="preserve">Nonhuman composers</w:t>
      </w:r>
      <w:bookmarkEnd w:id="315"/>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6" w:name="fractured-works"/>
      <w:r>
        <w:t xml:space="preserve">Fractured Works</w:t>
      </w:r>
      <w:bookmarkEnd w:id="316"/>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7" w:name="databasing-vessel"/>
      <w:r>
        <w:t xml:space="preserve">Databasing Vessel</w:t>
      </w:r>
      <w:bookmarkEnd w:id="317"/>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8" w:name="music"/>
      <w:r>
        <w:t xml:space="preserve">The Severed Object Of Music</w:t>
      </w:r>
      <w:bookmarkEnd w:id="318"/>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19" w:name="an-incomplete-object"/>
      <w:r>
        <w:t xml:space="preserve">An Incomplete Object</w:t>
      </w:r>
      <w:bookmarkEnd w:id="319"/>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20"/>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21" w:name="remains-of-listening"/>
      <w:r>
        <w:t xml:space="preserve">Remains of Listening</w:t>
      </w:r>
      <w:bookmarkEnd w:id="321"/>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22" w:name="sources-and-sorcerers"/>
      <w:r>
        <w:t xml:space="preserve">Sources and Sorcerers</w:t>
      </w:r>
      <w:bookmarkEnd w:id="322"/>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23" w:name="naming"/>
      <w:r>
        <w:t xml:space="preserve">Naming</w:t>
      </w:r>
      <w:bookmarkEnd w:id="323"/>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4"/>
      </w:r>
    </w:p>
    <w:p>
      <w:pPr>
        <w:pStyle w:val="Heading5"/>
      </w:pPr>
      <w:bookmarkStart w:id="325" w:name="dynamics"/>
      <w:r>
        <w:t xml:space="preserve">Dynamics</w:t>
      </w:r>
      <w:bookmarkEnd w:id="325"/>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6" w:name="masterwork"/>
      <w:r>
        <w:t xml:space="preserve">Masterwork</w:t>
      </w:r>
      <w:bookmarkEnd w:id="326"/>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7" w:name="architecture-of-obedience"/>
      <w:r>
        <w:t xml:space="preserve">Architecture of Obedience</w:t>
      </w:r>
      <w:bookmarkEnd w:id="327"/>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8" w:name="anarchy"/>
      <w:r>
        <w:t xml:space="preserve">Anarchy And The Unwork</w:t>
      </w:r>
      <w:bookmarkEnd w:id="328"/>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29" w:name="place-in-common"/>
      <w:r>
        <w:t xml:space="preserve">Place in Common</w:t>
      </w:r>
      <w:bookmarkEnd w:id="329"/>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30" w:name="disintegrated-imperative"/>
      <w:r>
        <w:t xml:space="preserve">Disintegrated Imperative</w:t>
      </w:r>
      <w:bookmarkEnd w:id="330"/>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31" w:name="blind-experimentation"/>
      <w:r>
        <w:t xml:space="preserve">Blind Experimentation</w:t>
      </w:r>
      <w:bookmarkEnd w:id="331"/>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32" w:name="doctoring-the-glitch"/>
      <w:r>
        <w:t xml:space="preserve">Doctoring the Glitch</w:t>
      </w:r>
      <w:bookmarkEnd w:id="332"/>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33" w:name="unnecessary-blindfolds"/>
      <w:r>
        <w:t xml:space="preserve">Unnecessary Blindfolds</w:t>
      </w:r>
      <w:bookmarkEnd w:id="333"/>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4" w:name="spectral-remains"/>
      <w:r>
        <w:t xml:space="preserve">Spectral Remains</w:t>
      </w:r>
      <w:bookmarkEnd w:id="334"/>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5" w:name="macroforma"/>
      <w:r>
        <w:t xml:space="preserve">Macroforma</w:t>
      </w:r>
      <w:bookmarkEnd w:id="335"/>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6" w:name="overfitting"/>
      <w:r>
        <w:t xml:space="preserve">Overfitting</w:t>
      </w:r>
      <w:bookmarkEnd w:id="336"/>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7" w:name="worker"/>
      <w:r>
        <w:t xml:space="preserve">[Wip] Work In Progress</w:t>
      </w:r>
      <w:bookmarkEnd w:id="337"/>
    </w:p>
    <w:p>
      <w:pPr>
        <w:pStyle w:val="SourceCode"/>
      </w:pPr>
      <w:r>
        <w:rPr>
          <w:rStyle w:val="CommentTok"/>
        </w:rPr>
        <w:t xml:space="preserve">// code for the "working" pd class. </w:t>
      </w:r>
      <w:r>
        <w:br w:type="textWrapping"/>
      </w:r>
      <w:r>
        <w:rPr>
          <w:rStyle w:val="CommentTok"/>
        </w:rPr>
        <w:t xml:space="preserve">// it does nothing.</w:t>
      </w:r>
      <w:r>
        <w:br w:type="textWrapping"/>
      </w:r>
      <w:r>
        <w:br w:type="textWrapping"/>
      </w: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"m_pd.h"</w:t>
      </w:r>
      <w:r>
        <w:br w:type="textWrapping"/>
      </w:r>
      <w:r>
        <w:br w:type="textWrapping"/>
      </w:r>
      <w:r>
        <w:rPr>
          <w:rStyle w:val="NormalTok"/>
        </w:rPr>
        <w:t xml:space="preserve">t_class *working_class;</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working {</w:t>
      </w:r>
      <w:r>
        <w:br w:type="textWrapping"/>
      </w:r>
      <w:r>
        <w:rPr>
          <w:rStyle w:val="NormalTok"/>
        </w:rPr>
        <w:t xml:space="preserve">    t_object    *x_obj;</w:t>
      </w:r>
      <w:r>
        <w:br w:type="textWrapping"/>
      </w:r>
      <w:r>
        <w:rPr>
          <w:rStyle w:val="NormalTok"/>
        </w:rPr>
        <w:t xml:space="preserve">    t_symbol    *work</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*product;</w:t>
      </w:r>
      <w:r>
        <w:br w:type="textWrapping"/>
      </w:r>
      <w:r>
        <w:rPr>
          <w:rStyle w:val="NormalTok"/>
        </w:rPr>
        <w:t xml:space="preserve">        t_symbol    *music_piece;</w:t>
      </w:r>
      <w:r>
        <w:br w:type="textWrapping"/>
      </w:r>
      <w:r>
        <w:rPr>
          <w:rStyle w:val="NormalTok"/>
        </w:rPr>
        <w:t xml:space="preserve">        t_symbol    *music_work;</w:t>
      </w:r>
      <w:r>
        <w:br w:type="textWrapping"/>
      </w:r>
      <w:r>
        <w:rPr>
          <w:rStyle w:val="NormalTok"/>
        </w:rPr>
        <w:t xml:space="preserve">        t_symbol    *opera;</w:t>
      </w:r>
      <w:r>
        <w:br w:type="textWrapping"/>
      </w:r>
      <w:r>
        <w:rPr>
          <w:rStyle w:val="NormalTok"/>
        </w:rPr>
        <w:t xml:space="preserve">    } music_work;</w:t>
      </w:r>
      <w:r>
        <w:br w:type="textWrapping"/>
      </w:r>
      <w:r>
        <w:rPr>
          <w:rStyle w:val="NormalTok"/>
        </w:rPr>
        <w:t xml:space="preserve">    t_symbol    *something_done;</w:t>
      </w:r>
      <w:r>
        <w:br w:type="textWrapping"/>
      </w:r>
      <w:r>
        <w:rPr>
          <w:rStyle w:val="NormalTok"/>
        </w:rPr>
        <w:t xml:space="preserve">    t_float     *physical_labor, *skill;</w:t>
      </w:r>
      <w:r>
        <w:br w:type="textWrapping"/>
      </w:r>
      <w:r>
        <w:rPr>
          <w:rStyle w:val="NormalTok"/>
        </w:rPr>
        <w:t xml:space="preserve">    t_atom      *the_work_of_an_author, *oeuvre;</w:t>
      </w:r>
      <w:r>
        <w:br w:type="textWrapping"/>
      </w:r>
      <w:r>
        <w:rPr>
          <w:rStyle w:val="NormalTok"/>
        </w:rPr>
        <w:t xml:space="preserve">    t_symbol    *the_operativity_of_the_composer;</w:t>
      </w:r>
      <w:r>
        <w:br w:type="textWrapping"/>
      </w:r>
      <w:r>
        <w:rPr>
          <w:rStyle w:val="NormalTok"/>
        </w:rPr>
        <w:t xml:space="preserve">    t_atom      *matrix_operations;</w:t>
      </w:r>
      <w:r>
        <w:br w:type="textWrapping"/>
      </w:r>
      <w:r>
        <w:rPr>
          <w:rStyle w:val="NormalTok"/>
        </w:rPr>
        <w:t xml:space="preserve">    t_symbol    *operetta, *opera_prima, *obra, *open_work;</w:t>
      </w:r>
      <w:r>
        <w:br w:type="textWrapping"/>
      </w:r>
      <w:r>
        <w:rPr>
          <w:rStyle w:val="NormalTok"/>
        </w:rPr>
        <w:t xml:space="preserve">    t_symbol    *a_work_of_art;</w:t>
      </w:r>
      <w:r>
        <w:br w:type="textWrapping"/>
      </w:r>
      <w:r>
        <w:rPr>
          <w:rStyle w:val="NormalTok"/>
        </w:rPr>
        <w:t xml:space="preserve">    t_symbol    *artistic_creation, *techne;</w:t>
      </w:r>
      <w:r>
        <w:br w:type="textWrapping"/>
      </w:r>
      <w:r>
        <w:rPr>
          <w:rStyle w:val="NormalTok"/>
        </w:rPr>
        <w:t xml:space="preserve">    t_float     *fullTime, *partTime;</w:t>
      </w:r>
      <w:r>
        <w:br w:type="textWrapping"/>
      </w:r>
      <w:r>
        <w:rPr>
          <w:rStyle w:val="NormalTok"/>
        </w:rPr>
        <w:t xml:space="preserve">    t_symbol    *clockwork, *officiate, *office, *act;</w:t>
      </w:r>
      <w:r>
        <w:br w:type="textWrapping"/>
      </w:r>
      <w:r>
        <w:rPr>
          <w:rStyle w:val="NormalTok"/>
        </w:rPr>
        <w:t xml:space="preserve">    t_symbol    *produce, *make_it_work;</w:t>
      </w:r>
      <w:r>
        <w:br w:type="textWrapping"/>
      </w:r>
      <w:r>
        <w:rPr>
          <w:rStyle w:val="NormalTok"/>
        </w:rPr>
        <w:t xml:space="preserve">    t_float     *magic_work, *work_of_angels;</w:t>
      </w:r>
      <w:r>
        <w:br w:type="textWrapping"/>
      </w:r>
      <w:r>
        <w:rPr>
          <w:rStyle w:val="NormalTok"/>
        </w:rPr>
        <w:t xml:space="preserve">    t_symbol    *blueCollar, *whiteCollar, *slavework, *masterwork;</w:t>
      </w:r>
      <w:r>
        <w:br w:type="textWrapping"/>
      </w:r>
      <w:r>
        <w:rPr>
          <w:rStyle w:val="NormalTok"/>
        </w:rPr>
        <w:t xml:space="preserve">    t_symbol    *Work_as_in_the_application_of_forces;</w:t>
      </w:r>
      <w:r>
        <w:br w:type="textWrapping"/>
      </w:r>
      <w:r>
        <w:rPr>
          <w:rStyle w:val="NormalTok"/>
        </w:rPr>
        <w:t xml:space="preserve">    </w:t>
      </w:r>
      <w:r>
        <w:rPr>
          <w:rStyle w:val="CommentTok"/>
        </w:rPr>
        <w:t xml:space="preserve">//V:"But applied to whom?"</w:t>
      </w:r>
      <w:r>
        <w:br w:type="textWrapping"/>
      </w:r>
      <w:r>
        <w:rPr>
          <w:rStyle w:val="NormalTok"/>
        </w:rPr>
        <w:t xml:space="preserve">    t_symbol    *working_a_field;</w:t>
      </w:r>
      <w:r>
        <w:br w:type="textWrapping"/>
      </w:r>
      <w:r>
        <w:rPr>
          <w:rStyle w:val="NormalTok"/>
        </w:rPr>
        <w:t xml:space="preserve">    t_symbol    *the_internal_workings_of_structures;</w:t>
      </w:r>
      <w:r>
        <w:br w:type="textWrapping"/>
      </w:r>
      <w:r>
        <w:rPr>
          <w:rStyle w:val="NormalTok"/>
        </w:rPr>
        <w:t xml:space="preserve">    t_symbol    *work_in_an_app, *worked_out;</w:t>
      </w:r>
      <w:r>
        <w:br w:type="textWrapping"/>
      </w:r>
      <w:r>
        <w:rPr>
          <w:rStyle w:val="NormalTok"/>
        </w:rPr>
        <w:t xml:space="preserve">    t_symbol    *work_your_hat_off, *workflow, *workspace;</w:t>
      </w:r>
      <w:r>
        <w:br w:type="textWrapping"/>
      </w:r>
      <w:r>
        <w:rPr>
          <w:rStyle w:val="NormalTok"/>
        </w:rPr>
        <w:t xml:space="preserve">    t_symbol    *working_for_food, hardworking, *labour, *giving_birth;</w:t>
      </w:r>
      <w:r>
        <w:br w:type="textWrapping"/>
      </w:r>
      <w:r>
        <w:rPr>
          <w:rStyle w:val="NormalTok"/>
        </w:rPr>
        <w:t xml:space="preserve">    t_symbol    *all_that_is_remunerated_after_efforts_have_been_given;</w:t>
      </w:r>
      <w:r>
        <w:br w:type="textWrapping"/>
      </w:r>
      <w:r>
        <w:rPr>
          <w:rStyle w:val="NormalTok"/>
        </w:rPr>
        <w:t xml:space="preserve">    t_symbol    *achieve_a_goal, your_task, *to_work_to_live;</w:t>
      </w:r>
      <w:r>
        <w:br w:type="textWrapping"/>
      </w:r>
      <w:r>
        <w:rPr>
          <w:rStyle w:val="NormalTok"/>
        </w:rPr>
        <w:t xml:space="preserve">    t_symbol    *to_have_a_working_body, *functioning;</w:t>
      </w:r>
      <w:r>
        <w:br w:type="textWrapping"/>
      </w:r>
      <w:r>
        <w:rPr>
          <w:rStyle w:val="NormalTok"/>
        </w:rPr>
        <w:t xml:space="preserve">    t_symbol    *operative, working_like_a_bee;</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*like_a_bee;</w:t>
      </w:r>
      <w:r>
        <w:br w:type="textWrapping"/>
      </w:r>
      <w:r>
        <w:rPr>
          <w:rStyle w:val="NormalTok"/>
        </w:rPr>
        <w:t xml:space="preserve">        t_symbol *like_a_member_of_the_hive;</w:t>
      </w:r>
      <w:r>
        <w:br w:type="textWrapping"/>
      </w:r>
      <w:r>
        <w:rPr>
          <w:rStyle w:val="NormalTok"/>
        </w:rPr>
        <w:t xml:space="preserve">        t_symbol *like_an_ant;</w:t>
      </w:r>
      <w:r>
        <w:br w:type="textWrapping"/>
      </w:r>
      <w:r>
        <w:rPr>
          <w:rStyle w:val="NormalTok"/>
        </w:rPr>
        <w:t xml:space="preserve">        t_symbol *like_a_worker;</w:t>
      </w:r>
      <w:r>
        <w:br w:type="textWrapping"/>
      </w:r>
      <w:r>
        <w:rPr>
          <w:rStyle w:val="NormalTok"/>
        </w:rPr>
        <w:t xml:space="preserve">        t_symbol *like_a_coworker;</w:t>
      </w:r>
      <w:r>
        <w:br w:type="textWrapping"/>
      </w:r>
      <w:r>
        <w:rPr>
          <w:rStyle w:val="NormalTok"/>
        </w:rPr>
        <w:t xml:space="preserve">        t_atom   *organized_labour;</w:t>
      </w:r>
      <w:r>
        <w:br w:type="textWrapping"/>
      </w:r>
      <w:r>
        <w:rPr>
          <w:rStyle w:val="NormalTok"/>
        </w:rPr>
        <w:t xml:space="preserve">    } workers_union;</w:t>
      </w:r>
      <w:r>
        <w:br w:type="textWrapping"/>
      </w:r>
      <w:r>
        <w:rPr>
          <w:rStyle w:val="NormalTok"/>
        </w:rPr>
        <w:t xml:space="preserve">    </w:t>
      </w:r>
      <w:r>
        <w:rPr>
          <w:rStyle w:val="DataTypeTok"/>
        </w:rPr>
        <w:t xml:space="preserve">char</w:t>
      </w:r>
      <w:r>
        <w:rPr>
          <w:rStyle w:val="NormalTok"/>
        </w:rPr>
        <w:t xml:space="preserve">        work[</w:t>
      </w:r>
      <w:r>
        <w:rPr>
          <w:rStyle w:val="StringTok"/>
        </w:rPr>
        <w:t xml:space="preserve">"for"</w:t>
      </w:r>
      <w:r>
        <w:rPr>
          <w:rStyle w:val="NormalTok"/>
        </w:rPr>
        <w:t xml:space="preserve">,</w:t>
      </w:r>
      <w:r>
        <w:rPr>
          <w:rStyle w:val="StringTok"/>
        </w:rPr>
        <w:t xml:space="preserve">"to"</w:t>
      </w:r>
      <w:r>
        <w:rPr>
          <w:rStyle w:val="NormalTok"/>
        </w:rPr>
        <w:t xml:space="preserve">,</w:t>
      </w:r>
      <w:r>
        <w:rPr>
          <w:rStyle w:val="StringTok"/>
        </w:rPr>
        <w:t xml:space="preserve">"after"</w:t>
      </w:r>
      <w:r>
        <w:rPr>
          <w:rStyle w:val="NormalTok"/>
        </w:rPr>
        <w:t xml:space="preserve">,</w:t>
      </w:r>
      <w:r>
        <w:rPr>
          <w:rStyle w:val="StringTok"/>
        </w:rPr>
        <w:t xml:space="preserve">"by"</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*hours;</w:t>
      </w:r>
      <w:r>
        <w:br w:type="textWrapping"/>
      </w:r>
      <w:r>
        <w:rPr>
          <w:rStyle w:val="NormalTok"/>
        </w:rPr>
        <w:t xml:space="preserve">    t_symbol    *working_as_an_extension_of_truth_as_well_as_lies;</w:t>
      </w:r>
      <w:r>
        <w:br w:type="textWrapping"/>
      </w:r>
      <w:r>
        <w:rPr>
          <w:rStyle w:val="NormalTok"/>
        </w:rPr>
        <w:t xml:space="preserve">    t_symbol    *out_of_work, *at_work, *work_in_progress;</w:t>
      </w:r>
      <w:r>
        <w:br w:type="textWrapping"/>
      </w:r>
      <w:r>
        <w:rPr>
          <w:rStyle w:val="NormalTok"/>
        </w:rPr>
        <w:t xml:space="preserve">    t_symbol    *working_for_the_man, *freelancing, *working_under_the_table;</w:t>
      </w:r>
      <w:r>
        <w:br w:type="textWrapping"/>
      </w:r>
      <w:r>
        <w:rPr>
          <w:rStyle w:val="NormalTok"/>
        </w:rPr>
        <w:t xml:space="preserve">    t_symbol    *working_past_a_deadline, *working_in_pairs;</w:t>
      </w:r>
      <w:r>
        <w:br w:type="textWrapping"/>
      </w:r>
      <w:r>
        <w:rPr>
          <w:rStyle w:val="NormalTok"/>
        </w:rPr>
        <w:t xml:space="preserve">    t_symbol    *teamwork, *collaborate, *co-operate;</w:t>
      </w:r>
      <w:r>
        <w:br w:type="textWrapping"/>
      </w:r>
      <w:r>
        <w:rPr>
          <w:rStyle w:val="NormalTok"/>
        </w:rPr>
        <w:t xml:space="preserve">    t_symbol    *paperwork, *networking, *prototyping, *worked-up;</w:t>
      </w:r>
      <w:r>
        <w:br w:type="textWrapping"/>
      </w:r>
      <w:r>
        <w:rPr>
          <w:rStyle w:val="NormalTok"/>
        </w:rPr>
        <w:t xml:space="preserve">    </w:t>
      </w:r>
      <w:r>
        <w:rPr>
          <w:rStyle w:val="DataTypeTok"/>
        </w:rPr>
        <w:t xml:space="preserve">char</w:t>
      </w:r>
      <w:r>
        <w:rPr>
          <w:rStyle w:val="NormalTok"/>
        </w:rPr>
        <w:t xml:space="preserve">        *work_the_crowd, *work_the_system;</w:t>
      </w:r>
      <w:r>
        <w:br w:type="textWrapping"/>
      </w:r>
      <w:r>
        <w:rPr>
          <w:rStyle w:val="NormalTok"/>
        </w:rPr>
        <w:t xml:space="preserve">    t_symbol    *work_a_miracle, *work_your_workers;</w:t>
      </w:r>
      <w:r>
        <w:br w:type="textWrapping"/>
      </w:r>
      <w:r>
        <w:rPr>
          <w:rStyle w:val="NormalTok"/>
        </w:rPr>
        <w:t xml:space="preserve">    t_symbol    *social_worker;</w:t>
      </w:r>
      <w:r>
        <w:br w:type="textWrapping"/>
      </w:r>
      <w:r>
        <w:rPr>
          <w:rStyle w:val="NormalTok"/>
        </w:rPr>
        <w:t xml:space="preserve">    t_float     *a_ship_works_in_a_heavy_sea, *work_the_levers;</w:t>
      </w:r>
      <w:r>
        <w:br w:type="textWrapping"/>
      </w:r>
      <w:r>
        <w:rPr>
          <w:rStyle w:val="NormalTok"/>
        </w:rPr>
        <w:t xml:space="preserve">    t_float     *work_for_Facebook, *future_work, *framework;</w:t>
      </w:r>
      <w:r>
        <w:br w:type="textWrapping"/>
      </w:r>
      <w:r>
        <w:rPr>
          <w:rStyle w:val="NormalTok"/>
        </w:rPr>
        <w:t xml:space="preserve"> } t_working;</w:t>
      </w:r>
    </w:p>
    <w:p>
      <w:pPr>
        <w:pStyle w:val="Heading1"/>
      </w:pPr>
      <w:bookmarkStart w:id="338" w:name="chapter:Conclusion"/>
      <w:r>
        <w:t xml:space="preserve">Conclusion</w:t>
      </w:r>
      <w:bookmarkEnd w:id="338"/>
    </w:p>
    <w:p>
      <w:pPr>
        <w:pStyle w:val="FirstParagraph"/>
      </w:pPr>
      <w:r>
        <w:t xml:space="preserve">…</w:t>
      </w:r>
      <w:r>
        <w:t xml:space="preserve"> </w:t>
      </w:r>
      <w:r>
        <w:t xml:space="preserve">placeholder for conclusion abstract</w:t>
      </w:r>
      <w:r>
        <w:t xml:space="preserve"> </w:t>
      </w:r>
      <w:r>
        <w:t xml:space="preserve">…</w:t>
      </w:r>
    </w:p>
    <w:p>
      <w:pPr>
        <w:pStyle w:val="Heading1"/>
      </w:pPr>
      <w:bookmarkStart w:id="339" w:name="chapter:Appendices"/>
      <w:r>
        <w:t xml:space="preserve">Appendices</w:t>
      </w:r>
      <w:bookmarkEnd w:id="339"/>
    </w:p>
    <w:p>
      <w:pPr>
        <w:pStyle w:val="FirstParagraph"/>
      </w:pPr>
      <w:r>
        <w:t xml:space="preserve">abstract of appendices</w:t>
      </w:r>
    </w:p>
    <w:p>
      <w:pPr>
        <w:pStyle w:val="Heading2"/>
      </w:pPr>
      <w:bookmarkStart w:id="340" w:name="X9928d5a4298d9156e673c83842d96a99bfb66d7"/>
      <w:r>
        <w:t xml:space="preserve">DIANA: Database for Image and Audio Navigation</w:t>
      </w:r>
      <w:bookmarkEnd w:id="3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41" w:name="dbmodel"/>
      <w:r>
        <w:t xml:space="preserve">A Database Model</w:t>
      </w:r>
      <w:bookmarkEnd w:id="3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42" w:name="X7616598f194c52ee6f4c09f01c755a7090177ba"/>
      <w:r>
        <w:t xml:space="preserve">ABBY: An Online Environment for Annotated Bibliographies</w:t>
      </w:r>
      <w:bookmarkEnd w:id="342"/>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3"/>
      </w:pPr>
      <w:bookmarkStart w:id="343" w:name="texdb"/>
      <w:r>
        <w:t xml:space="preserve">A Text Database</w:t>
      </w:r>
      <w:bookmarkEnd w:id="343"/>
    </w:p>
    <w:p>
      <w:pPr>
        <w:pStyle w:val="FirstParagraph"/>
      </w:pPr>
      <w:r>
        <w:t xml:space="preserve">A detailed description of the text database model…</w:t>
      </w:r>
    </w:p>
    <w:bookmarkStart w:id="683" w:name="refs"/>
    <w:bookmarkStart w:id="3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4"/>
    <w:bookmarkStart w:id="3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5"/>
    <w:bookmarkStart w:id="3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6"/>
    <w:bookmarkStart w:id="3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7"/>
    <w:bookmarkStart w:id="3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8"/>
    <w:bookmarkStart w:id="3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9">
        <w:r>
          <w:rPr>
            <w:rStyle w:val="Hyperlink"/>
          </w:rPr>
          <w:t xml:space="preserve">http://www.terasoft.com.tw/conf/ismir2014/proceedings/T014_162_Paper.pdf</w:t>
        </w:r>
      </w:hyperlink>
    </w:p>
    <w:bookmarkEnd w:id="350"/>
    <w:bookmarkStart w:id="35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51"/>
    <w:bookmarkStart w:id="35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52"/>
    <w:bookmarkStart w:id="35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3"/>
    <w:bookmarkStart w:id="35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4"/>
    <w:bookmarkStart w:id="355"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5"/>
    <w:bookmarkStart w:id="356"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6"/>
    <w:bookmarkStart w:id="357"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7"/>
    <w:bookmarkStart w:id="358"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8"/>
    <w:bookmarkStart w:id="359"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9"/>
    <w:bookmarkStart w:id="360"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60"/>
    <w:bookmarkStart w:id="361" w:name="ref-Bar20:Viv"/>
    <w:p>
      <w:pPr>
        <w:pStyle w:val="Bibliography"/>
      </w:pPr>
      <w:r>
        <w:t xml:space="preserve">Barrett N. 2000b. Viva la selva</w:t>
      </w:r>
    </w:p>
    <w:bookmarkEnd w:id="361"/>
    <w:bookmarkStart w:id="362" w:name="ref-Bar68:Ele"/>
    <w:p>
      <w:pPr>
        <w:pStyle w:val="Bibliography"/>
      </w:pPr>
      <w:r>
        <w:t xml:space="preserve">Barthes R, Lavers A, Smith C. 1968.</w:t>
      </w:r>
      <w:r>
        <w:t xml:space="preserve"> </w:t>
      </w:r>
      <w:r>
        <w:rPr>
          <w:i/>
        </w:rPr>
        <w:t xml:space="preserve">Elements of Semiology</w:t>
      </w:r>
      <w:r>
        <w:t xml:space="preserve">. Hill; Wang, New York. ed.</w:t>
      </w:r>
    </w:p>
    <w:bookmarkEnd w:id="362"/>
    <w:bookmarkStart w:id="36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3"/>
    <w:bookmarkStart w:id="36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4"/>
    <w:bookmarkStart w:id="36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5"/>
    <w:bookmarkStart w:id="36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6">
        <w:r>
          <w:rPr>
            <w:rStyle w:val="Hyperlink"/>
          </w:rPr>
          <w:t xml:space="preserve">http://www.terasoft.com.tw/conf/ismir2014/proceedings/T028_322_Paper.pdf</w:t>
        </w:r>
      </w:hyperlink>
    </w:p>
    <w:bookmarkEnd w:id="367"/>
    <w:bookmarkStart w:id="36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8"/>
    <w:bookmarkStart w:id="370"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9">
        <w:r>
          <w:rPr>
            <w:rStyle w:val="Hyperlink"/>
          </w:rPr>
          <w:t xml:space="preserve">http://www.ppgia.pucpr.br/ismir2013/wp-content/uploads/2013/09/177\_Paper.pdf</w:t>
        </w:r>
      </w:hyperlink>
    </w:p>
    <w:bookmarkEnd w:id="370"/>
    <w:bookmarkStart w:id="371"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71"/>
    <w:bookmarkStart w:id="372" w:name="ref-Bor42:Fun"/>
    <w:p>
      <w:pPr>
        <w:pStyle w:val="Bibliography"/>
      </w:pPr>
      <w:r>
        <w:t xml:space="preserve">Borges JL. 1942. Funes el memorioso.</w:t>
      </w:r>
      <w:r>
        <w:t xml:space="preserve"> </w:t>
      </w:r>
      <w:r>
        <w:rPr>
          <w:i/>
        </w:rPr>
        <w:t xml:space="preserve">Ficciones</w:t>
      </w:r>
    </w:p>
    <w:bookmarkEnd w:id="372"/>
    <w:bookmarkStart w:id="373" w:name="ref-Bor95:Rat"/>
    <w:p>
      <w:pPr>
        <w:pStyle w:val="Bibliography"/>
      </w:pPr>
      <w:r>
        <w:t xml:space="preserve">Born G. 1995.</w:t>
      </w:r>
      <w:r>
        <w:t xml:space="preserve"> </w:t>
      </w:r>
      <w:r>
        <w:rPr>
          <w:i/>
        </w:rPr>
        <w:t xml:space="preserve">Rationalizing Culture</w:t>
      </w:r>
      <w:r>
        <w:t xml:space="preserve">. University of California Press. ed.</w:t>
      </w:r>
    </w:p>
    <w:bookmarkEnd w:id="373"/>
    <w:bookmarkStart w:id="37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4"/>
    <w:bookmarkStart w:id="37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5"/>
    <w:bookmarkStart w:id="376"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6"/>
    <w:bookmarkStart w:id="377"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7"/>
    <w:bookmarkStart w:id="378"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8"/>
    <w:bookmarkStart w:id="379"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9"/>
    <w:bookmarkStart w:id="380" w:name="ref-score11manual"/>
    <w:p>
      <w:pPr>
        <w:pStyle w:val="Bibliography"/>
      </w:pPr>
      <w:r>
        <w:t xml:space="preserve">Brinkman AR. 1982. Original version of the score11 manual.</w:t>
      </w:r>
      <w:r>
        <w:t xml:space="preserve"> </w:t>
      </w:r>
      <w:r>
        <w:rPr>
          <w:i/>
        </w:rPr>
        <w:t xml:space="preserve">Score11 Manual</w:t>
      </w:r>
    </w:p>
    <w:bookmarkEnd w:id="380"/>
    <w:bookmarkStart w:id="381"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81"/>
    <w:bookmarkStart w:id="382"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82"/>
    <w:bookmarkStart w:id="383"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3"/>
    <w:bookmarkStart w:id="3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4">
        <w:r>
          <w:rPr>
            <w:rStyle w:val="Hyperlink"/>
          </w:rPr>
          <w:t xml:space="preserve">http://www.nime.org/proceedings/2011/nime2011_387.pdf</w:t>
        </w:r>
      </w:hyperlink>
    </w:p>
    <w:bookmarkEnd w:id="385"/>
    <w:bookmarkStart w:id="3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6">
        <w:r>
          <w:rPr>
            <w:rStyle w:val="Hyperlink"/>
          </w:rPr>
          <w:t xml:space="preserve">http://www.nime.org/proceedings/2009/nime2009_266.pdf</w:t>
        </w:r>
      </w:hyperlink>
    </w:p>
    <w:bookmarkEnd w:id="387"/>
    <w:bookmarkStart w:id="3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8"/>
    <w:bookmarkStart w:id="3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9"/>
    <w:bookmarkStart w:id="3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90"/>
    <w:bookmarkStart w:id="391" w:name="ref-Bux77:Aco"/>
    <w:p>
      <w:pPr>
        <w:pStyle w:val="Bibliography"/>
      </w:pPr>
      <w:r>
        <w:t xml:space="preserve">Buxton W. 1977. A composer’s introduction to computer music.</w:t>
      </w:r>
      <w:r>
        <w:t xml:space="preserve"> </w:t>
      </w:r>
      <w:r>
        <w:rPr>
          <w:i/>
        </w:rPr>
        <w:t xml:space="preserve">Interface</w:t>
      </w:r>
      <w:r>
        <w:t xml:space="preserve">. 6:57–72</w:t>
      </w:r>
    </w:p>
    <w:bookmarkEnd w:id="391"/>
    <w:bookmarkStart w:id="392" w:name="ref-youtube/buxton10"/>
    <w:p>
      <w:pPr>
        <w:pStyle w:val="Bibliography"/>
      </w:pPr>
      <w:r>
        <w:t xml:space="preserve">Buxton W. 2016a. Objed: The sssp sound editing tool.</w:t>
      </w:r>
      <w:r>
        <w:t xml:space="preserve"> </w:t>
      </w:r>
      <w:r>
        <w:rPr>
          <w:i/>
        </w:rPr>
        <w:t xml:space="preserve">Youtube</w:t>
      </w:r>
    </w:p>
    <w:bookmarkEnd w:id="392"/>
    <w:bookmarkStart w:id="39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3"/>
    <w:bookmarkStart w:id="3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4"/>
    <w:bookmarkStart w:id="39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5"/>
    <w:bookmarkStart w:id="39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6">
        <w:r>
          <w:rPr>
            <w:rStyle w:val="Hyperlink"/>
          </w:rPr>
          <w:t xml:space="preserve">http://www.nime.org/proceedings/2011/nime2011_329.pdf</w:t>
        </w:r>
      </w:hyperlink>
    </w:p>
    <w:bookmarkEnd w:id="397"/>
    <w:bookmarkStart w:id="39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8"/>
    <w:bookmarkStart w:id="39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9"/>
    <w:bookmarkStart w:id="400"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400"/>
    <w:bookmarkStart w:id="401" w:name="ref-Rya17:OnT"/>
    <w:p>
      <w:pPr>
        <w:pStyle w:val="Bibliography"/>
      </w:pPr>
      <w:r>
        <w:t xml:space="preserve">Carter R. 2017. On the expressive potential of suboptimal speakers</w:t>
      </w:r>
    </w:p>
    <w:bookmarkEnd w:id="401"/>
    <w:bookmarkStart w:id="402"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2"/>
    <w:bookmarkStart w:id="403"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3"/>
    <w:bookmarkStart w:id="404"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4"/>
    <w:bookmarkStart w:id="40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5"/>
    <w:bookmarkStart w:id="40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6"/>
    <w:bookmarkStart w:id="40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407"/>
    <w:bookmarkStart w:id="408"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8"/>
    <w:bookmarkStart w:id="409"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9"/>
    <w:bookmarkStart w:id="410" w:name="ref-Cho00:Voi"/>
    <w:p>
      <w:pPr>
        <w:pStyle w:val="Bibliography"/>
      </w:pPr>
      <w:r>
        <w:t xml:space="preserve">Choi I. 2000. Voices in ruins — composition with residuals</w:t>
      </w:r>
    </w:p>
    <w:bookmarkEnd w:id="410"/>
    <w:bookmarkStart w:id="41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11"/>
    <w:bookmarkStart w:id="41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2"/>
    <w:bookmarkStart w:id="41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3"/>
    <w:bookmarkStart w:id="41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4"/>
    <w:bookmarkStart w:id="41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5"/>
    <w:bookmarkStart w:id="416"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6"/>
    <w:bookmarkStart w:id="417"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7"/>
    <w:bookmarkStart w:id="418"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8"/>
    <w:bookmarkStart w:id="419"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9"/>
    <w:bookmarkStart w:id="420" w:name="ref-connes:shapes"/>
    <w:p>
      <w:pPr>
        <w:pStyle w:val="Bibliography"/>
      </w:pPr>
      <w:r>
        <w:t xml:space="preserve">Connes A. 2012. The music of shapes</w:t>
      </w:r>
    </w:p>
    <w:bookmarkEnd w:id="420"/>
    <w:bookmarkStart w:id="421"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21"/>
    <w:bookmarkStart w:id="422"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2"/>
    <w:bookmarkStart w:id="423"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3"/>
    <w:bookmarkStart w:id="424"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4"/>
    <w:bookmarkStart w:id="425"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5"/>
    <w:bookmarkStart w:id="42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6">
        <w:r>
          <w:rPr>
            <w:rStyle w:val="Hyperlink"/>
          </w:rPr>
          <w:t xml:space="preserve">https://ismir2017.smcnus.org/wp-content/uploads/2017/10/235_Paper.pdf</w:t>
        </w:r>
      </w:hyperlink>
    </w:p>
    <w:bookmarkEnd w:id="427"/>
    <w:bookmarkStart w:id="429" w:name="ref-crowley98"/>
    <w:p>
      <w:pPr>
        <w:pStyle w:val="Bibliography"/>
      </w:pPr>
      <w:r>
        <w:t xml:space="preserve">Crowley C. 1998. Data structures for text sequences.</w:t>
      </w:r>
      <w:r>
        <w:t xml:space="preserve"> </w:t>
      </w:r>
      <w:hyperlink r:id="rId428">
        <w:r>
          <w:rPr>
            <w:rStyle w:val="Hyperlink"/>
          </w:rPr>
          <w:t xml:space="preserve">https://www.cs.unm.edu/~crowley/papers/sds.pdf</w:t>
        </w:r>
      </w:hyperlink>
    </w:p>
    <w:bookmarkEnd w:id="429"/>
    <w:bookmarkStart w:id="43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30"/>
    <w:bookmarkStart w:id="43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31">
        <w:r>
          <w:rPr>
            <w:rStyle w:val="Hyperlink"/>
          </w:rPr>
          <w:t xml:space="preserve">https://ismir2017.smcnus.org/wp-content/uploads/2017/10/75_Paper.pdf</w:t>
        </w:r>
      </w:hyperlink>
    </w:p>
    <w:bookmarkEnd w:id="432"/>
    <w:bookmarkStart w:id="433"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3"/>
    <w:bookmarkStart w:id="434"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4"/>
    <w:bookmarkStart w:id="43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5"/>
    <w:bookmarkStart w:id="436" w:name="ref-Der78:Wri"/>
    <w:p>
      <w:pPr>
        <w:pStyle w:val="Bibliography"/>
      </w:pPr>
      <w:r>
        <w:t xml:space="preserve">Derrida J. 1978.</w:t>
      </w:r>
      <w:r>
        <w:t xml:space="preserve"> </w:t>
      </w:r>
      <w:r>
        <w:rPr>
          <w:i/>
        </w:rPr>
        <w:t xml:space="preserve">Writing and Difference</w:t>
      </w:r>
      <w:r>
        <w:t xml:space="preserve">. The University of Chicago. ed.</w:t>
      </w:r>
    </w:p>
    <w:bookmarkEnd w:id="436"/>
    <w:bookmarkStart w:id="437" w:name="ref-Der82:Mar"/>
    <w:p>
      <w:pPr>
        <w:pStyle w:val="Bibliography"/>
      </w:pPr>
      <w:r>
        <w:t xml:space="preserve">Derrida J. 1982.</w:t>
      </w:r>
      <w:r>
        <w:t xml:space="preserve"> </w:t>
      </w:r>
      <w:r>
        <w:rPr>
          <w:i/>
        </w:rPr>
        <w:t xml:space="preserve">Margins of Philosophy</w:t>
      </w:r>
      <w:r>
        <w:t xml:space="preserve">. The Harvester Press. ed.</w:t>
      </w:r>
    </w:p>
    <w:bookmarkEnd w:id="437"/>
    <w:bookmarkStart w:id="438" w:name="ref-Der95:Arc"/>
    <w:p>
      <w:pPr>
        <w:pStyle w:val="Bibliography"/>
      </w:pPr>
      <w:r>
        <w:t xml:space="preserve">Derrida J, Prenowitz E. 1995. Archive fever: A freudian impression.</w:t>
      </w:r>
      <w:r>
        <w:t xml:space="preserve"> </w:t>
      </w:r>
      <w:r>
        <w:rPr>
          <w:i/>
        </w:rPr>
        <w:t xml:space="preserve">Diacritics</w:t>
      </w:r>
      <w:r>
        <w:t xml:space="preserve">. 25(2):</w:t>
      </w:r>
    </w:p>
    <w:bookmarkEnd w:id="438"/>
    <w:bookmarkStart w:id="44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9">
        <w:r>
          <w:rPr>
            <w:rStyle w:val="Hyperlink"/>
          </w:rPr>
          <w:t xml:space="preserve">http://ismir2015.uma.es/articles/261_Paper.pdf</w:t>
        </w:r>
      </w:hyperlink>
    </w:p>
    <w:bookmarkEnd w:id="440"/>
    <w:bookmarkStart w:id="441"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41"/>
    <w:bookmarkStart w:id="44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2"/>
    <w:bookmarkStart w:id="44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3"/>
    <w:bookmarkStart w:id="44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4"/>
    <w:bookmarkStart w:id="44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5"/>
    <w:bookmarkStart w:id="44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6"/>
    <w:bookmarkStart w:id="44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7">
        <w:r>
          <w:rPr>
            <w:rStyle w:val="Hyperlink"/>
          </w:rPr>
          <w:t xml:space="preserve">http://ismir2018.ircam.fr/doc/pdfs/265_Paper.pdf</w:t>
        </w:r>
      </w:hyperlink>
    </w:p>
    <w:bookmarkEnd w:id="448"/>
    <w:bookmarkStart w:id="44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9"/>
    <w:bookmarkStart w:id="45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50">
        <w:r>
          <w:rPr>
            <w:rStyle w:val="Hyperlink"/>
          </w:rPr>
          <w:t xml:space="preserve">http://ismir2000.ismir.net/papers/invites/dunn_invite.pdf</w:t>
        </w:r>
      </w:hyperlink>
    </w:p>
    <w:bookmarkEnd w:id="451"/>
    <w:bookmarkStart w:id="45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2"/>
    <w:bookmarkStart w:id="45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3"/>
    <w:bookmarkStart w:id="454" w:name="ref-Eco04:The"/>
    <w:p>
      <w:pPr>
        <w:pStyle w:val="Bibliography"/>
      </w:pPr>
      <w:r>
        <w:t xml:space="preserve">Eco U. 2004. The poetics of the open work.</w:t>
      </w:r>
      <w:r>
        <w:t xml:space="preserve"> </w:t>
      </w:r>
      <w:r>
        <w:rPr>
          <w:i/>
        </w:rPr>
        <w:t xml:space="preserve">Audio Culture: Readings in Modern Music</w:t>
      </w:r>
    </w:p>
    <w:bookmarkEnd w:id="454"/>
    <w:bookmarkStart w:id="455" w:name="ref-Emm86:The"/>
    <w:p>
      <w:pPr>
        <w:pStyle w:val="Bibliography"/>
      </w:pPr>
      <w:r>
        <w:t xml:space="preserve">Emmerson S. 1986.</w:t>
      </w:r>
      <w:r>
        <w:t xml:space="preserve"> </w:t>
      </w:r>
      <w:r>
        <w:rPr>
          <w:i/>
        </w:rPr>
        <w:t xml:space="preserve">The Language of Electroacoustic Music</w:t>
      </w:r>
      <w:r>
        <w:t xml:space="preserve">. ed.</w:t>
      </w:r>
    </w:p>
    <w:bookmarkEnd w:id="455"/>
    <w:bookmarkStart w:id="45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6">
        <w:r>
          <w:rPr>
            <w:rStyle w:val="Hyperlink"/>
          </w:rPr>
          <w:t xml:space="preserve">http://ismir2018.ircam.fr/doc/pdfs/206_Paper.pdf</w:t>
        </w:r>
      </w:hyperlink>
    </w:p>
    <w:bookmarkEnd w:id="457"/>
    <w:bookmarkStart w:id="45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8"/>
    <w:bookmarkStart w:id="459" w:name="ref-Ern13:Dig"/>
    <w:p>
      <w:pPr>
        <w:pStyle w:val="Bibliography"/>
      </w:pPr>
      <w:r>
        <w:t xml:space="preserve">Ernst W. 2013.</w:t>
      </w:r>
      <w:r>
        <w:t xml:space="preserve"> </w:t>
      </w:r>
      <w:r>
        <w:rPr>
          <w:i/>
        </w:rPr>
        <w:t xml:space="preserve">Digital Memory and the Archive</w:t>
      </w:r>
      <w:r>
        <w:t xml:space="preserve">. University of Minnesota Press. ed.</w:t>
      </w:r>
    </w:p>
    <w:bookmarkEnd w:id="459"/>
    <w:bookmarkStart w:id="46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60"/>
    <w:bookmarkStart w:id="46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61"/>
    <w:bookmarkStart w:id="46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2">
        <w:r>
          <w:rPr>
            <w:rStyle w:val="Hyperlink"/>
          </w:rPr>
          <w:t xml:space="preserve">https://ismir2017.smcnus.org/wp-content/uploads/2017/10/161_Paper.pdf</w:t>
        </w:r>
      </w:hyperlink>
    </w:p>
    <w:bookmarkEnd w:id="463"/>
    <w:bookmarkStart w:id="46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4"/>
    <w:bookmarkStart w:id="46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5"/>
    <w:bookmarkStart w:id="46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6"/>
    <w:bookmarkStart w:id="46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7"/>
    <w:bookmarkStart w:id="46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8"/>
    <w:bookmarkStart w:id="46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9"/>
    <w:bookmarkStart w:id="47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70">
        <w:r>
          <w:rPr>
            <w:rStyle w:val="Hyperlink"/>
          </w:rPr>
          <w:t xml:space="preserve">http://www.nime.org/proceedings/2011/nime2011_124.pdf</w:t>
        </w:r>
      </w:hyperlink>
    </w:p>
    <w:bookmarkEnd w:id="471"/>
    <w:bookmarkStart w:id="47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2"/>
    <w:bookmarkStart w:id="47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3">
        <w:r>
          <w:rPr>
            <w:rStyle w:val="Hyperlink"/>
          </w:rPr>
          <w:t xml:space="preserve">http://ismir2000.ismir.net/posters/good.pdf</w:t>
        </w:r>
      </w:hyperlink>
    </w:p>
    <w:bookmarkEnd w:id="474"/>
    <w:bookmarkStart w:id="47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5">
        <w:r>
          <w:rPr>
            <w:rStyle w:val="Hyperlink"/>
          </w:rPr>
          <w:t xml:space="preserve">http://ismir2002.ismir.net/proceedings/03-SP04-1.pdf</w:t>
        </w:r>
      </w:hyperlink>
    </w:p>
    <w:bookmarkEnd w:id="476"/>
    <w:bookmarkStart w:id="47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7">
        <w:r>
          <w:rPr>
            <w:rStyle w:val="Hyperlink"/>
          </w:rPr>
          <w:t xml:space="preserve">http://ismir2003.ismir.net/papers/Goto1.PDF</w:t>
        </w:r>
      </w:hyperlink>
    </w:p>
    <w:bookmarkEnd w:id="478"/>
    <w:bookmarkStart w:id="479" w:name="ref-Gra15:The"/>
    <w:p>
      <w:pPr>
        <w:pStyle w:val="Bibliography"/>
      </w:pPr>
      <w:r>
        <w:t xml:space="preserve">Gratton P, Morin M-E. 2015.</w:t>
      </w:r>
      <w:r>
        <w:t xml:space="preserve"> </w:t>
      </w:r>
      <w:r>
        <w:rPr>
          <w:i/>
        </w:rPr>
        <w:t xml:space="preserve">The Nancy Dictionary</w:t>
      </w:r>
      <w:r>
        <w:t xml:space="preserve">. Edinburgh University Press. ed.</w:t>
      </w:r>
    </w:p>
    <w:bookmarkEnd w:id="479"/>
    <w:bookmarkStart w:id="480"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80"/>
    <w:bookmarkStart w:id="482"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81">
        <w:r>
          <w:rPr>
            <w:rStyle w:val="Hyperlink"/>
          </w:rPr>
          <w:t xml:space="preserve">http://www.terasoft.com.tw/conf/ismir2014/proceedings/T059_257_Paper.pdf</w:t>
        </w:r>
      </w:hyperlink>
    </w:p>
    <w:bookmarkEnd w:id="482"/>
    <w:bookmarkStart w:id="483"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3"/>
    <w:bookmarkStart w:id="484"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4"/>
    <w:bookmarkStart w:id="485" w:name="ref-Han04:New"/>
    <w:p>
      <w:pPr>
        <w:pStyle w:val="Bibliography"/>
      </w:pPr>
      <w:r>
        <w:t xml:space="preserve">Hansen MBN. 2004.</w:t>
      </w:r>
      <w:r>
        <w:t xml:space="preserve"> </w:t>
      </w:r>
      <w:r>
        <w:rPr>
          <w:i/>
        </w:rPr>
        <w:t xml:space="preserve">New Philosophy for New Media</w:t>
      </w:r>
      <w:r>
        <w:t xml:space="preserve">. The MIT Press. ed.</w:t>
      </w:r>
    </w:p>
    <w:bookmarkEnd w:id="485"/>
    <w:bookmarkStart w:id="48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6">
        <w:r>
          <w:rPr>
            <w:rStyle w:val="Hyperlink"/>
          </w:rPr>
          <w:t xml:space="preserve">http://ismir2008.ismir.net/papers/ISMIR2008_173.pdf</w:t>
        </w:r>
      </w:hyperlink>
    </w:p>
    <w:bookmarkEnd w:id="487"/>
    <w:bookmarkStart w:id="488"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8"/>
    <w:bookmarkStart w:id="489"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9"/>
    <w:bookmarkStart w:id="49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90">
        <w:r>
          <w:rPr>
            <w:rStyle w:val="Hyperlink"/>
          </w:rPr>
          <w:t xml:space="preserve">http://www.ppgia.pucpr.br/ismir2013/wp-content/uploads/2013/09/85_Paper.pdf</w:t>
        </w:r>
      </w:hyperlink>
    </w:p>
    <w:bookmarkEnd w:id="491"/>
    <w:bookmarkStart w:id="492"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2"/>
    <w:bookmarkStart w:id="493" w:name="ref-Hay93:The"/>
    <w:p>
      <w:pPr>
        <w:pStyle w:val="Bibliography"/>
      </w:pPr>
      <w:r>
        <w:t xml:space="preserve">Hayles NK. 1993. The materiality of informatics.</w:t>
      </w:r>
      <w:r>
        <w:t xml:space="preserve"> </w:t>
      </w:r>
      <w:r>
        <w:rPr>
          <w:i/>
        </w:rPr>
        <w:t xml:space="preserve">Configurations</w:t>
      </w:r>
      <w:r>
        <w:t xml:space="preserve">. 1(1):</w:t>
      </w:r>
    </w:p>
    <w:bookmarkEnd w:id="493"/>
    <w:bookmarkStart w:id="49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4"/>
    <w:bookmarkStart w:id="495"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5"/>
    <w:bookmarkStart w:id="496"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6"/>
    <w:bookmarkStart w:id="498"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7">
        <w:r>
          <w:rPr>
            <w:rStyle w:val="Hyperlink"/>
          </w:rPr>
          <w:t xml:space="preserve">http://www.nime.org/proceedings/2010/nime2010_233.pdf</w:t>
        </w:r>
      </w:hyperlink>
    </w:p>
    <w:bookmarkEnd w:id="498"/>
    <w:bookmarkStart w:id="500"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9">
        <w:r>
          <w:rPr>
            <w:rStyle w:val="Hyperlink"/>
          </w:rPr>
          <w:t xml:space="preserve">http://ismir2005.ismir.net/proceedings/2117.pdf</w:t>
        </w:r>
      </w:hyperlink>
    </w:p>
    <w:bookmarkEnd w:id="500"/>
    <w:bookmarkStart w:id="501"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501"/>
    <w:bookmarkStart w:id="50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2">
        <w:r>
          <w:rPr>
            <w:rStyle w:val="Hyperlink"/>
          </w:rPr>
          <w:t xml:space="preserve">http://ismir2018.ircam.fr/doc/pdfs/248_Paper.pdf</w:t>
        </w:r>
      </w:hyperlink>
    </w:p>
    <w:bookmarkEnd w:id="503"/>
    <w:bookmarkStart w:id="504" w:name="ref-Mau99:Abr"/>
    <w:p>
      <w:pPr>
        <w:pStyle w:val="Bibliography"/>
      </w:pPr>
      <w:r>
        <w:t xml:space="preserve">IV JAM. 1999.</w:t>
      </w:r>
      <w:r>
        <w:t xml:space="preserve"> </w:t>
      </w:r>
      <w:r>
        <w:rPr>
          <w:i/>
        </w:rPr>
        <w:t xml:space="preserve">A Brief History of Algorithmic Composition</w:t>
      </w:r>
      <w:r>
        <w:t xml:space="preserve">. Online. ed.</w:t>
      </w:r>
    </w:p>
    <w:bookmarkEnd w:id="504"/>
    <w:bookmarkStart w:id="50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5"/>
    <w:bookmarkStart w:id="50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6"/>
    <w:bookmarkStart w:id="50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7"/>
    <w:bookmarkStart w:id="50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8">
        <w:r>
          <w:rPr>
            <w:rStyle w:val="Hyperlink"/>
          </w:rPr>
          <w:t xml:space="preserve">http://ismir2008.ismir.net/papers/ISMIR2008_106.pdf</w:t>
        </w:r>
      </w:hyperlink>
    </w:p>
    <w:bookmarkEnd w:id="509"/>
    <w:bookmarkStart w:id="510"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10"/>
    <w:bookmarkStart w:id="5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1"/>
    <w:bookmarkStart w:id="512"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2"/>
    <w:bookmarkStart w:id="51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3"/>
    <w:bookmarkStart w:id="51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4">
        <w:r>
          <w:rPr>
            <w:rStyle w:val="Hyperlink"/>
          </w:rPr>
          <w:t xml:space="preserve">http://www.terasoft.com.tw/conf/ismir2014/proceedings/T039_344_Paper.pdf</w:t>
        </w:r>
      </w:hyperlink>
    </w:p>
    <w:bookmarkEnd w:id="515"/>
    <w:bookmarkStart w:id="516" w:name="ref-Kle98:The"/>
    <w:p>
      <w:pPr>
        <w:pStyle w:val="Bibliography"/>
      </w:pPr>
      <w:r>
        <w:t xml:space="preserve">Klein J. 1998. The wolves of bays mountain</w:t>
      </w:r>
    </w:p>
    <w:bookmarkEnd w:id="516"/>
    <w:bookmarkStart w:id="517" w:name="ref-Kle17:Lec"/>
    <w:p>
      <w:pPr>
        <w:pStyle w:val="Bibliography"/>
      </w:pPr>
      <w:r>
        <w:t xml:space="preserve">Klein J. 2017.</w:t>
      </w:r>
      <w:r>
        <w:t xml:space="preserve"> </w:t>
      </w:r>
      <w:r>
        <w:rPr>
          <w:i/>
        </w:rPr>
        <w:t xml:space="preserve">On my compositional approach</w:t>
      </w:r>
      <w:r>
        <w:t xml:space="preserve">. Work. Pap.</w:t>
      </w:r>
    </w:p>
    <w:bookmarkEnd w:id="517"/>
    <w:bookmarkStart w:id="51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8"/>
    <w:bookmarkStart w:id="52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9">
        <w:r>
          <w:rPr>
            <w:rStyle w:val="Hyperlink"/>
          </w:rPr>
          <w:t xml:space="preserve">http://ismir2015.uma.es/articles/246_Paper.pdf</w:t>
        </w:r>
      </w:hyperlink>
    </w:p>
    <w:bookmarkEnd w:id="520"/>
    <w:bookmarkStart w:id="52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21"/>
    <w:bookmarkStart w:id="522"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2"/>
    <w:bookmarkStart w:id="5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3"/>
    <w:bookmarkStart w:id="5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4"/>
    <w:bookmarkStart w:id="5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5"/>
    <w:bookmarkStart w:id="5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6"/>
    <w:bookmarkStart w:id="5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7"/>
    <w:bookmarkStart w:id="5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8"/>
    <w:bookmarkStart w:id="5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9"/>
    <w:bookmarkStart w:id="5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30"/>
    <w:bookmarkStart w:id="531" w:name="ref-Lod98:MUS"/>
    <w:p>
      <w:pPr>
        <w:pStyle w:val="Bibliography"/>
      </w:pPr>
      <w:r>
        <w:t xml:space="preserve">Lodha S, Beahan J, Joseph A, Zane-ulman B. 1998. MUSE: A musical data sonification toolkit</w:t>
      </w:r>
    </w:p>
    <w:bookmarkEnd w:id="531"/>
    <w:bookmarkStart w:id="53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2"/>
    <w:bookmarkStart w:id="53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3">
        <w:r>
          <w:rPr>
            <w:rStyle w:val="Hyperlink"/>
          </w:rPr>
          <w:t xml:space="preserve">http://www.nime.org/proceedings/2008/nime2008_221.pdf</w:t>
        </w:r>
      </w:hyperlink>
    </w:p>
    <w:bookmarkEnd w:id="534"/>
    <w:bookmarkStart w:id="535"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5"/>
    <w:bookmarkStart w:id="536" w:name="ref-Man01:The"/>
    <w:p>
      <w:pPr>
        <w:pStyle w:val="Bibliography"/>
      </w:pPr>
      <w:r>
        <w:t xml:space="preserve">Manovich L. 2001.</w:t>
      </w:r>
      <w:r>
        <w:t xml:space="preserve"> </w:t>
      </w:r>
      <w:r>
        <w:rPr>
          <w:i/>
        </w:rPr>
        <w:t xml:space="preserve">The Language of New Media</w:t>
      </w:r>
      <w:r>
        <w:t xml:space="preserve">. MIT Press. ed.</w:t>
      </w:r>
    </w:p>
    <w:bookmarkEnd w:id="536"/>
    <w:bookmarkStart w:id="537" w:name="ref-Man02:Old"/>
    <w:p>
      <w:pPr>
        <w:pStyle w:val="Bibliography"/>
      </w:pPr>
      <w:r>
        <w:t xml:space="preserve">Manovich L. 2002. Old media as new media: Cinema.</w:t>
      </w:r>
      <w:r>
        <w:t xml:space="preserve"> </w:t>
      </w:r>
      <w:r>
        <w:rPr>
          <w:i/>
        </w:rPr>
        <w:t xml:space="preserve">The New Media Book</w:t>
      </w:r>
    </w:p>
    <w:bookmarkEnd w:id="537"/>
    <w:bookmarkStart w:id="53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8"/>
    <w:bookmarkStart w:id="54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9">
        <w:r>
          <w:rPr>
            <w:rStyle w:val="Hyperlink"/>
          </w:rPr>
          <w:t xml:space="preserve">http://ismir2008.ismir.net/papers/ISMIR2008_158.pdf</w:t>
        </w:r>
      </w:hyperlink>
    </w:p>
    <w:bookmarkEnd w:id="540"/>
    <w:bookmarkStart w:id="54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41"/>
    <w:bookmarkStart w:id="54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2"/>
    <w:bookmarkStart w:id="54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3"/>
    <w:bookmarkStart w:id="544" w:name="ref-csoundMethods"/>
    <w:p>
      <w:pPr>
        <w:pStyle w:val="Bibliography"/>
      </w:pPr>
      <w:r>
        <w:t xml:space="preserve">McCurdy I, Heintz J, Joaquin J, Knevel M. 2015. Methods of writing csound scores.</w:t>
      </w:r>
      <w:r>
        <w:t xml:space="preserve"> </w:t>
      </w:r>
      <w:r>
        <w:rPr>
          <w:i/>
        </w:rPr>
        <w:t xml:space="preserve">FLOSS Manuals</w:t>
      </w:r>
    </w:p>
    <w:bookmarkEnd w:id="544"/>
    <w:bookmarkStart w:id="54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5"/>
    <w:bookmarkStart w:id="54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6">
        <w:r>
          <w:rPr>
            <w:rStyle w:val="Hyperlink"/>
          </w:rPr>
          <w:t xml:space="preserve">http://ismir2018.ircam.fr/doc/pdfs/35_Paper.pdf</w:t>
        </w:r>
      </w:hyperlink>
    </w:p>
    <w:bookmarkEnd w:id="547"/>
    <w:bookmarkStart w:id="548"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8"/>
    <w:bookmarkStart w:id="54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9"/>
    <w:bookmarkStart w:id="550"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50"/>
    <w:bookmarkStart w:id="551"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51"/>
    <w:bookmarkStart w:id="552" w:name="ref-ods-cpp"/>
    <w:p>
      <w:pPr>
        <w:pStyle w:val="Bibliography"/>
      </w:pPr>
      <w:r>
        <w:t xml:space="preserve">Morin P. 2019.</w:t>
      </w:r>
      <w:r>
        <w:t xml:space="preserve"> </w:t>
      </w:r>
      <w:r>
        <w:rPr>
          <w:i/>
        </w:rPr>
        <w:t xml:space="preserve">Open Data Structures</w:t>
      </w:r>
      <w:r>
        <w:t xml:space="preserve">. Creative Commons. ed.</w:t>
      </w:r>
    </w:p>
    <w:bookmarkEnd w:id="552"/>
    <w:bookmarkStart w:id="553"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3"/>
    <w:bookmarkStart w:id="554"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4"/>
    <w:bookmarkStart w:id="555"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5"/>
    <w:bookmarkStart w:id="55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6">
        <w:r>
          <w:rPr>
            <w:rStyle w:val="Hyperlink"/>
          </w:rPr>
          <w:t xml:space="preserve">http://www.nime.org/proceedings/2007/nime2007_409.pdf</w:t>
        </w:r>
      </w:hyperlink>
    </w:p>
    <w:bookmarkEnd w:id="557"/>
    <w:bookmarkStart w:id="55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8"/>
    <w:bookmarkStart w:id="559" w:name="ref-Nan07:Lis"/>
    <w:p>
      <w:pPr>
        <w:pStyle w:val="Bibliography"/>
      </w:pPr>
      <w:r>
        <w:t xml:space="preserve">Nancy J-L. 2007.</w:t>
      </w:r>
      <w:r>
        <w:t xml:space="preserve"> </w:t>
      </w:r>
      <w:r>
        <w:rPr>
          <w:i/>
        </w:rPr>
        <w:t xml:space="preserve">Listening</w:t>
      </w:r>
      <w:r>
        <w:t xml:space="preserve">. Fordham University Place. ed.</w:t>
      </w:r>
    </w:p>
    <w:bookmarkEnd w:id="559"/>
    <w:bookmarkStart w:id="56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60"/>
    <w:bookmarkStart w:id="562"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61">
        <w:r>
          <w:rPr>
            <w:rStyle w:val="Hyperlink"/>
          </w:rPr>
          <w:t xml:space="preserve">http://www.nime.org/proceedings/2007/nime2007_112.pdf</w:t>
        </w:r>
      </w:hyperlink>
    </w:p>
    <w:bookmarkEnd w:id="562"/>
    <w:bookmarkStart w:id="563"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3"/>
    <w:bookmarkStart w:id="564"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4"/>
    <w:bookmarkStart w:id="565"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5"/>
    <w:bookmarkStart w:id="566"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6"/>
    <w:bookmarkStart w:id="567"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7"/>
    <w:bookmarkStart w:id="568"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8"/>
    <w:bookmarkStart w:id="56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9"/>
    <w:bookmarkStart w:id="57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70"/>
    <w:bookmarkStart w:id="57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71"/>
    <w:bookmarkStart w:id="572"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2"/>
    <w:bookmarkStart w:id="573"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3"/>
    <w:bookmarkStart w:id="574"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4"/>
    <w:bookmarkStart w:id="57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5">
        <w:r>
          <w:rPr>
            <w:rStyle w:val="Hyperlink"/>
          </w:rPr>
          <w:t xml:space="preserve">http://www.terasoft.com.tw/conf/ismir2014/proceedings/T064_307_Paper.pdf</w:t>
        </w:r>
      </w:hyperlink>
    </w:p>
    <w:bookmarkEnd w:id="576"/>
    <w:bookmarkStart w:id="577"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7"/>
    <w:bookmarkStart w:id="578" w:name="ref-Pos11:Int"/>
    <w:p>
      <w:pPr>
        <w:pStyle w:val="Bibliography"/>
      </w:pPr>
      <w:r>
        <w:t xml:space="preserve">Poster M. 2011. Introduction.</w:t>
      </w:r>
      <w:r>
        <w:t xml:space="preserve"> </w:t>
      </w:r>
      <w:r>
        <w:rPr>
          <w:i/>
        </w:rPr>
        <w:t xml:space="preserve">Into the Universe of Technical Images</w:t>
      </w:r>
    </w:p>
    <w:bookmarkEnd w:id="578"/>
    <w:bookmarkStart w:id="58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9">
        <w:r>
          <w:rPr>
            <w:rStyle w:val="Hyperlink"/>
          </w:rPr>
          <w:t xml:space="preserve">http://www.nime.org/proceedings/2008/nime2008_311.pdf</w:t>
        </w:r>
      </w:hyperlink>
    </w:p>
    <w:bookmarkEnd w:id="580"/>
    <w:bookmarkStart w:id="58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81"/>
    <w:bookmarkStart w:id="58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2"/>
    <w:bookmarkStart w:id="583" w:name="ref-Puc91:Som"/>
    <w:p>
      <w:pPr>
        <w:pStyle w:val="Bibliography"/>
      </w:pPr>
      <w:r>
        <w:t xml:space="preserve">Puckette M. 1991. Something digital.</w:t>
      </w:r>
      <w:r>
        <w:t xml:space="preserve"> </w:t>
      </w:r>
      <w:r>
        <w:rPr>
          <w:i/>
        </w:rPr>
        <w:t xml:space="preserve">Computer Music Journal</w:t>
      </w:r>
      <w:r>
        <w:t xml:space="preserve">. 15(4):65–69</w:t>
      </w:r>
    </w:p>
    <w:bookmarkEnd w:id="583"/>
    <w:bookmarkStart w:id="58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4"/>
    <w:bookmarkStart w:id="58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5"/>
    <w:bookmarkStart w:id="58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6"/>
    <w:bookmarkStart w:id="58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7"/>
    <w:bookmarkStart w:id="58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8"/>
    <w:bookmarkStart w:id="589"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9"/>
    <w:bookmarkStart w:id="590" w:name="ref-Roa04:Mic"/>
    <w:p>
      <w:pPr>
        <w:pStyle w:val="Bibliography"/>
      </w:pPr>
      <w:r>
        <w:t xml:space="preserve">Roads C. 2001.</w:t>
      </w:r>
      <w:r>
        <w:t xml:space="preserve"> </w:t>
      </w:r>
      <w:r>
        <w:rPr>
          <w:i/>
        </w:rPr>
        <w:t xml:space="preserve">Microsound</w:t>
      </w:r>
      <w:r>
        <w:t xml:space="preserve">. MIT Press. ed.</w:t>
      </w:r>
    </w:p>
    <w:bookmarkEnd w:id="590"/>
    <w:bookmarkStart w:id="591"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91"/>
    <w:bookmarkStart w:id="592"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2"/>
    <w:bookmarkStart w:id="593"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3"/>
    <w:bookmarkStart w:id="59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4"/>
    <w:bookmarkStart w:id="59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5"/>
    <w:bookmarkStart w:id="59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6"/>
    <w:bookmarkStart w:id="597"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7"/>
    <w:bookmarkStart w:id="59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8"/>
    <w:bookmarkStart w:id="59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9"/>
    <w:bookmarkStart w:id="60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600"/>
    <w:bookmarkStart w:id="60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601"/>
    <w:bookmarkStart w:id="60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2">
        <w:r>
          <w:rPr>
            <w:rStyle w:val="Hyperlink"/>
          </w:rPr>
          <w:t xml:space="preserve">http://ismir2005.ismir.net/proceedings/3123.pdf</w:t>
        </w:r>
      </w:hyperlink>
    </w:p>
    <w:bookmarkEnd w:id="603"/>
    <w:bookmarkStart w:id="60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4"/>
    <w:bookmarkStart w:id="60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5"/>
    <w:bookmarkStart w:id="60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6"/>
    <w:bookmarkStart w:id="60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7"/>
    <w:bookmarkStart w:id="60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8"/>
    <w:bookmarkStart w:id="60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9"/>
    <w:bookmarkStart w:id="61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10"/>
    <w:bookmarkStart w:id="61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11"/>
    <w:bookmarkStart w:id="612" w:name="ref-Sch06:Rea"/>
    <w:p>
      <w:pPr>
        <w:pStyle w:val="Bibliography"/>
      </w:pPr>
      <w:r>
        <w:t xml:space="preserve">Schwarz D. 2006b. Real-time corpus-based concatenative synthesis with catart., pp. 18–21</w:t>
      </w:r>
    </w:p>
    <w:bookmarkEnd w:id="612"/>
    <w:bookmarkStart w:id="61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3"/>
    <w:bookmarkStart w:id="614"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4"/>
    <w:bookmarkStart w:id="61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5"/>
    <w:bookmarkStart w:id="616" w:name="ref-scoremus"/>
    <w:p>
      <w:pPr>
        <w:pStyle w:val="Bibliography"/>
      </w:pPr>
      <w:r>
        <w:t xml:space="preserve">Selfridge-Field E. 1997. The score music publishing system.</w:t>
      </w:r>
      <w:r>
        <w:t xml:space="preserve"> </w:t>
      </w:r>
      <w:r>
        <w:rPr>
          <w:i/>
        </w:rPr>
        <w:t xml:space="preserve">SCORE</w:t>
      </w:r>
    </w:p>
    <w:bookmarkEnd w:id="616"/>
    <w:bookmarkStart w:id="61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7"/>
    <w:bookmarkStart w:id="61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8">
        <w:r>
          <w:rPr>
            <w:rStyle w:val="Hyperlink"/>
          </w:rPr>
          <w:t xml:space="preserve">https://hal.archives-ouvertes.fr/hal-01393959</w:t>
        </w:r>
      </w:hyperlink>
    </w:p>
    <w:bookmarkEnd w:id="619"/>
    <w:bookmarkStart w:id="62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20"/>
    <w:bookmarkStart w:id="62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21"/>
    <w:bookmarkStart w:id="62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2"/>
    <w:bookmarkStart w:id="623" w:name="ref-10.2307/941442"/>
    <w:p>
      <w:pPr>
        <w:pStyle w:val="Bibliography"/>
      </w:pPr>
      <w:r>
        <w:t xml:space="preserve">Skinner R. 1990a. Music software.</w:t>
      </w:r>
      <w:r>
        <w:t xml:space="preserve"> </w:t>
      </w:r>
      <w:r>
        <w:rPr>
          <w:i/>
        </w:rPr>
        <w:t xml:space="preserve">Notes</w:t>
      </w:r>
      <w:r>
        <w:t xml:space="preserve">. 46(3):660–84</w:t>
      </w:r>
    </w:p>
    <w:bookmarkEnd w:id="623"/>
    <w:bookmarkStart w:id="624" w:name="ref-10.2307/940555"/>
    <w:p>
      <w:pPr>
        <w:pStyle w:val="Bibliography"/>
      </w:pPr>
      <w:r>
        <w:t xml:space="preserve">Skinner R. 1990b. Music software.</w:t>
      </w:r>
      <w:r>
        <w:t xml:space="preserve"> </w:t>
      </w:r>
      <w:r>
        <w:rPr>
          <w:i/>
        </w:rPr>
        <w:t xml:space="preserve">Notes</w:t>
      </w:r>
      <w:r>
        <w:t xml:space="preserve">. 47(1):91–101</w:t>
      </w:r>
    </w:p>
    <w:bookmarkEnd w:id="624"/>
    <w:bookmarkStart w:id="62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5"/>
    <w:bookmarkStart w:id="62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6"/>
    <w:bookmarkStart w:id="62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7"/>
    <w:bookmarkStart w:id="628" w:name="ref-Ste12:MP3"/>
    <w:p>
      <w:pPr>
        <w:pStyle w:val="Bibliography"/>
      </w:pPr>
      <w:r>
        <w:t xml:space="preserve">Sterne J. 2012.</w:t>
      </w:r>
      <w:r>
        <w:t xml:space="preserve"> </w:t>
      </w:r>
      <w:r>
        <w:rPr>
          <w:i/>
        </w:rPr>
        <w:t xml:space="preserve">MP3: The Meaning of a Format</w:t>
      </w:r>
      <w:r>
        <w:t xml:space="preserve">. Duke University Press. ed.</w:t>
      </w:r>
    </w:p>
    <w:bookmarkEnd w:id="628"/>
    <w:bookmarkStart w:id="629"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9"/>
    <w:bookmarkStart w:id="630" w:name="ref-Stu04:Mat"/>
    <w:p>
      <w:pPr>
        <w:pStyle w:val="Bibliography"/>
      </w:pPr>
      <w:r>
        <w:t xml:space="preserve">Sturm B. 2004. MATConcat: An application for exploring concatenative sound synthesis using matlab</w:t>
      </w:r>
    </w:p>
    <w:bookmarkEnd w:id="630"/>
    <w:bookmarkStart w:id="631"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31"/>
    <w:bookmarkStart w:id="632" w:name="ref-Sze08:Lis"/>
    <w:p>
      <w:pPr>
        <w:pStyle w:val="Bibliography"/>
      </w:pPr>
      <w:r>
        <w:t xml:space="preserve">Szendy P. 2008.</w:t>
      </w:r>
      <w:r>
        <w:t xml:space="preserve"> </w:t>
      </w:r>
      <w:r>
        <w:rPr>
          <w:i/>
        </w:rPr>
        <w:t xml:space="preserve">Listen: A History of Our Ears</w:t>
      </w:r>
      <w:r>
        <w:t xml:space="preserve">. Fordham University. ed.</w:t>
      </w:r>
    </w:p>
    <w:bookmarkEnd w:id="632"/>
    <w:bookmarkStart w:id="633"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3"/>
    <w:bookmarkStart w:id="634" w:name="ref-Sch07:How"/>
    <w:p>
      <w:pPr>
        <w:pStyle w:val="Bibliography"/>
      </w:pPr>
      <w:r>
        <w:t xml:space="preserve">Thiebaut J-B, Bello J, Schwarz D. 2007. How musical are images? From sound representation to image sonification: An eco systemic approach</w:t>
      </w:r>
    </w:p>
    <w:bookmarkEnd w:id="634"/>
    <w:bookmarkStart w:id="635"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5"/>
    <w:bookmarkStart w:id="636"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6"/>
    <w:bookmarkStart w:id="637"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7"/>
    <w:bookmarkStart w:id="638"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8"/>
    <w:bookmarkStart w:id="639"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9"/>
    <w:bookmarkStart w:id="640"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40"/>
    <w:bookmarkStart w:id="641"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41"/>
    <w:bookmarkStart w:id="642" w:name="ref-Var04:The"/>
    <w:p>
      <w:pPr>
        <w:pStyle w:val="Bibliography"/>
      </w:pPr>
      <w:r>
        <w:t xml:space="preserve">Varese E. 2004. The liberation of sound.</w:t>
      </w:r>
      <w:r>
        <w:t xml:space="preserve"> </w:t>
      </w:r>
      <w:r>
        <w:rPr>
          <w:i/>
        </w:rPr>
        <w:t xml:space="preserve">Audio Culture: Readings in Modern Music</w:t>
      </w:r>
    </w:p>
    <w:bookmarkEnd w:id="642"/>
    <w:bookmarkStart w:id="643" w:name="ref-Ver84:The"/>
    <w:p>
      <w:pPr>
        <w:pStyle w:val="Bibliography"/>
      </w:pPr>
      <w:r>
        <w:t xml:space="preserve">Vercoe B. 1984. The synthetic performer in the context of live performance</w:t>
      </w:r>
    </w:p>
    <w:bookmarkEnd w:id="643"/>
    <w:bookmarkStart w:id="644"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4"/>
    <w:bookmarkStart w:id="645"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5"/>
    <w:bookmarkStart w:id="64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6">
        <w:r>
          <w:rPr>
            <w:rStyle w:val="Hyperlink"/>
          </w:rPr>
          <w:t xml:space="preserve">https://ismir2017.smcnus.org/wp-content/uploads/2017/10/180_Paper.pdf</w:t>
        </w:r>
      </w:hyperlink>
    </w:p>
    <w:bookmarkEnd w:id="647"/>
    <w:bookmarkStart w:id="64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8"/>
    <w:bookmarkStart w:id="65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9">
        <w:r>
          <w:rPr>
            <w:rStyle w:val="Hyperlink"/>
          </w:rPr>
          <w:t xml:space="preserve">http://ismir2002.ismir.net/proceedings/02-FP06-3.pdf</w:t>
        </w:r>
      </w:hyperlink>
    </w:p>
    <w:bookmarkEnd w:id="650"/>
    <w:bookmarkStart w:id="65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51"/>
    <w:bookmarkStart w:id="65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52"/>
    <w:bookmarkStart w:id="65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3"/>
    <w:bookmarkStart w:id="65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4"/>
    <w:bookmarkStart w:id="65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5"/>
    <w:bookmarkStart w:id="656"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6"/>
    <w:bookmarkStart w:id="65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7"/>
    <w:bookmarkStart w:id="658"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8"/>
    <w:bookmarkStart w:id="659"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9"/>
    <w:bookmarkStart w:id="660" w:name="ref-Wei07:Oce"/>
    <w:p>
      <w:pPr>
        <w:pStyle w:val="Bibliography"/>
      </w:pPr>
      <w:r>
        <w:t xml:space="preserve">Weinbren G. 2007. Ocean, database, recut.</w:t>
      </w:r>
      <w:r>
        <w:t xml:space="preserve"> </w:t>
      </w:r>
      <w:r>
        <w:rPr>
          <w:i/>
        </w:rPr>
        <w:t xml:space="preserve">Database Aesthetics: Art in the Age of Information Overflow</w:t>
      </w:r>
    </w:p>
    <w:bookmarkEnd w:id="660"/>
    <w:bookmarkStart w:id="66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61"/>
    <w:bookmarkStart w:id="66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62"/>
    <w:bookmarkStart w:id="66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3">
        <w:r>
          <w:rPr>
            <w:rStyle w:val="Hyperlink"/>
          </w:rPr>
          <w:t xml:space="preserve">http://ismir2018.ircam.fr/doc/pdfs/114_Paper.pdf</w:t>
        </w:r>
      </w:hyperlink>
    </w:p>
    <w:bookmarkEnd w:id="664"/>
    <w:bookmarkStart w:id="665"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5"/>
    <w:bookmarkStart w:id="66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6">
        <w:r>
          <w:rPr>
            <w:rStyle w:val="Hyperlink"/>
          </w:rPr>
          <w:t xml:space="preserve">http://ismir2004.ismir.net/proceedings/p010-page-48-paper227.pdf</w:t>
        </w:r>
      </w:hyperlink>
    </w:p>
    <w:bookmarkEnd w:id="667"/>
    <w:bookmarkStart w:id="668"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8"/>
    <w:bookmarkStart w:id="669"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9"/>
    <w:bookmarkStart w:id="670"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70"/>
    <w:bookmarkStart w:id="672"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71">
        <w:r>
          <w:rPr>
            <w:rStyle w:val="Hyperlink"/>
          </w:rPr>
          <w:t xml:space="preserve">http://ismir2018.ircam.fr/doc/pdfs/188_Paper.pdf</w:t>
        </w:r>
      </w:hyperlink>
    </w:p>
    <w:bookmarkEnd w:id="672"/>
    <w:bookmarkStart w:id="673"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3"/>
    <w:bookmarkStart w:id="674"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4"/>
    <w:bookmarkStart w:id="675"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5"/>
    <w:bookmarkStart w:id="676"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6"/>
    <w:bookmarkStart w:id="677"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7"/>
    <w:bookmarkStart w:id="678"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8"/>
    <w:bookmarkStart w:id="68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9">
        <w:r>
          <w:rPr>
            <w:rStyle w:val="Hyperlink"/>
          </w:rPr>
          <w:t xml:space="preserve">http://www.nime.org/proceedings/2007/nime2007_352.pdf</w:t>
        </w:r>
      </w:hyperlink>
    </w:p>
    <w:bookmarkEnd w:id="680"/>
    <w:bookmarkStart w:id="68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81"/>
    <w:bookmarkStart w:id="682" w:name="ref-Zmo15:Liv"/>
    <w:p>
      <w:pPr>
        <w:pStyle w:val="Bibliography"/>
      </w:pPr>
      <w:r>
        <w:t xml:space="preserve">zmölnig I m, Eckel G. 2015.</w:t>
      </w:r>
      <w:r>
        <w:t xml:space="preserve"> </w:t>
      </w:r>
      <w:r>
        <w:rPr>
          <w:i/>
        </w:rPr>
        <w:t xml:space="preserve">LIVE coding: AN overview</w:t>
      </w:r>
      <w:r>
        <w:t xml:space="preserve">. Work. Pap.</w:t>
      </w:r>
    </w:p>
    <w:bookmarkEnd w:id="682"/>
    <w:bookmarkEnd w:id="6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9">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0">
        <w:r>
          <w:rPr>
            <w:rStyle w:val="Hyperlink"/>
          </w:rPr>
          <w:t xml:space="preserve">https://developer.apple.com/documentation/metal</w:t>
        </w:r>
      </w:hyperlink>
    </w:p>
  </w:footnote>
  <w:footnote w:id="121">
    <w:p>
      <w:pPr>
        <w:pStyle w:val="FootnoteText"/>
      </w:pPr>
      <w:r>
        <w:rPr>
          <w:rStyle w:val="FootnoteReference"/>
        </w:rPr>
        <w:footnoteRef/>
      </w:r>
      <w:r>
        <w:t xml:space="preserve"> </w:t>
      </w:r>
      <w:hyperlink r:id="rId122">
        <w:r>
          <w:rPr>
            <w:rStyle w:val="Hyperlink"/>
          </w:rPr>
          <w:t xml:space="preserve">https://vimeo.com/167646306</w:t>
        </w:r>
      </w:hyperlink>
    </w:p>
  </w:footnote>
  <w:footnote w:id="133">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9">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1">
    <w:p>
      <w:pPr>
        <w:pStyle w:val="FootnoteText"/>
      </w:pPr>
      <w:r>
        <w:rPr>
          <w:rStyle w:val="FootnoteReference"/>
        </w:rPr>
        <w:footnoteRef/>
      </w:r>
      <w:r>
        <w:t xml:space="preserve"> </w:t>
      </w:r>
      <w:hyperlink r:id="rId152">
        <w:r>
          <w:rPr>
            <w:rStyle w:val="Hyperlink"/>
          </w:rPr>
          <w:t xml:space="preserve">https://kyma.symbolicsound.com/</w:t>
        </w:r>
      </w:hyperlink>
    </w:p>
  </w:footnote>
  <w:footnote w:id="155">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2">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67">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8">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6">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90">
    <w:p>
      <w:pPr>
        <w:pStyle w:val="FootnoteText"/>
      </w:pPr>
      <w:r>
        <w:rPr>
          <w:rStyle w:val="FootnoteReference"/>
        </w:rPr>
        <w:footnoteRef/>
      </w:r>
      <w:r>
        <w:t xml:space="preserve"> </w:t>
      </w: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93">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10">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11">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12">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13">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4">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5">
    <w:p>
      <w:pPr>
        <w:pStyle w:val="FootnoteText"/>
      </w:pPr>
      <w:r>
        <w:rPr>
          <w:rStyle w:val="FootnoteReference"/>
        </w:rPr>
        <w:footnoteRef/>
      </w:r>
      <w:r>
        <w:t xml:space="preserve"> </w:t>
      </w:r>
      <w:hyperlink r:id="rId216">
        <w:r>
          <w:rPr>
            <w:rStyle w:val="Hyperlink"/>
          </w:rPr>
          <w:t xml:space="preserve">https://en.wikipedia.org/wiki/Leo_Beranek</w:t>
        </w:r>
      </w:hyperlink>
    </w:p>
  </w:footnote>
  <w:footnote w:id="218">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4">
    <w:p>
      <w:pPr>
        <w:pStyle w:val="FootnoteText"/>
      </w:pPr>
      <w:r>
        <w:rPr>
          <w:rStyle w:val="FootnoteReference"/>
        </w:rPr>
        <w:footnoteRef/>
      </w:r>
      <w:r>
        <w:t xml:space="preserve"> </w:t>
      </w:r>
      <w:hyperlink r:id="rId235">
        <w:r>
          <w:rPr>
            <w:rStyle w:val="Hyperlink"/>
          </w:rPr>
          <w:t xml:space="preserve">https://en.cppreference.com/w/cpp/language/destructor</w:t>
        </w:r>
      </w:hyperlink>
    </w:p>
  </w:footnote>
  <w:footnote w:id="241">
    <w:p>
      <w:pPr>
        <w:pStyle w:val="FootnoteText"/>
      </w:pPr>
      <w:r>
        <w:rPr>
          <w:rStyle w:val="FootnoteReference"/>
        </w:rPr>
        <w:footnoteRef/>
      </w:r>
      <w:r>
        <w:t xml:space="preserve"> </w:t>
      </w:r>
      <w:hyperlink r:id="rId242">
        <w:r>
          <w:rPr>
            <w:rStyle w:val="Hyperlink"/>
          </w:rPr>
          <w:t xml:space="preserve">https://mpc.chs.harvard.edu/</w:t>
        </w:r>
      </w:hyperlink>
    </w:p>
  </w:footnote>
  <w:footnote w:id="243">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3">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4">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7">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8">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91">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6">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7">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8">
        <w:r>
          <w:rPr>
            <w:rStyle w:val="Hyperlink"/>
          </w:rPr>
          <w:t xml:space="preserve">https://en.wikipedia.org/wiki/Dr._Strangelove</w:t>
        </w:r>
      </w:hyperlink>
    </w:p>
  </w:footnote>
  <w:footnote w:id="299">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300">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02">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3">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6">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4">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20">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4">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181" Target="media/rId181.png" /><Relationship Type="http://schemas.openxmlformats.org/officeDocument/2006/relationships/image" Id="rId266" Target="media/rId266.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46" Target="media/rId146.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39" Target="media/rId139.png" /><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9"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6"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9"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6"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2019-04-06T20:03:10Z</dcterms:created>
  <dcterms:modified xsi:type="dcterms:W3CDTF">2019-04-06T20:03:10Z</dcterms:modified>
</cp:coreProperties>
</file>

<file path=docProps/custom.xml><?xml version="1.0" encoding="utf-8"?>
<Properties xmlns="http://schemas.openxmlformats.org/officeDocument/2006/custom-properties" xmlns:vt="http://schemas.openxmlformats.org/officeDocument/2006/docPropsVTypes"/>
</file>