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20.png" ContentType="image/png"/>
  <Override PartName="/word/media/rId213.png" ContentType="image/png"/>
  <Override PartName="/word/media/rId75.png" ContentType="image/png"/>
  <Override PartName="/word/media/rId185.png" ContentType="image/png"/>
  <Override PartName="/word/media/rId249.png" ContentType="image/png"/>
  <Override PartName="/word/media/rId48.png" ContentType="image/png"/>
  <Override PartName="/word/media/rId98.png" ContentType="image/png"/>
  <Override PartName="/word/media/rId95.png" ContentType="image/png"/>
  <Override PartName="/word/media/rId78.png" ContentType="image/png"/>
  <Override PartName="/word/media/rId87.png" ContentType="image/png"/>
  <Override PartName="/word/media/rId32.png" ContentType="image/png"/>
  <Override PartName="/word/media/rId150.png" ContentType="image/png"/>
  <Override PartName="/word/media/rId82.png" ContentType="image/png"/>
  <Override PartName="/word/media/rId90.png" ContentType="image/png"/>
  <Override PartName="/word/media/rId104.png" ContentType="image/png"/>
  <Override PartName="/word/media/rId143.png" ContentType="image/png"/>
  <Override PartName="/word/media/rId210.png" ContentType="image/png"/>
  <Override PartName="/word/media/rId20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©2018–2019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1"/>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1"/>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1"/>
      </w:pPr>
      <w:bookmarkStart w:id="23" w:name="preface"/>
      <w:r>
        <w:t xml:space="preserve">Preface</w:t>
      </w:r>
      <w:bookmarkEnd w:id="23"/>
    </w:p>
    <w:p>
      <w:pPr>
        <w:pStyle w:val="Heading5"/>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1"/>
      </w:pPr>
      <w:bookmarkStart w:id="25" w:name="abstract"/>
      <w:r>
        <w:t xml:space="preserve">Abstract</w:t>
      </w:r>
      <w:bookmarkEnd w:id="25"/>
    </w:p>
    <w:p>
      <w:pPr>
        <w:pStyle w:val="FirstParagraph"/>
      </w:pPr>
      <w:r>
        <w:t xml:space="preserve">The aim of this dissertation is to understand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section, I trace a history of database practices from three points of view. The first is from new media theory, emphasizing certain aspects of embodied theory which relate to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section, I discuss this agency under the broader concepts of sound, self, and community. These three axes are addressed in four sections, each with a different perspective. First I focus on listening, delineating Jean-Luc Nancy’s ontology of sound in order to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Finally, I revise the notion of music work, reflecting on the consequences of the anarchic and the inoperative in the community of database music.</w:t>
      </w:r>
    </w:p>
    <w:p>
      <w:pPr>
        <w:pStyle w:val="Heading1"/>
      </w:pPr>
      <w:bookmarkStart w:id="26" w:name="chapter:Introduction"/>
      <w:r>
        <w:t xml:space="preserve">Introduction</w:t>
      </w:r>
      <w:bookmarkEnd w:id="26"/>
    </w:p>
    <w:p>
      <w:pPr>
        <w:pStyle w:val="FirstParagraph"/>
      </w:pPr>
      <w:r>
        <w:t xml:space="preserve">This dissertation begins with a word (</w:t>
      </w:r>
      <w:r>
        <w:t xml:space="preserve">‘</w:t>
      </w:r>
      <w:r>
        <w:t xml:space="preserve">database</w:t>
      </w:r>
      <w:r>
        <w:t xml:space="preserve">’</w:t>
      </w:r>
      <w:r>
        <w:t xml:space="preserve">) and a proposition: Is there something we can call database music? This sudden jump from noun to adjective comes not without its audible retaliation, and I make no attempt to muffle it. The reader would perhaps forgive the clumsiness of my condition of composer in the midst of writing his dissertation, which made me jump to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t xml:space="preserve">“</w:t>
      </w:r>
      <w:r>
        <w:t xml:space="preserve">a history….</w:t>
      </w:r>
      <w:r>
        <w:t xml:space="preserve">”</w:t>
      </w:r>
      <w:r>
        <w:t xml:space="preserve"> </w:t>
      </w:r>
      <w:r>
        <w:t xml:space="preserve">However, it is the</w:t>
      </w:r>
      <w:r>
        <w:t xml:space="preserve"> </w:t>
      </w:r>
      <w:r>
        <w:t xml:space="preserve">‘</w:t>
      </w:r>
      <w:r>
        <w:t xml:space="preserve">a</w:t>
      </w:r>
      <w:r>
        <w:t xml:space="preserve">’</w:t>
      </w:r>
      <w:r>
        <w:t xml:space="preserve"> </w:t>
      </w:r>
      <w:r>
        <w:t xml:space="preserve">that would account for the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across the two nodes that compose the focus of this text:</w:t>
      </w:r>
      <w:r>
        <w:t xml:space="preserve"> </w:t>
      </w:r>
      <w:r>
        <w:rPr>
          <w:i/>
        </w:rPr>
        <w:t xml:space="preserve">database and music</w:t>
      </w:r>
      <w:r>
        <w:t xml:space="preserve">. Both nodes have their historical, technical, and aesthetical idiosyncrasies. The primary goal of this dissertation (if I dare to say that it has one) is thus to find where these intersect. The</w:t>
      </w:r>
      <w:r>
        <w:t xml:space="preserve"> </w:t>
      </w:r>
      <w:r>
        <w:rPr>
          <w:rStyle w:val="VerbatimChar"/>
        </w:rPr>
        <w:t xml:space="preserve">AND</w:t>
      </w:r>
      <w:r>
        <w:t xml:space="preserve"> </w:t>
      </w:r>
      <w:r>
        <w:t xml:space="preserve">of the query had indeed much less results than the</w:t>
      </w:r>
      <w:r>
        <w:t xml:space="preserve"> </w:t>
      </w:r>
      <w:r>
        <w:rPr>
          <w:rStyle w:val="VerbatimChar"/>
        </w:rPr>
        <w:t xml:space="preserve">OR</w:t>
      </w:r>
      <w:r>
        <w:t xml:space="preserve">, which meant my quest was already promising some reduction. For instance, I indeed decided that the search would only pertain to situations in which computers were involved.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w:t>
      </w:r>
    </w:p>
    <w:p>
      <w:pPr>
        <w:pStyle w:val="BodyText"/>
      </w:pPr>
      <w:r>
        <w:t xml:space="preserve">Upon this abysmal enterprise, I did as any musician would and started listening for the sound of databases. I realized that this is not just the sound of your computer reading its hard-drive: it is the sound made with its software. At this point, a network (and this is one of the key terms throughout this text) of sonic software had begun to appear. What this network pointed to, besides the key to open door number one, is a certain silence that much of the literature relating to databases in art continues to abide to: a sonic silence. This relates to the</w:t>
      </w:r>
      <w:r>
        <w:t xml:space="preserve"> </w:t>
      </w:r>
      <w:r>
        <w:t xml:space="preserve">“</w:t>
      </w:r>
      <w:r>
        <w:t xml:space="preserve">history, technology…</w:t>
      </w:r>
      <w:r>
        <w:t xml:space="preserve">”</w:t>
      </w:r>
      <w:r>
        <w:t xml:space="preserve"> </w:t>
      </w:r>
      <w:r>
        <w:t xml:space="preserve">part of the subtitle. In addressing this silence, I do not attempt to invalidate previous approaches</w:t>
      </w:r>
      <w:r>
        <w:t xml:space="preserve"> </w:t>
      </w:r>
      <w:r>
        <w:t xml:space="preserve">(Manovich 2001, Vesna 2007)</w:t>
      </w:r>
      <w:r>
        <w:t xml:space="preserve">. On the contrary, these texts have shed light of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That is to say, through these authors, I introduce notions of embodiment, virtuality, and framing coming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(again)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referring mostly to these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upside down:</w:t>
      </w:r>
      <w:r>
        <w:t xml:space="preserve"> </w:t>
      </w:r>
      <w:r>
        <w:rPr>
          <w:i/>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faces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that I situate around sound.</w:t>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and database and music…to the latter part of the subtitle</w:t>
      </w:r>
      <w:r>
        <w:t xml:space="preserve"> </w:t>
      </w:r>
      <w:r>
        <w:t xml:space="preserve">“</w:t>
      </w:r>
      <w:r>
        <w:t xml:space="preserve">in music composition.</w:t>
      </w:r>
      <w: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of the clumsiness of a composer in the midst of writing, but that should not discourage neither academic rigor, nor literary thirst. I have thus included an exhaustive bibliography, two interludes, a transcription, and a postlude (work in progress), together with graphs, tables, and some snippets of pseudocode and sometimes working code. In the hope that you will continue reading these p{age,ixel}s, I will (simply) end these remarks.</w:t>
      </w:r>
    </w:p>
    <w:p>
      <w:pPr>
        <w:pStyle w:val="Heading1"/>
      </w:pPr>
      <w:bookmarkStart w:id="27" w:name="chapter:Database_Art"/>
      <w:r>
        <w:t xml:space="preserve">Database Art</w:t>
      </w:r>
      <w:bookmarkEnd w:id="27"/>
    </w:p>
    <w:p>
      <w:pPr>
        <w:pStyle w:val="Heading2"/>
      </w:pPr>
      <w:bookmarkStart w:id="28" w:name="section:The_Database In New Media Theory"/>
      <w:r>
        <w:t xml:space="preserve">The Database In New Media Theory</w:t>
      </w:r>
      <w:bookmarkEnd w:id="28"/>
    </w:p>
    <w:p>
      <w:pPr>
        <w:pStyle w:val="Heading3"/>
      </w:pPr>
      <w:bookmarkStart w:id="29" w:name="new_media"/>
      <w:r>
        <w:t xml:space="preserve">Database As Form</w:t>
      </w:r>
      <w:bookmarkEnd w:id="29"/>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0"/>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1" w:name="semiotics"/>
      <w:r>
        <w:t xml:space="preserve">A Semiotic Trap</w:t>
      </w:r>
      <w:bookmarkEnd w:id="31"/>
    </w:p>
    <w:p>
      <w:pPr>
        <w:pStyle w:val="CaptionedFigure"/>
      </w:pPr>
      <w:bookmarkStart w:id="33" w:name="img:one-to-many"/>
      <w:r>
        <w:drawing>
          <wp:inline>
            <wp:extent cx="3060700" cy="34925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2"/>
                    <a:stretch>
                      <a:fillRect/>
                    </a:stretch>
                  </pic:blipFill>
                  <pic:spPr bwMode="auto">
                    <a:xfrm>
                      <a:off x="0" y="0"/>
                      <a:ext cx="3060700" cy="3492500"/>
                    </a:xfrm>
                    <a:prstGeom prst="rect">
                      <a:avLst/>
                    </a:prstGeom>
                    <a:noFill/>
                    <a:ln w="9525">
                      <a:noFill/>
                      <a:headEnd/>
                      <a:tailEnd/>
                    </a:ln>
                  </pic:spPr>
                </pic:pic>
              </a:graphicData>
            </a:graphic>
          </wp:inline>
        </w:drawing>
      </w:r>
      <w:bookmarkEnd w:id="33"/>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In order to reveal the extent to which the presence of the database has a radical effect on narrative, however, Manovich reverses the semiotic theory of syntagm and paradigm that governed the first half of the 20th century</w:t>
      </w:r>
      <w:r>
        <w:t xml:space="preserve"> </w:t>
      </w:r>
      <w:r>
        <w:t xml:space="preserve">(Manovich 2001, p. 231)</w:t>
      </w:r>
      <w:r>
        <w:t xml:space="preserve">. Quoting Roland Barthes’ reading of Ferdinand de Saussure in , Manovich describes the paradigm as a relation subjected to substitution —because it depends on associations—, and the syntagm as a relation subjected to combination —because it is an instantiation of concrete elements. For example, from the entire set of words in a language (the paradigm) the speaker constructs sentences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w:t>
      </w:r>
      <w:r>
        <w:t xml:space="preserve"> </w:t>
      </w:r>
      <w:r>
        <w:t xml:space="preserve">“</w:t>
      </w:r>
      <w:r>
        <w:t xml:space="preserve">food system,</w:t>
      </w:r>
      <w:r>
        <w:t xml:space="preserve">”</w:t>
      </w:r>
      <w:r>
        <w:t xml:space="preserve"> </w:t>
      </w:r>
      <w:r>
        <w:t xml:space="preserve">which I will borrow in what follows. All the elements that compose a dish, for example, the</w:t>
      </w:r>
      <w:r>
        <w:t xml:space="preserve"> </w:t>
      </w:r>
      <w:r>
        <w:t xml:space="preserve">“</w:t>
      </w:r>
      <w:r>
        <w:t xml:space="preserve">set of foodstuffs which have affinities or differences within which one chooses a dish in view of a certain meaning</w:t>
      </w:r>
      <w:r>
        <w:t xml:space="preserve">”</w:t>
      </w:r>
      <w:r>
        <w:t xml:space="preserve"> </w:t>
      </w:r>
      <w:r>
        <w:t xml:space="preserve">comes to delimit the paradigm. However, the</w:t>
      </w:r>
      <w:r>
        <w:t xml:space="preserve"> </w:t>
      </w:r>
      <w:r>
        <w:t xml:space="preserve">“</w:t>
      </w:r>
      <w:r>
        <w:t xml:space="preserve">sequence of dishes chosen during a meal,</w:t>
      </w:r>
      <w:r>
        <w:t xml:space="preserve">”</w:t>
      </w:r>
      <w:r>
        <w:t xml:space="preserve"> </w:t>
      </w:r>
      <w:r>
        <w:t xml:space="preserve">or simply, what you are eating as you are eating it in a restaurant, comes to represent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system [i.e., paradigm], the vertical reading of the menu corresponds to the syntagm</w:t>
      </w:r>
      <w:r>
        <w:t xml:space="preserve">”</w:t>
      </w:r>
      <w:r>
        <w:t xml:space="preserve"> </w:t>
      </w:r>
      <w:r>
        <w:t xml:space="preserve">(Barthes et al. 1968, p. 63)</w:t>
      </w:r>
      <w:r>
        <w:t xml:space="preserve">. A software menu, for instance, would come to represent both planes as well: the paradigm is the set of all possible actions the user might make within the specific context of the menu; the syntagm is the actual sequence of clicks that the user makes.</w:t>
      </w:r>
    </w:p>
    <w:p>
      <w:pPr>
        <w:pStyle w:val="BodyText"/>
      </w:pPr>
      <w:r>
        <w:t xml:space="preserve">Barthes’ reading of Saussure is maintained in Manovich’s description of the database. On the one hand, narrative is the syntagm since, at least in Manovich’s rendition of narrative in the visual art world and the gaming world, it is the trajectory through the navigational space of a database. Furthermore, since this narrative is achieved by the interface, interface and narrative depend on each other: narrative thusly interlocks with the interface itself, and results on the conception of the interface-as-artwork. On the other hand, the database is the paradigm, since it represents the set of elements to be selected by the user. Materially, however, Manovich points to a reversal of these planes. Given the material presence of the database (i.e., the stored data), and given the hyperlinked quality of the user interface, the database becomes explicit (present) and narrative becomes implicit (absent, dematerialised).</w:t>
      </w:r>
    </w:p>
    <w:p>
      <w:pPr>
        <w:pStyle w:val="BodyText"/>
      </w:pPr>
      <w:r>
        <w:t xml:space="preserve">For example, consider the case of the typical timeline-view of a video editor.</w:t>
      </w:r>
      <w:r>
        <w:rPr>
          <w:rStyle w:val="FootnoteReference"/>
        </w:rPr>
        <w:footnoteReference w:id="34"/>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 result is desired, and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5"/>
      </w:r>
      <w:r>
        <w:t xml:space="preserve"> </w:t>
      </w:r>
      <w:r>
        <w:t xml:space="preserve">The timeline where the user places the videos is a visualization of the set of links to the files; an editable graph that allows the user to locate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only on a certain quality of the relation itself, that is, as a shift from one-to-many to many-to-one (See Figure</w:t>
      </w:r>
      <w:r>
        <w:t xml:space="preserve"> </w:t>
      </w:r>
      <w:hyperlink w:anchor="img:one-to-many">
        <w:r>
          <w:rPr>
            <w:rStyle w:val="Hyperlink"/>
          </w:rPr>
          <w:t xml:space="preserve">4.1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grounded on an equivocation. Pointers are, however functionally different, another data type. This fact comes from the Von Neumann architecture on which computers are constructed (See</w:t>
      </w:r>
      <w:r>
        <w:t xml:space="preserve"> </w:t>
      </w:r>
      <w:hyperlink w:anchor="programming">
        <w:r>
          <w:rPr>
            <w:rStyle w:val="Hyperlink"/>
          </w:rPr>
          <w:t xml:space="preserve">4.2.2</w:t>
        </w:r>
      </w:hyperlink>
      <w:r>
        <w:t xml:space="preserv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the materiality of data.</w:t>
      </w:r>
    </w:p>
    <w:p>
      <w:pPr>
        <w:pStyle w:val="Heading3"/>
      </w:pPr>
      <w:bookmarkStart w:id="36" w:name="convergence"/>
      <w:r>
        <w:t xml:space="preserve">Digital Convergence</w:t>
      </w:r>
      <w:bookmarkEnd w:id="36"/>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 she</w:t>
      </w:r>
      <w:r>
        <w:t xml:space="preserve"> </w:t>
      </w:r>
      <w:r>
        <w:t xml:space="preserve">“</w:t>
      </w:r>
      <w:r>
        <w:t xml:space="preserve">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 slave to data, and as a consequence the human is economically colonized and psychologically invaded 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37" w:name="bodiless_information"/>
      <w:r>
        <w:t xml:space="preserve">Bodiless Information</w:t>
      </w:r>
      <w:bookmarkEnd w:id="37"/>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4.2.1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38" w:name="embodiment"/>
      <w:r>
        <w:t xml:space="preserve">Embodying Databasing</w:t>
      </w:r>
      <w:bookmarkEnd w:id="38"/>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39" w:name="framing"/>
      <w:r>
        <w:t xml:space="preserve">Filtering And Framing</w:t>
      </w:r>
      <w:bookmarkEnd w:id="39"/>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To the contrary, the framing function of the human body is the possibility condition for the digital to become information. The frame, as Hansen describes, is the human body filtering images from the world, and creating a virtual image that gives form to data. The frame needs to happen as a relation, and thus, it is the temporal instantiation of a process.</w:t>
      </w:r>
    </w:p>
    <w:p>
      <w:pPr>
        <w:pStyle w:val="Heading3"/>
      </w:pPr>
      <w:bookmarkStart w:id="40" w:name="funeslude"/>
      <w:r>
        <w:t xml:space="preserve">An Embodied Database</w:t>
      </w:r>
      <w:bookmarkEnd w:id="40"/>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1"/>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2"/>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3"/>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chapter:section-4">
        <w:r>
          <w:rPr>
            <w:rStyle w:val="Hyperlink"/>
          </w:rPr>
          <w:t xml:space="preserve">[chapter:section-4]</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links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4"/>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is interesting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It is interesting to place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5"/>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47" w:name="generated"/>
      <w:r>
        <w:t xml:space="preserve">Closing Remarks</w:t>
      </w:r>
      <w:bookmarkEnd w:id="47"/>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4.2.1</w:t>
        </w:r>
      </w:hyperlink>
      <w:r>
        <w:t xml:space="preserve">), which connotes the use of databases in terms of their performativity (See</w:t>
      </w:r>
      <w:r>
        <w:t xml:space="preserve"> </w:t>
      </w:r>
      <w:hyperlink w:anchor="chapter:section-6">
        <w:r>
          <w:rPr>
            <w:rStyle w:val="Hyperlink"/>
          </w:rPr>
          <w:t xml:space="preserve">[chapter:section-6]</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4.2</w:t>
        </w:r>
      </w:hyperlink>
      <w:r>
        <w:t xml:space="preserve">).</w:t>
      </w:r>
    </w:p>
    <w:p>
      <w:pPr>
        <w:pStyle w:val="CaptionedFigure"/>
      </w:pPr>
      <w:bookmarkStart w:id="49"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48"/>
                    <a:stretch>
                      <a:fillRect/>
                    </a:stretch>
                  </pic:blipFill>
                  <pic:spPr bwMode="auto">
                    <a:xfrm>
                      <a:off x="0" y="0"/>
                      <a:ext cx="3289300" cy="584200"/>
                    </a:xfrm>
                    <a:prstGeom prst="rect">
                      <a:avLst/>
                    </a:prstGeom>
                    <a:noFill/>
                    <a:ln w="9525">
                      <a:noFill/>
                      <a:headEnd/>
                      <a:tailEnd/>
                    </a:ln>
                  </pic:spPr>
                </pic:pic>
              </a:graphicData>
            </a:graphic>
          </wp:inline>
        </w:drawing>
      </w:r>
      <w:bookmarkEnd w:id="49"/>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5.2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0" w:name="Xaa99de313451c13ede5fb5754f0e4f994813cac"/>
      <w:r>
        <w:t xml:space="preserve">Databasing And The History Of Databases</w:t>
      </w:r>
      <w:bookmarkEnd w:id="50"/>
    </w:p>
    <w:p>
      <w:pPr>
        <w:pStyle w:val="Heading3"/>
      </w:pPr>
      <w:bookmarkStart w:id="51" w:name="databasing"/>
      <w:r>
        <w:t xml:space="preserve">Databasing: The Performance Of The Database</w:t>
      </w:r>
      <w:bookmarkEnd w:id="51"/>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impulsed by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2" w:name="data-types-and-structures"/>
      <w:r>
        <w:t xml:space="preserve">Data types and structures</w:t>
      </w:r>
      <w:bookmarkEnd w:id="52"/>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3"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3"/>
    <w:p>
      <w:pPr>
        <w:pStyle w:val="Heading4"/>
      </w:pPr>
      <w:bookmarkStart w:id="54" w:name="temporality-of-databasing"/>
      <w:r>
        <w:t xml:space="preserve">Temporality of Databasing</w:t>
      </w:r>
      <w:bookmarkEnd w:id="54"/>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4.1.5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5" w:name="databasing-and-writing"/>
      <w:r>
        <w:t xml:space="preserve">Databasing and Writing</w:t>
      </w:r>
      <w:bookmarkEnd w:id="55"/>
    </w:p>
    <w:p>
      <w:pPr>
        <w:pStyle w:val="FirstParagraph"/>
      </w:pPr>
      <w:r>
        <w:t xml:space="preserve">As with other new media, the terminology used to describe computer memory is often borrowed from earlier media practices like printed text: reading, writing, and erasing. Computer memory thus shares with writing the property of hypomnesis, that is, of displacing the role of human memory with an external non-human device. In the case of the computer memory however, the scale of this displacement is extremely large, both in terms of the amounts of data that can be stored and the speed with which it can be stored. For example, the 40-bit long 4000 numbers that Von Neumann was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represents around 16 Kilobytes, something which today might seem absurd in comparison to current computer storage capabilities that can be found in the case of cloud computing. In light of this fact, we might ask ourselves how is human work transformed through interaction with these massive external memories? Database practice has direct effects on temporality and on memory. Therefore, when designing computer software for art, the way in which data is structured, together with the speed and design of data flow, has significant effects on the temporality of art altogether as a practice.</w:t>
      </w:r>
    </w:p>
    <w:p>
      <w:pPr>
        <w:pStyle w:val="BodyText"/>
      </w:pPr>
      <w:r>
        <w:t xml:space="preserve">I have proposed that memory and its storing of instructions and information what enables the computer as such. The simplicity of this synthesis of data and command in Von Neumann’s architecture, led to its implementation in not only the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6"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6"/>
    <w:p>
      <w:pPr>
        <w:pStyle w:val="Heading4"/>
      </w:pPr>
      <w:bookmarkStart w:id="57" w:name="the-von-neumann-architecture"/>
      <w:r>
        <w:t xml:space="preserve">The Von Neumann Architecture</w:t>
      </w:r>
      <w:bookmarkEnd w:id="57"/>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it is memory-storage what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58" w:name="programming"/>
      <w:r>
        <w:t xml:space="preserve">A Database Tree</w:t>
      </w:r>
      <w:bookmarkEnd w:id="58"/>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meant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4.3</w:t>
        </w:r>
      </w:hyperlink>
      <w:r>
        <w:t xml:space="preserve">), starting from basic data structures to more elaborate database systems, and then present a brief history of how databases were designed.</w:t>
      </w:r>
    </w:p>
    <w:p>
      <w:pPr>
        <w:pStyle w:val="CaptionedFigure"/>
      </w:pPr>
      <w:bookmarkStart w:id="59"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59"/>
    </w:p>
    <w:p>
      <w:pPr>
        <w:pStyle w:val="ImageCaption"/>
      </w:pPr>
      <w:r>
        <w:t xml:space="preserve">A Database Tree</w:t>
      </w:r>
    </w:p>
    <w:p>
      <w:pPr>
        <w:pStyle w:val="BodyText"/>
      </w:pPr>
      <w:r>
        <w:t xml:space="preserve">A very simple sketch of a tree representing the database tree of computer evolution</w:t>
      </w:r>
    </w:p>
    <w:p>
      <w:pPr>
        <w:pStyle w:val="Heading5"/>
      </w:pPr>
      <w:bookmarkStart w:id="60" w:name="soil"/>
      <w:r>
        <w:t xml:space="preserve">Soil</w:t>
      </w:r>
      <w:bookmarkEnd w:id="60"/>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5"/>
      </w:pPr>
      <w:bookmarkStart w:id="61" w:name="roots"/>
      <w:r>
        <w:t xml:space="preserve">Roots</w:t>
      </w:r>
      <w:bookmarkEnd w:id="61"/>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5"/>
      </w:pPr>
      <w:bookmarkStart w:id="62" w:name="portability"/>
      <w:r>
        <w:t xml:space="preserve">Macros</w:t>
      </w:r>
      <w:bookmarkEnd w:id="62"/>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5"/>
      </w:pPr>
      <w:bookmarkStart w:id="63" w:name="trunk"/>
      <w:r>
        <w:t xml:space="preserve">Trunk</w:t>
      </w:r>
      <w:bookmarkEnd w:id="63"/>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5"/>
      </w:pPr>
      <w:bookmarkStart w:id="64" w:name="branches"/>
      <w:r>
        <w:t xml:space="preserve">Branches</w:t>
      </w:r>
      <w:bookmarkEnd w:id="64"/>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5"/>
      </w:pPr>
      <w:bookmarkStart w:id="65" w:name="twigs"/>
      <w:r>
        <w:t xml:space="preserve">Twigs</w:t>
      </w:r>
      <w:bookmarkEnd w:id="65"/>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5"/>
      </w:pPr>
      <w:bookmarkStart w:id="66" w:name="leaves"/>
      <w:r>
        <w:t xml:space="preserve">Leaves</w:t>
      </w:r>
      <w:bookmarkEnd w:id="66"/>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5"/>
      </w:pPr>
      <w:bookmarkStart w:id="67" w:name="networks"/>
      <w:r>
        <w:t xml:space="preserve">Networks</w:t>
      </w:r>
      <w:bookmarkEnd w:id="67"/>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5"/>
      </w:pPr>
      <w:bookmarkStart w:id="68" w:name="clouds"/>
      <w:r>
        <w:t xml:space="preserve">Clouds</w:t>
      </w:r>
      <w:bookmarkEnd w:id="68"/>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69" w:name="models"/>
      <w:r>
        <w:t xml:space="preserve">The Realm Of Data Structures</w:t>
      </w:r>
      <w:bookmarkEnd w:id="69"/>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5"/>
      </w:pPr>
      <w:bookmarkStart w:id="70" w:name="array-data-structure"/>
      <w:r>
        <w:t xml:space="preserve">Array data structure</w:t>
      </w:r>
      <w:bookmarkEnd w:id="70"/>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5"/>
      </w:pPr>
      <w:bookmarkStart w:id="71" w:name="computer:linked"/>
      <w:r>
        <w:t xml:space="preserve">Linked Lists</w:t>
      </w:r>
      <w:bookmarkEnd w:id="71"/>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4.3.3.1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5"/>
      </w:pPr>
      <w:bookmarkStart w:id="72" w:name="computer:audacity"/>
      <w:r>
        <w:t xml:space="preserve">Sequences</w:t>
      </w:r>
      <w:bookmarkEnd w:id="72"/>
    </w:p>
    <w:p>
      <w:pPr>
        <w:pStyle w:val="FirstParagraph"/>
      </w:pPr>
      <w:r>
        <w:t xml:space="preserve">Crowley (1998)</w:t>
      </w:r>
      <w:r>
        <w:t xml:space="preserve"> </w:t>
      </w:r>
      <w:r>
        <w:t xml:space="preserve">claims, however, that neither linked lists or arrays are suitable for large text sequences, since linked lists take up too much memory, and arrays are slow because they requires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3" w:name="descriptions"/>
      <w:r>
        <w:t xml:space="preserve">A Brief History Of Database Models</w:t>
      </w:r>
      <w:bookmarkEnd w:id="73"/>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w:t>
      </w:r>
      <w:r>
        <w:t xml:space="preserve"> </w:t>
      </w:r>
      <w:r>
        <w:t xml:space="preserve">“</w:t>
      </w:r>
      <w:r>
        <w:t xml:space="preserve">determines 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4" w:name="model:hierarchical"/>
      <w:r>
        <w:t xml:space="preserve">Hierarchical</w:t>
      </w:r>
      <w:bookmarkEnd w:id="74"/>
    </w:p>
    <w:p>
      <w:pPr>
        <w:pStyle w:val="CaptionedFigure"/>
      </w:pPr>
      <w:bookmarkStart w:id="76"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5"/>
                    <a:stretch>
                      <a:fillRect/>
                    </a:stretch>
                  </pic:blipFill>
                  <pic:spPr bwMode="auto">
                    <a:xfrm>
                      <a:off x="0" y="0"/>
                      <a:ext cx="2692400" cy="1866900"/>
                    </a:xfrm>
                    <a:prstGeom prst="rect">
                      <a:avLst/>
                    </a:prstGeom>
                    <a:noFill/>
                    <a:ln w="9525">
                      <a:noFill/>
                      <a:headEnd/>
                      <a:tailEnd/>
                    </a:ln>
                  </pic:spPr>
                </pic:pic>
              </a:graphicData>
            </a:graphic>
          </wp:inline>
        </w:drawing>
      </w:r>
      <w:bookmarkEnd w:id="76"/>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Their use within database systems was eclipsed by the relational model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4.2.4.7</w:t>
        </w:r>
      </w:hyperlink>
      <w:r>
        <w:t xml:space="preserve">).</w:t>
      </w:r>
    </w:p>
    <w:p>
      <w:pPr>
        <w:pStyle w:val="Heading4"/>
      </w:pPr>
      <w:bookmarkStart w:id="77" w:name="model:network"/>
      <w:r>
        <w:t xml:space="preserve">Network</w:t>
      </w:r>
      <w:bookmarkEnd w:id="77"/>
    </w:p>
    <w:p>
      <w:pPr>
        <w:pStyle w:val="CaptionedFigure"/>
      </w:pPr>
      <w:bookmarkStart w:id="79"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78"/>
                    <a:stretch>
                      <a:fillRect/>
                    </a:stretch>
                  </pic:blipFill>
                  <pic:spPr bwMode="auto">
                    <a:xfrm>
                      <a:off x="0" y="0"/>
                      <a:ext cx="2298700" cy="2552700"/>
                    </a:xfrm>
                    <a:prstGeom prst="rect">
                      <a:avLst/>
                    </a:prstGeom>
                    <a:noFill/>
                    <a:ln w="9525">
                      <a:noFill/>
                      <a:headEnd/>
                      <a:tailEnd/>
                    </a:ln>
                  </pic:spPr>
                </pic:pic>
              </a:graphicData>
            </a:graphic>
          </wp:inline>
        </w:drawing>
      </w:r>
      <w:bookmarkEnd w:id="79"/>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5"/>
      </w:pPr>
      <w:bookmarkStart w:id="80" w:name="navigational-paradigm"/>
      <w:r>
        <w:t xml:space="preserve">Navigational Paradigm</w:t>
      </w:r>
      <w:bookmarkEnd w:id="80"/>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1" w:name="model:relational"/>
      <w:r>
        <w:t xml:space="preserve">Relational</w:t>
      </w:r>
      <w:bookmarkEnd w:id="81"/>
    </w:p>
    <w:p>
      <w:pPr>
        <w:pStyle w:val="CaptionedFigure"/>
      </w:pPr>
      <w:bookmarkStart w:id="83"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2"/>
                    <a:stretch>
                      <a:fillRect/>
                    </a:stretch>
                  </pic:blipFill>
                  <pic:spPr bwMode="auto">
                    <a:xfrm>
                      <a:off x="0" y="0"/>
                      <a:ext cx="2540000" cy="1676400"/>
                    </a:xfrm>
                    <a:prstGeom prst="rect">
                      <a:avLst/>
                    </a:prstGeom>
                    <a:noFill/>
                    <a:ln w="9525">
                      <a:noFill/>
                      <a:headEnd/>
                      <a:tailEnd/>
                    </a:ln>
                  </pic:spPr>
                </pic:pic>
              </a:graphicData>
            </a:graphic>
          </wp:inline>
        </w:drawing>
      </w:r>
      <w:bookmarkEnd w:id="83"/>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4" w:name="model:nonrelational"/>
      <w:r>
        <w:t xml:space="preserve">Non-Relational</w:t>
      </w:r>
      <w:bookmarkEnd w:id="84"/>
    </w:p>
    <w:p>
      <w:pPr>
        <w:pStyle w:val="FirstParagraph"/>
      </w:pPr>
      <w:r>
        <w:t xml:space="preserve">This is a more general type of database models where the internal structure is different from the tabular kind that the relational model presents (See</w:t>
      </w:r>
      <w:r>
        <w:t xml:space="preserve"> </w:t>
      </w:r>
      <w:hyperlink w:anchor="model:relational">
        <w:r>
          <w:rPr>
            <w:rStyle w:val="Hyperlink"/>
          </w:rPr>
          <w:t xml:space="preserve">4.2.4.3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4.2.4.7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4.2.4.5</w:t>
        </w:r>
      </w:hyperlink>
      <w:r>
        <w:t xml:space="preserve">); object databases (See</w:t>
      </w:r>
      <w:r>
        <w:t xml:space="preserve"> </w:t>
      </w:r>
      <w:hyperlink w:anchor="model:object">
        <w:r>
          <w:rPr>
            <w:rStyle w:val="Hyperlink"/>
          </w:rPr>
          <w:t xml:space="preserve">4.2.4.6</w:t>
        </w:r>
      </w:hyperlink>
      <w:r>
        <w:t xml:space="preserve">); and database systems using combinations of different models.</w:t>
      </w:r>
    </w:p>
    <w:p>
      <w:pPr>
        <w:pStyle w:val="Heading4"/>
      </w:pPr>
      <w:bookmarkStart w:id="85" w:name="model:graph"/>
      <w:r>
        <w:t xml:space="preserve">Graph</w:t>
      </w:r>
      <w:bookmarkEnd w:id="85"/>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6" w:name="model:object"/>
      <w:r>
        <w:t xml:space="preserve">Object</w:t>
      </w:r>
      <w:bookmarkEnd w:id="86"/>
    </w:p>
    <w:p>
      <w:pPr>
        <w:pStyle w:val="CaptionedFigure"/>
      </w:pPr>
      <w:bookmarkStart w:id="88"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87"/>
                    <a:stretch>
                      <a:fillRect/>
                    </a:stretch>
                  </pic:blipFill>
                  <pic:spPr bwMode="auto">
                    <a:xfrm>
                      <a:off x="0" y="0"/>
                      <a:ext cx="3073400" cy="3111500"/>
                    </a:xfrm>
                    <a:prstGeom prst="rect">
                      <a:avLst/>
                    </a:prstGeom>
                    <a:noFill/>
                    <a:ln w="9525">
                      <a:noFill/>
                      <a:headEnd/>
                      <a:tailEnd/>
                    </a:ln>
                  </pic:spPr>
                </pic:pic>
              </a:graphicData>
            </a:graphic>
          </wp:inline>
        </w:drawing>
      </w:r>
      <w:bookmarkEnd w:id="88"/>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89" w:name="model:semistructured"/>
      <w:r>
        <w:t xml:space="preserve">Semi-structured</w:t>
      </w:r>
      <w:bookmarkEnd w:id="89"/>
    </w:p>
    <w:p>
      <w:pPr>
        <w:pStyle w:val="CaptionedFigure"/>
      </w:pPr>
      <w:bookmarkStart w:id="91"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0"/>
                    <a:stretch>
                      <a:fillRect/>
                    </a:stretch>
                  </pic:blipFill>
                  <pic:spPr bwMode="auto">
                    <a:xfrm>
                      <a:off x="0" y="0"/>
                      <a:ext cx="5334000" cy="2873505"/>
                    </a:xfrm>
                    <a:prstGeom prst="rect">
                      <a:avLst/>
                    </a:prstGeom>
                    <a:noFill/>
                    <a:ln w="9525">
                      <a:noFill/>
                      <a:headEnd/>
                      <a:tailEnd/>
                    </a:ln>
                  </pic:spPr>
                </pic:pic>
              </a:graphicData>
            </a:graphic>
          </wp:inline>
        </w:drawing>
      </w:r>
      <w:bookmarkEnd w:id="91"/>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2" w:name="model:puredata"/>
      <w:r>
        <w:t xml:space="preserve">Pure Data as Database System</w:t>
      </w:r>
      <w:bookmarkEnd w:id="92"/>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3"/>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An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4" w:name="X1c28eb4bd7a5a8657f4f02cad1efaabac1f8270"/>
      <w:r>
        <w:t xml:space="preserve">Databasing Sound: Applications Of Databases In Sound</w:t>
      </w:r>
      <w:bookmarkEnd w:id="94"/>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5"/>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6" w:name="img:mir_comp_sonif_interaction"/>
      <w:r>
        <w:t xml:space="preserve">[img:mir_comp_sonif_interaction]</w:t>
      </w:r>
      <w:bookmarkEnd w:id="96"/>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to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neither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 As I hope to demonstrate, there are overt and covert uses of the database, but the database is ubiquitous in all computer practices (See Figure</w:t>
      </w:r>
      <w:r>
        <w:t xml:space="preserve"> </w:t>
      </w:r>
      <w:hyperlink w:anchor="img:mir_comp_sonif_interaction">
        <w:r>
          <w:rPr>
            <w:rStyle w:val="Hyperlink"/>
          </w:rPr>
          <w:t xml:space="preserve">[img:mir_comp_sonif_interaction]</w:t>
        </w:r>
      </w:hyperlink>
      <w:r>
        <w:t xml:space="preserve">).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w:t>
      </w:r>
    </w:p>
    <w:p>
      <w:pPr>
        <w:pStyle w:val="Heading3"/>
      </w:pPr>
      <w:bookmarkStart w:id="97" w:name="mir"/>
      <w:r>
        <w:t xml:space="preserve">Music Information Retrieval</w:t>
      </w:r>
      <w:bookmarkEnd w:id="97"/>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99"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98"/>
                    <a:stretch>
                      <a:fillRect/>
                    </a:stretch>
                  </pic:blipFill>
                  <pic:spPr bwMode="auto">
                    <a:xfrm>
                      <a:off x="0" y="0"/>
                      <a:ext cx="2743200" cy="1435100"/>
                    </a:xfrm>
                    <a:prstGeom prst="rect">
                      <a:avLst/>
                    </a:prstGeom>
                    <a:noFill/>
                    <a:ln w="9525">
                      <a:noFill/>
                      <a:headEnd/>
                      <a:tailEnd/>
                    </a:ln>
                  </pic:spPr>
                </pic:pic>
              </a:graphicData>
            </a:graphic>
          </wp:inline>
        </w:drawing>
      </w:r>
      <w:bookmarkEnd w:id="99"/>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4.3.3.2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0"/>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2"/>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3" w:name="sonification"/>
      <w:r>
        <w:t xml:space="preserve">Sonification</w:t>
      </w:r>
      <w:bookmarkEnd w:id="103"/>
    </w:p>
    <w:p>
      <w:pPr>
        <w:pStyle w:val="CaptionedFigure"/>
      </w:pPr>
      <w:bookmarkStart w:id="105"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4"/>
                    <a:stretch>
                      <a:fillRect/>
                    </a:stretch>
                  </pic:blipFill>
                  <pic:spPr bwMode="auto">
                    <a:xfrm>
                      <a:off x="0" y="0"/>
                      <a:ext cx="2019300" cy="1879600"/>
                    </a:xfrm>
                    <a:prstGeom prst="rect">
                      <a:avLst/>
                    </a:prstGeom>
                    <a:noFill/>
                    <a:ln w="9525">
                      <a:noFill/>
                      <a:headEnd/>
                      <a:tailEnd/>
                    </a:ln>
                  </pic:spPr>
                </pic:pic>
              </a:graphicData>
            </a:graphic>
          </wp:inline>
        </w:drawing>
      </w:r>
      <w:bookmarkEnd w:id="105"/>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6"/>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07" w:name="sonification:parametermapping"/>
      <w:r>
        <w:t xml:space="preserve">Parameter mapping</w:t>
      </w:r>
      <w:bookmarkEnd w:id="107"/>
    </w:p>
    <w:p>
      <w:pPr>
        <w:pStyle w:val="Heading5"/>
      </w:pPr>
      <w:bookmarkStart w:id="108" w:name="dow"/>
      <w:r>
        <w:t xml:space="preserve">DOW</w:t>
      </w:r>
      <w:bookmarkEnd w:id="108"/>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09"/>
      </w:r>
    </w:p>
    <w:p>
      <w:pPr>
        <w:pStyle w:val="Heading5"/>
      </w:pPr>
      <w:bookmarkStart w:id="110" w:name="medical-images"/>
      <w:r>
        <w:t xml:space="preserve">Medical Images</w:t>
      </w:r>
      <w:bookmarkEnd w:id="110"/>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1" w:name="sonification:model"/>
      <w:r>
        <w:t xml:space="preserve">Model-based sonification</w:t>
      </w:r>
      <w:bookmarkEnd w:id="111"/>
    </w:p>
    <w:p>
      <w:pPr>
        <w:pStyle w:val="Heading5"/>
      </w:pPr>
      <w:bookmarkStart w:id="112" w:name="space"/>
      <w:r>
        <w:t xml:space="preserve">Space</w:t>
      </w:r>
      <w:bookmarkEnd w:id="112"/>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3" w:name="sonification:artistic"/>
      <w:r>
        <w:t xml:space="preserve">Artistic sonification</w:t>
      </w:r>
      <w:bookmarkEnd w:id="113"/>
    </w:p>
    <w:p>
      <w:pPr>
        <w:pStyle w:val="Heading5"/>
      </w:pPr>
      <w:bookmarkStart w:id="114" w:name="wolves"/>
      <w:r>
        <w:t xml:space="preserve">Wolves</w:t>
      </w:r>
      <w:bookmarkEnd w:id="114"/>
    </w:p>
    <w:p>
      <w:pPr>
        <w:pStyle w:val="FirstParagraph"/>
      </w:pPr>
      <w:r>
        <w:t xml:space="preserve">Klein (1998)</w:t>
      </w:r>
      <w:r>
        <w:t xml:space="preserve"> </w:t>
      </w:r>
      <w:r>
        <w:t xml:space="preserve">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5"/>
      </w:pPr>
      <w:bookmarkStart w:id="115" w:name="selva"/>
      <w:r>
        <w:t xml:space="preserve">Selva</w:t>
      </w:r>
      <w:bookmarkEnd w:id="115"/>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5"/>
      </w:pPr>
      <w:bookmarkStart w:id="116" w:name="ocean"/>
      <w:r>
        <w:t xml:space="preserve">Ocean</w:t>
      </w:r>
      <w:bookmarkEnd w:id="116"/>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5"/>
      </w:pPr>
      <w:bookmarkStart w:id="117" w:name="molecules"/>
      <w:r>
        <w:t xml:space="preserve">Molecules</w:t>
      </w:r>
      <w:bookmarkEnd w:id="117"/>
    </w:p>
    <w:p>
      <w:pPr>
        <w:pStyle w:val="FirstParagraph"/>
      </w:pP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5"/>
      </w:pPr>
      <w:bookmarkStart w:id="118" w:name="gender-distribution"/>
      <w:r>
        <w:t xml:space="preserve">Gender Distribution</w:t>
      </w:r>
      <w:bookmarkEnd w:id="118"/>
    </w:p>
    <w:p>
      <w:pPr>
        <w:pStyle w:val="FirstParagraph"/>
      </w:pP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19" w:name="sonification:installations"/>
      <w:r>
        <w:t xml:space="preserve">Sonification Installations</w:t>
      </w:r>
      <w:bookmarkEnd w:id="119"/>
    </w:p>
    <w:p>
      <w:pPr>
        <w:pStyle w:val="Heading5"/>
      </w:pPr>
      <w:bookmarkStart w:id="120" w:name="ip-based-soundscape"/>
      <w:r>
        <w:t xml:space="preserve">IP-based soundscape</w:t>
      </w:r>
      <w:bookmarkEnd w:id="120"/>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5"/>
      </w:pPr>
      <w:bookmarkStart w:id="121" w:name="earthquakes"/>
      <w:r>
        <w:t xml:space="preserve">Earthquakes</w:t>
      </w:r>
      <w:bookmarkEnd w:id="121"/>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5"/>
      </w:pPr>
      <w:bookmarkStart w:id="122" w:name="gpu-based-waveforms"/>
      <w:r>
        <w:t xml:space="preserve">GPU-based waveforms</w:t>
      </w:r>
      <w:bookmarkEnd w:id="122"/>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3"/>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5"/>
      </w:r>
      <w:r>
        <w:t xml:space="preserve">, they used the generated waveforms as a database, composing each waveform together with their visual generators as a collage.</w:t>
      </w:r>
    </w:p>
    <w:p>
      <w:pPr>
        <w:pStyle w:val="Heading5"/>
      </w:pPr>
      <w:bookmarkStart w:id="127" w:name="uncanny-faces"/>
      <w:r>
        <w:t xml:space="preserve">Uncanny Faces</w:t>
      </w:r>
      <w:bookmarkEnd w:id="127"/>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w:t>
      </w:r>
    </w:p>
    <w:p>
      <w:pPr>
        <w:pStyle w:val="Heading4"/>
      </w:pPr>
      <w:bookmarkStart w:id="128" w:name="sonification:software"/>
      <w:r>
        <w:t xml:space="preserve">Sonification Software</w:t>
      </w:r>
      <w:bookmarkEnd w:id="128"/>
    </w:p>
    <w:p>
      <w:pPr>
        <w:pStyle w:val="Heading5"/>
      </w:pPr>
      <w:bookmarkStart w:id="129" w:name="sonart"/>
      <w:r>
        <w:t xml:space="preserve">SonArt</w:t>
      </w:r>
      <w:bookmarkEnd w:id="129"/>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5"/>
      </w:pPr>
      <w:bookmarkStart w:id="130" w:name="dataplayer"/>
      <w:r>
        <w:t xml:space="preserve">DataPlayer</w:t>
      </w:r>
      <w:bookmarkEnd w:id="130"/>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5"/>
      </w:pPr>
      <w:bookmarkStart w:id="131" w:name="madbpm"/>
      <w:r>
        <w:t xml:space="preserve">madBPM</w:t>
      </w:r>
      <w:bookmarkEnd w:id="131"/>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Pauletto &amp; Hunt (2004a,b; Beilharz &amp; Ferguson 2009, Hildebrandt et al. 2014, Lodha et al. 1998, Vicinanza 2006, Walker &amp; Cothran 2003, Worrall et al. 2007)</w:t>
      </w:r>
    </w:p>
    <w:p>
      <w:pPr>
        <w:pStyle w:val="Heading3"/>
      </w:pPr>
      <w:bookmarkStart w:id="132" w:name="computer_music"/>
      <w:r>
        <w:t xml:space="preserve">Computer Music</w:t>
      </w:r>
      <w:bookmarkEnd w:id="132"/>
    </w:p>
    <w:p>
      <w:pPr>
        <w:pStyle w:val="FirstParagraph"/>
      </w:pPr>
      <w:r>
        <w:t xml:space="preserve">Computer music software is computer music’s playground. Composing and programming blend into different forms of play that can be understood by a closer look of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4"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3"/>
                    <a:stretch>
                      <a:fillRect/>
                    </a:stretch>
                  </pic:blipFill>
                  <pic:spPr bwMode="auto">
                    <a:xfrm>
                      <a:off x="0" y="0"/>
                      <a:ext cx="1181100" cy="863600"/>
                    </a:xfrm>
                    <a:prstGeom prst="rect">
                      <a:avLst/>
                    </a:prstGeom>
                    <a:noFill/>
                    <a:ln w="9525">
                      <a:noFill/>
                      <a:headEnd/>
                      <a:tailEnd/>
                    </a:ln>
                  </pic:spPr>
                </pic:pic>
              </a:graphicData>
            </a:graphic>
          </wp:inline>
        </w:drawing>
      </w:r>
      <w:bookmarkEnd w:id="134"/>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5" w:name="computer:sssp"/>
      <w:r>
        <w:t xml:space="preserve">Hierarchical environments</w:t>
      </w:r>
      <w:bookmarkEnd w:id="135"/>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5"/>
      </w:pPr>
      <w:bookmarkStart w:id="136" w:name="reducing-cognitive-burden"/>
      <w:r>
        <w:t xml:space="preserve">Reducing cognitive burden</w:t>
      </w:r>
      <w:bookmarkEnd w:id="136"/>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37"/>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Buxton delimited the scope of action of the composer.</w:t>
      </w:r>
    </w:p>
    <w:p>
      <w:pPr>
        <w:pStyle w:val="Heading5"/>
      </w:pPr>
      <w:bookmarkStart w:id="138" w:name="a-hierarchical-representation"/>
      <w:r>
        <w:t xml:space="preserve">A Hierarchical Representation</w:t>
      </w:r>
      <w:bookmarkEnd w:id="138"/>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w:t>
      </w:r>
      <w:r>
        <w:t xml:space="preserve">(Xenakis 1992)</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4.3.3.1.6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4.2.3.0.2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5"/>
      </w:pPr>
      <w:bookmarkStart w:id="139" w:name="black-boxing"/>
      <w:r>
        <w:t xml:space="preserve">Black-boxing</w:t>
      </w:r>
      <w:bookmarkEnd w:id="139"/>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is the possibility condition for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4.1.5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5"/>
      </w:pPr>
      <w:bookmarkStart w:id="140" w:name="computer:free"/>
      <w:r>
        <w:t xml:space="preserve">Generality and Portability</w:t>
      </w:r>
      <w:bookmarkEnd w:id="140"/>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4.2.2.0.3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5"/>
      </w:pPr>
      <w:bookmarkStart w:id="141" w:name="computer:vanilla"/>
      <w:r>
        <w:t xml:space="preserve">Simplification</w:t>
      </w:r>
      <w:bookmarkEnd w:id="141"/>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5"/>
      </w:pPr>
      <w:bookmarkStart w:id="142" w:name="computer:balance"/>
      <w:r>
        <w:t xml:space="preserve">Balance</w:t>
      </w:r>
      <w:bookmarkEnd w:id="142"/>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3"/>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4" w:name="img:truax_generality_b"/>
      <w:r>
        <w:t xml:space="preserve">[img:truax_generality_b]</w:t>
      </w:r>
      <w:bookmarkEnd w:id="144"/>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5" w:name="applications:notation"/>
      <w:r>
        <w:t xml:space="preserve">Music Notation Software</w:t>
      </w:r>
      <w:bookmarkEnd w:id="145"/>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5"/>
      </w:pPr>
      <w:bookmarkStart w:id="146" w:name="darms-and-score"/>
      <w:r>
        <w:t xml:space="preserve">DARMS and SCORE</w:t>
      </w:r>
      <w:bookmarkEnd w:id="146"/>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5"/>
      </w:pPr>
      <w:bookmarkStart w:id="147" w:name="from-staves-to-speakers"/>
      <w:r>
        <w:t xml:space="preserve">From Staves to Speakers</w:t>
      </w:r>
      <w:bookmarkEnd w:id="147"/>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5"/>
      </w:pPr>
      <w:bookmarkStart w:id="148" w:name="theoretical-performance"/>
      <w:r>
        <w:t xml:space="preserve">Theoretical Performance</w:t>
      </w:r>
      <w:bookmarkEnd w:id="148"/>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49" w:name="enter-objects"/>
      <w:r>
        <w:t xml:space="preserve">Enter Objects</w:t>
      </w:r>
      <w:bookmarkEnd w:id="149"/>
    </w:p>
    <w:p>
      <w:pPr>
        <w:pStyle w:val="CaptionedFigure"/>
      </w:pPr>
      <w:bookmarkStart w:id="151"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0"/>
                    <a:stretch>
                      <a:fillRect/>
                    </a:stretch>
                  </pic:blipFill>
                  <pic:spPr bwMode="auto">
                    <a:xfrm>
                      <a:off x="0" y="0"/>
                      <a:ext cx="5334000" cy="1616153"/>
                    </a:xfrm>
                    <a:prstGeom prst="rect">
                      <a:avLst/>
                    </a:prstGeom>
                    <a:noFill/>
                    <a:ln w="9525">
                      <a:noFill/>
                      <a:headEnd/>
                      <a:tailEnd/>
                    </a:ln>
                  </pic:spPr>
                </pic:pic>
              </a:graphicData>
            </a:graphic>
          </wp:inline>
        </w:drawing>
      </w:r>
      <w:bookmarkEnd w:id="151"/>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5"/>
      </w:pPr>
      <w:bookmarkStart w:id="152" w:name="computer:real-time"/>
      <w:r>
        <w:t xml:space="preserve">Max</w:t>
      </w:r>
      <w:bookmarkEnd w:id="152"/>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4.12</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3"/>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5"/>
      </w:pPr>
      <w:bookmarkStart w:id="154" w:name="computer:kyma"/>
      <w:r>
        <w:t xml:space="preserve">Kyma</w:t>
      </w:r>
      <w:bookmarkEnd w:id="154"/>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5"/>
      </w:r>
    </w:p>
    <w:p>
      <w:pPr>
        <w:pStyle w:val="Heading5"/>
      </w:pPr>
      <w:bookmarkStart w:id="157" w:name="computer:puredata"/>
      <w:r>
        <w:t xml:space="preserve">Pure Data</w:t>
      </w:r>
      <w:bookmarkEnd w:id="157"/>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5"/>
      </w:pPr>
      <w:bookmarkStart w:id="158" w:name="graphic_scores"/>
      <w:r>
        <w:t xml:space="preserve">Graphic Scores</w:t>
      </w:r>
      <w:bookmarkEnd w:id="158"/>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w:t>
      </w:r>
      <w:r>
        <w:rPr>
          <w:rStyle w:val="FootnoteReference"/>
        </w:rPr>
        <w:footnoteReference w:id="159"/>
      </w:r>
      <w:r>
        <w:t xml:space="preserve"> </w:t>
      </w:r>
      <w:r>
        <w:t xml:space="preserve">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4.3.3.3.4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5"/>
      </w:pPr>
      <w:bookmarkStart w:id="160" w:name="openmusic"/>
      <w:r>
        <w:t xml:space="preserve">OpenMusic</w:t>
      </w:r>
      <w:bookmarkEnd w:id="160"/>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5"/>
      </w:pPr>
      <w:bookmarkStart w:id="161" w:name="heaps-and-nodes"/>
      <w:r>
        <w:t xml:space="preserve">Heaps and Nodes</w:t>
      </w:r>
      <w:bookmarkEnd w:id="161"/>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2" w:name="applications"/>
      <w:r>
        <w:t xml:space="preserve">Intersections</w:t>
      </w:r>
      <w:bookmarkEnd w:id="162"/>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3" w:name="corpus-based-approaches"/>
      <w:r>
        <w:t xml:space="preserve">Corpus-based Approaches</w:t>
      </w:r>
      <w:bookmarkEnd w:id="163"/>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5"/>
      </w:pPr>
      <w:bookmarkStart w:id="164" w:name="concatenative-synthesis"/>
      <w:r>
        <w:t xml:space="preserve">Concatenative Synthesis</w:t>
      </w:r>
      <w:bookmarkEnd w:id="164"/>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5"/>
      </w:pPr>
      <w:bookmarkStart w:id="165" w:name="other-approaches"/>
      <w:r>
        <w:t xml:space="preserve">Other approaches</w:t>
      </w:r>
      <w:bookmarkEnd w:id="165"/>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6"/>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5"/>
      </w:pPr>
      <w:bookmarkStart w:id="167" w:name="software-libraries"/>
      <w:r>
        <w:t xml:space="preserve">Software Libraries</w:t>
      </w:r>
      <w:bookmarkEnd w:id="167"/>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68" w:name="querying-methods"/>
      <w:r>
        <w:t xml:space="preserve">Querying Methods</w:t>
      </w:r>
      <w:bookmarkEnd w:id="168"/>
    </w:p>
    <w:p>
      <w:pPr>
        <w:pStyle w:val="Heading5"/>
      </w:pPr>
      <w:bookmarkStart w:id="169" w:name="query-by-content"/>
      <w:r>
        <w:t xml:space="preserve">Query-by-content</w:t>
      </w:r>
      <w:bookmarkEnd w:id="169"/>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5"/>
      </w:pPr>
      <w:bookmarkStart w:id="170" w:name="similarity-based"/>
      <w:r>
        <w:t xml:space="preserve">Similarity-based</w:t>
      </w:r>
      <w:bookmarkEnd w:id="170"/>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1"/>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2"/>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5"/>
      </w:pPr>
      <w:bookmarkStart w:id="173" w:name="applications:hybrid_queries"/>
      <w:r>
        <w:t xml:space="preserve">Hybrid Queries</w:t>
      </w:r>
      <w:bookmarkEnd w:id="173"/>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malletes,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5.1.4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4" w:name="traversing-methods"/>
      <w:r>
        <w:t xml:space="preserve">Traversing Methods</w:t>
      </w:r>
      <w:bookmarkEnd w:id="174"/>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5"/>
      </w:pPr>
      <w:bookmarkStart w:id="175" w:name="sensorial-networks"/>
      <w:r>
        <w:t xml:space="preserve">Sensorial Networks</w:t>
      </w:r>
      <w:bookmarkEnd w:id="175"/>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5"/>
      </w:pPr>
      <w:bookmarkStart w:id="176" w:name="involuntary-navigation"/>
      <w:r>
        <w:t xml:space="preserve">Involuntary Navigation</w:t>
      </w:r>
      <w:bookmarkEnd w:id="176"/>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5"/>
      </w:pPr>
      <w:bookmarkStart w:id="177" w:name="networked-collaborations"/>
      <w:r>
        <w:t xml:space="preserve">Networked Collaborations</w:t>
      </w:r>
      <w:bookmarkEnd w:id="177"/>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5"/>
      </w:pPr>
      <w:bookmarkStart w:id="178" w:name="mobile-devices"/>
      <w:r>
        <w:t xml:space="preserve">Mobile Devices</w:t>
      </w:r>
      <w:bookmarkEnd w:id="178"/>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w:t>
      </w:r>
      <w:r>
        <w:t xml:space="preserve">Carter (2017)</w:t>
      </w:r>
      <w:r>
        <w:t xml:space="preserve">)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79" w:name="resource-sharing"/>
      <w:r>
        <w:t xml:space="preserve">Resource Sharing</w:t>
      </w:r>
      <w:bookmarkEnd w:id="179"/>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0"/>
      </w:r>
      <w:r>
        <w:t xml:space="preserve"> </w:t>
      </w:r>
      <w:r>
        <w:t xml:space="preserve">In any case, what is common between these forms of sharing is an entropic and endless plurality.</w:t>
      </w:r>
    </w:p>
    <w:p>
      <w:pPr>
        <w:pStyle w:val="Heading5"/>
      </w:pPr>
      <w:bookmarkStart w:id="181" w:name="multimodal-datasets"/>
      <w:r>
        <w:t xml:space="preserve">Multimodal Datasets</w:t>
      </w:r>
      <w:bookmarkEnd w:id="181"/>
    </w:p>
    <w:p>
      <w:pPr>
        <w:pStyle w:val="FirstParagraph"/>
      </w:pPr>
      <w:r>
        <w:t xml:space="preserve">Among the many datasets that are available (See</w:t>
      </w:r>
      <w:r>
        <w:t xml:space="preserve"> </w:t>
      </w:r>
      <w:hyperlink w:anchor="mir">
        <w:r>
          <w:rPr>
            <w:rStyle w:val="Hyperlink"/>
          </w:rPr>
          <w:t xml:space="preserve">4.3.1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5"/>
      </w:pPr>
      <w:bookmarkStart w:id="182" w:name="formats"/>
      <w:r>
        <w:t xml:space="preserve">Formats</w:t>
      </w:r>
      <w:bookmarkEnd w:id="182"/>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5"/>
      </w:pPr>
      <w:bookmarkStart w:id="183" w:name="live-coding"/>
      <w:r>
        <w:t xml:space="preserve">Live Coding</w:t>
      </w:r>
      <w:bookmarkEnd w:id="183"/>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4" w:name="closing-remarks"/>
      <w:r>
        <w:t xml:space="preserve">Closing Remarks</w:t>
      </w:r>
      <w:bookmarkEnd w:id="184"/>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4.13</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6"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5"/>
                    <a:stretch>
                      <a:fillRect/>
                    </a:stretch>
                  </pic:blipFill>
                  <pic:spPr bwMode="auto">
                    <a:xfrm>
                      <a:off x="0" y="0"/>
                      <a:ext cx="3759200" cy="2438400"/>
                    </a:xfrm>
                    <a:prstGeom prst="rect">
                      <a:avLst/>
                    </a:prstGeom>
                    <a:noFill/>
                    <a:ln w="9525">
                      <a:noFill/>
                      <a:headEnd/>
                      <a:tailEnd/>
                    </a:ln>
                  </pic:spPr>
                </pic:pic>
              </a:graphicData>
            </a:graphic>
          </wp:inline>
        </w:drawing>
      </w:r>
      <w:bookmarkEnd w:id="186"/>
    </w:p>
    <w:p>
      <w:pPr>
        <w:pStyle w:val="ImageCaption"/>
      </w:pPr>
      <w:r>
        <w:t xml:space="preserve">Intersection space.</w:t>
      </w:r>
    </w:p>
    <w:p>
      <w:pPr>
        <w:pStyle w:val="BodyText"/>
      </w:pPr>
      <w:r>
        <w:t xml:space="preserve">Position of the database in terms of visibility among</w:t>
      </w:r>
      <w:r>
        <w:t xml:space="preserve"> </w:t>
      </w:r>
      <w:r>
        <w:t xml:space="preserve">MIR</w:t>
      </w:r>
      <w:r>
        <w:t xml:space="preserve"> </w:t>
      </w:r>
      <w:r>
        <w:t xml:space="preserve">, Sonification, and Computer Music. Positive values indicate visibility and negative indicate invisibility.</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just one frame. At each point in time the databaser can pause for a second, analyze the frame, and perhaps describe the motion that the database has taken thus far. This has been my task until now, and it is safe to say that we have looked at the database. In what follows, I will change gears and approach the database from a different perspective, one not guided by light, but immersed within sound.</w:t>
      </w:r>
    </w:p>
    <w:p>
      <w:pPr>
        <w:pStyle w:val="Heading1"/>
      </w:pPr>
      <w:bookmarkStart w:id="187" w:name="chapter:Database_Aesthetics"/>
      <w:r>
        <w:t xml:space="preserve">Database Aesthetics</w:t>
      </w:r>
      <w:bookmarkEnd w:id="187"/>
    </w:p>
    <w:p>
      <w:pPr>
        <w:pStyle w:val="FirstParagraph"/>
      </w:pPr>
      <w:r>
        <w:t xml:space="preserve">A person that encounters a database feels a resonance, recognizes some of her or his bodily and mental functions in the artwork. In this chapter,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delineating what can be considered a database music.</w:t>
      </w:r>
    </w:p>
    <w:p>
      <w:pPr>
        <w:pStyle w:val="Heading2"/>
      </w:pPr>
      <w:bookmarkStart w:id="188" w:name="section:Listening_Databases"/>
      <w:r>
        <w:t xml:space="preserve">Listening Databases</w:t>
      </w:r>
      <w:bookmarkEnd w:id="188"/>
    </w:p>
    <w:p>
      <w:pPr>
        <w:pStyle w:val="Heading3"/>
      </w:pPr>
      <w:bookmarkStart w:id="189" w:name="lucierlude"/>
      <w:r>
        <w:t xml:space="preserve">Interlude: I Am Sitting In A Room</w:t>
      </w:r>
      <w:bookmarkEnd w:id="189"/>
    </w:p>
    <w:p>
      <w:pPr>
        <w:pStyle w:val="FirstParagraph"/>
      </w:pPr>
      <w:r>
        <w:t xml:space="preserve">I made the following transcription from a recording made at Lovely Music, Ltd (1981)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 The recording is available online.</w:t>
      </w:r>
      <w:r>
        <w:rPr>
          <w:rStyle w:val="FootnoteReference"/>
        </w:rPr>
        <w:footnoteReference w:id="190"/>
      </w:r>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p>
    <w:p>
      <w:pPr>
        <w:pStyle w:val="BlockText"/>
      </w:pP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Heading3"/>
      </w:pPr>
      <w:bookmarkStart w:id="192" w:name="resonance_of_a_return"/>
      <w:r>
        <w:t xml:space="preserve">The Resonance Of A Return</w:t>
      </w:r>
      <w:bookmarkEnd w:id="192"/>
    </w:p>
    <w:p>
      <w:pPr>
        <w:pStyle w:val="Heading5"/>
      </w:pPr>
      <w:bookmarkStart w:id="193" w:name="a-reverb"/>
      <w:r>
        <w:t xml:space="preserve">A Reverb</w:t>
      </w:r>
      <w:bookmarkEnd w:id="193"/>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or if there is wind blowing in the same direction of a sound, it will make the sound travel faster. This means that sound waves are affected in different ways by different media, some being more (concert halls) or less (anechoic chambers) resonant.</w:t>
      </w:r>
    </w:p>
    <w:p>
      <w:pPr>
        <w:pStyle w:val="Heading5"/>
      </w:pPr>
      <w:bookmarkStart w:id="194" w:name="a-filter"/>
      <w:r>
        <w:t xml:space="preserve">A Filter</w:t>
      </w:r>
      <w:bookmarkEnd w:id="194"/>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5"/>
      </w:pPr>
      <w:bookmarkStart w:id="195" w:name="a-loop"/>
      <w:r>
        <w:t xml:space="preserve">A Loop</w:t>
      </w:r>
      <w:bookmarkEnd w:id="195"/>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5"/>
      </w:pPr>
      <w:bookmarkStart w:id="196" w:name="an-attack"/>
      <w:r>
        <w:t xml:space="preserve">An Attack</w:t>
      </w:r>
      <w:bookmarkEnd w:id="196"/>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4.1.6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itself. In this sense, the creative capacity of the body enables the body itself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5"/>
      </w:pPr>
      <w:bookmarkStart w:id="197" w:name="a-sampler"/>
      <w:r>
        <w:t xml:space="preserve">A Sampler</w:t>
      </w:r>
      <w:bookmarkEnd w:id="197"/>
    </w:p>
    <w:p>
      <w:pPr>
        <w:pStyle w:val="FirstParagraph"/>
      </w:pPr>
      <w:r>
        <w:t xml:space="preserve">Consider, for example, an acousmatic concert in which one of the music works is made with pre-recorded violin samples. When this violin begins playing sounds, an illusion may very well begin to emerge: we can imagine a violin player. If the imaginary player continues to play sounds and move them in space, this illusion continues in the direction of physical but illusory motion in space, that is, we can perceive an actual violin and an actual violin player. Therefore, this virtuality may project itself throughout the complete music work, thus grounding the music work on an imaginary force that is only alive because of the listener’s own capacitiy for virtuality. The ghostly qualities of this force will be addressed further down this text (See</w:t>
      </w:r>
      <w:r>
        <w:t xml:space="preserve"> </w:t>
      </w:r>
      <w:hyperlink w:anchor="spectrality">
        <w:r>
          <w:rPr>
            <w:rStyle w:val="Hyperlink"/>
          </w:rPr>
          <w:t xml:space="preserve">5.2.3</w:t>
        </w:r>
      </w:hyperlink>
      <w:r>
        <w:t xml:space="preserve">). Most presently is the fact that this</w:t>
      </w:r>
      <w:r>
        <w:t xml:space="preserve"> </w:t>
      </w:r>
      <w:r>
        <w:t xml:space="preserve">‘</w:t>
      </w:r>
      <w:r>
        <w:t xml:space="preserve">magic</w:t>
      </w:r>
      <w:r>
        <w:t xml:space="preserve">’</w:t>
      </w:r>
      <w:r>
        <w:t xml:space="preserve"> </w:t>
      </w:r>
      <w:r>
        <w:t xml:space="preserve">show —happening in front and because of the listener’s body-sensing mind— can be understood in terms of a resonant link between the human and the nonhuman: a web of interconnected objects that refer to each other. In this listening process, therefore, the listening subject exposes itself to itself and to the virtual self of the violin. Virtual, in this context, does not mean in opposition to the real. The virtual comes as the affective presence of a reality, and thus it becomes the possibility condition for the reality of images.</w:t>
      </w:r>
    </w:p>
    <w:p>
      <w:pPr>
        <w:pStyle w:val="Heading5"/>
      </w:pPr>
      <w:bookmarkStart w:id="198" w:name="a-texture"/>
      <w:r>
        <w:t xml:space="preserve">A Texture</w:t>
      </w:r>
      <w:bookmarkEnd w:id="198"/>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5"/>
      </w:pPr>
      <w:bookmarkStart w:id="199" w:name="a-return"/>
      <w:r>
        <w:t xml:space="preserve">A Return</w:t>
      </w:r>
      <w:bookmarkEnd w:id="199"/>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0" w:name="network"/>
      <w:r>
        <w:t xml:space="preserve">Resonant Network</w:t>
      </w:r>
      <w:bookmarkEnd w:id="200"/>
    </w:p>
    <w:p>
      <w:pPr>
        <w:pStyle w:val="Heading5"/>
      </w:pPr>
      <w:bookmarkStart w:id="201" w:name="the-recorded-movement-of-a-thing"/>
      <w:r>
        <w:t xml:space="preserve">The Recorded Movement of a Thing</w:t>
      </w:r>
      <w:bookmarkEnd w:id="201"/>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4.2.4.2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 n-dimensional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5"/>
      </w:pPr>
      <w:bookmarkStart w:id="202" w:name="howling"/>
      <w:r>
        <w:t xml:space="preserve">Howling</w:t>
      </w:r>
      <w:bookmarkEnd w:id="202"/>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self explanatory (See</w:t>
      </w:r>
      <w:r>
        <w:t xml:space="preserve"> </w:t>
      </w:r>
      <w:hyperlink w:anchor="lucierlude">
        <w:r>
          <w:rPr>
            <w:rStyle w:val="Hyperlink"/>
          </w:rPr>
          <w:t xml:space="preserve">5.1.1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5"/>
      </w:pPr>
      <w:bookmarkStart w:id="203" w:name="the-resonant-movement-of-a-thing"/>
      <w:r>
        <w:t xml:space="preserve">The Resonant Movement of a Thing</w:t>
      </w:r>
      <w:bookmarkEnd w:id="203"/>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5"/>
      </w:pPr>
      <w:bookmarkStart w:id="204" w:name="i-am-sitting-in-a-loop"/>
      <w:r>
        <w:t xml:space="preserve">I am sitting in a loop</w:t>
      </w:r>
      <w:bookmarkEnd w:id="204"/>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5.2.3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5" w:name="inoperativity"/>
      <w:r>
        <w:t xml:space="preserve">The Unworking Network</w:t>
      </w:r>
      <w:bookmarkEnd w:id="205"/>
    </w:p>
    <w:p>
      <w:pPr>
        <w:pStyle w:val="Heading5"/>
      </w:pPr>
      <w:bookmarkStart w:id="206" w:name="community-as-unwork"/>
      <w:r>
        <w:t xml:space="preserve">Community as unwork</w:t>
      </w:r>
      <w:bookmarkEnd w:id="206"/>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08"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07"/>
                    <a:stretch>
                      <a:fillRect/>
                    </a:stretch>
                  </pic:blipFill>
                  <pic:spPr bwMode="auto">
                    <a:xfrm>
                      <a:off x="0" y="0"/>
                      <a:ext cx="5016500" cy="1892300"/>
                    </a:xfrm>
                    <a:prstGeom prst="rect">
                      <a:avLst/>
                    </a:prstGeom>
                    <a:noFill/>
                    <a:ln w="9525">
                      <a:noFill/>
                      <a:headEnd/>
                      <a:tailEnd/>
                    </a:ln>
                  </pic:spPr>
                </pic:pic>
              </a:graphicData>
            </a:graphic>
          </wp:inline>
        </w:drawing>
      </w:r>
      <w:bookmarkEnd w:id="208"/>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5.1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or a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5.2</w:t>
        </w:r>
      </w:hyperlink>
      <w:r>
        <w:t xml:space="preserve">). Is this not the resonance of a return? Work returning as the interrupted resonance of its own unworking?</w:t>
      </w:r>
    </w:p>
    <w:p>
      <w:pPr>
        <w:pStyle w:val="Heading5"/>
      </w:pPr>
      <w:bookmarkStart w:id="209" w:name="at-the-limit"/>
      <w:r>
        <w:t xml:space="preserve">At the Limit</w:t>
      </w:r>
      <w:bookmarkEnd w:id="209"/>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1"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0"/>
                    <a:stretch>
                      <a:fillRect/>
                    </a:stretch>
                  </pic:blipFill>
                  <pic:spPr bwMode="auto">
                    <a:xfrm>
                      <a:off x="0" y="0"/>
                      <a:ext cx="2184400" cy="1866900"/>
                    </a:xfrm>
                    <a:prstGeom prst="rect">
                      <a:avLst/>
                    </a:prstGeom>
                    <a:noFill/>
                    <a:ln w="9525">
                      <a:noFill/>
                      <a:headEnd/>
                      <a:tailEnd/>
                    </a:ln>
                  </pic:spPr>
                </pic:pic>
              </a:graphicData>
            </a:graphic>
          </wp:inline>
        </w:drawing>
      </w:r>
      <w:bookmarkEnd w:id="211"/>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 ontological hybrid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itself: actor-network at the limit.</w:t>
      </w:r>
    </w:p>
    <w:p>
      <w:pPr>
        <w:pStyle w:val="Heading5"/>
      </w:pPr>
      <w:bookmarkStart w:id="212" w:name="infralanguage"/>
      <w:r>
        <w:t xml:space="preserve">Infralanguage</w:t>
      </w:r>
      <w:bookmarkEnd w:id="212"/>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that is,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4"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3"/>
                    <a:stretch>
                      <a:fillRect/>
                    </a:stretch>
                  </pic:blipFill>
                  <pic:spPr bwMode="auto">
                    <a:xfrm>
                      <a:off x="0" y="0"/>
                      <a:ext cx="2446555" cy="1837974"/>
                    </a:xfrm>
                    <a:prstGeom prst="rect">
                      <a:avLst/>
                    </a:prstGeom>
                    <a:noFill/>
                    <a:ln w="9525">
                      <a:noFill/>
                      <a:headEnd/>
                      <a:tailEnd/>
                    </a:ln>
                  </pic:spPr>
                </pic:pic>
              </a:graphicData>
            </a:graphic>
          </wp:inline>
        </w:drawing>
      </w:r>
      <w:bookmarkEnd w:id="214"/>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5"/>
      </w:pPr>
      <w:bookmarkStart w:id="215" w:name="infraskin"/>
      <w:r>
        <w:t xml:space="preserve">Infraskin</w:t>
      </w:r>
      <w:bookmarkEnd w:id="215"/>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6"/>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 “the highest ethical standard for</w:t>
      </w:r>
      <w:r>
        <w:t xml:space="preserve"> </w:t>
      </w:r>
      <w:r>
        <w:t xml:space="preserve">AT</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comprised of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4.3.4.2.3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5.3</w:t>
        </w:r>
      </w:hyperlink>
      <w:r>
        <w:t xml:space="preserve">) that, in their own locality are fragile, but due to their reticulated structure expand into a redundancy of fragilities. And we can listen to it.</w:t>
      </w:r>
    </w:p>
    <w:p>
      <w:pPr>
        <w:pStyle w:val="Heading5"/>
      </w:pPr>
      <w:bookmarkStart w:id="217" w:name="database-community"/>
      <w:r>
        <w:t xml:space="preserve">Database Community</w:t>
      </w:r>
      <w:bookmarkEnd w:id="217"/>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5.4.6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18" w:name="section:Databases_And Memory"/>
      <w:r>
        <w:t xml:space="preserve">Databases And Memory</w:t>
      </w:r>
      <w:bookmarkEnd w:id="218"/>
    </w:p>
    <w:p>
      <w:pPr>
        <w:pStyle w:val="Heading3"/>
      </w:pPr>
      <w:bookmarkStart w:id="219" w:name="human"/>
      <w:r>
        <w:t xml:space="preserve">The Effraction Of The Trace</w:t>
      </w:r>
      <w:bookmarkEnd w:id="219"/>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0"/>
      </w:r>
      <w:r>
        <w:t xml:space="preserve"> </w:t>
      </w:r>
      <w:r>
        <w:t xml:space="preserve">In what follows, I will briefly delineate what I consider its most important qualities for the purpose of discussing the database in relation to memory.</w:t>
      </w:r>
    </w:p>
    <w:p>
      <w:pPr>
        <w:pStyle w:val="Heading5"/>
      </w:pPr>
      <w:bookmarkStart w:id="221" w:name="différance"/>
      <w:r>
        <w:t xml:space="preserve">Différance</w:t>
      </w:r>
      <w:bookmarkEnd w:id="221"/>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5"/>
      </w:pPr>
      <w:bookmarkStart w:id="222" w:name="funes"/>
      <w:r>
        <w:t xml:space="preserve">Funes</w:t>
      </w:r>
      <w:bookmarkEnd w:id="222"/>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5"/>
      </w:pPr>
      <w:bookmarkStart w:id="223" w:name="writing-and-databasing"/>
      <w:r>
        <w:t xml:space="preserve">Writing and Databasing</w:t>
      </w:r>
      <w:bookmarkEnd w:id="223"/>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itself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itself,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w:t>
      </w:r>
      <w:r>
        <w:t xml:space="preserve">itself,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4" w:name="archontic"/>
      <w:r>
        <w:t xml:space="preserve">The Archontic Principle</w:t>
      </w:r>
      <w:bookmarkEnd w:id="224"/>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itself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5.1.3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he calls the</w:t>
      </w:r>
      <w:r>
        <w:t xml:space="preserve"> </w:t>
      </w:r>
      <w:r>
        <w:rPr>
          <w:i/>
        </w:rPr>
        <w:t xml:space="preserve">archontic</w:t>
      </w:r>
      <w:r>
        <w:t xml:space="preserve"> </w:t>
      </w:r>
      <w:r>
        <w:t xml:space="preserve">principle.</w:t>
      </w:r>
      <w:r>
        <w:rPr>
          <w:rStyle w:val="FootnoteReference"/>
        </w:rPr>
        <w:footnoteReference w:id="225"/>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4.1.7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changed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stress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chapter:part-2">
        <w:r>
          <w:rPr>
            <w:rStyle w:val="Hyperlink"/>
          </w:rPr>
          <w:t xml:space="preserve">[chapter:part-2]</w:t>
        </w:r>
      </w:hyperlink>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4.1.3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unwelcomed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27" w:name="spectrality"/>
      <w:r>
        <w:t xml:space="preserve">The Spectral Database</w:t>
      </w:r>
      <w:bookmarkEnd w:id="227"/>
    </w:p>
    <w:p>
      <w:pPr>
        <w:pStyle w:val="Heading5"/>
      </w:pPr>
      <w:bookmarkStart w:id="228" w:name="anarchic-records"/>
      <w:r>
        <w:t xml:space="preserve">Anarchic Records</w:t>
      </w:r>
      <w:bookmarkEnd w:id="228"/>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memory itself, but a need to</w:t>
      </w:r>
      <w:r>
        <w:t xml:space="preserve"> </w:t>
      </w:r>
      <w:r>
        <w:t xml:space="preserve">“</w:t>
      </w:r>
      <w:r>
        <w:t xml:space="preserve">discard, erase, eliminate</w:t>
      </w:r>
      <w:r>
        <w:t xml:space="preserve">”</w:t>
      </w:r>
      <w:r>
        <w:t xml:space="preserve"> </w:t>
      </w:r>
      <w:r>
        <w:t xml:space="preserve">that which is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5"/>
      </w:pPr>
      <w:bookmarkStart w:id="229" w:name="nonhuman-eardrums"/>
      <w:r>
        <w:t xml:space="preserve">Nonhuman Eardrums</w:t>
      </w:r>
      <w:bookmarkEnd w:id="229"/>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5"/>
      </w:pPr>
      <w:bookmarkStart w:id="230" w:name="spectrality-of-archives"/>
      <w:r>
        <w:t xml:space="preserve">Spectrality of Archives</w:t>
      </w:r>
      <w:bookmarkEnd w:id="230"/>
    </w:p>
    <w:p>
      <w:pPr>
        <w:pStyle w:val="FirstParagraph"/>
      </w:pPr>
      <w:r>
        <w:t xml:space="preserve">Transducers as nonhuman eardrums constitute the limit between the sonic world and the binary world of databases.</w:t>
      </w:r>
      <w:r>
        <w:rPr>
          <w:rStyle w:val="FootnoteReference"/>
        </w:rPr>
        <w:footnoteReference w:id="231"/>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i/>
        </w:rPr>
        <w:t xml:space="preserve">Not to be confused with the Fourier-based French</w:t>
      </w:r>
      <w:r>
        <w:rPr>
          <w:i/>
        </w:rPr>
        <w:t xml:space="preserve"> </w:t>
      </w:r>
      <w:r>
        <w:rPr>
          <w:i/>
        </w:rPr>
        <w:t xml:space="preserve">‘</w:t>
      </w:r>
      <w:r>
        <w:rPr>
          <w:i/>
        </w:rPr>
        <w:t xml:space="preserve">spectralists</w:t>
      </w:r>
      <w:r>
        <w:rPr>
          <w:i/>
        </w:rPr>
        <w:t xml:space="preserve">’</w:t>
      </w:r>
      <w:r>
        <w:rPr>
          <w:i/>
        </w:rPr>
        <w:t xml:space="preserve"> </w:t>
      </w:r>
      <w:r>
        <w:rPr>
          <w:i/>
        </w:rPr>
        <w:t xml:space="preserve">of the 1970s.</w:t>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implies this uncanniness of the ghost entails is nothing other than the haunting itself, as Derrida writes:</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2"/>
      </w:r>
      <w:r>
        <w:t xml:space="preserve"> </w:t>
      </w:r>
      <w:r>
        <w:t xml:space="preserve">Furthermore, it can be argued that considering the database in such way is plain and simple delusion, that is, insanity at its best. Not surprisingly, this is the point exactly; within this delusion exists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5"/>
      </w:pPr>
      <w:bookmarkStart w:id="233" w:name="agency-of-the-uncanny"/>
      <w:r>
        <w:t xml:space="preserve">Agency of the Uncanny</w:t>
      </w:r>
      <w:bookmarkEnd w:id="233"/>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5.1.2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4" w:name="section:Performativity_Of Databases"/>
      <w:r>
        <w:t xml:space="preserve">Performativity Of Databases</w:t>
      </w:r>
      <w:bookmarkEnd w:id="234"/>
    </w:p>
    <w:p>
      <w:pPr>
        <w:pStyle w:val="Heading3"/>
      </w:pPr>
      <w:bookmarkStart w:id="235" w:name="gender"/>
      <w:r>
        <w:t xml:space="preserve">Gendered Database</w:t>
      </w:r>
      <w:bookmarkEnd w:id="235"/>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 mistaken for a natural or linguistic given,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chapter:section-1">
        <w:r>
          <w:rPr>
            <w:rStyle w:val="Hyperlink"/>
          </w:rPr>
          <w:t xml:space="preserve">[chapter:section-1]</w:t>
        </w:r>
      </w:hyperlink>
      <w:r>
        <w:t xml:space="preserve">).</w:t>
      </w:r>
    </w:p>
    <w:p>
      <w:pPr>
        <w:pStyle w:val="Heading5"/>
      </w:pPr>
      <w:bookmarkStart w:id="236" w:name="skin-of-the-database"/>
      <w:r>
        <w:t xml:space="preserve">Skin of the Database</w:t>
      </w:r>
      <w:bookmarkEnd w:id="236"/>
    </w:p>
    <w:p>
      <w:pPr>
        <w:pStyle w:val="FirstParagraph"/>
      </w:pPr>
      <w:r>
        <w:t xml:space="preserve">In the performativity of databasing resides the possibility for the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enaction can be understood as the enaction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Therefore, the database has as many genders as there are</w:t>
      </w:r>
      <w:r>
        <w:t xml:space="preserve"> </w:t>
      </w:r>
      <w:r>
        <w:t xml:space="preserve">‘</w:t>
      </w:r>
      <w:r>
        <w:t xml:space="preserve">social fictions,</w:t>
      </w:r>
      <w:r>
        <w:t xml:space="preserve">’</w:t>
      </w:r>
      <w:r>
        <w:t xml:space="preserve"> </w:t>
      </w:r>
      <w:r>
        <w:t xml:space="preserve">in a permanent play of difference suspended on its limit. We can understand</w:t>
      </w:r>
      <w:r>
        <w:t xml:space="preserve"> </w:t>
      </w:r>
      <w:r>
        <w:t xml:space="preserve">“</w:t>
      </w:r>
      <w:r>
        <w:t xml:space="preserve">its own psychological interiority,</w:t>
      </w:r>
      <w:r>
        <w:t xml:space="preserve">”</w:t>
      </w:r>
      <w:r>
        <w:t xml:space="preserve"> </w:t>
      </w:r>
      <w:r>
        <w:t xml:space="preserve">in this sense, as referring precisely to the gendered self of a database, one that is established in its own historical sense: the history of its resonance, authority, and transformations. Thus, the gendered database participates aesthetically, dramatically, and with its own authority in the history of its practice. The infraskin is gendered at any point, in any time, in any way, and the uncanniness of its appearance redefines our own social categories, and our own reality. Databasing, as the performative condition of databases, is gendered, and it expresses nothing: it exposes us to the gendered resonances of our acts.</w:t>
      </w:r>
    </w:p>
    <w:p>
      <w:pPr>
        <w:pStyle w:val="Heading5"/>
      </w:pPr>
      <w:bookmarkStart w:id="237" w:name="expressing-nothing"/>
      <w:r>
        <w:t xml:space="preserve">Expressing Nothing</w:t>
      </w:r>
      <w:bookmarkEnd w:id="237"/>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w:t>
      </w:r>
    </w:p>
    <w:p>
      <w:pPr>
        <w:pStyle w:val="Heading5"/>
      </w:pPr>
      <w:bookmarkStart w:id="238" w:name="a-historical-situation"/>
      <w:r>
        <w:t xml:space="preserve">A Historical Situation</w:t>
      </w:r>
      <w:bookmarkEnd w:id="238"/>
    </w:p>
    <w:p>
      <w:pPr>
        <w:pStyle w:val="FirstParagraph"/>
      </w:pPr>
      <w:r>
        <w:t xml:space="preserve">Butler defined gender identity as a historical situation, distinguishing between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itself.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 ’woman,’ 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5"/>
      </w:pPr>
      <w:bookmarkStart w:id="239" w:name="subversive-repetition"/>
      <w:r>
        <w:t xml:space="preserve">Subversive Repetition</w:t>
      </w:r>
      <w:bookmarkEnd w:id="239"/>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or nonlinear. It resides along an anarchic temporality that replaces teleology with the multiplicity of resonant nows. It is an inline iterative function with random breaks.</w:t>
      </w:r>
    </w:p>
    <w:p>
      <w:pPr>
        <w:pStyle w:val="Heading5"/>
      </w:pPr>
      <w:bookmarkStart w:id="240" w:name="gendered-database"/>
      <w:r>
        <w:t xml:space="preserve">Gendered Database</w:t>
      </w:r>
      <w:bookmarkEnd w:id="240"/>
    </w:p>
    <w:p>
      <w:pPr>
        <w:pStyle w:val="FirstParagraph"/>
      </w:pPr>
      <w:r>
        <w:t xml:space="preserve">The database is a collection of facts. This is what Butler’s gendered self can teach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5.1.4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1" w:name="limits"/>
      <w:r>
        <w:t xml:space="preserve">Towards The Limits</w:t>
      </w:r>
      <w:bookmarkEnd w:id="241"/>
    </w:p>
    <w:p>
      <w:pPr>
        <w:pStyle w:val="Heading5"/>
      </w:pPr>
      <w:bookmarkStart w:id="242" w:name="communities-of-skin"/>
      <w:r>
        <w:t xml:space="preserve">Communities of Skin</w:t>
      </w:r>
      <w:bookmarkEnd w:id="242"/>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because it is what becomes public of itself.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5"/>
      </w:pPr>
      <w:bookmarkStart w:id="243" w:name="hybrid-pluralities"/>
      <w:r>
        <w:t xml:space="preserve">Hybrid Pluralities</w:t>
      </w:r>
      <w:bookmarkEnd w:id="243"/>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4" w:name="style"/>
      <w:r>
        <w:t xml:space="preserve">Contingencies Of Style</w:t>
      </w:r>
      <w:bookmarkEnd w:id="244"/>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5"/>
      </w:pPr>
      <w:bookmarkStart w:id="245" w:name="style-and-timbre"/>
      <w:r>
        <w:t xml:space="preserve">Style and Timbre</w:t>
      </w:r>
      <w:bookmarkEnd w:id="245"/>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resulting in the style of a certain text, or, for that matter, a programming style, or even the style of an author. Beyond writing, style becomes the way in which the body moves, how it looks, whether it is human or nonhuman: the style of a music work, the style of a composer; and beyond, the style of an entire musical period, thus extending style in time and space. Most important,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46"/>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5"/>
      </w:pPr>
      <w:bookmarkStart w:id="247" w:name="endless-databases"/>
      <w:r>
        <w:t xml:space="preserve">Endless Databases</w:t>
      </w:r>
      <w:bookmarkEnd w:id="247"/>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4.2.2</w:t>
        </w:r>
      </w:hyperlink>
      <w:r>
        <w:t xml:space="preserve">). Considering databasing as chaotic systems brings yet another aspect to the contingency of style.</w:t>
      </w:r>
    </w:p>
    <w:p>
      <w:pPr>
        <w:pStyle w:val="Heading5"/>
      </w:pPr>
      <w:bookmarkStart w:id="248" w:name="database-and-chaos"/>
      <w:r>
        <w:t xml:space="preserve">Database and Chaos</w:t>
      </w:r>
      <w:bookmarkEnd w:id="248"/>
    </w:p>
    <w:p>
      <w:pPr>
        <w:pStyle w:val="FirstParagraph"/>
      </w:pPr>
      <w:r>
        <w:t xml:space="preserve">Given that this style can be considered as an emergent singularity of databasing, this singularity can be considered as well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which is also related to the concept of the</w:t>
      </w:r>
      <w:r>
        <w:t xml:space="preserve"> </w:t>
      </w:r>
      <w:r>
        <w:t xml:space="preserve">‘</w:t>
      </w:r>
      <w:r>
        <w:t xml:space="preserve">butterfly effect</w:t>
      </w:r>
      <w:r>
        <w:t xml:space="preserve">’</w:t>
      </w:r>
      <w:r>
        <w:t xml:space="preserve"> </w:t>
      </w:r>
      <w:r>
        <w:t xml:space="preserve">(See Figure</w:t>
      </w:r>
      <w:r>
        <w:t xml:space="preserve"> </w:t>
      </w:r>
      <w:hyperlink w:anchor="img:lorenz_plotter">
        <w:r>
          <w:rPr>
            <w:rStyle w:val="Hyperlink"/>
          </w:rPr>
          <w:t xml:space="preserve">[img:lorenz_plotter]</w:t>
        </w:r>
      </w:hyperlink>
      <w:r>
        <w:t xml:space="preserve">). The Lorenz attractor is a dynamic system, which means that it can render very different and quite unpredictable results by minimal changes on their initial conditions, despite the fact that it is indeed a deterministic system whose graph presents fractal properties.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0" w:name="img:lorenz_plotter"/>
      <w:r>
        <w:t xml:space="preserve">[img:lorenz_plotter]</w:t>
      </w:r>
      <w:bookmarkEnd w:id="250"/>
    </w:p>
    <w:p>
      <w:pPr>
        <w:pStyle w:val="BodyText"/>
      </w:pPr>
      <w:r>
        <w:t xml:space="preserve">Plotting of the Lorenz system in Pure Data.</w:t>
      </w:r>
    </w:p>
    <w:p>
      <w:pPr>
        <w:pStyle w:val="Heading5"/>
      </w:pPr>
      <w:bookmarkStart w:id="251" w:name="fractality"/>
      <w:r>
        <w:t xml:space="preserve">Fractality</w:t>
      </w:r>
      <w:bookmarkEnd w:id="251"/>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which is the possibility condition for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5"/>
      </w:pPr>
      <w:bookmarkStart w:id="252" w:name="a-music-work-as-a-singularity"/>
      <w:r>
        <w:t xml:space="preserve">A Music Work as a Singularity</w:t>
      </w:r>
      <w:bookmarkEnd w:id="252"/>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stochastic procedures. For example, composer Horacio Vaggione goes to great lengths to prove that the musical work affirms itself as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had reshaped the black-boxed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Adorno was of course conscious of this dialectic: his statement about sound material considered not as something</w:t>
      </w:r>
      <w:r>
        <w:t xml:space="preserve"> </w:t>
      </w:r>
      <w:r>
        <w:t xml:space="preserve">“</w:t>
      </w:r>
      <w:r>
        <w:t xml:space="preserve">given</w:t>
      </w:r>
      <w:r>
        <w:t xml:space="preserve">”</w:t>
      </w:r>
      <w:r>
        <w:t xml:space="preserve"> </w:t>
      </w:r>
      <w:r>
        <w:t xml:space="preserve">but as a</w:t>
      </w:r>
      <w:r>
        <w:t xml:space="preserve"> </w:t>
      </w:r>
      <w:r>
        <w:t xml:space="preserve">“</w:t>
      </w:r>
      <w:r>
        <w:t xml:space="preserve">result</w:t>
      </w:r>
      <w:r>
        <w:t xml:space="preserve">”</w:t>
      </w:r>
      <w:r>
        <w:t xml:space="preserve"> </w:t>
      </w:r>
      <w:r>
        <w:t xml:space="preserve">of a musical thesis clearly points to this fact. [emphasis added]</w:t>
      </w:r>
      <w:r>
        <w:t xml:space="preserve"> </w:t>
      </w:r>
      <w:r>
        <w:t xml:space="preserve">(Vaggione 2001, p. 59)</w:t>
      </w:r>
    </w:p>
    <w:p>
      <w:pPr>
        <w:pStyle w:val="Heading5"/>
      </w:pPr>
      <w:bookmarkStart w:id="253" w:name="arbitrariness"/>
      <w:r>
        <w:t xml:space="preserve">Arbitrariness</w:t>
      </w:r>
      <w:bookmarkEnd w:id="253"/>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stiplulated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5"/>
      </w:pPr>
      <w:bookmarkStart w:id="254" w:name="inoperative-style"/>
      <w:r>
        <w:t xml:space="preserve">Inoperative Style</w:t>
      </w:r>
      <w:bookmarkEnd w:id="254"/>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unsurmountable amount of activity, even if it means cutting a magnetic tape, or applying an offset when reading a sample buffer. An inoperative style depends on this excess of activity.</w:t>
      </w:r>
    </w:p>
    <w:p>
      <w:pPr>
        <w:pStyle w:val="Heading3"/>
      </w:pPr>
      <w:bookmarkStart w:id="255" w:name="authority"/>
      <w:r>
        <w:t xml:space="preserve">A Specter Of Authority</w:t>
      </w:r>
      <w:bookmarkEnd w:id="255"/>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espanded through the network by the complexity of the system: the composer’s agency and compositional authority is distributed to the various agents of the network (databse, interface, sounds, etc). However, authority is reified into the</w:t>
      </w:r>
      <w:r>
        <w:t xml:space="preserve"> </w:t>
      </w:r>
      <w:r>
        <w:t xml:space="preserve">‘</w:t>
      </w:r>
      <w:r>
        <w:t xml:space="preserve">name</w:t>
      </w:r>
      <w:r>
        <w:t xml:space="preserve">’</w:t>
      </w:r>
      <w:r>
        <w:t xml:space="preserve"> </w:t>
      </w:r>
      <w:r>
        <w:t xml:space="preserve">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5.1.3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5"/>
      </w:pPr>
      <w:bookmarkStart w:id="256" w:name="the-name"/>
      <w:r>
        <w:t xml:space="preserve">The Name</w:t>
      </w:r>
      <w:bookmarkEnd w:id="256"/>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57"/>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5.2.2</w:t>
        </w:r>
      </w:hyperlink>
      <w:r>
        <w:t xml:space="preserve">), authority can be seen as the illusory resonance of an author. It is this illusion that I attempt to address here, this ghost which haunts music composition.</w:t>
      </w:r>
    </w:p>
    <w:p>
      <w:pPr>
        <w:pStyle w:val="Heading5"/>
      </w:pPr>
      <w:bookmarkStart w:id="258" w:name="dictionaries"/>
      <w:r>
        <w:t xml:space="preserve">Dictionaries</w:t>
      </w:r>
      <w:bookmarkEnd w:id="258"/>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5"/>
      </w:pPr>
      <w:bookmarkStart w:id="259" w:name="artistry"/>
      <w:r>
        <w:t xml:space="preserve">Artistry</w:t>
      </w:r>
      <w:bookmarkEnd w:id="259"/>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0"/>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1"/>
      </w:r>
    </w:p>
    <w:p>
      <w:pPr>
        <w:pStyle w:val="Heading5"/>
      </w:pPr>
      <w:bookmarkStart w:id="262" w:name="the-work-of-mice"/>
      <w:r>
        <w:t xml:space="preserve">The Work of Mice</w:t>
      </w:r>
      <w:bookmarkEnd w:id="262"/>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 ’stilus’, like the writing device, becomes that with which we resonate as listeners. Therefore,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3" w:name="section:Rethinking_Composition"/>
      <w:r>
        <w:t xml:space="preserve">Rethinking Composition</w:t>
      </w:r>
      <w:bookmarkEnd w:id="263"/>
    </w:p>
    <w:p>
      <w:pPr>
        <w:pStyle w:val="Heading3"/>
      </w:pPr>
      <w:bookmarkStart w:id="264" w:name="performance"/>
      <w:r>
        <w:t xml:space="preserve">Interlude: Hyperbolic Reactions</w:t>
      </w:r>
      <w:bookmarkEnd w:id="264"/>
    </w:p>
    <w:p>
      <w:pPr>
        <w:pStyle w:val="Heading5"/>
      </w:pPr>
      <w:bookmarkStart w:id="265" w:name="imagining-composers"/>
      <w:r>
        <w:t xml:space="preserve">Imagining Composers</w:t>
      </w:r>
      <w:bookmarkEnd w:id="265"/>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it would attempt against this romantic composer, whose motivations were of a different nature than ourselves.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5"/>
      </w:pPr>
      <w:bookmarkStart w:id="266" w:name="playing-with-shadows"/>
      <w:r>
        <w:t xml:space="preserve">Playing with Shadows</w:t>
      </w:r>
      <w:bookmarkEnd w:id="266"/>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 itself</w:t>
      </w:r>
      <w:r>
        <w:t xml:space="preserve"> </w:t>
      </w:r>
      <w:r>
        <w:t xml:space="preserve">(Attali 2009, p. 12)</w:t>
      </w:r>
      <w:r>
        <w:t xml:space="preserve">.</w:t>
      </w:r>
    </w:p>
    <w:p>
      <w:pPr>
        <w:pStyle w:val="BodyText"/>
      </w:pPr>
      <w:r>
        <w:t xml:space="preserve">On the other hand, this shadow might also be that of the computer itself,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5"/>
      </w:pPr>
      <w:bookmarkStart w:id="267" w:name="composers-without-computers"/>
      <w:r>
        <w:t xml:space="preserve">Composers Without Computers</w:t>
      </w:r>
      <w:bookmarkEnd w:id="267"/>
    </w:p>
    <w:p>
      <w:pPr>
        <w:pStyle w:val="FirstParagraph"/>
      </w:pPr>
      <w:r>
        <w:t xml:space="preserve">Composing with and without computers cannot be seen as poles on a continuum. At the risk of drawing a straw man out of this computer-less composer, it is very unlikely in today’s world to imagine a composer that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 composer, that would not need the human to write music.</w:t>
      </w:r>
    </w:p>
    <w:p>
      <w:pPr>
        <w:pStyle w:val="Heading5"/>
      </w:pPr>
      <w:bookmarkStart w:id="268" w:name="databasing-without-computers"/>
      <w:r>
        <w:t xml:space="preserve">Databasing Without Computers</w:t>
      </w:r>
      <w:bookmarkEnd w:id="268"/>
    </w:p>
    <w:p>
      <w:pPr>
        <w:pStyle w:val="FirstParagraph"/>
      </w:pPr>
      <w:r>
        <w:t xml:space="preserve">The same applies to databasing itself. Removing computers altogether from databasing takes us to the world of libraries, encyclopedias, collectors, gatherers. Most important, it takes us to the place databasing occupies within society: to museums, but also to the dynamics of civilization, to church, put simply: to institutionalization itself. That is to say, it relates performance with the archontic, with the oedipal drive to re-place (See</w:t>
      </w:r>
      <w:r>
        <w:t xml:space="preserve"> </w:t>
      </w:r>
      <w:hyperlink w:anchor="archontic">
        <w:r>
          <w:rPr>
            <w:rStyle w:val="Hyperlink"/>
          </w:rPr>
          <w:t xml:space="preserve">5.2.2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4.1.7</w:t>
        </w:r>
      </w:hyperlink>
      <w:r>
        <w:t xml:space="preserve">), and the only possible storage medium would be his memory.</w:t>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69" w:name="organic"/>
      <w:r>
        <w:t xml:space="preserve">Working Composition</w:t>
      </w:r>
      <w:bookmarkEnd w:id="269"/>
    </w:p>
    <w:p>
      <w:pPr>
        <w:pStyle w:val="Heading5"/>
      </w:pPr>
      <w:bookmarkStart w:id="270" w:name="the-work-problem"/>
      <w:r>
        <w:t xml:space="preserve">The Work Problem</w:t>
      </w:r>
      <w:bookmarkEnd w:id="270"/>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5.1.4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ultimaterly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5"/>
      </w:pPr>
      <w:bookmarkStart w:id="271" w:name="music-unwork"/>
      <w:r>
        <w:t xml:space="preserve">Music Unwork</w:t>
      </w:r>
      <w:bookmarkEnd w:id="271"/>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Its productivity, its objectification, its convergence, its completion, integrity, and organicity, its unification, and its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w:t>
      </w:r>
      <w:r>
        <w:t xml:space="preserve"> </w:t>
      </w:r>
      <w:r>
        <w:t xml:space="preserve">‘</w:t>
      </w:r>
      <w:r>
        <w:t xml:space="preserve">inorganicity</w:t>
      </w:r>
      <w:r>
        <w:t xml:space="preserve">’</w:t>
      </w:r>
      <w:r>
        <w:t xml:space="preserve"> </w:t>
      </w:r>
      <w:r>
        <w:t xml:space="preserve">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innatentive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asthetic space for imagination, while nonetheless still remaining under the spell of archives, under their constitution. In this sense, a certain nostalgia of the unwork should not misguide us into inactiviy.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5"/>
      </w:pPr>
      <w:bookmarkStart w:id="272" w:name="a-severed-work"/>
      <w:r>
        <w:t xml:space="preserve">A Severed Work</w:t>
      </w:r>
      <w:bookmarkEnd w:id="272"/>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revert Szendy’s metaphor of the innatentive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A</w:t>
      </w:r>
      <w:r>
        <w:t xml:space="preserve"> </w:t>
      </w:r>
      <w:r>
        <w:t xml:space="preserve">‘</w:t>
      </w:r>
      <w:r>
        <w:t xml:space="preserve">piece</w:t>
      </w:r>
      <w:r>
        <w:t xml:space="preserve">’</w:t>
      </w:r>
      <w:r>
        <w:t xml:space="preserve"> </w:t>
      </w:r>
      <w:r>
        <w:t xml:space="preserve">not because it is in itself incomplete, but because it is the piece of the whole of the work of the composer.</w:t>
      </w:r>
    </w:p>
    <w:p>
      <w:pPr>
        <w:pStyle w:val="Heading5"/>
      </w:pPr>
      <w:bookmarkStart w:id="273" w:name="absorption"/>
      <w:r>
        <w:t xml:space="preserve">Absorption</w:t>
      </w:r>
      <w:bookmarkEnd w:id="273"/>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w:t>
      </w:r>
      <w:r>
        <w:t xml:space="preserve"> </w:t>
      </w:r>
      <w:r>
        <w:t xml:space="preserve">‘</w:t>
      </w:r>
      <w:r>
        <w:t xml:space="preserve">flooded</w:t>
      </w:r>
      <w:r>
        <w:t xml:space="preserve">’</w:t>
      </w:r>
      <w:r>
        <w:t xml:space="preserve"> </w:t>
      </w:r>
      <w:r>
        <w:t xml:space="preserve">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74" w:name="practice"/>
      <w:r>
        <w:t xml:space="preserve">The Composer As Navigator</w:t>
      </w:r>
      <w:bookmarkEnd w:id="274"/>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5"/>
      </w:pPr>
      <w:bookmarkStart w:id="275" w:name="querying-the-sieves"/>
      <w:r>
        <w:t xml:space="preserve">Querying the Sieves</w:t>
      </w:r>
      <w:bookmarkEnd w:id="275"/>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is, not surprisingly, the computer itself, and not just any computer, the</w:t>
      </w:r>
      <w:r>
        <w:t xml:space="preserve"> </w:t>
      </w:r>
      <w:r>
        <w:t xml:space="preserve">IBM-7090</w:t>
      </w:r>
      <w:r>
        <w:t xml:space="preserve"> </w:t>
      </w:r>
      <w:r>
        <w:t xml:space="preserve">.</w:t>
      </w:r>
      <w:r>
        <w:rPr>
          <w:rStyle w:val="FootnoteReference"/>
        </w:rPr>
        <w:footnoteReference w:id="276"/>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79"/>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0"/>
      </w:r>
    </w:p>
    <w:p>
      <w:pPr>
        <w:pStyle w:val="Heading5"/>
      </w:pPr>
      <w:bookmarkStart w:id="281" w:name="sound-synthesis-parenthesis"/>
      <w:r>
        <w:t xml:space="preserve">Sound Synthesis Parenthesis</w:t>
      </w:r>
      <w:bookmarkEnd w:id="281"/>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2"/>
      </w:r>
      <w:r>
        <w:t xml:space="preserve"> </w:t>
      </w:r>
      <w:r>
        <w:t xml:space="preserve">I will close this parenthesis, not without returning to this discussion in the following section (See</w:t>
      </w:r>
      <w:r>
        <w:t xml:space="preserve"> </w:t>
      </w:r>
      <w:hyperlink w:anchor="improv">
        <w:r>
          <w:rPr>
            <w:rStyle w:val="Hyperlink"/>
          </w:rPr>
          <w:t xml:space="preserve">5.4.4</w:t>
        </w:r>
      </w:hyperlink>
      <w:r>
        <w:t xml:space="preserve">))</w:t>
      </w:r>
    </w:p>
    <w:p>
      <w:pPr>
        <w:pStyle w:val="Heading5"/>
      </w:pPr>
      <w:bookmarkStart w:id="284" w:name="algebraic-abstractions-for-freedom"/>
      <w:r>
        <w:t xml:space="preserve">Algebraic Abstractions for Freedom</w:t>
      </w:r>
      <w:bookmarkEnd w:id="284"/>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While sieve theory was aimed at providing a plethora of computable sets (or relations) of pitches, according to different temperings of the smallest displacement unit and the selected value for the modulo operator, Codd’s relational algebra was meant the internal structure of a query language for selecting elements based on their relations. Both of these can be considered algebraic abstractions of a selection process. In the case of Xenakis, the abstraction was one held outside-time. This meant that the composer could make a snapshot, or a tomography of the pitch space in order to analyze it, extrapolating structural relations. In Codd’s case, the abstraction was spatial: the query language would be separated from the database itself, allowing a distance between a</w:t>
      </w:r>
      <w:r>
        <w:t xml:space="preserve"> </w:t>
      </w:r>
      <w:r>
        <w:t xml:space="preserve">‘</w:t>
      </w:r>
      <w:r>
        <w:t xml:space="preserve">backend</w:t>
      </w:r>
      <w:r>
        <w:t xml:space="preserve">’</w:t>
      </w:r>
      <w:r>
        <w:t xml:space="preserve"> </w:t>
      </w:r>
      <w:r>
        <w:t xml:space="preserve">and a</w:t>
      </w:r>
      <w:r>
        <w:t xml:space="preserve"> </w:t>
      </w:r>
      <w:r>
        <w:t xml:space="preserve">‘</w:t>
      </w:r>
      <w:r>
        <w:t xml:space="preserve">frontend,</w:t>
      </w:r>
      <w:r>
        <w:t xml:space="preserve">’</w:t>
      </w:r>
      <w:r>
        <w:t xml:space="preserve"> </w:t>
      </w:r>
      <w:r>
        <w:t xml:space="preserve">allowing databasers to perform queries without worrying about internal data structures, memory allocation, since these operations would occur in the background. Both methods came as an extension of freedom on the human operator: by black-boxing hardware-specific programming, the human operator could devise any kind of algebraic queries, thus operating at a higher level of abstraction, enabling a less problematic kind of envisioning. Conversely, Xenakis writes:</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5"/>
      </w:pPr>
      <w:bookmarkStart w:id="285" w:name="a-cosmic-vessel-and-an-armchair"/>
      <w:r>
        <w:t xml:space="preserve">A Cosmic Vessel and an Armchair</w:t>
      </w:r>
      <w:bookmarkEnd w:id="285"/>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for the</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86"/>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itself, which the overall circuitry would itself complicate; criticism on account of this shortcoming of the circuit would thus be rendered anachronic, but recalling these limitations places composition and databasing in perspective.</w:t>
      </w:r>
    </w:p>
    <w:p>
      <w:pPr>
        <w:pStyle w:val="Heading3"/>
      </w:pPr>
      <w:bookmarkStart w:id="287" w:name="improv"/>
      <w:r>
        <w:t xml:space="preserve">The Database As Performer</w:t>
      </w:r>
      <w:bookmarkEnd w:id="287"/>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w:t>
      </w:r>
      <w:r>
        <w:t xml:space="preserve"> </w:t>
      </w:r>
      <w:r>
        <w:t xml:space="preserve">“</w:t>
      </w:r>
      <w:r>
        <w:t xml:space="preserve">a 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networked relation</w:t>
      </w:r>
      <w:r>
        <w:t xml:space="preserve"> </w:t>
      </w:r>
      <w:r>
        <w:rPr>
          <w:i/>
        </w:rPr>
        <w:t xml:space="preserve">with</w:t>
      </w:r>
      <w:r>
        <w:t xml:space="preserve"> </w:t>
      </w:r>
      <w:r>
        <w:t xml:space="preserve">the computer. That is to say, Xenakis’ metaphor of the computer as pilot, would be turned upside down, altogether reconfiguring the navigational metaphor: the ship begins to navigate itself.</w:t>
      </w:r>
    </w:p>
    <w:p>
      <w:pPr>
        <w:pStyle w:val="Heading5"/>
      </w:pPr>
      <w:bookmarkStart w:id="288" w:name="the-computer-as-a-musical-instrument"/>
      <w:r>
        <w:t xml:space="preserve">The Computer as a Musical Instrument</w:t>
      </w:r>
      <w:bookmarkEnd w:id="288"/>
    </w:p>
    <w:p>
      <w:pPr>
        <w:pStyle w:val="FirstParagraph"/>
      </w:pPr>
      <w:r>
        <w:t xml:space="preserve">It is now pertintent to bring back Max Mathews</w:t>
      </w:r>
      <w:r>
        <w:t xml:space="preserve"> </w:t>
      </w:r>
      <w:r>
        <w:t xml:space="preserve">“</w:t>
      </w:r>
      <w:r>
        <w:t xml:space="preserve">computer as musical instrument</w:t>
      </w:r>
      <w:r>
        <w:t xml:space="preserve">”</w:t>
      </w:r>
      <w:r>
        <w:t xml:space="preserve"> </w:t>
      </w:r>
      <w:r>
        <w:t xml:space="preserve">(Mathews 1963)</w:t>
      </w:r>
      <w:r>
        <w:t xml:space="preserve">. The architecture of</w:t>
      </w:r>
      <w:r>
        <w:t xml:space="preserve"> </w:t>
      </w:r>
      <w:r>
        <w:t xml:space="preserve">MUSIC-V</w:t>
      </w:r>
      <w:r>
        <w:t xml:space="preserve"> </w:t>
      </w:r>
      <w:r>
        <w:t xml:space="preserve">is built on concept of the computer as an instrument that the composer performs by providing it a score. The three stages of data flow (reading, sorting, and executing) are modeled from three music concepts: score, metronome, and instrument. It is significant that two (human) elements of (european) music tradition (composer and performer) are missing from this triad, as well as the programmer. (A fourth missing element, the improviser, will appear further down this text.) On the one hand, the hybrid musical instrument that the computer represented already collapsed three concepts into one, resulting in a hybrid score/metronome/instrument. On the other hand, it can be argued that by this elision, the three missing human terms have collapsed into one another, forming a new hybrid definition of composer, performer, and programmer. In any case, this hybridity became evident in the music work itself, as can be read from a rhetorics of control in favor of the composer:</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5"/>
      </w:pPr>
      <w:bookmarkStart w:id="289" w:name="a-minor-liberty"/>
      <w:r>
        <w:t xml:space="preserve">A Minor Liberty</w:t>
      </w:r>
      <w:bookmarkEnd w:id="289"/>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generator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reassurement for the reader that computers would not take control over music, let alone over the world. As I see it, arguing for control while granting some liberty relates to a negotiation between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5"/>
      </w:pPr>
      <w:bookmarkStart w:id="290" w:name="the-computer-as-a-player"/>
      <w:r>
        <w:t xml:space="preserve">The Computer as a Player</w:t>
      </w:r>
      <w:bookmarkEnd w:id="290"/>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a response (sonic output) is elaborated.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instrument itself contains embedded processes that grant some level of independence. This means that the composer intentionally relinquishes control of the artwork’s structure to the system itself.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What this amount to is a distributed authority of the work among the elements of the system. For example, in</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5"/>
      </w:pPr>
      <w:bookmarkStart w:id="291" w:name="programming-decisions"/>
      <w:r>
        <w:t xml:space="preserve">Programming Decisions</w:t>
      </w:r>
      <w:bookmarkEnd w:id="291"/>
    </w:p>
    <w:p>
      <w:pPr>
        <w:pStyle w:val="FirstParagraph"/>
      </w:pPr>
      <w:r>
        <w:t xml:space="preserve">However, in order to implement concepts coming from artificial intelligence such as machine listening and learning, the complexity of the program itself increases exponentially. In light of these difficulties arising from programming,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Furthermore, the player paradigm and its subsequence reconfiguration of authority is possible by means of an implemented database: the computer stores features during the course of the performance, which are then averaged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4.3.3.1.4</w:t>
        </w:r>
      </w:hyperlink>
      <w:r>
        <w:t xml:space="preserve">).</w:t>
      </w:r>
      <w:r>
        <w:t xml:space="preserve"> </w:t>
      </w:r>
      <w:r>
        <w:rPr>
          <w:i/>
        </w:rPr>
        <w:t xml:space="preserve">Voyager</w:t>
      </w:r>
      <w:r>
        <w:t xml:space="preserve"> </w:t>
      </w:r>
      <w:r>
        <w:t xml:space="preserve">indeed brings interactivity between human and nonhumans to another stage, and because of it, music composition can be seen differently. However, the intricacies of the programming decisions are still in play, specifically in the modelling of musical concepts within data structures.</w:t>
      </w:r>
    </w:p>
    <w:p>
      <w:pPr>
        <w:pStyle w:val="Heading5"/>
      </w:pPr>
      <w:bookmarkStart w:id="292" w:name="anachronic-composers"/>
      <w:r>
        <w:t xml:space="preserve">Anachronic Composers</w:t>
      </w:r>
      <w:bookmarkEnd w:id="292"/>
    </w:p>
    <w:p>
      <w:pPr>
        <w:pStyle w:val="FirstParagraph"/>
      </w:pPr>
      <w:r>
        <w:t xml:space="preserve">This notion of interactivity differs greatly from Xenakis’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5"/>
      </w:pPr>
      <w:bookmarkStart w:id="293" w:name="bang"/>
      <w:r>
        <w:t xml:space="preserve"> </w:t>
      </w:r>
      <w:r>
        <w:rPr>
          <w:rStyle w:val="VerbatimChar"/>
          <w:b/>
        </w:rPr>
        <w:t xml:space="preserve">bang</w:t>
      </w:r>
      <w:r>
        <w:t xml:space="preserve"> </w:t>
      </w:r>
      <w:bookmarkEnd w:id="293"/>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considered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5.3.3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itself, and to the unfortunate naming of</w:t>
      </w:r>
      <w:r>
        <w:t xml:space="preserve"> </w:t>
      </w:r>
      <w:r>
        <w:t xml:space="preserve">‘</w:t>
      </w:r>
      <w:r>
        <w:t xml:space="preserve">bang</w:t>
      </w:r>
      <w:r>
        <w:t xml:space="preserve">’</w:t>
      </w:r>
      <w:r>
        <w:t xml:space="preserve"> </w:t>
      </w:r>
      <w:r>
        <w:t xml:space="preserve">method of objects, a method which (generally) triggers the object’s core routine.</w:t>
      </w:r>
      <w:r>
        <w:rPr>
          <w:rStyle w:val="FootnoteReference"/>
        </w:rPr>
        <w:footnoteReference w:id="294"/>
      </w:r>
      <w:r>
        <w:t xml:space="preserve"> </w:t>
      </w:r>
      <w:r>
        <w:t xml:space="preserve">In order to address this shortcoming of interactivity, Lewis relates it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itself is at stake by the presence of a simple model of interaction. For Lewis, the crucial aspect of this model is the empowering of the image of the composer.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that would not allow for the nonhuman to become an operational agent beyond the instructions for which it was designed. In this sense, the simple-level automaton is a symbolic restrain representing the classical concept of the human itself, which allows a non-threatening relation between man and machine that can be considered functional, productive, and operative.</w:t>
      </w:r>
    </w:p>
    <w:p>
      <w:pPr>
        <w:pStyle w:val="Heading5"/>
      </w:pPr>
      <w:bookmarkStart w:id="295" w:name="nonhuman-composers"/>
      <w:r>
        <w:t xml:space="preserve">Nonhuman composers</w:t>
      </w:r>
      <w:bookmarkEnd w:id="295"/>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In Lewis’ narrative, this entails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itself, 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hybridity. A hybridity that cannot be considered</w:t>
      </w:r>
      <w:r>
        <w:t xml:space="preserve"> </w:t>
      </w:r>
      <w:r>
        <w:t xml:space="preserve">‘</w:t>
      </w:r>
      <w:r>
        <w:t xml:space="preserve">on its own</w:t>
      </w:r>
      <w:r>
        <w:t xml:space="preserve">’</w:t>
      </w:r>
      <w:r>
        <w:t xml:space="preserve">, since it escapes any idea of ownness (or oneness). Therefore, a hybridity that is expanded in networked resonance. It is in this sense that Lewis’ proposal is geared towards an interactive (computer) music</w:t>
      </w:r>
      <w:r>
        <w:t xml:space="preserve"> </w:t>
      </w:r>
      <w:r>
        <w:rPr>
          <w:i/>
        </w:rPr>
        <w:t xml:space="preserve">not entirely</w:t>
      </w:r>
      <w:r>
        <w:t xml:space="preserve"> </w:t>
      </w:r>
      <w:r>
        <w:t xml:space="preserve">driven by input.</w:t>
      </w:r>
    </w:p>
    <w:p>
      <w:pPr>
        <w:pStyle w:val="Heading5"/>
      </w:pPr>
      <w:bookmarkStart w:id="296" w:name="fractured-works"/>
      <w:r>
        <w:t xml:space="preserve">Fractured Works</w:t>
      </w:r>
      <w:bookmarkEnd w:id="296"/>
    </w:p>
    <w:p>
      <w:pPr>
        <w:pStyle w:val="BlockText"/>
      </w:pPr>
      <w:r>
        <w:t xml:space="preserve">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what begins to question the basis upon which our general concept of the human is built, and by extension, the agency of everything that falls outside of its definition. It is the beginning of a breakage, a crack on the foundation of Xenakis’ (old) armchair, from which the state of suspension of the concept of the music work can be understood:</w:t>
      </w:r>
    </w:p>
    <w:p>
      <w:pPr>
        <w:pStyle w:val="BlockText"/>
      </w:pPr>
      <w:r>
        <w:t xml:space="preserve">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 (Foster 1983). Rather, 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Furthermore, what this fracture reveals is hybrid nature of the notion of what is real and what is virtual. Understood traditionally, or better, understood under the stipulations of the first wave cyberneticians, the composer, being the real factor in the constitution of the (modern) image of the composer, is faced with the virtuality of the computer. Upon this encounter, the virtual comes as a form of threat to replace that which is real. In this sense, this is how I would like to approach Lewis’ consideration of</w:t>
      </w:r>
      <w:r>
        <w:t xml:space="preserve"> </w:t>
      </w:r>
      <w:r>
        <w:rPr>
          <w:i/>
        </w:rPr>
        <w:t xml:space="preserve">Voyager</w:t>
      </w:r>
      <w:r>
        <w:t xml:space="preserve"> </w:t>
      </w:r>
      <w:r>
        <w:t xml:space="preserve">as</w:t>
      </w:r>
      <w:r>
        <w:t xml:space="preserve"> </w:t>
      </w:r>
      <w:r>
        <w:t xml:space="preserve">“</w:t>
      </w:r>
      <w:r>
        <w:t xml:space="preserve">not really a work.</w:t>
      </w:r>
      <w:r>
        <w:t xml:space="preserve">”</w:t>
      </w:r>
      <w:r>
        <w:t xml:space="preserve"> </w:t>
      </w:r>
      <w:r>
        <w:t xml:space="preserve">I hope the reader would forgive me for having borrowed these adjectives out of context —</w:t>
      </w:r>
      <w:r>
        <w:t xml:space="preserve">‘</w:t>
      </w:r>
      <w:r>
        <w:t xml:space="preserve">entirely</w:t>
      </w:r>
      <w:r>
        <w:t xml:space="preserve">’</w:t>
      </w:r>
      <w:r>
        <w:t xml:space="preserve"> </w:t>
      </w:r>
      <w:r>
        <w:t xml:space="preserve">and</w:t>
      </w:r>
      <w:r>
        <w:t xml:space="preserve"> </w:t>
      </w:r>
      <w:r>
        <w:t xml:space="preserve">‘</w:t>
      </w:r>
      <w:r>
        <w:t xml:space="preserve">really</w:t>
      </w:r>
      <w:r>
        <w:t xml:space="preserve">’</w:t>
      </w:r>
      <w:r>
        <w:t xml:space="preserve">— so as to allow my argument to echo with Lewis’ for a while. On the one hand, as Lewis claims, the goal of the interactivity between the composer and the computer is to allow the real and the virtual,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 Seen in this light, virtuality should enhance, not interfere, with communication between us</w:t>
      </w:r>
      <w:r>
        <w:t xml:space="preserve">”</w:t>
      </w:r>
      <w:r>
        <w:t xml:space="preserve"> </w:t>
      </w:r>
      <w:r>
        <w:t xml:space="preserve">(Lewis 1999, p. 110)</w:t>
      </w:r>
      <w:r>
        <w:t xml:space="preserve">. Therefore, considering the role of virtuality after new media integrated theories of embodiment, the computer reveals to the human —composer, improviser, performer— the very condition of its own virtuality, that is, virtuality itself within the human.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it can’t be ’really’ a work, because it is virtuality itself resounding back. Another way to approach this is the fact that the computer can be said to be</w:t>
      </w:r>
      <w:r>
        <w:t xml:space="preserve"> </w:t>
      </w:r>
      <w:r>
        <w:t xml:space="preserve">‘</w:t>
      </w:r>
      <w:r>
        <w:t xml:space="preserve">listening</w:t>
      </w:r>
      <w:r>
        <w:t xml:space="preserve">’</w:t>
      </w:r>
      <w:r>
        <w:t xml:space="preserve"> </w:t>
      </w:r>
      <w:r>
        <w:t xml:space="preserve">to the performer, given that its real-time analysis is content-based, using techniques that have been applied to music information retrieval over the years (See</w:t>
      </w:r>
      <w:r>
        <w:t xml:space="preserve"> </w:t>
      </w:r>
      <w:hyperlink w:anchor="mir">
        <w:r>
          <w:rPr>
            <w:rStyle w:val="Hyperlink"/>
          </w:rPr>
          <w:t xml:space="preserve">4.3.1</w:t>
        </w:r>
      </w:hyperlink>
      <w:r>
        <w:t xml:space="preserve">).</w:t>
      </w:r>
    </w:p>
    <w:p>
      <w:pPr>
        <w:pStyle w:val="Heading5"/>
      </w:pPr>
      <w:bookmarkStart w:id="297" w:name="databasing-vessel"/>
      <w:r>
        <w:t xml:space="preserve">Databasing Vessel</w:t>
      </w:r>
      <w:bookmarkEnd w:id="297"/>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itself. This database of actions, however, is the sonic trace of the performance itself,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one that puts into question —though, to a certain extent— the operativity of the music work itself. To a certain extent, because the notion of productivity and cohesion are still present within Lewis’ music and texts, and also, to the (paradoxical) extent that it is still a</w:t>
      </w:r>
      <w:r>
        <w:t xml:space="preserve"> </w:t>
      </w:r>
      <w:r>
        <w:t xml:space="preserve">‘</w:t>
      </w:r>
      <w:r>
        <w:t xml:space="preserve">work,</w:t>
      </w:r>
      <w:r>
        <w:t xml:space="preserve">’</w:t>
      </w:r>
      <w:r>
        <w:t xml:space="preserve"> </w:t>
      </w:r>
      <w:r>
        <w:t xml:space="preserve">a destiny that somehow manages to persist within the practice of composition. Nonetheless, and without a doubt, Lewis’ claim for the</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298" w:name="music"/>
      <w:r>
        <w:t xml:space="preserve">The Severed Object Of Music</w:t>
      </w:r>
      <w:bookmarkEnd w:id="298"/>
    </w:p>
    <w:p>
      <w:pPr>
        <w:pStyle w:val="BlockText"/>
      </w:pPr>
      <w:r>
        <w:t xml:space="preserve">[The] Heideggerian ‘work of art’ is able to present a unified picture that may be used for political purposes [it] is only what it is in the world that it opens…Nancy is seeking a ‘workless’ or ‘unworking’ work,</w:t>
      </w:r>
      <w:r>
        <w:t xml:space="preserve"> </w:t>
      </w:r>
      <w:r>
        <w:rPr>
          <w:i/>
        </w:rPr>
        <w:t xml:space="preserve">a work that refuses to create itself as a total work</w:t>
      </w:r>
      <w:r>
        <w:t xml:space="preserve">. Hence, Nancy proposes an artwork that would offer itself as a permanently open whole, the concept of art remaining undecided and lacking anything that might unify it. [emphasis added]</w:t>
      </w:r>
      <w:r>
        <w:t xml:space="preserve"> </w:t>
      </w:r>
      <w:r>
        <w:t xml:space="preserve">(Gratton &amp; Morin 2015)</w:t>
      </w:r>
    </w:p>
    <w:p>
      <w:pPr>
        <w:pStyle w:val="Heading5"/>
      </w:pPr>
      <w:bookmarkStart w:id="299" w:name="an-incomplete-object"/>
      <w:r>
        <w:t xml:space="preserve">An Incomplete Object</w:t>
      </w:r>
      <w:bookmarkEnd w:id="299"/>
    </w:p>
    <w:p>
      <w:pPr>
        <w:pStyle w:val="FirstParagraph"/>
      </w:pPr>
      <w:r>
        <w:t xml:space="preserve">I would like to refer once again to Jean-Luc Nancy’s concept of inoperativity (See</w:t>
      </w:r>
      <w:r>
        <w:t xml:space="preserve"> </w:t>
      </w:r>
      <w:hyperlink w:anchor="inoperativity">
        <w:r>
          <w:rPr>
            <w:rStyle w:val="Hyperlink"/>
          </w:rPr>
          <w:t xml:space="preserve">5.1.4</w:t>
        </w:r>
      </w:hyperlink>
      <w:r>
        <w:t xml:space="preserve">), this time in relation to the music object. I argue that, given that the inoperativity of the listening experience reveals itself as the interaction between resonance —as the</w:t>
      </w:r>
      <w:r>
        <w:t xml:space="preserve"> </w:t>
      </w:r>
      <w:r>
        <w:rPr>
          <w:i/>
        </w:rPr>
        <w:t xml:space="preserve">différance</w:t>
      </w:r>
      <w:r>
        <w:t xml:space="preserve"> </w:t>
      </w:r>
      <w:r>
        <w:t xml:space="preserve">within sense and sensuality— and the unworking of the network, its resulting object, instead of being a complete whole —a finished, integral</w:t>
      </w:r>
      <w:r>
        <w:t xml:space="preserve"> </w:t>
      </w:r>
      <w:r>
        <w:t xml:space="preserve">‘</w:t>
      </w:r>
      <w:r>
        <w:t xml:space="preserve">thing</w:t>
      </w:r>
      <w:r>
        <w:t xml:space="preserve">’</w:t>
      </w:r>
      <w:r>
        <w:t xml:space="preserve">, or even, a</w:t>
      </w:r>
      <w:r>
        <w:t xml:space="preserve"> </w:t>
      </w:r>
      <w:r>
        <w:t xml:space="preserve">‘</w:t>
      </w:r>
      <w:r>
        <w:t xml:space="preserve">piece</w:t>
      </w:r>
      <w:r>
        <w:t xml:space="preserve">’</w:t>
      </w:r>
      <w:r>
        <w:rPr>
          <w:rStyle w:val="FootnoteReference"/>
        </w:rPr>
        <w:footnoteReference w:id="300"/>
      </w:r>
      <w:r>
        <w:t xml:space="preserve">—, it becomes a severed music object. This object is different from Pierre Schaeffer’s music or sound object, which comes to represent material with which to work. Neither it is related to Vaggione’s concept of object, which comes from object-oriented programming, meaning every composable primitive, from the micro to the macro. In both of the above, the object is used to provide, though not without their author’s intervention, a notion of</w:t>
      </w:r>
      <w:r>
        <w:t xml:space="preserve"> </w:t>
      </w:r>
      <w:r>
        <w:rPr>
          <w:i/>
        </w:rPr>
        <w:t xml:space="preserve">coherence</w:t>
      </w:r>
      <w:r>
        <w:t xml:space="preserve"> </w:t>
      </w:r>
      <w:r>
        <w:t xml:space="preserve">to the work.</w:t>
      </w:r>
    </w:p>
    <w:p>
      <w:pPr>
        <w:pStyle w:val="Heading5"/>
      </w:pPr>
      <w:bookmarkStart w:id="301" w:name="remains-of-listening"/>
      <w:r>
        <w:t xml:space="preserve">Remains of Listening</w:t>
      </w:r>
      <w:bookmarkEnd w:id="301"/>
    </w:p>
    <w:p>
      <w:pPr>
        <w:pStyle w:val="FirstParagraph"/>
      </w:pPr>
      <w:r>
        <w:t xml:space="preserve">The object I am referring to resides in memory, as the remains of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subject of analysis, it is forensic. In being fractured, it is the evidence of a destruction. In being severed, and this is the central aspect that I would like to focus on, risking simultaneously the severing of the object itself, it becomes the evidence of a sacrifice. If it can be said that the music object is a severed object, then the question of its severing necessarily relates to the question of listening. Therefore, by listening —and, by this, I mean entering in resonance with resonance itself, exposing the self to that which returns to itself— I participate in this severing, because in listening I choose what to listen in spite of being already deprived from that choice.</w:t>
      </w:r>
    </w:p>
    <w:p>
      <w:pPr>
        <w:pStyle w:val="Heading5"/>
      </w:pPr>
      <w:bookmarkStart w:id="302" w:name="sources-and-sorcerers"/>
      <w:r>
        <w:t xml:space="preserve">Sources and Sorcerers</w:t>
      </w:r>
      <w:bookmarkEnd w:id="302"/>
    </w:p>
    <w:p>
      <w:pPr>
        <w:pStyle w:val="FirstParagraph"/>
      </w:pPr>
      <w:r>
        <w:t xml:space="preserve">The sounds onstage are always before and after the staging. The severed object of music is what, as listeners, we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The severed object of music is always severed, but never in the same way, since there are as many severings as there are listeners, and as many listenings as there are moments. In this difference, what is resonant is the object of music, which is never one and the same because it is a singularity resonating in plurality. Composers have traditionally been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w:t>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5"/>
      </w:pPr>
      <w:bookmarkStart w:id="303" w:name="naming"/>
      <w:r>
        <w:t xml:space="preserve">Naming</w:t>
      </w:r>
      <w:bookmarkEnd w:id="303"/>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itself as the one and only owner of the world —that is, owner of the mountain itself, and of the water, and every particle of the one and only universe.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itself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itself. Further, the severing style itself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itself,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04"/>
      </w:r>
    </w:p>
    <w:p>
      <w:pPr>
        <w:pStyle w:val="Heading5"/>
      </w:pPr>
      <w:bookmarkStart w:id="305" w:name="dynamics"/>
      <w:r>
        <w:t xml:space="preserve">Dynamics</w:t>
      </w:r>
      <w:bookmarkEnd w:id="305"/>
    </w:p>
    <w:p>
      <w:pPr>
        <w:pStyle w:val="FirstParagraph"/>
      </w:pPr>
      <w:r>
        <w:t xml:space="preserve">Furthermore, the activity of the sorcerer lends itself to its signature. In other words, the manner in which the composer defines the music, from beginning to end, becomes the shape of the music, understanding</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simply media in general—, the movement of air pressure. It is in front, because it filters the memory of the activity of sound sources. However, this composed shape and the singularity act together in the moment of listening. The question is, then, regarding the dynamics of this activity. Given that this activity happens during listening, what I addressing now is precisely how the shape of the music interacts with the listening itself. That is to say, the interaction between shape —but also the form, the idea— and the singularity of the listened. Interaction, here, refers to the shared activity that occurs</w:t>
      </w:r>
      <w:r>
        <w:t xml:space="preserve"> </w:t>
      </w:r>
      <w:r>
        <w:t xml:space="preserve">‘</w:t>
      </w:r>
      <w:r>
        <w:t xml:space="preserve">inside</w:t>
      </w:r>
      <w:r>
        <w:t xml:space="preserve">’</w:t>
      </w:r>
      <w:r>
        <w:t xml:space="preserve"> </w:t>
      </w:r>
      <w:r>
        <w:t xml:space="preserve">listening itself,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This is what I consider the moment of listening that is none other than listening to music. However, once this severing has occurred, and within its momentum, it is the internal dynamics that enter into play, and it is the shape of the music what begins to delineate the shape of the listened.</w:t>
      </w:r>
    </w:p>
    <w:p>
      <w:pPr>
        <w:pStyle w:val="Heading5"/>
      </w:pPr>
      <w:bookmarkStart w:id="306" w:name="masterwork"/>
      <w:r>
        <w:t xml:space="preserve">Masterwork</w:t>
      </w:r>
      <w:bookmarkEnd w:id="306"/>
    </w:p>
    <w:p>
      <w:pPr>
        <w:pStyle w:val="FirstParagraph"/>
      </w:pPr>
      <w:r>
        <w:t xml:space="preserve">Understood in this way, that is, the shape of the music as a force that produces a certain listening experience, therefore, the internal dynamics are already written.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 ideal force. The singularity of the listened is resistance itself, like I have mentioned before in relation to the trace (See</w:t>
      </w:r>
      <w:r>
        <w:t xml:space="preserve"> </w:t>
      </w:r>
      <w:hyperlink w:anchor="human">
        <w:r>
          <w:rPr>
            <w:rStyle w:val="Hyperlink"/>
          </w:rPr>
          <w:t xml:space="preserve">5.2.1</w:t>
        </w:r>
      </w:hyperlink>
      <w:r>
        <w:t xml:space="preserve">). It acts as resistance itself, and its force is not enough to resist the command of the excellent work. This is the very presence of the masterwork, at work, the work of a master that requires the slave —a slave that is not the rest of the works but the outshunned singularities that have been muted by its very own presence.</w:t>
      </w:r>
      <w:r>
        <w:t xml:space="preserve"> </w:t>
      </w:r>
      <w:r>
        <w:t xml:space="preserve">‘</w:t>
      </w:r>
      <w:r>
        <w:t xml:space="preserve">Almost,</w:t>
      </w:r>
      <w:r>
        <w:t xml:space="preserve">’</w:t>
      </w:r>
      <w:r>
        <w:t xml:space="preserve"> </w:t>
      </w:r>
      <w:r>
        <w:t xml:space="preserve">in the hope that its work can be relativized, disarticulated, disentangled from the source of sources, brought down the stream to the place where singularities can resonate in endless forms of matter. However, the problem is now of a different sort. Even if resisting forces match those of the masterwork, then, like Derrida’s concept of a paralysis of memory, we can encounter a paralysis of listening itself. This paralysis. This might (also) be what Szendy means, as well, by the cutting loose of the inattentive listener in modernity, but in a different way. It is not a paralysis caused by distraction, it is a paralysis caused by the very force that is needed to match the force of the master work. It is a paralysis that is directly called for from outside —from the shape of the music itself—, one which prevents any further listening. This is what is called for by the work of the masterwork: pure —and utterly ideal— silence.</w:t>
      </w:r>
    </w:p>
    <w:p>
      <w:pPr>
        <w:pStyle w:val="Heading5"/>
      </w:pPr>
      <w:bookmarkStart w:id="307" w:name="architecture-of-obedience"/>
      <w:r>
        <w:t xml:space="preserve">Architecture of Obedience</w:t>
      </w:r>
      <w:bookmarkEnd w:id="307"/>
    </w:p>
    <w:p>
      <w:pPr>
        <w:pStyle w:val="FirstParagraph"/>
      </w:pPr>
      <w:r>
        <w:t xml:space="preserve">Therefore, within these dynamics of work, what results is a function of the predicates, it is the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working out the work, of creating the structures, becomes the architect of the listened, the creator of a listening that of which he himself is the only chief. The sorcerer in charge of quenching a thirst that is only there because it is always already there, beforehand, instantiated with its own creation. The question now is how can this dynamics be approached once that I have recognized that it is there. How can composition continue, a composition that does not participate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08" w:name="anarchy"/>
      <w:r>
        <w:t xml:space="preserve">Anarchy And The Unwork</w:t>
      </w:r>
      <w:bookmarkEnd w:id="308"/>
    </w:p>
    <w:p>
      <w:pPr>
        <w:pStyle w:val="FirstParagraph"/>
      </w:pPr>
      <w:r>
        <w:t xml:space="preserve">What characterizes the aesthetic dimension in the severed music object of the composition that does not impose its own listening is inoperativity.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 The case is quite different from that of the</w:t>
      </w:r>
      <w:r>
        <w:t xml:space="preserve"> </w:t>
      </w:r>
      <w:r>
        <w:t xml:space="preserve">‘</w:t>
      </w:r>
      <w:r>
        <w:t xml:space="preserve">open</w:t>
      </w:r>
      <w:r>
        <w:t xml:space="preserve">’</w:t>
      </w:r>
      <w:r>
        <w:t xml:space="preserve"> </w:t>
      </w:r>
      <w:r>
        <w:t xml:space="preserve">work, since the work never reaches completion.</w:t>
      </w:r>
    </w:p>
    <w:p>
      <w:pPr>
        <w:pStyle w:val="Heading5"/>
      </w:pPr>
      <w:bookmarkStart w:id="309" w:name="place-in-common"/>
      <w:r>
        <w:t xml:space="preserve">Place in Common</w:t>
      </w:r>
      <w:bookmarkEnd w:id="309"/>
    </w:p>
    <w:p>
      <w:pPr>
        <w:pStyle w:val="FirstParagraph"/>
      </w:pPr>
      <w:r>
        <w:t xml:space="preserve">The unwork radically differs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in inherent to the hybridity of its construction. The construction, in turn, is a result of the reticulated and fragmented state of exposure between the human and the nonhuman. In this sense, the limit of the unwork is the exposure of exposure itself, that is, an instantiation of the place in common.</w:t>
      </w:r>
    </w:p>
    <w:p>
      <w:pPr>
        <w:pStyle w:val="Heading5"/>
      </w:pPr>
      <w:bookmarkStart w:id="310" w:name="disintegrated-imperative"/>
      <w:r>
        <w:t xml:space="preserve">Disintegrated Imperative</w:t>
      </w:r>
      <w:bookmarkEnd w:id="310"/>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for if this were the case, such failure would be its paradoxical success.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5"/>
      </w:pPr>
      <w:bookmarkStart w:id="311" w:name="blind-experimentation"/>
      <w:r>
        <w:t xml:space="preserve">Blind Experimentation</w:t>
      </w:r>
      <w:bookmarkEnd w:id="311"/>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Therefore,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5"/>
      </w:pPr>
      <w:bookmarkStart w:id="312" w:name="doctoring-the-glitch"/>
      <w:r>
        <w:t xml:space="preserve">Doctoring the Glitch</w:t>
      </w:r>
      <w:bookmarkEnd w:id="312"/>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p>
    <w:p>
      <w:pPr>
        <w:pStyle w:val="BlockText"/>
      </w:pPr>
      <w:r>
        <w:t xml:space="preserve">But it seems this approach affects the listening habits of electronica aficionados…the</w:t>
      </w:r>
      <w:r>
        <w:t xml:space="preserve"> </w:t>
      </w:r>
      <w:r>
        <w:t xml:space="preserve">‘</w:t>
      </w:r>
      <w:r>
        <w:t xml:space="preserve">atomic</w:t>
      </w:r>
      <w:r>
        <w:t xml:space="preserve">’</w:t>
      </w:r>
      <w:r>
        <w:t xml:space="preserve"> </w:t>
      </w:r>
      <w:r>
        <w:t xml:space="preserve">parts, or samples, used in composing electronica from small modular pieces had become the whole. This is a clear indication that contemporary computer music has become fragmented, it is composed of stratified layers that intermingle and defer meaning until the listener takes an active role in the production of meaning.</w:t>
      </w:r>
      <w:r>
        <w:t xml:space="preserve"> </w:t>
      </w:r>
      <w:r>
        <w:t xml:space="preserve">(Cascone 2000, p. 17)</w:t>
      </w:r>
    </w:p>
    <w:p>
      <w:pPr>
        <w:pStyle w:val="Heading5"/>
      </w:pPr>
      <w:bookmarkStart w:id="313" w:name="unnecessary-blindfolds"/>
      <w:r>
        <w:t xml:space="preserve">Unnecessary Blindfolds</w:t>
      </w:r>
      <w:bookmarkEnd w:id="313"/>
    </w:p>
    <w:p>
      <w:pPr>
        <w:pStyle w:val="FirstParagraph"/>
      </w:pPr>
      <w:r>
        <w:t xml:space="preserve">How are we to interpret Cascone’s call for education? What is the center of this education: music technology, composition, or listening? If fragmentation, modularity, stratification, and deferred meaning are</w:t>
      </w:r>
      <w:r>
        <w:t xml:space="preserve"> </w:t>
      </w:r>
      <w:r>
        <w:t xml:space="preserve">‘</w:t>
      </w:r>
      <w:r>
        <w:t xml:space="preserve">affecting</w:t>
      </w:r>
      <w:r>
        <w:t xml:space="preserve">’</w:t>
      </w:r>
      <w:r>
        <w:t xml:space="preserve"> </w:t>
      </w:r>
      <w:r>
        <w:t xml:space="preserve">listening habits, are these</w:t>
      </w:r>
      <w:r>
        <w:t xml:space="preserve"> </w:t>
      </w:r>
      <w:r>
        <w:t xml:space="preserve">‘</w:t>
      </w:r>
      <w:r>
        <w:t xml:space="preserve">habits</w:t>
      </w:r>
      <w:r>
        <w:t xml:space="preserve">’</w:t>
      </w:r>
      <w:r>
        <w:t xml:space="preserve"> </w:t>
      </w:r>
      <w:r>
        <w:t xml:space="preserve">themselves that need to be taught? Or is the structure of the music in desperate need of medical attention? These ambiguities in his argument, however, I chose to understand as coming out of the main premise of the text, that of extending the concept of failure from the technology itself to the analysis of the work. Thus, in Cascone’s view, the aesthetics of failure of the late 1990s is still</w:t>
      </w:r>
      <w:r>
        <w:t xml:space="preserve"> </w:t>
      </w:r>
      <w:r>
        <w:t xml:space="preserve">‘</w:t>
      </w:r>
      <w:r>
        <w:t xml:space="preserve">failing</w:t>
      </w:r>
      <w:r>
        <w:t xml:space="preserve">’</w:t>
      </w:r>
      <w:r>
        <w:t xml:space="preserve"> </w:t>
      </w:r>
      <w:r>
        <w:t xml:space="preserve">to enter academia because it is itself</w:t>
      </w:r>
      <w:r>
        <w:t xml:space="preserve"> </w:t>
      </w:r>
      <w:r>
        <w:t xml:space="preserve">‘</w:t>
      </w:r>
      <w:r>
        <w:t xml:space="preserve">failing</w:t>
      </w:r>
      <w:r>
        <w:t xml:space="preserve">’</w:t>
      </w:r>
      <w:r>
        <w:t xml:space="preserve"> </w:t>
      </w:r>
      <w:r>
        <w:t xml:space="preserve">to achieve the same standards of formal cohesion that are required by the modern conception of the music</w:t>
      </w:r>
      <w:r>
        <w:t xml:space="preserve"> </w:t>
      </w:r>
      <w:r>
        <w:t xml:space="preserve">‘</w:t>
      </w:r>
      <w:r>
        <w:t xml:space="preserve">work</w:t>
      </w:r>
      <w:r>
        <w:t xml:space="preserve">’</w:t>
      </w:r>
      <w:r>
        <w:t xml:space="preserve">. Therefore, instead of finding an academic cure for blind experimentalism, I would claim to understand failure itself as an unnecessary blindfold since, at least in my consideration of the unwork, if there is no notion of success in the technology involved, there need not be any in the work itself. The success, if any, exists within the composer, and as such, it does so in relation to the very goal of disintegrating the imperative. This success is unrelated to popularity, for example, as is the case with software production, in which more users mean generally more chances of survival. This success is unrelated to value, since there is no measuring system that can determine how much of the imperative was disintegrated. In being for the composer, success is, like listening, inevitably private, a personal construction, like any other personal growth, or the overcoming of fears.</w:t>
      </w:r>
    </w:p>
    <w:p>
      <w:pPr>
        <w:pStyle w:val="Heading5"/>
      </w:pPr>
      <w:bookmarkStart w:id="314" w:name="spectral-remains"/>
      <w:r>
        <w:t xml:space="preserve">Spectral Remains</w:t>
      </w:r>
      <w:bookmarkEnd w:id="314"/>
    </w:p>
    <w:p>
      <w:pPr>
        <w:pStyle w:val="FirstParagraph"/>
      </w:pPr>
      <w:r>
        <w:t xml:space="preserve">The unwork cannot behave like a force, but it can be considered the spectral remains of a force. In this sense, if there is an illusion of a force, it must appear as wreckage, an after dream, a mirror that shows us our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 not us, but as yet again us. This is the moment that the unwork carries with it the most crucial aspect of all: it has nothing to give. It gives nothing. And this is when listening finds us without anything to hold on to but our very own resonance. Our very own listening to ourselves listening. The moment where we realize it is our own self that is returning to us. This is our resistance.</w:t>
      </w:r>
    </w:p>
    <w:p>
      <w:pPr>
        <w:pStyle w:val="Heading5"/>
      </w:pPr>
      <w:bookmarkStart w:id="315" w:name="macroforma"/>
      <w:r>
        <w:t xml:space="preserve">Macroforma</w:t>
      </w:r>
      <w:bookmarkEnd w:id="315"/>
    </w:p>
    <w:p>
      <w:pPr>
        <w:pStyle w:val="FirstParagraph"/>
      </w:pPr>
      <w:r>
        <w:t xml:space="preserve">The resonance of a return. This is why the unwork depends so extremely on its very state of fragility: it touches the self from itself, it engages the self with its own touch, with its own skin, with the resonance of itself. The moment this fragility is forgotten is when composers, performers, improvisors, programmers —humans and nonhuman listeners, in the most broadest sense possible— enable an operative</w:t>
      </w:r>
      <w:r>
        <w:t xml:space="preserve"> </w:t>
      </w:r>
      <w:r>
        <w:rPr>
          <w:rStyle w:val="VerbatimChar"/>
        </w:rPr>
        <w:t xml:space="preserve">macro</w:t>
      </w:r>
      <w:r>
        <w:t xml:space="preserve"> </w:t>
      </w:r>
      <w:r>
        <w:t xml:space="preserve">that has a political agency in the shaping of singularities. In order to to provide some insight into the difficulties that arise from this conceptualization of the unwork, I would like to bring again Vaggione.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singularly, and the value of his music is not put into question. I bring this as an example, as I have mentioned before, of the name of the composer and its impression on the music. In this case, the singularity that is the composer impresses its own singular shape, its own style, its own trace, on the music, and makes it a work. The problem is that the work now engages with its own operativity, with its integrity, and begins to dictate the shape of its own listening.</w:t>
      </w:r>
    </w:p>
    <w:p>
      <w:pPr>
        <w:pStyle w:val="Heading5"/>
      </w:pPr>
      <w:bookmarkStart w:id="316" w:name="overfitting"/>
      <w:r>
        <w:t xml:space="preserve">Overfitting</w:t>
      </w:r>
      <w:bookmarkEnd w:id="316"/>
    </w:p>
    <w:p>
      <w:pPr>
        <w:pStyle w:val="FirstParagraph"/>
      </w:pPr>
      <w:r>
        <w:t xml:space="preserve">Defining anarchy as a paradoxically productive force —a form of destruction which</w:t>
      </w:r>
      <w:r>
        <w:t xml:space="preserve"> </w:t>
      </w:r>
      <w:r>
        <w:t xml:space="preserve">“</w:t>
      </w:r>
      <w:r>
        <w:t xml:space="preserve">produces the very thing it reduces</w:t>
      </w:r>
      <w:r>
        <w:t xml:space="preserve">”</w:t>
      </w:r>
      <w:r>
        <w:t xml:space="preserve"> </w:t>
      </w:r>
      <w:r>
        <w:t xml:space="preserve">(Derrida &amp; Prenowitz 1995)</w:t>
      </w:r>
      <w:r>
        <w:t xml:space="preserve">—, Derrida locates it at the core of the concept of the archive (See</w:t>
      </w:r>
      <w:r>
        <w:t xml:space="preserve"> </w:t>
      </w:r>
      <w:hyperlink w:anchor="archontic">
        <w:r>
          <w:rPr>
            <w:rStyle w:val="Hyperlink"/>
          </w:rPr>
          <w:t xml:space="preserve">5.2.2</w:t>
        </w:r>
      </w:hyperlink>
      <w:r>
        <w:t xml:space="preserve">). As I have outlined before, databasing and composition bring forth their relation to the archive, and by doing so, they reveal themselves as repositories for the the archontic principle: bound to the origin and the rule. Like the name of the composer which is written in the shape of the music, the database has too the potential of becoming a source. Databasing becomes an activity of this source, and thus embeds the databaser with a specter of authority (See</w:t>
      </w:r>
      <w:r>
        <w:t xml:space="preserve"> </w:t>
      </w:r>
      <w:hyperlink w:anchor="authority">
        <w:r>
          <w:rPr>
            <w:rStyle w:val="Hyperlink"/>
          </w:rPr>
          <w:t xml:space="preserve">5.3.4</w:t>
        </w:r>
      </w:hyperlink>
      <w:r>
        <w:t xml:space="preserve">). Claiming, therefore, that composition can be identified with databasing means translating the</w:t>
      </w:r>
      <w:r>
        <w:t xml:space="preserve"> </w:t>
      </w:r>
      <w:r>
        <w:t xml:space="preserve">‘</w:t>
      </w:r>
      <w:r>
        <w:t xml:space="preserve">archic</w:t>
      </w:r>
      <w:r>
        <w:t xml:space="preserve">’</w:t>
      </w:r>
      <w:r>
        <w:t xml:space="preserve"> </w:t>
      </w:r>
      <w:r>
        <w:t xml:space="preserve">not only to the performativity of composition, also to the product of composing, to the composer and the composed, to the shape of the music, and to the singularity of the listened. An unwork, therefore, would be a necessarily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in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 set, tend to adapt themselves too closely to the data set, thus failing to render future predictions reliably. This is known as overfitting. Despite its uselessness (or better, because of it) I believe this to be a suitable metaphor for the pursuit of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17" w:name="worker"/>
      <w:r>
        <w:t xml:space="preserve">[Wip] Work In Progress</w:t>
      </w:r>
      <w:bookmarkEnd w:id="317"/>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18" w:name="chapter:Afterword"/>
      <w:r>
        <w:t xml:space="preserve">Afterword</w:t>
      </w:r>
      <w:bookmarkEnd w:id="318"/>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litearture,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on the structures underlying databases, their history and their structures, and how these have reconfigured our own sense of corporeality in art.</w:t>
      </w:r>
    </w:p>
    <w:bookmarkStart w:id="666" w:name="refs"/>
    <w:bookmarkStart w:id="319"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19"/>
    <w:bookmarkStart w:id="320"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20"/>
    <w:bookmarkStart w:id="321"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21"/>
    <w:bookmarkStart w:id="322"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22"/>
    <w:bookmarkStart w:id="323"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23"/>
    <w:bookmarkStart w:id="325"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24">
        <w:r>
          <w:rPr>
            <w:rStyle w:val="Hyperlink"/>
          </w:rPr>
          <w:t xml:space="preserve">http://www.terasoft.com.tw/conf/ismir2014/proceedings/T014_162_Paper.pdf</w:t>
        </w:r>
      </w:hyperlink>
    </w:p>
    <w:bookmarkEnd w:id="325"/>
    <w:bookmarkStart w:id="326"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26"/>
    <w:bookmarkStart w:id="327"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27"/>
    <w:bookmarkStart w:id="328"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28"/>
    <w:bookmarkStart w:id="329"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29"/>
    <w:bookmarkStart w:id="330"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30"/>
    <w:bookmarkStart w:id="331"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31"/>
    <w:bookmarkStart w:id="332"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32"/>
    <w:bookmarkStart w:id="333"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33"/>
    <w:bookmarkStart w:id="334"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34"/>
    <w:bookmarkStart w:id="335"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35"/>
    <w:bookmarkStart w:id="336" w:name="ref-Bar20:Viv"/>
    <w:p>
      <w:pPr>
        <w:pStyle w:val="Bibliography"/>
      </w:pPr>
      <w:r>
        <w:t xml:space="preserve">Barrett N. 2000b. Viva la selva</w:t>
      </w:r>
    </w:p>
    <w:bookmarkEnd w:id="336"/>
    <w:bookmarkStart w:id="337" w:name="ref-Bar68:Ele"/>
    <w:p>
      <w:pPr>
        <w:pStyle w:val="Bibliography"/>
      </w:pPr>
      <w:r>
        <w:t xml:space="preserve">Barthes R, Lavers A, Smith C. 1968.</w:t>
      </w:r>
      <w:r>
        <w:t xml:space="preserve"> </w:t>
      </w:r>
      <w:r>
        <w:rPr>
          <w:i/>
        </w:rPr>
        <w:t xml:space="preserve">Elements of Semiology</w:t>
      </w:r>
      <w:r>
        <w:t xml:space="preserve">. Hill; Wang, New York. ed.</w:t>
      </w:r>
    </w:p>
    <w:bookmarkEnd w:id="337"/>
    <w:bookmarkStart w:id="338"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38"/>
    <w:bookmarkStart w:id="339"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39"/>
    <w:bookmarkStart w:id="340"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40"/>
    <w:bookmarkStart w:id="342"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41">
        <w:r>
          <w:rPr>
            <w:rStyle w:val="Hyperlink"/>
          </w:rPr>
          <w:t xml:space="preserve">http://www.terasoft.com.tw/conf/ismir2014/proceedings/T028_322_Paper.pdf</w:t>
        </w:r>
      </w:hyperlink>
    </w:p>
    <w:bookmarkEnd w:id="342"/>
    <w:bookmarkStart w:id="343"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43"/>
    <w:bookmarkStart w:id="345"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44">
        <w:r>
          <w:rPr>
            <w:rStyle w:val="Hyperlink"/>
          </w:rPr>
          <w:t xml:space="preserve">http://www.ppgia.pucpr.br/ismir2013/wp-content/uploads/2013/09/177\_Paper.pdf</w:t>
        </w:r>
      </w:hyperlink>
    </w:p>
    <w:bookmarkEnd w:id="345"/>
    <w:bookmarkStart w:id="346"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46"/>
    <w:bookmarkStart w:id="347" w:name="ref-Bor42:Fun"/>
    <w:p>
      <w:pPr>
        <w:pStyle w:val="Bibliography"/>
      </w:pPr>
      <w:r>
        <w:t xml:space="preserve">Borges JL. 1942. Funes el memorioso.</w:t>
      </w:r>
      <w:r>
        <w:t xml:space="preserve"> </w:t>
      </w:r>
      <w:r>
        <w:rPr>
          <w:i/>
        </w:rPr>
        <w:t xml:space="preserve">Ficciones</w:t>
      </w:r>
    </w:p>
    <w:bookmarkEnd w:id="347"/>
    <w:bookmarkStart w:id="348" w:name="ref-Ker94:Fun"/>
    <w:p>
      <w:pPr>
        <w:pStyle w:val="Bibliography"/>
      </w:pPr>
      <w:r>
        <w:t xml:space="preserve">Borges JL. 1994.</w:t>
      </w:r>
      <w:r>
        <w:t xml:space="preserve"> </w:t>
      </w:r>
      <w:r>
        <w:rPr>
          <w:i/>
        </w:rPr>
        <w:t xml:space="preserve">Ficciones</w:t>
      </w:r>
      <w:r>
        <w:t xml:space="preserve">. Grove Press. ed.</w:t>
      </w:r>
    </w:p>
    <w:bookmarkEnd w:id="348"/>
    <w:bookmarkStart w:id="349" w:name="ref-Bor95:Rat"/>
    <w:p>
      <w:pPr>
        <w:pStyle w:val="Bibliography"/>
      </w:pPr>
      <w:r>
        <w:t xml:space="preserve">Born G. 1995.</w:t>
      </w:r>
      <w:r>
        <w:t xml:space="preserve"> </w:t>
      </w:r>
      <w:r>
        <w:rPr>
          <w:i/>
        </w:rPr>
        <w:t xml:space="preserve">Rationalizing Culture</w:t>
      </w:r>
      <w:r>
        <w:t xml:space="preserve">. University of California Press. ed.</w:t>
      </w:r>
    </w:p>
    <w:bookmarkEnd w:id="349"/>
    <w:bookmarkStart w:id="350"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50"/>
    <w:bookmarkStart w:id="351"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51"/>
    <w:bookmarkStart w:id="352"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52"/>
    <w:bookmarkStart w:id="353"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53"/>
    <w:bookmarkStart w:id="354"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54"/>
    <w:bookmarkStart w:id="355"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55"/>
    <w:bookmarkStart w:id="356" w:name="ref-score11manual"/>
    <w:p>
      <w:pPr>
        <w:pStyle w:val="Bibliography"/>
      </w:pPr>
      <w:r>
        <w:t xml:space="preserve">Brinkman AR. 1982. Original version of the score11 manual.</w:t>
      </w:r>
      <w:r>
        <w:t xml:space="preserve"> </w:t>
      </w:r>
      <w:r>
        <w:rPr>
          <w:i/>
        </w:rPr>
        <w:t xml:space="preserve">Score11 Manual</w:t>
      </w:r>
    </w:p>
    <w:bookmarkEnd w:id="356"/>
    <w:bookmarkStart w:id="357"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57"/>
    <w:bookmarkStart w:id="358"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58"/>
    <w:bookmarkStart w:id="359"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59"/>
    <w:bookmarkStart w:id="361"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60">
        <w:r>
          <w:rPr>
            <w:rStyle w:val="Hyperlink"/>
          </w:rPr>
          <w:t xml:space="preserve">http://www.nime.org/proceedings/2011/nime2011_387.pdf</w:t>
        </w:r>
      </w:hyperlink>
    </w:p>
    <w:bookmarkEnd w:id="361"/>
    <w:bookmarkStart w:id="363"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362">
        <w:r>
          <w:rPr>
            <w:rStyle w:val="Hyperlink"/>
          </w:rPr>
          <w:t xml:space="preserve">http://www.nime.org/proceedings/2009/nime2009_266.pdf</w:t>
        </w:r>
      </w:hyperlink>
    </w:p>
    <w:bookmarkEnd w:id="363"/>
    <w:bookmarkStart w:id="364"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364"/>
    <w:bookmarkStart w:id="365"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365"/>
    <w:bookmarkStart w:id="366"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366"/>
    <w:bookmarkStart w:id="367" w:name="ref-Bux77:Aco"/>
    <w:p>
      <w:pPr>
        <w:pStyle w:val="Bibliography"/>
      </w:pPr>
      <w:r>
        <w:t xml:space="preserve">Buxton W. 1977. A composer’s introduction to computer music.</w:t>
      </w:r>
      <w:r>
        <w:t xml:space="preserve"> </w:t>
      </w:r>
      <w:r>
        <w:rPr>
          <w:i/>
        </w:rPr>
        <w:t xml:space="preserve">Interface</w:t>
      </w:r>
      <w:r>
        <w:t xml:space="preserve">. 6:57–72</w:t>
      </w:r>
    </w:p>
    <w:bookmarkEnd w:id="367"/>
    <w:bookmarkStart w:id="368" w:name="ref-youtube/buxton10"/>
    <w:p>
      <w:pPr>
        <w:pStyle w:val="Bibliography"/>
      </w:pPr>
      <w:r>
        <w:t xml:space="preserve">Buxton W. 2016a. Objed: The sssp sound editing tool.</w:t>
      </w:r>
      <w:r>
        <w:t xml:space="preserve"> </w:t>
      </w:r>
      <w:r>
        <w:rPr>
          <w:i/>
        </w:rPr>
        <w:t xml:space="preserve">Youtube</w:t>
      </w:r>
    </w:p>
    <w:bookmarkEnd w:id="368"/>
    <w:bookmarkStart w:id="369"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369"/>
    <w:bookmarkStart w:id="370"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370"/>
    <w:bookmarkStart w:id="371"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371"/>
    <w:bookmarkStart w:id="372"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372"/>
    <w:bookmarkStart w:id="374"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373">
        <w:r>
          <w:rPr>
            <w:rStyle w:val="Hyperlink"/>
          </w:rPr>
          <w:t xml:space="preserve">http://www.nime.org/proceedings/2011/nime2011_329.pdf</w:t>
        </w:r>
      </w:hyperlink>
    </w:p>
    <w:bookmarkEnd w:id="374"/>
    <w:bookmarkStart w:id="375"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375"/>
    <w:bookmarkStart w:id="376"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376"/>
    <w:bookmarkStart w:id="377"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377"/>
    <w:bookmarkStart w:id="378" w:name="ref-Rya17:OnT"/>
    <w:p>
      <w:pPr>
        <w:pStyle w:val="Bibliography"/>
      </w:pPr>
      <w:r>
        <w:t xml:space="preserve">Carter R. 2017. On the expressive potential of suboptimal speakers</w:t>
      </w:r>
    </w:p>
    <w:bookmarkEnd w:id="378"/>
    <w:bookmarkStart w:id="379"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379"/>
    <w:bookmarkStart w:id="380"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380"/>
    <w:bookmarkStart w:id="381"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381"/>
    <w:bookmarkStart w:id="382"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382"/>
    <w:bookmarkStart w:id="383"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383"/>
    <w:bookmarkStart w:id="384"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384"/>
    <w:bookmarkStart w:id="385"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385"/>
    <w:bookmarkStart w:id="386"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386"/>
    <w:bookmarkStart w:id="387" w:name="ref-Cho00:Voi"/>
    <w:p>
      <w:pPr>
        <w:pStyle w:val="Bibliography"/>
      </w:pPr>
      <w:r>
        <w:t xml:space="preserve">Choi I. 2000. Voices in ruins — composition with residuals</w:t>
      </w:r>
    </w:p>
    <w:bookmarkEnd w:id="387"/>
    <w:bookmarkStart w:id="388"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388"/>
    <w:bookmarkStart w:id="389"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389"/>
    <w:bookmarkStart w:id="390"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390"/>
    <w:bookmarkStart w:id="391"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391"/>
    <w:bookmarkStart w:id="392"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392"/>
    <w:bookmarkStart w:id="393"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393"/>
    <w:bookmarkStart w:id="394"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394"/>
    <w:bookmarkStart w:id="395"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395"/>
    <w:bookmarkStart w:id="396"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396"/>
    <w:bookmarkStart w:id="397" w:name="ref-connes:shapes"/>
    <w:p>
      <w:pPr>
        <w:pStyle w:val="Bibliography"/>
      </w:pPr>
      <w:r>
        <w:t xml:space="preserve">Connes A. 2012. The music of shapes</w:t>
      </w:r>
    </w:p>
    <w:bookmarkEnd w:id="397"/>
    <w:bookmarkStart w:id="398"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398"/>
    <w:bookmarkStart w:id="399"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399"/>
    <w:bookmarkStart w:id="400"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00"/>
    <w:bookmarkStart w:id="401"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01"/>
    <w:bookmarkStart w:id="402"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02"/>
    <w:bookmarkStart w:id="404"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03">
        <w:r>
          <w:rPr>
            <w:rStyle w:val="Hyperlink"/>
          </w:rPr>
          <w:t xml:space="preserve">https://ismir2017.smcnus.org/wp-content/uploads/2017/10/235_Paper.pdf</w:t>
        </w:r>
      </w:hyperlink>
    </w:p>
    <w:bookmarkEnd w:id="404"/>
    <w:bookmarkStart w:id="406" w:name="ref-crowley98"/>
    <w:p>
      <w:pPr>
        <w:pStyle w:val="Bibliography"/>
      </w:pPr>
      <w:r>
        <w:t xml:space="preserve">Crowley C. 1998. Data structures for text sequences.</w:t>
      </w:r>
      <w:r>
        <w:t xml:space="preserve"> </w:t>
      </w:r>
      <w:hyperlink r:id="rId405">
        <w:r>
          <w:rPr>
            <w:rStyle w:val="Hyperlink"/>
          </w:rPr>
          <w:t xml:space="preserve">https://www.cs.unm.edu/~crowley/papers/sds.pdf</w:t>
        </w:r>
      </w:hyperlink>
    </w:p>
    <w:bookmarkEnd w:id="406"/>
    <w:bookmarkStart w:id="407"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07"/>
    <w:bookmarkStart w:id="409"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08">
        <w:r>
          <w:rPr>
            <w:rStyle w:val="Hyperlink"/>
          </w:rPr>
          <w:t xml:space="preserve">https://ismir2017.smcnus.org/wp-content/uploads/2017/10/75_Paper.pdf</w:t>
        </w:r>
      </w:hyperlink>
    </w:p>
    <w:bookmarkEnd w:id="409"/>
    <w:bookmarkStart w:id="410"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10"/>
    <w:bookmarkStart w:id="411"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11"/>
    <w:bookmarkStart w:id="412"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12"/>
    <w:bookmarkStart w:id="413" w:name="ref-Der78:Wri"/>
    <w:p>
      <w:pPr>
        <w:pStyle w:val="Bibliography"/>
      </w:pPr>
      <w:r>
        <w:t xml:space="preserve">Derrida J. 1978.</w:t>
      </w:r>
      <w:r>
        <w:t xml:space="preserve"> </w:t>
      </w:r>
      <w:r>
        <w:rPr>
          <w:i/>
        </w:rPr>
        <w:t xml:space="preserve">Writing and Difference</w:t>
      </w:r>
      <w:r>
        <w:t xml:space="preserve">. The University of Chicago. ed.</w:t>
      </w:r>
    </w:p>
    <w:bookmarkEnd w:id="413"/>
    <w:bookmarkStart w:id="414" w:name="ref-Der82:Mar"/>
    <w:p>
      <w:pPr>
        <w:pStyle w:val="Bibliography"/>
      </w:pPr>
      <w:r>
        <w:t xml:space="preserve">Derrida J. 1982.</w:t>
      </w:r>
      <w:r>
        <w:t xml:space="preserve"> </w:t>
      </w:r>
      <w:r>
        <w:rPr>
          <w:i/>
        </w:rPr>
        <w:t xml:space="preserve">Margins of Philosophy</w:t>
      </w:r>
      <w:r>
        <w:t xml:space="preserve">. The Harvester Press. ed.</w:t>
      </w:r>
    </w:p>
    <w:bookmarkEnd w:id="414"/>
    <w:bookmarkStart w:id="415" w:name="ref-Der95:Arc"/>
    <w:p>
      <w:pPr>
        <w:pStyle w:val="Bibliography"/>
      </w:pPr>
      <w:r>
        <w:t xml:space="preserve">Derrida J, Prenowitz E. 1995. Archive fever: A freudian impression.</w:t>
      </w:r>
      <w:r>
        <w:t xml:space="preserve"> </w:t>
      </w:r>
      <w:r>
        <w:rPr>
          <w:i/>
        </w:rPr>
        <w:t xml:space="preserve">Diacritics</w:t>
      </w:r>
      <w:r>
        <w:t xml:space="preserve">. 25(2):</w:t>
      </w:r>
    </w:p>
    <w:bookmarkEnd w:id="415"/>
    <w:bookmarkStart w:id="416"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16"/>
    <w:bookmarkStart w:id="418"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17">
        <w:r>
          <w:rPr>
            <w:rStyle w:val="Hyperlink"/>
          </w:rPr>
          <w:t xml:space="preserve">http://ismir2015.uma.es/articles/261_Paper.pdf</w:t>
        </w:r>
      </w:hyperlink>
    </w:p>
    <w:bookmarkEnd w:id="418"/>
    <w:bookmarkStart w:id="419"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19"/>
    <w:bookmarkStart w:id="420"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20"/>
    <w:bookmarkStart w:id="421"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21"/>
    <w:bookmarkStart w:id="422"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22"/>
    <w:bookmarkStart w:id="423"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23"/>
    <w:bookmarkStart w:id="424"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24"/>
    <w:bookmarkStart w:id="426"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25">
        <w:r>
          <w:rPr>
            <w:rStyle w:val="Hyperlink"/>
          </w:rPr>
          <w:t xml:space="preserve">http://ismir2018.ircam.fr/doc/pdfs/265_Paper.pdf</w:t>
        </w:r>
      </w:hyperlink>
    </w:p>
    <w:bookmarkEnd w:id="426"/>
    <w:bookmarkStart w:id="427"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27"/>
    <w:bookmarkStart w:id="429"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28">
        <w:r>
          <w:rPr>
            <w:rStyle w:val="Hyperlink"/>
          </w:rPr>
          <w:t xml:space="preserve">http://ismir2000.ismir.net/papers/invites/dunn_invite.pdf</w:t>
        </w:r>
      </w:hyperlink>
    </w:p>
    <w:bookmarkEnd w:id="429"/>
    <w:bookmarkStart w:id="430"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30"/>
    <w:bookmarkStart w:id="431"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31"/>
    <w:bookmarkStart w:id="432" w:name="ref-Eco04:The"/>
    <w:p>
      <w:pPr>
        <w:pStyle w:val="Bibliography"/>
      </w:pPr>
      <w:r>
        <w:t xml:space="preserve">Eco U. 2004. The poetics of the open work.</w:t>
      </w:r>
      <w:r>
        <w:t xml:space="preserve"> </w:t>
      </w:r>
      <w:r>
        <w:rPr>
          <w:i/>
        </w:rPr>
        <w:t xml:space="preserve">Audio Culture: Readings in Modern Music</w:t>
      </w:r>
    </w:p>
    <w:bookmarkEnd w:id="432"/>
    <w:bookmarkStart w:id="433" w:name="ref-Emm86:The"/>
    <w:p>
      <w:pPr>
        <w:pStyle w:val="Bibliography"/>
      </w:pPr>
      <w:r>
        <w:t xml:space="preserve">Emmerson S. 1986.</w:t>
      </w:r>
      <w:r>
        <w:t xml:space="preserve"> </w:t>
      </w:r>
      <w:r>
        <w:rPr>
          <w:i/>
        </w:rPr>
        <w:t xml:space="preserve">The Language of Electroacoustic Music</w:t>
      </w:r>
      <w:r>
        <w:t xml:space="preserve">. ed.</w:t>
      </w:r>
    </w:p>
    <w:bookmarkEnd w:id="433"/>
    <w:bookmarkStart w:id="435"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34">
        <w:r>
          <w:rPr>
            <w:rStyle w:val="Hyperlink"/>
          </w:rPr>
          <w:t xml:space="preserve">http://ismir2018.ircam.fr/doc/pdfs/206_Paper.pdf</w:t>
        </w:r>
      </w:hyperlink>
    </w:p>
    <w:bookmarkEnd w:id="435"/>
    <w:bookmarkStart w:id="436"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36"/>
    <w:bookmarkStart w:id="437" w:name="ref-Ern13:Dig"/>
    <w:p>
      <w:pPr>
        <w:pStyle w:val="Bibliography"/>
      </w:pPr>
      <w:r>
        <w:t xml:space="preserve">Ernst W. 2013.</w:t>
      </w:r>
      <w:r>
        <w:t xml:space="preserve"> </w:t>
      </w:r>
      <w:r>
        <w:rPr>
          <w:i/>
        </w:rPr>
        <w:t xml:space="preserve">Digital Memory and the Archive</w:t>
      </w:r>
      <w:r>
        <w:t xml:space="preserve">. University of Minnesota Press. ed.</w:t>
      </w:r>
    </w:p>
    <w:bookmarkEnd w:id="437"/>
    <w:bookmarkStart w:id="438"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38"/>
    <w:bookmarkStart w:id="440"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39">
        <w:r>
          <w:rPr>
            <w:rStyle w:val="Hyperlink"/>
          </w:rPr>
          <w:t xml:space="preserve">https://ismir2017.smcnus.org/wp-content/uploads/2017/10/161_Paper.pdf</w:t>
        </w:r>
      </w:hyperlink>
    </w:p>
    <w:bookmarkEnd w:id="440"/>
    <w:bookmarkStart w:id="441"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41"/>
    <w:bookmarkStart w:id="442"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42"/>
    <w:bookmarkStart w:id="443"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43"/>
    <w:bookmarkStart w:id="444"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44"/>
    <w:bookmarkStart w:id="445"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45"/>
    <w:bookmarkStart w:id="446"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46"/>
    <w:bookmarkStart w:id="448"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47">
        <w:r>
          <w:rPr>
            <w:rStyle w:val="Hyperlink"/>
          </w:rPr>
          <w:t xml:space="preserve">http://www.nime.org/proceedings/2011/nime2011_124.pdf</w:t>
        </w:r>
      </w:hyperlink>
    </w:p>
    <w:bookmarkEnd w:id="448"/>
    <w:bookmarkStart w:id="449"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49"/>
    <w:bookmarkStart w:id="451"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50">
        <w:r>
          <w:rPr>
            <w:rStyle w:val="Hyperlink"/>
          </w:rPr>
          <w:t xml:space="preserve">http://ismir2000.ismir.net/posters/good.pdf</w:t>
        </w:r>
      </w:hyperlink>
    </w:p>
    <w:bookmarkEnd w:id="451"/>
    <w:bookmarkStart w:id="453"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52">
        <w:r>
          <w:rPr>
            <w:rStyle w:val="Hyperlink"/>
          </w:rPr>
          <w:t xml:space="preserve">http://ismir2002.ismir.net/proceedings/03-SP04-1.pdf</w:t>
        </w:r>
      </w:hyperlink>
    </w:p>
    <w:bookmarkEnd w:id="453"/>
    <w:bookmarkStart w:id="455"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54">
        <w:r>
          <w:rPr>
            <w:rStyle w:val="Hyperlink"/>
          </w:rPr>
          <w:t xml:space="preserve">http://ismir2003.ismir.net/papers/Goto1.PDF</w:t>
        </w:r>
      </w:hyperlink>
    </w:p>
    <w:bookmarkEnd w:id="455"/>
    <w:bookmarkStart w:id="456" w:name="ref-Gra15:The"/>
    <w:p>
      <w:pPr>
        <w:pStyle w:val="Bibliography"/>
      </w:pPr>
      <w:r>
        <w:t xml:space="preserve">Gratton P, Morin M-E. 2015.</w:t>
      </w:r>
      <w:r>
        <w:t xml:space="preserve"> </w:t>
      </w:r>
      <w:r>
        <w:rPr>
          <w:i/>
        </w:rPr>
        <w:t xml:space="preserve">The Nancy Dictionary</w:t>
      </w:r>
      <w:r>
        <w:t xml:space="preserve">. Edinburgh University Press. ed.</w:t>
      </w:r>
    </w:p>
    <w:bookmarkEnd w:id="456"/>
    <w:bookmarkStart w:id="457"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57"/>
    <w:bookmarkStart w:id="459"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58">
        <w:r>
          <w:rPr>
            <w:rStyle w:val="Hyperlink"/>
          </w:rPr>
          <w:t xml:space="preserve">http://www.terasoft.com.tw/conf/ismir2014/proceedings/T059_257_Paper.pdf</w:t>
        </w:r>
      </w:hyperlink>
    </w:p>
    <w:bookmarkEnd w:id="459"/>
    <w:bookmarkStart w:id="460"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60"/>
    <w:bookmarkStart w:id="461"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61"/>
    <w:bookmarkStart w:id="462" w:name="ref-Han04:New"/>
    <w:p>
      <w:pPr>
        <w:pStyle w:val="Bibliography"/>
      </w:pPr>
      <w:r>
        <w:t xml:space="preserve">Hansen MBN. 2004.</w:t>
      </w:r>
      <w:r>
        <w:t xml:space="preserve"> </w:t>
      </w:r>
      <w:r>
        <w:rPr>
          <w:i/>
        </w:rPr>
        <w:t xml:space="preserve">New Philosophy for New Media</w:t>
      </w:r>
      <w:r>
        <w:t xml:space="preserve">. The MIT Press. ed.</w:t>
      </w:r>
    </w:p>
    <w:bookmarkEnd w:id="462"/>
    <w:bookmarkStart w:id="464"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463">
        <w:r>
          <w:rPr>
            <w:rStyle w:val="Hyperlink"/>
          </w:rPr>
          <w:t xml:space="preserve">http://ismir2008.ismir.net/papers/ISMIR2008_173.pdf</w:t>
        </w:r>
      </w:hyperlink>
    </w:p>
    <w:bookmarkEnd w:id="464"/>
    <w:bookmarkStart w:id="465"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465"/>
    <w:bookmarkStart w:id="466"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466"/>
    <w:bookmarkStart w:id="468"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467">
        <w:r>
          <w:rPr>
            <w:rStyle w:val="Hyperlink"/>
          </w:rPr>
          <w:t xml:space="preserve">http://www.ppgia.pucpr.br/ismir2013/wp-content/uploads/2013/09/85_Paper.pdf</w:t>
        </w:r>
      </w:hyperlink>
    </w:p>
    <w:bookmarkEnd w:id="468"/>
    <w:bookmarkStart w:id="469"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469"/>
    <w:bookmarkStart w:id="470" w:name="ref-Hay93:The"/>
    <w:p>
      <w:pPr>
        <w:pStyle w:val="Bibliography"/>
      </w:pPr>
      <w:r>
        <w:t xml:space="preserve">Hayles NK. 1993. The materiality of informatics.</w:t>
      </w:r>
      <w:r>
        <w:t xml:space="preserve"> </w:t>
      </w:r>
      <w:r>
        <w:rPr>
          <w:i/>
        </w:rPr>
        <w:t xml:space="preserve">Configurations</w:t>
      </w:r>
      <w:r>
        <w:t xml:space="preserve">. 1(1):</w:t>
      </w:r>
    </w:p>
    <w:bookmarkEnd w:id="470"/>
    <w:bookmarkStart w:id="471"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471"/>
    <w:bookmarkStart w:id="472"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472"/>
    <w:bookmarkStart w:id="473"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473"/>
    <w:bookmarkStart w:id="475"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474">
        <w:r>
          <w:rPr>
            <w:rStyle w:val="Hyperlink"/>
          </w:rPr>
          <w:t xml:space="preserve">http://www.nime.org/proceedings/2010/nime2010_233.pdf</w:t>
        </w:r>
      </w:hyperlink>
    </w:p>
    <w:bookmarkEnd w:id="475"/>
    <w:bookmarkStart w:id="477"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476">
        <w:r>
          <w:rPr>
            <w:rStyle w:val="Hyperlink"/>
          </w:rPr>
          <w:t xml:space="preserve">http://ismir2005.ismir.net/proceedings/2117.pdf</w:t>
        </w:r>
      </w:hyperlink>
    </w:p>
    <w:bookmarkEnd w:id="477"/>
    <w:bookmarkStart w:id="478"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478"/>
    <w:bookmarkStart w:id="480"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479">
        <w:r>
          <w:rPr>
            <w:rStyle w:val="Hyperlink"/>
          </w:rPr>
          <w:t xml:space="preserve">http://ismir2018.ircam.fr/doc/pdfs/248_Paper.pdf</w:t>
        </w:r>
      </w:hyperlink>
    </w:p>
    <w:bookmarkEnd w:id="480"/>
    <w:bookmarkStart w:id="481" w:name="ref-Mau99:Abr"/>
    <w:p>
      <w:pPr>
        <w:pStyle w:val="Bibliography"/>
      </w:pPr>
      <w:r>
        <w:t xml:space="preserve">IV JAM. 1999.</w:t>
      </w:r>
      <w:r>
        <w:t xml:space="preserve"> </w:t>
      </w:r>
      <w:r>
        <w:rPr>
          <w:i/>
        </w:rPr>
        <w:t xml:space="preserve">A Brief History of Algorithmic Composition</w:t>
      </w:r>
      <w:r>
        <w:t xml:space="preserve">. Online. ed.</w:t>
      </w:r>
    </w:p>
    <w:bookmarkEnd w:id="481"/>
    <w:bookmarkStart w:id="482"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482"/>
    <w:bookmarkStart w:id="483"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483"/>
    <w:bookmarkStart w:id="484"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484"/>
    <w:bookmarkStart w:id="486"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485">
        <w:r>
          <w:rPr>
            <w:rStyle w:val="Hyperlink"/>
          </w:rPr>
          <w:t xml:space="preserve">http://ismir2008.ismir.net/papers/ISMIR2008_106.pdf</w:t>
        </w:r>
      </w:hyperlink>
    </w:p>
    <w:bookmarkEnd w:id="486"/>
    <w:bookmarkStart w:id="487"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487"/>
    <w:bookmarkStart w:id="488"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488"/>
    <w:bookmarkStart w:id="489"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489"/>
    <w:bookmarkStart w:id="490"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490"/>
    <w:bookmarkStart w:id="491"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491"/>
    <w:bookmarkStart w:id="493"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492">
        <w:r>
          <w:rPr>
            <w:rStyle w:val="Hyperlink"/>
          </w:rPr>
          <w:t xml:space="preserve">http://www.terasoft.com.tw/conf/ismir2014/proceedings/T039_344_Paper.pdf</w:t>
        </w:r>
      </w:hyperlink>
    </w:p>
    <w:bookmarkEnd w:id="493"/>
    <w:bookmarkStart w:id="494" w:name="ref-Kle98:The"/>
    <w:p>
      <w:pPr>
        <w:pStyle w:val="Bibliography"/>
      </w:pPr>
      <w:r>
        <w:t xml:space="preserve">Klein J. 1998. The wolves of bays mountain</w:t>
      </w:r>
    </w:p>
    <w:bookmarkEnd w:id="494"/>
    <w:bookmarkStart w:id="495" w:name="ref-Kle17:Lec"/>
    <w:p>
      <w:pPr>
        <w:pStyle w:val="Bibliography"/>
      </w:pPr>
      <w:r>
        <w:t xml:space="preserve">Klein J. 2017.</w:t>
      </w:r>
      <w:r>
        <w:t xml:space="preserve"> </w:t>
      </w:r>
      <w:r>
        <w:rPr>
          <w:i/>
        </w:rPr>
        <w:t xml:space="preserve">On my compositional approach</w:t>
      </w:r>
      <w:r>
        <w:t xml:space="preserve">. Work. Pap.</w:t>
      </w:r>
    </w:p>
    <w:bookmarkEnd w:id="495"/>
    <w:bookmarkStart w:id="496"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496"/>
    <w:bookmarkStart w:id="498"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497">
        <w:r>
          <w:rPr>
            <w:rStyle w:val="Hyperlink"/>
          </w:rPr>
          <w:t xml:space="preserve">http://ismir2015.uma.es/articles/246_Paper.pdf</w:t>
        </w:r>
      </w:hyperlink>
    </w:p>
    <w:bookmarkEnd w:id="498"/>
    <w:bookmarkStart w:id="499"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499"/>
    <w:bookmarkStart w:id="500"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00"/>
    <w:bookmarkStart w:id="501"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01"/>
    <w:bookmarkStart w:id="502"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02"/>
    <w:bookmarkStart w:id="503"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03"/>
    <w:bookmarkStart w:id="504"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04"/>
    <w:bookmarkStart w:id="505"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05"/>
    <w:bookmarkStart w:id="506"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06"/>
    <w:bookmarkStart w:id="507"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07"/>
    <w:bookmarkStart w:id="508"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08"/>
    <w:bookmarkStart w:id="509"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09"/>
    <w:bookmarkStart w:id="510" w:name="ref-Lod98:MUS"/>
    <w:p>
      <w:pPr>
        <w:pStyle w:val="Bibliography"/>
      </w:pPr>
      <w:r>
        <w:t xml:space="preserve">Lodha S, Beahan J, Joseph A, Zane-ulman B. 1998. MUSE: A musical data sonification toolkit</w:t>
      </w:r>
    </w:p>
    <w:bookmarkEnd w:id="510"/>
    <w:bookmarkStart w:id="511"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11"/>
    <w:bookmarkStart w:id="513"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12">
        <w:r>
          <w:rPr>
            <w:rStyle w:val="Hyperlink"/>
          </w:rPr>
          <w:t xml:space="preserve">http://www.nime.org/proceedings/2008/nime2008_221.pdf</w:t>
        </w:r>
      </w:hyperlink>
    </w:p>
    <w:bookmarkEnd w:id="513"/>
    <w:bookmarkStart w:id="514"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14"/>
    <w:bookmarkStart w:id="515" w:name="ref-Luc70:Iam"/>
    <w:p>
      <w:pPr>
        <w:pStyle w:val="Bibliography"/>
      </w:pPr>
      <w:r>
        <w:t xml:space="preserve">Lucier A. 1970. I am sitting in a room</w:t>
      </w:r>
    </w:p>
    <w:bookmarkEnd w:id="515"/>
    <w:bookmarkStart w:id="516" w:name="ref-Man01:The"/>
    <w:p>
      <w:pPr>
        <w:pStyle w:val="Bibliography"/>
      </w:pPr>
      <w:r>
        <w:t xml:space="preserve">Manovich L. 2001.</w:t>
      </w:r>
      <w:r>
        <w:t xml:space="preserve"> </w:t>
      </w:r>
      <w:r>
        <w:rPr>
          <w:i/>
        </w:rPr>
        <w:t xml:space="preserve">The Language of New Media</w:t>
      </w:r>
      <w:r>
        <w:t xml:space="preserve">. MIT Press. ed.</w:t>
      </w:r>
    </w:p>
    <w:bookmarkEnd w:id="516"/>
    <w:bookmarkStart w:id="517" w:name="ref-Mat63:The"/>
    <w:p>
      <w:pPr>
        <w:pStyle w:val="Bibliography"/>
      </w:pPr>
      <w:r>
        <w:t xml:space="preserve">Mathews MV. 1963. The digital computer as a musical instrument.</w:t>
      </w:r>
      <w:r>
        <w:t xml:space="preserve"> </w:t>
      </w:r>
      <w:r>
        <w:rPr>
          <w:i/>
        </w:rPr>
        <w:t xml:space="preserve">Science</w:t>
      </w:r>
      <w:r>
        <w:t xml:space="preserve">. 142(3592):553–57</w:t>
      </w:r>
    </w:p>
    <w:bookmarkEnd w:id="517"/>
    <w:bookmarkStart w:id="519"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18">
        <w:r>
          <w:rPr>
            <w:rStyle w:val="Hyperlink"/>
          </w:rPr>
          <w:t xml:space="preserve">http://ismir2008.ismir.net/papers/ISMIR2008_158.pdf</w:t>
        </w:r>
      </w:hyperlink>
    </w:p>
    <w:bookmarkEnd w:id="519"/>
    <w:bookmarkStart w:id="520"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20"/>
    <w:bookmarkStart w:id="521"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21"/>
    <w:bookmarkStart w:id="522"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22"/>
    <w:bookmarkStart w:id="523" w:name="ref-csoundMethods"/>
    <w:p>
      <w:pPr>
        <w:pStyle w:val="Bibliography"/>
      </w:pPr>
      <w:r>
        <w:t xml:space="preserve">McCurdy I, Heintz J, Joaquin J, Knevel M. 2015. Methods of writing csound scores.</w:t>
      </w:r>
      <w:r>
        <w:t xml:space="preserve"> </w:t>
      </w:r>
      <w:r>
        <w:rPr>
          <w:i/>
        </w:rPr>
        <w:t xml:space="preserve">FLOSS Manuals</w:t>
      </w:r>
    </w:p>
    <w:bookmarkEnd w:id="523"/>
    <w:bookmarkStart w:id="524"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24"/>
    <w:bookmarkStart w:id="526"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25">
        <w:r>
          <w:rPr>
            <w:rStyle w:val="Hyperlink"/>
          </w:rPr>
          <w:t xml:space="preserve">http://ismir2018.ircam.fr/doc/pdfs/35_Paper.pdf</w:t>
        </w:r>
      </w:hyperlink>
    </w:p>
    <w:bookmarkEnd w:id="526"/>
    <w:bookmarkStart w:id="527"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27"/>
    <w:bookmarkStart w:id="528"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28"/>
    <w:bookmarkStart w:id="529"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29"/>
    <w:bookmarkStart w:id="530"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30"/>
    <w:bookmarkStart w:id="531" w:name="ref-ods-cpp"/>
    <w:p>
      <w:pPr>
        <w:pStyle w:val="Bibliography"/>
      </w:pPr>
      <w:r>
        <w:t xml:space="preserve">Morin P. 2019.</w:t>
      </w:r>
      <w:r>
        <w:t xml:space="preserve"> </w:t>
      </w:r>
      <w:r>
        <w:rPr>
          <w:i/>
        </w:rPr>
        <w:t xml:space="preserve">Open Data Structures</w:t>
      </w:r>
      <w:r>
        <w:t xml:space="preserve">. Creative Commons. ed.</w:t>
      </w:r>
    </w:p>
    <w:bookmarkEnd w:id="531"/>
    <w:bookmarkStart w:id="532"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32"/>
    <w:bookmarkStart w:id="533"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33"/>
    <w:bookmarkStart w:id="534"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34"/>
    <w:bookmarkStart w:id="536"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35">
        <w:r>
          <w:rPr>
            <w:rStyle w:val="Hyperlink"/>
          </w:rPr>
          <w:t xml:space="preserve">http://www.nime.org/proceedings/2007/nime2007_409.pdf</w:t>
        </w:r>
      </w:hyperlink>
    </w:p>
    <w:bookmarkEnd w:id="536"/>
    <w:bookmarkStart w:id="537"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37"/>
    <w:bookmarkStart w:id="538" w:name="ref-Nan07:Lis"/>
    <w:p>
      <w:pPr>
        <w:pStyle w:val="Bibliography"/>
      </w:pPr>
      <w:r>
        <w:t xml:space="preserve">Nancy J-L. 2007.</w:t>
      </w:r>
      <w:r>
        <w:t xml:space="preserve"> </w:t>
      </w:r>
      <w:r>
        <w:rPr>
          <w:i/>
        </w:rPr>
        <w:t xml:space="preserve">Listening</w:t>
      </w:r>
      <w:r>
        <w:t xml:space="preserve">. Fordham University Place. ed.</w:t>
      </w:r>
    </w:p>
    <w:bookmarkEnd w:id="538"/>
    <w:bookmarkStart w:id="539"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39"/>
    <w:bookmarkStart w:id="541"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40">
        <w:r>
          <w:rPr>
            <w:rStyle w:val="Hyperlink"/>
          </w:rPr>
          <w:t xml:space="preserve">http://www.nime.org/proceedings/2007/nime2007_112.pdf</w:t>
        </w:r>
      </w:hyperlink>
    </w:p>
    <w:bookmarkEnd w:id="541"/>
    <w:bookmarkStart w:id="542"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42"/>
    <w:bookmarkStart w:id="543"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43"/>
    <w:bookmarkStart w:id="544"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44"/>
    <w:bookmarkStart w:id="545"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45"/>
    <w:bookmarkStart w:id="546"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46"/>
    <w:bookmarkStart w:id="547"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47"/>
    <w:bookmarkStart w:id="548"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48"/>
    <w:bookmarkStart w:id="549"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49"/>
    <w:bookmarkStart w:id="550"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50"/>
    <w:bookmarkStart w:id="551"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51"/>
    <w:bookmarkStart w:id="552"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52"/>
    <w:bookmarkStart w:id="553" w:name="ref-Wil96:Lis"/>
    <w:p>
      <w:pPr>
        <w:pStyle w:val="Bibliography"/>
      </w:pPr>
      <w:r>
        <w:t xml:space="preserve">Pauletto S, Hunt A. 2004a. A toolkit for interactive sonification.</w:t>
      </w:r>
      <w:r>
        <w:t xml:space="preserve"> </w:t>
      </w:r>
      <w:r>
        <w:rPr>
          <w:i/>
        </w:rPr>
        <w:t xml:space="preserve">ICAD</w:t>
      </w:r>
      <w:r>
        <w:t xml:space="preserve">. Georgia Institute of Technology</w:t>
      </w:r>
    </w:p>
    <w:bookmarkEnd w:id="553"/>
    <w:bookmarkStart w:id="554" w:name="ref-pauletto04"/>
    <w:p>
      <w:pPr>
        <w:pStyle w:val="Bibliography"/>
      </w:pPr>
      <w:r>
        <w:t xml:space="preserve">Pauletto S, Hunt A. 2004b.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p>
    <w:bookmarkEnd w:id="554"/>
    <w:bookmarkStart w:id="555"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55"/>
    <w:bookmarkStart w:id="557"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56">
        <w:r>
          <w:rPr>
            <w:rStyle w:val="Hyperlink"/>
          </w:rPr>
          <w:t xml:space="preserve">http://www.terasoft.com.tw/conf/ismir2014/proceedings/T064_307_Paper.pdf</w:t>
        </w:r>
      </w:hyperlink>
    </w:p>
    <w:bookmarkEnd w:id="557"/>
    <w:bookmarkStart w:id="558"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58"/>
    <w:bookmarkStart w:id="559" w:name="ref-Pos11:Int"/>
    <w:p>
      <w:pPr>
        <w:pStyle w:val="Bibliography"/>
      </w:pPr>
      <w:r>
        <w:t xml:space="preserve">Poster M. 2011. Introduction.</w:t>
      </w:r>
      <w:r>
        <w:t xml:space="preserve"> </w:t>
      </w:r>
      <w:r>
        <w:rPr>
          <w:i/>
        </w:rPr>
        <w:t xml:space="preserve">Into the Universe of Technical Images</w:t>
      </w:r>
    </w:p>
    <w:bookmarkEnd w:id="559"/>
    <w:bookmarkStart w:id="561"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60">
        <w:r>
          <w:rPr>
            <w:rStyle w:val="Hyperlink"/>
          </w:rPr>
          <w:t xml:space="preserve">http://www.nime.org/proceedings/2008/nime2008_311.pdf</w:t>
        </w:r>
      </w:hyperlink>
    </w:p>
    <w:bookmarkEnd w:id="561"/>
    <w:bookmarkStart w:id="562"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562"/>
    <w:bookmarkStart w:id="563"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563"/>
    <w:bookmarkStart w:id="564" w:name="ref-Puc91:Som"/>
    <w:p>
      <w:pPr>
        <w:pStyle w:val="Bibliography"/>
      </w:pPr>
      <w:r>
        <w:t xml:space="preserve">Puckette M. 1991. Something digital.</w:t>
      </w:r>
      <w:r>
        <w:t xml:space="preserve"> </w:t>
      </w:r>
      <w:r>
        <w:rPr>
          <w:i/>
        </w:rPr>
        <w:t xml:space="preserve">Computer Music Journal</w:t>
      </w:r>
      <w:r>
        <w:t xml:space="preserve">. 15(4):65–69</w:t>
      </w:r>
    </w:p>
    <w:bookmarkEnd w:id="564"/>
    <w:bookmarkStart w:id="565"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565"/>
    <w:bookmarkStart w:id="566"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566"/>
    <w:bookmarkStart w:id="567"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567"/>
    <w:bookmarkStart w:id="568"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568"/>
    <w:bookmarkStart w:id="569"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569"/>
    <w:bookmarkStart w:id="570"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570"/>
    <w:bookmarkStart w:id="571" w:name="ref-Roa04:Mic"/>
    <w:p>
      <w:pPr>
        <w:pStyle w:val="Bibliography"/>
      </w:pPr>
      <w:r>
        <w:t xml:space="preserve">Roads C. 2001.</w:t>
      </w:r>
      <w:r>
        <w:t xml:space="preserve"> </w:t>
      </w:r>
      <w:r>
        <w:rPr>
          <w:i/>
        </w:rPr>
        <w:t xml:space="preserve">Microsound</w:t>
      </w:r>
      <w:r>
        <w:t xml:space="preserve">. MIT Press. ed.</w:t>
      </w:r>
    </w:p>
    <w:bookmarkEnd w:id="571"/>
    <w:bookmarkStart w:id="572" w:name="ref-Roa80:Int"/>
    <w:p>
      <w:pPr>
        <w:pStyle w:val="Bibliography"/>
      </w:pPr>
      <w:r>
        <w:t xml:space="preserve">Roads C, Mathews M. 1980. Interview with max mathews.</w:t>
      </w:r>
      <w:r>
        <w:t xml:space="preserve"> </w:t>
      </w:r>
      <w:r>
        <w:rPr>
          <w:i/>
        </w:rPr>
        <w:t xml:space="preserve">Computer Music Journal</w:t>
      </w:r>
      <w:r>
        <w:t xml:space="preserve">. 4(4):15–22</w:t>
      </w:r>
    </w:p>
    <w:bookmarkEnd w:id="572"/>
    <w:bookmarkStart w:id="573"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573"/>
    <w:bookmarkStart w:id="574"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574"/>
    <w:bookmarkStart w:id="575"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575"/>
    <w:bookmarkStart w:id="576"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576"/>
    <w:bookmarkStart w:id="577"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577"/>
    <w:bookmarkStart w:id="578"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578"/>
    <w:bookmarkStart w:id="579"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579"/>
    <w:bookmarkStart w:id="580"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580"/>
    <w:bookmarkStart w:id="581"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581"/>
    <w:bookmarkStart w:id="582"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582"/>
    <w:bookmarkStart w:id="584"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583">
        <w:r>
          <w:rPr>
            <w:rStyle w:val="Hyperlink"/>
          </w:rPr>
          <w:t xml:space="preserve">http://ismir2005.ismir.net/proceedings/3123.pdf</w:t>
        </w:r>
      </w:hyperlink>
    </w:p>
    <w:bookmarkEnd w:id="584"/>
    <w:bookmarkStart w:id="585"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585"/>
    <w:bookmarkStart w:id="586"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586"/>
    <w:bookmarkStart w:id="587"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587"/>
    <w:bookmarkStart w:id="588"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588"/>
    <w:bookmarkStart w:id="589"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589"/>
    <w:bookmarkStart w:id="590"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590"/>
    <w:bookmarkStart w:id="591"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591"/>
    <w:bookmarkStart w:id="592"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592"/>
    <w:bookmarkStart w:id="593" w:name="ref-Sch06:Rea"/>
    <w:p>
      <w:pPr>
        <w:pStyle w:val="Bibliography"/>
      </w:pPr>
      <w:r>
        <w:t xml:space="preserve">Schwarz D. 2006b. Real-time corpus-based concatenative synthesis with catart., pp. 18–21</w:t>
      </w:r>
    </w:p>
    <w:bookmarkEnd w:id="593"/>
    <w:bookmarkStart w:id="594"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594"/>
    <w:bookmarkStart w:id="595"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595"/>
    <w:bookmarkStart w:id="596"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596"/>
    <w:bookmarkStart w:id="597" w:name="ref-scoremus"/>
    <w:p>
      <w:pPr>
        <w:pStyle w:val="Bibliography"/>
      </w:pPr>
      <w:r>
        <w:t xml:space="preserve">Selfridge-Field E. 1997. The score music publishing system.</w:t>
      </w:r>
      <w:r>
        <w:t xml:space="preserve"> </w:t>
      </w:r>
      <w:r>
        <w:rPr>
          <w:i/>
        </w:rPr>
        <w:t xml:space="preserve">SCORE</w:t>
      </w:r>
    </w:p>
    <w:bookmarkEnd w:id="597"/>
    <w:bookmarkStart w:id="598"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598"/>
    <w:bookmarkStart w:id="600"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599">
        <w:r>
          <w:rPr>
            <w:rStyle w:val="Hyperlink"/>
          </w:rPr>
          <w:t xml:space="preserve">https://hal.archives-ouvertes.fr/hal-01393959</w:t>
        </w:r>
      </w:hyperlink>
    </w:p>
    <w:bookmarkEnd w:id="600"/>
    <w:bookmarkStart w:id="601"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01"/>
    <w:bookmarkStart w:id="602"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02"/>
    <w:bookmarkStart w:id="603" w:name="ref-fdch/installation/spectral"/>
    <w:p>
      <w:pPr>
        <w:pStyle w:val="Bibliography"/>
      </w:pPr>
      <w:r>
        <w:t xml:space="preserve">Simonelli L, Delgadino M, Cámara Halac F. 2017.</w:t>
      </w:r>
      <w:r>
        <w:t xml:space="preserve"> </w:t>
      </w:r>
      <w:r>
        <w:rPr>
          <w:i/>
        </w:rPr>
        <w:t xml:space="preserve">Hearing the Self: A Spectral Experience</w:t>
      </w:r>
      <w:r>
        <w:t xml:space="preserve">. Xuhui Art Museum, Shanghai, China: International Computer Music Conference. ed.</w:t>
      </w:r>
    </w:p>
    <w:bookmarkEnd w:id="603"/>
    <w:bookmarkStart w:id="604" w:name="ref-10.2307/941442"/>
    <w:p>
      <w:pPr>
        <w:pStyle w:val="Bibliography"/>
      </w:pPr>
      <w:r>
        <w:t xml:space="preserve">Skinner R. 1990a. Music software.</w:t>
      </w:r>
      <w:r>
        <w:t xml:space="preserve"> </w:t>
      </w:r>
      <w:r>
        <w:rPr>
          <w:i/>
        </w:rPr>
        <w:t xml:space="preserve">Notes</w:t>
      </w:r>
      <w:r>
        <w:t xml:space="preserve">. 46(3):660–84</w:t>
      </w:r>
    </w:p>
    <w:bookmarkEnd w:id="604"/>
    <w:bookmarkStart w:id="605" w:name="ref-10.2307/940555"/>
    <w:p>
      <w:pPr>
        <w:pStyle w:val="Bibliography"/>
      </w:pPr>
      <w:r>
        <w:t xml:space="preserve">Skinner R. 1990b. Music software.</w:t>
      </w:r>
      <w:r>
        <w:t xml:space="preserve"> </w:t>
      </w:r>
      <w:r>
        <w:rPr>
          <w:i/>
        </w:rPr>
        <w:t xml:space="preserve">Notes</w:t>
      </w:r>
      <w:r>
        <w:t xml:space="preserve">. 47(1):91–101</w:t>
      </w:r>
    </w:p>
    <w:bookmarkEnd w:id="605"/>
    <w:bookmarkStart w:id="606"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06"/>
    <w:bookmarkStart w:id="607"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07"/>
    <w:bookmarkStart w:id="608"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08"/>
    <w:bookmarkStart w:id="609"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09"/>
    <w:bookmarkStart w:id="610" w:name="ref-Ste12:MP3"/>
    <w:p>
      <w:pPr>
        <w:pStyle w:val="Bibliography"/>
      </w:pPr>
      <w:r>
        <w:t xml:space="preserve">Sterne J. 2012.</w:t>
      </w:r>
      <w:r>
        <w:t xml:space="preserve"> </w:t>
      </w:r>
      <w:r>
        <w:rPr>
          <w:i/>
        </w:rPr>
        <w:t xml:space="preserve">MP3: The Meaning of a Format</w:t>
      </w:r>
      <w:r>
        <w:t xml:space="preserve">. Duke University Press. ed.</w:t>
      </w:r>
    </w:p>
    <w:bookmarkEnd w:id="610"/>
    <w:bookmarkStart w:id="611"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11"/>
    <w:bookmarkStart w:id="612" w:name="ref-Stu04:Mat"/>
    <w:p>
      <w:pPr>
        <w:pStyle w:val="Bibliography"/>
      </w:pPr>
      <w:r>
        <w:t xml:space="preserve">Sturm B. 2004. MATConcat: An application for exploring concatenative sound synthesis using matlab</w:t>
      </w:r>
    </w:p>
    <w:bookmarkEnd w:id="612"/>
    <w:bookmarkStart w:id="613"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13"/>
    <w:bookmarkStart w:id="614" w:name="ref-Sze08:Lis"/>
    <w:p>
      <w:pPr>
        <w:pStyle w:val="Bibliography"/>
      </w:pPr>
      <w:r>
        <w:t xml:space="preserve">Szendy P. 2008.</w:t>
      </w:r>
      <w:r>
        <w:t xml:space="preserve"> </w:t>
      </w:r>
      <w:r>
        <w:rPr>
          <w:i/>
        </w:rPr>
        <w:t xml:space="preserve">Listen: A History of Our Ears</w:t>
      </w:r>
      <w:r>
        <w:t xml:space="preserve">. Fordham University. ed.</w:t>
      </w:r>
    </w:p>
    <w:bookmarkEnd w:id="614"/>
    <w:bookmarkStart w:id="615"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15"/>
    <w:bookmarkStart w:id="616" w:name="ref-Sch07:How"/>
    <w:p>
      <w:pPr>
        <w:pStyle w:val="Bibliography"/>
      </w:pPr>
      <w:r>
        <w:t xml:space="preserve">Thiebaut J-B, Bello J, Schwarz D. 2007. How musical are images? From sound representation to image sonification: An eco systemic approach</w:t>
      </w:r>
    </w:p>
    <w:bookmarkEnd w:id="616"/>
    <w:bookmarkStart w:id="617"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17"/>
    <w:bookmarkStart w:id="618"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18"/>
    <w:bookmarkStart w:id="619"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19"/>
    <w:bookmarkStart w:id="620"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20"/>
    <w:bookmarkStart w:id="621"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21"/>
    <w:bookmarkStart w:id="622"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22"/>
    <w:bookmarkStart w:id="623"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23"/>
    <w:bookmarkStart w:id="625"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24">
        <w:r>
          <w:rPr>
            <w:rStyle w:val="Hyperlink"/>
          </w:rPr>
          <w:t xml:space="preserve">https://quod.lib.umich.edu/i/icmc/bbp2372.2012.006</w:t>
        </w:r>
      </w:hyperlink>
    </w:p>
    <w:bookmarkEnd w:id="625"/>
    <w:bookmarkStart w:id="626" w:name="ref-Var04:The"/>
    <w:p>
      <w:pPr>
        <w:pStyle w:val="Bibliography"/>
      </w:pPr>
      <w:r>
        <w:t xml:space="preserve">Varese E. 2004. The liberation of sound.</w:t>
      </w:r>
      <w:r>
        <w:t xml:space="preserve"> </w:t>
      </w:r>
      <w:r>
        <w:rPr>
          <w:i/>
        </w:rPr>
        <w:t xml:space="preserve">Audio Culture: Readings in Modern Music</w:t>
      </w:r>
    </w:p>
    <w:bookmarkEnd w:id="626"/>
    <w:bookmarkStart w:id="627" w:name="ref-Ver84:The"/>
    <w:p>
      <w:pPr>
        <w:pStyle w:val="Bibliography"/>
      </w:pPr>
      <w:r>
        <w:t xml:space="preserve">Vercoe B. 1984. The synthetic performer in the context of live performance</w:t>
      </w:r>
    </w:p>
    <w:bookmarkEnd w:id="627"/>
    <w:bookmarkStart w:id="628" w:name="ref-Ves07:Dat"/>
    <w:p>
      <w:pPr>
        <w:pStyle w:val="Bibliography"/>
      </w:pPr>
      <w:r>
        <w:t xml:space="preserve">Vesna V. 2007.</w:t>
      </w:r>
      <w:r>
        <w:t xml:space="preserve"> </w:t>
      </w:r>
      <w:r>
        <w:rPr>
          <w:i/>
        </w:rPr>
        <w:t xml:space="preserve">Database Aesthetics: Art in the Age of Information Overflow</w:t>
      </w:r>
      <w:r>
        <w:t xml:space="preserve">. University of Minnesotta Press. ed.</w:t>
      </w:r>
    </w:p>
    <w:bookmarkEnd w:id="628"/>
    <w:bookmarkStart w:id="629"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29"/>
    <w:bookmarkStart w:id="631"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30">
        <w:r>
          <w:rPr>
            <w:rStyle w:val="Hyperlink"/>
          </w:rPr>
          <w:t xml:space="preserve">https://ismir2017.smcnus.org/wp-content/uploads/2017/10/180_Paper.pdf</w:t>
        </w:r>
      </w:hyperlink>
    </w:p>
    <w:bookmarkEnd w:id="631"/>
    <w:bookmarkStart w:id="632"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32"/>
    <w:bookmarkStart w:id="634"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33">
        <w:r>
          <w:rPr>
            <w:rStyle w:val="Hyperlink"/>
          </w:rPr>
          <w:t xml:space="preserve">http://ismir2002.ismir.net/proceedings/02-FP06-3.pdf</w:t>
        </w:r>
      </w:hyperlink>
    </w:p>
    <w:bookmarkEnd w:id="634"/>
    <w:bookmarkStart w:id="635"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35"/>
    <w:bookmarkStart w:id="636"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36"/>
    <w:bookmarkStart w:id="637"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37"/>
    <w:bookmarkStart w:id="638"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38"/>
    <w:bookmarkStart w:id="639"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39"/>
    <w:bookmarkStart w:id="640"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40"/>
    <w:bookmarkStart w:id="641"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41"/>
    <w:bookmarkStart w:id="642"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42"/>
    <w:bookmarkStart w:id="643"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43"/>
    <w:bookmarkStart w:id="644" w:name="ref-Wei07:Oce"/>
    <w:p>
      <w:pPr>
        <w:pStyle w:val="Bibliography"/>
      </w:pPr>
      <w:r>
        <w:t xml:space="preserve">Weinbren G. 2007. Ocean, database, recut.</w:t>
      </w:r>
      <w:r>
        <w:t xml:space="preserve"> </w:t>
      </w:r>
      <w:r>
        <w:rPr>
          <w:i/>
        </w:rPr>
        <w:t xml:space="preserve">Database Aesthetics: Art in the Age of Information Overflow</w:t>
      </w:r>
    </w:p>
    <w:bookmarkEnd w:id="644"/>
    <w:bookmarkStart w:id="645"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45"/>
    <w:bookmarkStart w:id="647"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46">
        <w:r>
          <w:rPr>
            <w:rStyle w:val="Hyperlink"/>
          </w:rPr>
          <w:t xml:space="preserve">http://ismir2018.ircam.fr/doc/pdfs/114_Paper.pdf</w:t>
        </w:r>
      </w:hyperlink>
    </w:p>
    <w:bookmarkEnd w:id="647"/>
    <w:bookmarkStart w:id="64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48"/>
    <w:bookmarkStart w:id="65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49">
        <w:r>
          <w:rPr>
            <w:rStyle w:val="Hyperlink"/>
          </w:rPr>
          <w:t xml:space="preserve">http://ismir2004.ismir.net/proceedings/p010-page-48-paper227.pdf</w:t>
        </w:r>
      </w:hyperlink>
    </w:p>
    <w:bookmarkEnd w:id="650"/>
    <w:bookmarkStart w:id="65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51"/>
    <w:bookmarkStart w:id="65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52"/>
    <w:bookmarkStart w:id="65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53"/>
    <w:bookmarkStart w:id="65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54">
        <w:r>
          <w:rPr>
            <w:rStyle w:val="Hyperlink"/>
          </w:rPr>
          <w:t xml:space="preserve">http://ismir2018.ircam.fr/doc/pdfs/188_Paper.pdf</w:t>
        </w:r>
      </w:hyperlink>
    </w:p>
    <w:bookmarkEnd w:id="655"/>
    <w:bookmarkStart w:id="65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56"/>
    <w:bookmarkStart w:id="65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57"/>
    <w:bookmarkStart w:id="65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58"/>
    <w:bookmarkStart w:id="65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59"/>
    <w:bookmarkStart w:id="66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660"/>
    <w:bookmarkStart w:id="66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661"/>
    <w:bookmarkStart w:id="66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662">
        <w:r>
          <w:rPr>
            <w:rStyle w:val="Hyperlink"/>
          </w:rPr>
          <w:t xml:space="preserve">http://www.nime.org/proceedings/2007/nime2007_352.pdf</w:t>
        </w:r>
      </w:hyperlink>
    </w:p>
    <w:bookmarkEnd w:id="663"/>
    <w:bookmarkStart w:id="66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664"/>
    <w:bookmarkStart w:id="665" w:name="ref-Zmo15:Liv"/>
    <w:p>
      <w:pPr>
        <w:pStyle w:val="Bibliography"/>
      </w:pPr>
      <w:r>
        <w:t xml:space="preserve">zmölnig I m, Eckel G. 2015.</w:t>
      </w:r>
      <w:r>
        <w:t xml:space="preserve"> </w:t>
      </w:r>
      <w:r>
        <w:rPr>
          <w:i/>
        </w:rPr>
        <w:t xml:space="preserve">LIVE coding: AN overview</w:t>
      </w:r>
      <w:r>
        <w:t xml:space="preserve">. Work. Pap.</w:t>
      </w:r>
    </w:p>
    <w:bookmarkEnd w:id="665"/>
    <w:bookmarkEnd w:id="6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0">
    <w:p>
      <w:pPr>
        <w:pStyle w:val="FootnoteText"/>
      </w:pPr>
      <w:r>
        <w:rPr>
          <w:rStyle w:val="FootnoteReference"/>
        </w:rPr>
        <w:footnoteRef/>
      </w:r>
      <w:r>
        <w:t xml:space="preserve"> </w:t>
      </w:r>
      <w:r>
        <w:t xml:space="preserve">Graham Weinbren 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4">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5">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1">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2">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narrativiy</w:t>
      </w:r>
      <w:r>
        <w:t xml:space="preserve"> </w:t>
      </w:r>
      <w:r>
        <w:t xml:space="preserve">(Oviedo 2019)</w:t>
      </w:r>
      <w:r>
        <w:t xml:space="preserve">.</w:t>
      </w:r>
    </w:p>
  </w:footnote>
  <w:footnote w:id="43">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4">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5">
    <w:p>
      <w:pPr>
        <w:pStyle w:val="FootnoteText"/>
      </w:pPr>
      <w:r>
        <w:rPr>
          <w:rStyle w:val="FootnoteReference"/>
        </w:rPr>
        <w:footnoteRef/>
      </w:r>
      <w:r>
        <w:t xml:space="preserve"> </w:t>
      </w:r>
      <w:hyperlink r:id="rId46">
        <w:r>
          <w:rPr>
            <w:rStyle w:val="Hyperlink"/>
          </w:rPr>
          <w:t xml:space="preserve">https://en.wikipedia.org/wiki/Leo_Beranek</w:t>
        </w:r>
      </w:hyperlink>
    </w:p>
  </w:footnote>
  <w:footnote w:id="93">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0">
    <w:p>
      <w:pPr>
        <w:pStyle w:val="FootnoteText"/>
      </w:pPr>
      <w:r>
        <w:rPr>
          <w:rStyle w:val="FootnoteReference"/>
        </w:rPr>
        <w:footnoteRef/>
      </w:r>
      <w:r>
        <w:t xml:space="preserve"> </w:t>
      </w:r>
      <w:hyperlink r:id="rId101">
        <w:r>
          <w:rPr>
            <w:rStyle w:val="Hyperlink"/>
          </w:rPr>
          <w:t xml:space="preserve">http://kern.ccarh.org/</w:t>
        </w:r>
      </w:hyperlink>
    </w:p>
  </w:footnote>
  <w:footnote w:id="102">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6">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09">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3">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4">
        <w:r>
          <w:rPr>
            <w:rStyle w:val="Hyperlink"/>
          </w:rPr>
          <w:t xml:space="preserve">https://developer.apple.com/documentation/metal</w:t>
        </w:r>
      </w:hyperlink>
    </w:p>
  </w:footnote>
  <w:footnote w:id="125">
    <w:p>
      <w:pPr>
        <w:pStyle w:val="FootnoteText"/>
      </w:pPr>
      <w:r>
        <w:rPr>
          <w:rStyle w:val="FootnoteReference"/>
        </w:rPr>
        <w:footnoteRef/>
      </w:r>
      <w:r>
        <w:t xml:space="preserve"> </w:t>
      </w:r>
      <w:hyperlink r:id="rId126">
        <w:r>
          <w:rPr>
            <w:rStyle w:val="Hyperlink"/>
          </w:rPr>
          <w:t xml:space="preserve">https://vimeo.com/167646306</w:t>
        </w:r>
      </w:hyperlink>
    </w:p>
  </w:footnote>
  <w:footnote w:id="137">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3">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5">
    <w:p>
      <w:pPr>
        <w:pStyle w:val="FootnoteText"/>
      </w:pPr>
      <w:r>
        <w:rPr>
          <w:rStyle w:val="FootnoteReference"/>
        </w:rPr>
        <w:footnoteRef/>
      </w:r>
      <w:r>
        <w:t xml:space="preserve"> </w:t>
      </w:r>
      <w:hyperlink r:id="rId156">
        <w:r>
          <w:rPr>
            <w:rStyle w:val="Hyperlink"/>
          </w:rPr>
          <w:t xml:space="preserve">https://kyma.symbolicsound.com/</w:t>
        </w:r>
      </w:hyperlink>
    </w:p>
  </w:footnote>
  <w:footnote w:id="159">
    <w:p>
      <w:pPr>
        <w:pStyle w:val="FootnoteText"/>
      </w:pPr>
      <w:r>
        <w:rPr>
          <w:rStyle w:val="FootnoteReference"/>
        </w:rPr>
        <w:footnoteRef/>
      </w:r>
      <w:r>
        <w:t xml:space="preserve"> </w:t>
      </w: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the</w:t>
      </w:r>
      <w:r>
        <w:t xml:space="preserve"> </w:t>
      </w:r>
      <w:r>
        <w:t xml:space="preserve">SSSP</w:t>
      </w:r>
      <w:r>
        <w:t xml:space="preserve"> </w:t>
      </w:r>
      <w:r>
        <w:t xml:space="preserve">’s user-defined features for graphical representations.</w:t>
      </w:r>
    </w:p>
  </w:footnote>
  <w:footnote w:id="166">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1">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2">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0">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0">
    <w:p>
      <w:pPr>
        <w:pStyle w:val="FootnoteText"/>
      </w:pPr>
      <w:r>
        <w:rPr>
          <w:rStyle w:val="FootnoteReference"/>
        </w:rPr>
        <w:footnoteRef/>
      </w:r>
      <w:r>
        <w:t xml:space="preserve"> </w:t>
      </w:r>
      <w:hyperlink r:id="rId191">
        <w:r>
          <w:rPr>
            <w:rStyle w:val="Hyperlink"/>
          </w:rPr>
          <w:t xml:space="preserve">https://www.youtube.com/watch?v=fAxHlLK3Oyk</w:t>
        </w:r>
      </w:hyperlink>
    </w:p>
  </w:footnote>
  <w:footnote w:id="216">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0">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5">
    <w:p>
      <w:pPr>
        <w:pStyle w:val="FootnoteText"/>
      </w:pPr>
      <w:r>
        <w:rPr>
          <w:rStyle w:val="FootnoteReference"/>
        </w:rPr>
        <w:footnoteRef/>
      </w:r>
      <w:r>
        <w:t xml:space="preserve"> </w:t>
      </w:r>
      <w:r>
        <w:t xml:space="preserve">His example was the Sigmund Freud Museum, which is located in the same house where Freud lived.</w:t>
      </w:r>
      <w:hyperlink r:id="rId226">
        <w:r>
          <w:rPr>
            <w:rStyle w:val="Hyperlink"/>
          </w:rPr>
          <w:t xml:space="preserve">https://www.freud-museum.at/en/</w:t>
        </w:r>
      </w:hyperlink>
    </w:p>
  </w:footnote>
  <w:footnote w:id="231">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2">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46">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7">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0">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1">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6">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77">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78">
        <w:r>
          <w:rPr>
            <w:rStyle w:val="Hyperlink"/>
          </w:rPr>
          <w:t xml:space="preserve">https://en.wikipedia.org/wiki/Dr._Strangelove</w:t>
        </w:r>
      </w:hyperlink>
    </w:p>
  </w:footnote>
  <w:footnote w:id="279">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0">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2">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3">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86">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294">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it makes one think back to the 1946 setting of the UNIVAC computer, in the military context of the Manhattan Project, for which the computer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0">
    <w:p>
      <w:pPr>
        <w:pStyle w:val="FootnoteText"/>
      </w:pPr>
      <w:r>
        <w:rPr>
          <w:rStyle w:val="FootnoteReference"/>
        </w:rPr>
        <w:footnoteRef/>
      </w:r>
      <w:r>
        <w:t xml:space="preserve"> </w:t>
      </w:r>
      <w:r>
        <w:t xml:space="preserve">Since, the notion of a</w:t>
      </w:r>
      <w:r>
        <w:t xml:space="preserve"> </w:t>
      </w:r>
      <w:r>
        <w:t xml:space="preserve">‘</w:t>
      </w:r>
      <w:r>
        <w:t xml:space="preserve">piece</w:t>
      </w:r>
      <w:r>
        <w:t xml:space="preserve">’</w:t>
      </w:r>
      <w:r>
        <w:t xml:space="preserve"> </w:t>
      </w:r>
      <w:r>
        <w:t xml:space="preserve">presupposes that of the whole to which it belongs.</w:t>
      </w:r>
    </w:p>
  </w:footnote>
  <w:footnote w:id="304">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75" Target="media/rId75.png" /><Relationship Type="http://schemas.openxmlformats.org/officeDocument/2006/relationships/image" Id="rId185" Target="media/rId185.png" /><Relationship Type="http://schemas.openxmlformats.org/officeDocument/2006/relationships/image" Id="rId249" Target="media/rId249.png" /><Relationship Type="http://schemas.openxmlformats.org/officeDocument/2006/relationships/image" Id="rId48" Target="media/rId48.png" /><Relationship Type="http://schemas.openxmlformats.org/officeDocument/2006/relationships/image" Id="rId98" Target="media/rId98.png" /><Relationship Type="http://schemas.openxmlformats.org/officeDocument/2006/relationships/image" Id="rId95" Target="media/rId95.png" /><Relationship Type="http://schemas.openxmlformats.org/officeDocument/2006/relationships/image" Id="rId78" Target="media/rId78.png" /><Relationship Type="http://schemas.openxmlformats.org/officeDocument/2006/relationships/image" Id="rId87" Target="media/rId87.png" /><Relationship Type="http://schemas.openxmlformats.org/officeDocument/2006/relationships/image" Id="rId32" Target="media/rId32.png" /><Relationship Type="http://schemas.openxmlformats.org/officeDocument/2006/relationships/image" Id="rId150" Target="media/rId150.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04" Target="media/rId104.png" /><Relationship Type="http://schemas.openxmlformats.org/officeDocument/2006/relationships/image" Id="rId143" Target="media/rId143.png" /><Relationship Type="http://schemas.openxmlformats.org/officeDocument/2006/relationships/image" Id="rId210" Target="media/rId210.png" /><Relationship Type="http://schemas.openxmlformats.org/officeDocument/2006/relationships/image" Id="rId207" Target="media/rId207.png" /><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428" Target="http://ismir2000.ismir.net/papers/invites/dunn_invite.pdf" TargetMode="External" /><Relationship Type="http://schemas.openxmlformats.org/officeDocument/2006/relationships/hyperlink" Id="rId450" Target="http://ismir2000.ismir.net/posters/good.pdf" TargetMode="External" /><Relationship Type="http://schemas.openxmlformats.org/officeDocument/2006/relationships/hyperlink" Id="rId633" Target="http://ismir2002.ismir.net/proceedings/02-FP06-3.pdf" TargetMode="External" /><Relationship Type="http://schemas.openxmlformats.org/officeDocument/2006/relationships/hyperlink" Id="rId452" Target="http://ismir2002.ismir.net/proceedings/03-SP04-1.pdf" TargetMode="External" /><Relationship Type="http://schemas.openxmlformats.org/officeDocument/2006/relationships/hyperlink" Id="rId454" Target="http://ismir2003.ismir.net/papers/Goto1.PDF" TargetMode="External" /><Relationship Type="http://schemas.openxmlformats.org/officeDocument/2006/relationships/hyperlink" Id="rId649" Target="http://ismir2004.ismir.net/proceedings/p010-page-48-paper227.pdf" TargetMode="External" /><Relationship Type="http://schemas.openxmlformats.org/officeDocument/2006/relationships/hyperlink" Id="rId476" Target="http://ismir2005.ismir.net/proceedings/2117.pdf" TargetMode="External" /><Relationship Type="http://schemas.openxmlformats.org/officeDocument/2006/relationships/hyperlink" Id="rId583" Target="http://ismir2005.ismir.net/proceedings/3123.pdf" TargetMode="External" /><Relationship Type="http://schemas.openxmlformats.org/officeDocument/2006/relationships/hyperlink" Id="rId485" Target="http://ismir2008.ismir.net/papers/ISMIR2008_106.pdf" TargetMode="External" /><Relationship Type="http://schemas.openxmlformats.org/officeDocument/2006/relationships/hyperlink" Id="rId518" Target="http://ismir2008.ismir.net/papers/ISMIR2008_158.pdf" TargetMode="External" /><Relationship Type="http://schemas.openxmlformats.org/officeDocument/2006/relationships/hyperlink" Id="rId463" Target="http://ismir2008.ismir.net/papers/ISMIR2008_173.pdf" TargetMode="External" /><Relationship Type="http://schemas.openxmlformats.org/officeDocument/2006/relationships/hyperlink" Id="rId497" Target="http://ismir2015.uma.es/articles/246_Paper.pdf" TargetMode="External" /><Relationship Type="http://schemas.openxmlformats.org/officeDocument/2006/relationships/hyperlink" Id="rId417" Target="http://ismir2015.uma.es/articles/261_Paper.pdf" TargetMode="External" /><Relationship Type="http://schemas.openxmlformats.org/officeDocument/2006/relationships/hyperlink" Id="rId646" Target="http://ismir2018.ircam.fr/doc/pdfs/114_Paper.pdf" TargetMode="External" /><Relationship Type="http://schemas.openxmlformats.org/officeDocument/2006/relationships/hyperlink" Id="rId654" Target="http://ismir2018.ircam.fr/doc/pdfs/188_Paper.pdf" TargetMode="External" /><Relationship Type="http://schemas.openxmlformats.org/officeDocument/2006/relationships/hyperlink" Id="rId434" Target="http://ismir2018.ircam.fr/doc/pdfs/206_Paper.pdf" TargetMode="External" /><Relationship Type="http://schemas.openxmlformats.org/officeDocument/2006/relationships/hyperlink" Id="rId479" Target="http://ismir2018.ircam.fr/doc/pdfs/248_Paper.pdf" TargetMode="External" /><Relationship Type="http://schemas.openxmlformats.org/officeDocument/2006/relationships/hyperlink" Id="rId425" Target="http://ismir2018.ircam.fr/doc/pdfs/265_Paper.pdf" TargetMode="External" /><Relationship Type="http://schemas.openxmlformats.org/officeDocument/2006/relationships/hyperlink" Id="rId525" Target="http://ismir2018.ircam.fr/doc/pdfs/35_Paper.pdf" TargetMode="External" /><Relationship Type="http://schemas.openxmlformats.org/officeDocument/2006/relationships/hyperlink" Id="rId101" Target="http://kern.ccarh.org/" TargetMode="External" /><Relationship Type="http://schemas.openxmlformats.org/officeDocument/2006/relationships/hyperlink" Id="rId540" Target="http://www.nime.org/proceedings/2007/nime2007_112.pdf" TargetMode="External" /><Relationship Type="http://schemas.openxmlformats.org/officeDocument/2006/relationships/hyperlink" Id="rId662" Target="http://www.nime.org/proceedings/2007/nime2007_352.pdf" TargetMode="External" /><Relationship Type="http://schemas.openxmlformats.org/officeDocument/2006/relationships/hyperlink" Id="rId535" Target="http://www.nime.org/proceedings/2007/nime2007_409.pdf" TargetMode="External" /><Relationship Type="http://schemas.openxmlformats.org/officeDocument/2006/relationships/hyperlink" Id="rId512" Target="http://www.nime.org/proceedings/2008/nime2008_221.pdf" TargetMode="External" /><Relationship Type="http://schemas.openxmlformats.org/officeDocument/2006/relationships/hyperlink" Id="rId560" Target="http://www.nime.org/proceedings/2008/nime2008_311.pdf" TargetMode="External" /><Relationship Type="http://schemas.openxmlformats.org/officeDocument/2006/relationships/hyperlink" Id="rId362" Target="http://www.nime.org/proceedings/2009/nime2009_266.pdf" TargetMode="External" /><Relationship Type="http://schemas.openxmlformats.org/officeDocument/2006/relationships/hyperlink" Id="rId474" Target="http://www.nime.org/proceedings/2010/nime2010_233.pdf" TargetMode="External" /><Relationship Type="http://schemas.openxmlformats.org/officeDocument/2006/relationships/hyperlink" Id="rId447" Target="http://www.nime.org/proceedings/2011/nime2011_124.pdf" TargetMode="External" /><Relationship Type="http://schemas.openxmlformats.org/officeDocument/2006/relationships/hyperlink" Id="rId373" Target="http://www.nime.org/proceedings/2011/nime2011_329.pdf" TargetMode="External" /><Relationship Type="http://schemas.openxmlformats.org/officeDocument/2006/relationships/hyperlink" Id="rId360" Target="http://www.nime.org/proceedings/2011/nime2011_387.pdf" TargetMode="External" /><Relationship Type="http://schemas.openxmlformats.org/officeDocument/2006/relationships/hyperlink" Id="rId344" Target="http://www.ppgia.pucpr.br/ismir2013/wp-content/uploads/2013/09/177\_Paper.pdf" TargetMode="External" /><Relationship Type="http://schemas.openxmlformats.org/officeDocument/2006/relationships/hyperlink" Id="rId467" Target="http://www.ppgia.pucpr.br/ismir2013/wp-content/uploads/2013/09/85_Paper.pdf" TargetMode="External" /><Relationship Type="http://schemas.openxmlformats.org/officeDocument/2006/relationships/hyperlink" Id="rId324" Target="http://www.terasoft.com.tw/conf/ismir2014/proceedings/T014_162_Paper.pdf" TargetMode="External" /><Relationship Type="http://schemas.openxmlformats.org/officeDocument/2006/relationships/hyperlink" Id="rId341" Target="http://www.terasoft.com.tw/conf/ismir2014/proceedings/T028_322_Paper.pdf" TargetMode="External" /><Relationship Type="http://schemas.openxmlformats.org/officeDocument/2006/relationships/hyperlink" Id="rId492" Target="http://www.terasoft.com.tw/conf/ismir2014/proceedings/T039_344_Paper.pdf" TargetMode="External" /><Relationship Type="http://schemas.openxmlformats.org/officeDocument/2006/relationships/hyperlink" Id="rId458" Target="http://www.terasoft.com.tw/conf/ismir2014/proceedings/T059_257_Paper.pdf" TargetMode="External" /><Relationship Type="http://schemas.openxmlformats.org/officeDocument/2006/relationships/hyperlink" Id="rId556" Target="http://www.terasoft.com.tw/conf/ismir2014/proceedings/T064_307_Paper.pdf" TargetMode="External" /><Relationship Type="http://schemas.openxmlformats.org/officeDocument/2006/relationships/hyperlink" Id="rId124" Target="https://developer.apple.com/documentation/metal" TargetMode="External" /><Relationship Type="http://schemas.openxmlformats.org/officeDocument/2006/relationships/hyperlink" Id="rId278" Target="https://en.wikipedia.org/wiki/Dr._Strangelove" TargetMode="External" /><Relationship Type="http://schemas.openxmlformats.org/officeDocument/2006/relationships/hyperlink" Id="rId46" Target="https://en.wikipedia.org/wiki/Leo_Beranek" TargetMode="External" /><Relationship Type="http://schemas.openxmlformats.org/officeDocument/2006/relationships/hyperlink" Id="rId599" Target="https://hal.archives-ouvertes.fr/hal-01393959" TargetMode="External" /><Relationship Type="http://schemas.openxmlformats.org/officeDocument/2006/relationships/hyperlink" Id="rId439" Target="https://ismir2017.smcnus.org/wp-content/uploads/2017/10/161_Paper.pdf" TargetMode="External" /><Relationship Type="http://schemas.openxmlformats.org/officeDocument/2006/relationships/hyperlink" Id="rId630" Target="https://ismir2017.smcnus.org/wp-content/uploads/2017/10/180_Paper.pdf" TargetMode="External" /><Relationship Type="http://schemas.openxmlformats.org/officeDocument/2006/relationships/hyperlink" Id="rId403" Target="https://ismir2017.smcnus.org/wp-content/uploads/2017/10/235_Paper.pdf" TargetMode="External" /><Relationship Type="http://schemas.openxmlformats.org/officeDocument/2006/relationships/hyperlink" Id="rId408" Target="https://ismir2017.smcnus.org/wp-content/uploads/2017/10/75_Paper.pdf" TargetMode="External" /><Relationship Type="http://schemas.openxmlformats.org/officeDocument/2006/relationships/hyperlink" Id="rId156" Target="https://kyma.symbolicsound.com/" TargetMode="External" /><Relationship Type="http://schemas.openxmlformats.org/officeDocument/2006/relationships/hyperlink" Id="rId624" Target="https://quod.lib.umich.edu/i/icmc/bbp2372.2012.006" TargetMode="External" /><Relationship Type="http://schemas.openxmlformats.org/officeDocument/2006/relationships/hyperlink" Id="rId126" Target="https://vimeo.com/167646306" TargetMode="External" /><Relationship Type="http://schemas.openxmlformats.org/officeDocument/2006/relationships/hyperlink" Id="rId405" Target="https://www.cs.unm.edu/~crowley/papers/sds.pdf" TargetMode="External" /><Relationship Type="http://schemas.openxmlformats.org/officeDocument/2006/relationships/hyperlink" Id="rId226" Target="https://www.freud-museum.at/en/" TargetMode="External" /><Relationship Type="http://schemas.openxmlformats.org/officeDocument/2006/relationships/hyperlink" Id="rId277" Target="https://www.mersenne.org/primes/" TargetMode="External" /><Relationship Type="http://schemas.openxmlformats.org/officeDocument/2006/relationships/hyperlink" Id="rId283" Target="https://www.youtube.com/channel/UCEzSaoPnxCJVzXxA9obuRWg/videos" TargetMode="External" /><Relationship Type="http://schemas.openxmlformats.org/officeDocument/2006/relationships/hyperlink" Id="rId191"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2019-04-14T15:34:51Z</dcterms:created>
  <dcterms:modified xsi:type="dcterms:W3CDTF">2019-04-14T15:34:51Z</dcterms:modified>
</cp:coreProperties>
</file>

<file path=docProps/custom.xml><?xml version="1.0" encoding="utf-8"?>
<Properties xmlns="http://schemas.openxmlformats.org/officeDocument/2006/custom-properties" xmlns:vt="http://schemas.openxmlformats.org/officeDocument/2006/docPropsVTypes"/>
</file>