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6.png" ContentType="image/png"/>
  <Override PartName="/word/media/rId20.png" ContentType="image/png"/>
  <Override PartName="/word/media/rId68.png" ContentType="image/png"/>
  <Override PartName="/word/media/rId178.png" ContentType="image/png"/>
  <Override PartName="/word/media/rId264.png" ContentType="image/png"/>
  <Override PartName="/word/media/rId91.png" ContentType="image/png"/>
  <Override PartName="/word/media/rId88.png" ContentType="image/png"/>
  <Override PartName="/word/media/rId71.png" ContentType="image/png"/>
  <Override PartName="/word/media/rId80.png" ContentType="image/png"/>
  <Override PartName="/word/media/rId32.png" ContentType="image/png"/>
  <Override PartName="/word/media/rId143.png" ContentType="image/png"/>
  <Override PartName="/word/media/rId75.png" ContentType="image/png"/>
  <Override PartName="/word/media/rId83.png" ContentType="image/png"/>
  <Override PartName="/word/media/rId97.png" ContentType="image/png"/>
  <Override PartName="/word/media/rId136.png" ContentType="image/png"/>
  <Override PartName="/word/media/rId203.png" ContentType="image/png"/>
  <Override PartName="/word/media/rId20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©2018–2019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1"/>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1"/>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1"/>
      </w:pPr>
      <w:bookmarkStart w:id="23" w:name="preface"/>
      <w:r>
        <w:t xml:space="preserve">Preface</w:t>
      </w:r>
      <w:bookmarkEnd w:id="23"/>
    </w:p>
    <w:p>
      <w:pPr>
        <w:pStyle w:val="Heading5"/>
      </w:pPr>
      <w:bookmarkStart w:id="24" w:name="dataloquy-you-dont-need-to-read-this"/>
      <w:r>
        <w:t xml:space="preserve">Dataloquy (you don’t need to read 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 and ,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wearhouses, repositories, their mining, and their subsequent data clouds, clusters, spacing out into the (in)famous big data leap from bit to big.</w:t>
      </w:r>
    </w:p>
    <w:p>
      <w:pPr>
        <w:pStyle w:val="Heading1"/>
      </w:pPr>
      <w:bookmarkStart w:id="25" w:name="abstract"/>
      <w:r>
        <w:t xml:space="preserve">Abstract</w:t>
      </w:r>
      <w:bookmarkEnd w:id="25"/>
    </w:p>
    <w:p>
      <w:pPr>
        <w:pStyle w:val="FirstParagraph"/>
      </w:pPr>
      <w:r>
        <w:t xml:space="preserve">The aim of this dissertation is to understand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section, I trace a history of database practices from three points of view. The first is from new media theory, emphasizing certain aspects of embodied theory which relate to the intersection between the database and the body. The second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section, I discuss this agency under the broader concepts of sound, self, and community. These three axes are addressed in four sections, each with a different perspective. First I focus on listening, delineating Jean-Luc Nancy’s ontology of sound in order to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Finally, I revise the notion of music work, reflecting on the consequences of the anarchic and the inoperative in the community of database music.</w:t>
      </w:r>
    </w:p>
    <w:p>
      <w:pPr>
        <w:pStyle w:val="Heading1"/>
      </w:pPr>
      <w:bookmarkStart w:id="26" w:name="chapter:Introduction"/>
      <w:r>
        <w:t xml:space="preserve">Introduction</w:t>
      </w:r>
      <w:bookmarkEnd w:id="26"/>
    </w:p>
    <w:p>
      <w:pPr>
        <w:pStyle w:val="FirstParagraph"/>
      </w:pPr>
      <w:r>
        <w:t xml:space="preserve">This dissertation begins with a word (</w:t>
      </w:r>
      <w:r>
        <w:t xml:space="preserve">‘</w:t>
      </w:r>
      <w:r>
        <w:t xml:space="preserve">database</w:t>
      </w:r>
      <w:r>
        <w:t xml:space="preserve">’</w:t>
      </w:r>
      <w:r>
        <w:t xml:space="preserve">) and a proposition: Is there something we can call database music? This sudden jump from noun to adjective comes not without its audible retaliation, and I make no attempt to muffle it. The reader would perhaps forgive the clumsiness of my condition of composer in the midst of writting his dissertation, which made me jump to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t xml:space="preserve">“</w:t>
      </w:r>
      <w:r>
        <w:t xml:space="preserve">a history….</w:t>
      </w:r>
      <w:r>
        <w:t xml:space="preserve">”</w:t>
      </w:r>
      <w:r>
        <w:t xml:space="preserve"> </w:t>
      </w:r>
      <w:r>
        <w:t xml:space="preserve">However, it is the</w:t>
      </w:r>
      <w:r>
        <w:t xml:space="preserve"> </w:t>
      </w:r>
      <w:r>
        <w:t xml:space="preserve">‘</w:t>
      </w:r>
      <w:r>
        <w:t xml:space="preserve">a</w:t>
      </w:r>
      <w:r>
        <w:t xml:space="preserve">’</w:t>
      </w:r>
      <w:r>
        <w:t xml:space="preserve"> </w:t>
      </w:r>
      <w:r>
        <w:t xml:space="preserve">that would account for the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accross the two nodes that compose the focus of this text:</w:t>
      </w:r>
      <w:r>
        <w:t xml:space="preserve"> </w:t>
      </w:r>
      <w:r>
        <w:rPr>
          <w:i/>
        </w:rPr>
        <w:t xml:space="preserve">database and music</w:t>
      </w:r>
      <w:r>
        <w:t xml:space="preserve">. Both nodes have their historical, technical, and aesthetical idiosyncracies. The primary goal of this dissertation (if I dare to say that it has one) is thus to find where these intersect. The</w:t>
      </w:r>
      <w:r>
        <w:t xml:space="preserve"> </w:t>
      </w:r>
      <w:r>
        <w:rPr>
          <w:rStyle w:val="VerbatimChar"/>
        </w:rPr>
        <w:t xml:space="preserve">AND</w:t>
      </w:r>
      <w:r>
        <w:t xml:space="preserve"> </w:t>
      </w:r>
      <w:r>
        <w:t xml:space="preserve">of the query had indeed much less results than the</w:t>
      </w:r>
      <w:r>
        <w:t xml:space="preserve"> </w:t>
      </w:r>
      <w:r>
        <w:rPr>
          <w:rStyle w:val="VerbatimChar"/>
        </w:rPr>
        <w:t xml:space="preserve">OR</w:t>
      </w:r>
      <w:r>
        <w:t xml:space="preserve">, which meant my quest was already promising some reduction. For instance, I indeed decided that the search would only pertain to situations in which computers where involved.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w:t>
      </w:r>
    </w:p>
    <w:p>
      <w:pPr>
        <w:pStyle w:val="BodyText"/>
      </w:pPr>
      <w:r>
        <w:t xml:space="preserve">Upon this abysmal enterprise, I did as any musician would and started listening for the sound of databases. I realized that this is not just the sound of your computer reading its hard-drive: it is the sound made with its software. At this point, a network (and this is one of the key terms throughout this text) of sonic software had begun to appear. What this network pointed to, besides the key to open door number one, is a certain silence that much of the literature relating to databases in art continues to abide to: a sonic silence. This relates to the</w:t>
      </w:r>
      <w:r>
        <w:t xml:space="preserve"> </w:t>
      </w:r>
      <w:r>
        <w:t xml:space="preserve">“</w:t>
      </w:r>
      <w:r>
        <w:t xml:space="preserve">history, technology…</w:t>
      </w:r>
      <w:r>
        <w:t xml:space="preserve">”</w:t>
      </w:r>
      <w:r>
        <w:t xml:space="preserve"> </w:t>
      </w:r>
      <w:r>
        <w:t xml:space="preserve">part of the subtitle. In addressing this silence, I do not attempt to invalidate previous approaches</w:t>
      </w:r>
      <w:r>
        <w:t xml:space="preserve"> </w:t>
      </w:r>
      <w:r>
        <w:t xml:space="preserve">(Manovich 2001, Vesna 2007a)</w:t>
      </w:r>
      <w:r>
        <w:t xml:space="preserve">. On the contrary, these texts have shed light of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That is to say, through these authors, I introduce notions of embodiment, virtuality, and framing coming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Sonification, and Computer Music. Each one of these disciplines has its own history and it is evidenced by the many conference proceedings and journals that I have (again) mined, as well as the various authors (most of them composers, and most of them programmers) that I refer to. In between these two, that is, in between my exploration of the database in new media theroy, and the its corresponding exploration witihin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refering mostly to these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upside down:</w:t>
      </w:r>
      <w:r>
        <w:t xml:space="preserve"> </w:t>
      </w:r>
      <w:r>
        <w:rPr>
          <w:i/>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faces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implicatoins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that I situate around sound.</w:t>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and database and music…to the latter part of the subtitle</w:t>
      </w:r>
      <w:r>
        <w:t xml:space="preserve"> </w:t>
      </w:r>
      <w:r>
        <w:t xml:space="preserve">“</w:t>
      </w:r>
      <w:r>
        <w:t xml:space="preserve">in music composition.</w:t>
      </w:r>
      <w: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of the clumsiness of a composer in the midst of writing, but that should not discourage neither academic rigor, nor literary thirst. I have thus included an exhaustive bibliography, two interludes, a transcription, and a poslude (work in progress), together with graphs, tables, and some snippets of pseudocode and sometimes working code. In the hope that you will continue reading these p{age,ixel}s, I will (simply) end these remarks.</w:t>
      </w:r>
    </w:p>
    <w:p>
      <w:pPr>
        <w:pStyle w:val="Heading1"/>
      </w:pPr>
      <w:bookmarkStart w:id="27" w:name="chapter:Database_Art"/>
      <w:r>
        <w:t xml:space="preserve">Database Art</w:t>
      </w:r>
      <w:bookmarkEnd w:id="27"/>
    </w:p>
    <w:p>
      <w:pPr>
        <w:pStyle w:val="Heading2"/>
      </w:pPr>
      <w:bookmarkStart w:id="28" w:name="section:The_Database_In_New_Media_Theory"/>
      <w:r>
        <w:t xml:space="preserve">The Database In New Media Theory</w:t>
      </w:r>
      <w:bookmarkEnd w:id="28"/>
    </w:p>
    <w:p>
      <w:pPr>
        <w:pStyle w:val="Heading3"/>
      </w:pPr>
      <w:bookmarkStart w:id="29" w:name="new_media"/>
      <w:r>
        <w:t xml:space="preserve">Database As Form</w:t>
      </w:r>
      <w:bookmarkEnd w:id="29"/>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0"/>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1" w:name="semiotics"/>
      <w:r>
        <w:t xml:space="preserve">A Semiotic Trap</w:t>
      </w:r>
      <w:bookmarkEnd w:id="31"/>
    </w:p>
    <w:p>
      <w:pPr>
        <w:pStyle w:val="CaptionedFigure"/>
      </w:pPr>
      <w:bookmarkStart w:id="33" w:name="img:one-to-many"/>
      <w:r>
        <w:drawing>
          <wp:inline>
            <wp:extent cx="3060700" cy="34925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2"/>
                    <a:stretch>
                      <a:fillRect/>
                    </a:stretch>
                  </pic:blipFill>
                  <pic:spPr bwMode="auto">
                    <a:xfrm>
                      <a:off x="0" y="0"/>
                      <a:ext cx="3060700" cy="3492500"/>
                    </a:xfrm>
                    <a:prstGeom prst="rect">
                      <a:avLst/>
                    </a:prstGeom>
                    <a:noFill/>
                    <a:ln w="9525">
                      <a:noFill/>
                      <a:headEnd/>
                      <a:tailEnd/>
                    </a:ln>
                  </pic:spPr>
                </pic:pic>
              </a:graphicData>
            </a:graphic>
          </wp:inline>
        </w:drawing>
      </w:r>
      <w:bookmarkEnd w:id="33"/>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In order to reveal the extent to which the presence of the database has a radical effect on narrative, however, Manovich reverses the semiotic theory of syntagm and paradigm that governed the first half of the 20th century</w:t>
      </w:r>
      <w:r>
        <w:t xml:space="preserve"> </w:t>
      </w:r>
      <w:r>
        <w:t xml:space="preserve">(Manovich 2001, p. 231)</w:t>
      </w:r>
      <w:r>
        <w:t xml:space="preserve">. Quoting Roland Barthes’ reading of Ferdinand de Saussure in , Manovich describes the paradigm as a relation subjected to substitution —because it depends on associations—, and the syntagm as a relation subjected to combination —because it is an instantiation of concrete elements. For example, from the entire set of words in a language (the paradigm) the speaker constructs sentences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w:t>
      </w:r>
      <w:r>
        <w:t xml:space="preserve"> </w:t>
      </w:r>
      <w:r>
        <w:t xml:space="preserve">“</w:t>
      </w:r>
      <w:r>
        <w:t xml:space="preserve">food system,</w:t>
      </w:r>
      <w:r>
        <w:t xml:space="preserve">”</w:t>
      </w:r>
      <w:r>
        <w:t xml:space="preserve"> </w:t>
      </w:r>
      <w:r>
        <w:t xml:space="preserve">which I will borrow in what follows. All the elements that compose a dish, for example, the</w:t>
      </w:r>
      <w:r>
        <w:t xml:space="preserve"> </w:t>
      </w:r>
      <w:r>
        <w:t xml:space="preserve">“</w:t>
      </w:r>
      <w:r>
        <w:t xml:space="preserve">set of foodstuffs which have affinities or differences within which one chooses a dish in view of a certain meaning</w:t>
      </w:r>
      <w:r>
        <w:t xml:space="preserve">”</w:t>
      </w:r>
      <w:r>
        <w:t xml:space="preserve"> </w:t>
      </w:r>
      <w:r>
        <w:t xml:space="preserve">comes to delimit the paradigm. However, the</w:t>
      </w:r>
      <w:r>
        <w:t xml:space="preserve"> </w:t>
      </w:r>
      <w:r>
        <w:t xml:space="preserve">“</w:t>
      </w:r>
      <w:r>
        <w:t xml:space="preserve">sequence of dishes chosen during a meal,</w:t>
      </w:r>
      <w:r>
        <w:t xml:space="preserve">”</w:t>
      </w:r>
      <w:r>
        <w:t xml:space="preserve"> </w:t>
      </w:r>
      <w:r>
        <w:t xml:space="preserve">or simply, what you are eating as you are eating it in a restaurant, comes to represent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system [i.e., paradigm], the vertical reading of the menu corresponds to the syntagm</w:t>
      </w:r>
      <w:r>
        <w:t xml:space="preserve">”</w:t>
      </w:r>
      <w:r>
        <w:t xml:space="preserve"> </w:t>
      </w:r>
      <w:r>
        <w:t xml:space="preserve">(Barthes et al. 1968, p. 63)</w:t>
      </w:r>
      <w:r>
        <w:t xml:space="preserve">. A software menu, for instance, would come to represent both planes as well: the paradigm is the set of all possible actions the user might make within the specific context of the menu; the syntagm is the actual sequence of clicks that the user makes.</w:t>
      </w:r>
    </w:p>
    <w:p>
      <w:pPr>
        <w:pStyle w:val="BodyText"/>
      </w:pPr>
      <w:r>
        <w:t xml:space="preserve">Barthes’ reading of Saussure is maintained in Manovich’s description of the database. On the one hand, narrative is the syntagm since, at least in Manovich’s rendition of narrative in the visual art world and the gaming world, it is the trajectory through the navigational space of a database. Furthermore, since this narrative is achieved by the interface, interface and narrative depend on each other: narrative thusly interlocks with the interface itself, and results on the conception of the interface-as-artwork. On the other hand, the database is the paradigm, since it represents the set of elements to be selected by the user. Materially, however, Manovich points to a reversal of these planes. Given the material presence of the database (i.e., the stored data), and given the hyperlinked quality of the user interface, the database becomes explicit (present) and narrative becomes implicit (absent, dematerialised).</w:t>
      </w:r>
    </w:p>
    <w:p>
      <w:pPr>
        <w:pStyle w:val="BodyText"/>
      </w:pPr>
      <w:r>
        <w:t xml:space="preserve">For example, consider the case of the typical timeline-view of a video editor.</w:t>
      </w:r>
      <w:r>
        <w:rPr>
          <w:rStyle w:val="FootnoteReference"/>
        </w:rPr>
        <w:footnoteReference w:id="34"/>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 result is desired, and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5"/>
      </w:r>
      <w:r>
        <w:t xml:space="preserve"> </w:t>
      </w:r>
      <w:r>
        <w:t xml:space="preserve">The timeline where the user places the videos is a visualization of the set of links to the files; an editable graph that allows the user to locate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only on a certain quality of the relation itself, that is, as a shift from one-to-many to many-to-one (See Figure</w:t>
      </w:r>
      <w:r>
        <w:t xml:space="preserve"> </w:t>
      </w:r>
      <w:hyperlink w:anchor="img:one-to-many">
        <w:r>
          <w:rPr>
            <w:rStyle w:val="Hyperlink"/>
          </w:rPr>
          <w:t xml:space="preserve">4.1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grounded on an equivocation. Pointers are, however functionally different, another data type. This fact comes from the Von Neumann architecture on which computers are constructed (See</w:t>
      </w:r>
      <w:r>
        <w:t xml:space="preserve"> </w:t>
      </w:r>
      <w:hyperlink w:anchor="programming">
        <w:r>
          <w:rPr>
            <w:rStyle w:val="Hyperlink"/>
          </w:rPr>
          <w:t xml:space="preserve">4.2.2</w:t>
        </w:r>
      </w:hyperlink>
      <w:r>
        <w:t xml:space="preserv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the materiality of data.</w:t>
      </w:r>
    </w:p>
    <w:p>
      <w:pPr>
        <w:pStyle w:val="Heading3"/>
      </w:pPr>
      <w:bookmarkStart w:id="36" w:name="convergence"/>
      <w:r>
        <w:t xml:space="preserve">Digital Convergence</w:t>
      </w:r>
      <w:bookmarkEnd w:id="36"/>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 she</w:t>
      </w:r>
      <w:r>
        <w:t xml:space="preserve"> </w:t>
      </w:r>
      <w:r>
        <w:t xml:space="preserve">“</w:t>
      </w:r>
      <w:r>
        <w:t xml:space="preserve">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 slave to data, and as a consequence the human is economically colonized and psychologically invaded 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37" w:name="bodiless_information"/>
      <w:r>
        <w:t xml:space="preserve">Bodiless Information</w:t>
      </w:r>
      <w:bookmarkEnd w:id="37"/>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4.2.1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38" w:name="embodiment"/>
      <w:r>
        <w:t xml:space="preserve">Embodying Databasing</w:t>
      </w:r>
      <w:bookmarkEnd w:id="38"/>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39" w:name="framing"/>
      <w:r>
        <w:t xml:space="preserve">Filtering And Framing</w:t>
      </w:r>
      <w:bookmarkEnd w:id="39"/>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To the contrary, the framing function of the human body is the possibility condition for the digital to become information. The frame, as Hansen describes, is the human body filtering images from the world, and creating a virtual image that gives form to data. The frame needs to happen as a relation, and thus, it is the temporal instantiation of a process.</w:t>
      </w:r>
    </w:p>
    <w:p>
      <w:pPr>
        <w:pStyle w:val="Heading3"/>
      </w:pPr>
      <w:bookmarkStart w:id="40" w:name="database_aesthetics"/>
      <w:r>
        <w:t xml:space="preserve">Database As Aesthetics</w:t>
      </w:r>
      <w:bookmarkEnd w:id="40"/>
    </w:p>
    <w:p>
      <w:pPr>
        <w:pStyle w:val="FirstParagraph"/>
      </w:pPr>
      <w:r>
        <w:t xml:space="preserve">The Internet is a place of unlimited access, it is a database in continuous and exponential growth, that reconfigures the grounds on which art has traditionally been built on. One of these grounds is the role of the author. The collaborative approach in the work of media artist Sharon Daniel</w:t>
      </w:r>
      <w:r>
        <w:t xml:space="preserve"> </w:t>
      </w:r>
      <w:r>
        <w:t xml:space="preserve">(Daniel 2007)</w:t>
      </w:r>
      <w:r>
        <w:t xml:space="preserve">, is an example of a different kind of authorial reconfiguration. Daniel raises questions about authority and politics in collaborative art by means of a social model based on the concepts of emergence and</w:t>
      </w:r>
      <w:r>
        <w:t xml:space="preserve"> </w:t>
      </w:r>
      <w:r>
        <w:rPr>
          <w:i/>
        </w:rPr>
        <w:t xml:space="preserve">cellular automata</w:t>
      </w:r>
      <w:r>
        <w:t xml:space="preserve">. Cellular automata are systems that reveal emergent (global) behavior from (local) rules. That is to say, each automaton changes states according to its surrounding neighborhood, resulting on an emergent behavior on the global level that precludes top-down behavior. Brought to the social plane, cellular automata result in an inverted hierarchic system: instead of a top-down authority, there exists an emergent, bottom-up behavior. Daniel thus removes her authorial role as artist granting participants a shared authority with the work itself at every stage. Differing from Klein’s blurring of the authorial roles, Sharon’s participants engage in performative actions that shape the outcome of the artwork in ways she could not anticipate. Therefore, authority is decentered, that is, it does not sediment itself in a single unity.</w:t>
      </w:r>
    </w:p>
    <w:p>
      <w:pPr>
        <w:pStyle w:val="Heading3"/>
      </w:pPr>
      <w:bookmarkStart w:id="41" w:name="generated"/>
      <w:r>
        <w:t xml:space="preserve">Databasing: Database As Performance</w:t>
      </w:r>
      <w:bookmarkEnd w:id="41"/>
    </w:p>
    <w:p>
      <w:pPr>
        <w:pStyle w:val="BlockText"/>
      </w:pPr>
      <w:r>
        <w:t xml:space="preserve">Data creators have to collect data and organize it, or create it from scratch. Texts need to be written, photographs need to be taken, video and audio need to be recorded. Or they need to be digitized from already existing media…Once digitized, the data has to be cleaned up, organized, and indexed.</w:t>
      </w:r>
      <w:r>
        <w:t xml:space="preserve"> </w:t>
      </w:r>
      <w:r>
        <w:t xml:space="preserve">(Manovich 2001, p. 224)</w:t>
      </w:r>
    </w:p>
    <w:p>
      <w:pPr>
        <w:pStyle w:val="FirstParagraph"/>
      </w:pPr>
      <w:r>
        <w:t xml:space="preserve">Despite Manovich’s technologically determined considerations of the database as form, he notes a fundamental aspect of the use of the database when he expresses that data need to be generated</w:t>
      </w:r>
      <w:r>
        <w:t xml:space="preserve"> </w:t>
      </w:r>
      <w:r>
        <w:t xml:space="preserve">(Manovich 2001, p. 224)</w:t>
      </w:r>
      <w:r>
        <w:t xml:space="preserve">. In this sense, he begins to describe the actions that need to be performed around data, or what I call databasing (See</w:t>
      </w:r>
      <w:r>
        <w:t xml:space="preserve"> </w:t>
      </w:r>
      <w:hyperlink w:anchor="databasing">
        <w:r>
          <w:rPr>
            <w:rStyle w:val="Hyperlink"/>
          </w:rPr>
          <w:t xml:space="preserve">4.2.1</w:t>
        </w:r>
      </w:hyperlink>
      <w:r>
        <w:t xml:space="preserve">), which connotes the use of databases in terms of their performativity.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which I reinterpret here as a single subroutine with one argument for input: the world (See Listing</w:t>
      </w:r>
      <w:r>
        <w:t xml:space="preserve"> </w:t>
      </w:r>
      <w:hyperlink w:anchor="lst:manovich">
        <w:r>
          <w:rPr>
            <w:rStyle w:val="Hyperlink"/>
          </w:rPr>
          <w:t xml:space="preserve">[lst:manovich]</w:t>
        </w:r>
      </w:hyperlink>
      <w:r>
        <w:t xml:space="preserve">). Following this line of thought, artist Victoria Vesna</w:t>
      </w:r>
      <w:r>
        <w:t xml:space="preserve"> </w:t>
      </w:r>
      <w:r>
        <w:t xml:space="preserve">(Vesna 2007b)</w:t>
      </w:r>
      <w:r>
        <w:t xml:space="preserve"> </w:t>
      </w:r>
      <w:r>
        <w:t xml:space="preserve">argues that creating a memory bank is a means of testifying to our existence</w:t>
      </w:r>
      <w:r>
        <w:t xml:space="preserve"> </w:t>
      </w:r>
      <w:r>
        <w:t xml:space="preserve">(Vesna 2007b, p. 25)</w:t>
      </w:r>
      <w:r>
        <w:t xml:space="preserve">.</w:t>
      </w:r>
    </w:p>
    <w:bookmarkStart w:id="42" w:name="lst:manovich"/>
    <w:p>
      <w:pPr>
        <w:pStyle w:val="SourceCode"/>
      </w:pPr>
      <w:r>
        <w:rPr>
          <w:rStyle w:val="VerbatimChar"/>
        </w:rPr>
        <w:t xml:space="preserve">function new_cultural_algorithm(world) </w:t>
      </w:r>
      <w:r>
        <w:br w:type="textWrapping"/>
      </w:r>
      <w:r>
        <w:rPr>
          <w:rStyle w:val="VerbatimChar"/>
        </w:rPr>
        <w:t xml:space="preserve">{</w:t>
      </w:r>
      <w:r>
        <w:br w:type="textWrapping"/>
      </w:r>
      <w:r>
        <w:rPr>
          <w:rStyle w:val="VerbatimChar"/>
        </w:rPr>
        <w:t xml:space="preserve">    database = data = media = world</w:t>
      </w:r>
      <w:r>
        <w:br w:type="textWrapping"/>
      </w:r>
      <w:r>
        <w:rPr>
          <w:rStyle w:val="VerbatimChar"/>
        </w:rPr>
        <w:t xml:space="preserve">    return database</w:t>
      </w:r>
      <w:r>
        <w:br w:type="textWrapping"/>
      </w:r>
      <w:r>
        <w:rPr>
          <w:rStyle w:val="VerbatimChar"/>
        </w:rPr>
        <w:t xml:space="preserve">}</w:t>
      </w:r>
    </w:p>
    <w:bookmarkEnd w:id="42"/>
    <w:p>
      <w:pPr>
        <w:pStyle w:val="FirstParagraph"/>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w:t>
      </w:r>
    </w:p>
    <w:p>
      <w:pPr>
        <w:pStyle w:val="Heading2"/>
      </w:pPr>
      <w:bookmarkStart w:id="43" w:name="Xdc6db904ad977d5b954cf3c9c455f3f4fa43e5b"/>
      <w:r>
        <w:t xml:space="preserve">Databasing And The History Of Databases</w:t>
      </w:r>
      <w:bookmarkEnd w:id="43"/>
    </w:p>
    <w:p>
      <w:pPr>
        <w:pStyle w:val="Heading3"/>
      </w:pPr>
      <w:bookmarkStart w:id="44" w:name="databasing"/>
      <w:r>
        <w:t xml:space="preserve">Databasing: The Performance Of The Database</w:t>
      </w:r>
      <w:bookmarkEnd w:id="44"/>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impulsed by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45" w:name="data-types-and-structures"/>
      <w:r>
        <w:t xml:space="preserve">Data types and structures</w:t>
      </w:r>
      <w:bookmarkEnd w:id="45"/>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46"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46"/>
    <w:p>
      <w:pPr>
        <w:pStyle w:val="Heading4"/>
      </w:pPr>
      <w:bookmarkStart w:id="47" w:name="temporality-of-databasing"/>
      <w:r>
        <w:t xml:space="preserve">Temporality of Databasing</w:t>
      </w:r>
      <w:bookmarkEnd w:id="47"/>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4.1.5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48" w:name="databasing-and-writing"/>
      <w:r>
        <w:t xml:space="preserve">Databasing and Writing</w:t>
      </w:r>
      <w:bookmarkEnd w:id="48"/>
    </w:p>
    <w:p>
      <w:pPr>
        <w:pStyle w:val="FirstParagraph"/>
      </w:pPr>
      <w:r>
        <w:t xml:space="preserve">As with other new media, the terminology used to describe computer memory is often borrowed from earlier media practices like printed text: reading, writing, and erasing. Computer memory thus shares with writing the property of hypomnesis, that is, of displacing the role of human memory with an external non-human device. In the case of the computer memory however, the scale of this displacement is extremely large, both in terms of the amounts of data that can be stored and the speed with which it can be stored. For example, the 40-bit long 4000 numbers that Von Neumann was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represents around 16 Kilobytes, something which today might seem absurd in comparison to current computer storage capabilities that can be found in the case of cloud computing. In light of this fact, we might ask ourselves how is human work transformed through interaction with these massive external memories? Database practice has direct effects on temporality and on memory. Therefore, when designing computer software for art, the way in which data is structured, together with the speed and design of data flow, has significant effects on the temporality of art altogether as a practice.</w:t>
      </w:r>
    </w:p>
    <w:p>
      <w:pPr>
        <w:pStyle w:val="BodyText"/>
      </w:pPr>
      <w:r>
        <w:t xml:space="preserve">I have proposed that memory and its storing of instructions and information what enables the computer as such. The simplicity of this synthesis of data and command in Von Neumann’s architecture, led to its implementation in not only the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49"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49"/>
    <w:p>
      <w:pPr>
        <w:pStyle w:val="Heading4"/>
      </w:pPr>
      <w:bookmarkStart w:id="50" w:name="the-von-neumann-architecture"/>
      <w:r>
        <w:t xml:space="preserve">The Von Neumann Architecture</w:t>
      </w:r>
      <w:bookmarkEnd w:id="50"/>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it is memory-storage what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51" w:name="programming"/>
      <w:r>
        <w:t xml:space="preserve">A Database Tree</w:t>
      </w:r>
      <w:bookmarkEnd w:id="51"/>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working with computers meant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4.2</w:t>
        </w:r>
      </w:hyperlink>
      <w:r>
        <w:t xml:space="preserve">), starting from basic data structures to more elaborate database systems, and then present a brief history of how databases were designed.</w:t>
      </w:r>
    </w:p>
    <w:p>
      <w:pPr>
        <w:pStyle w:val="CaptionedFigure"/>
      </w:pPr>
      <w:bookmarkStart w:id="52" w:name="img:dbtree"/>
      <w:r>
        <w:drawing>
          <wp:inline>
            <wp:extent cx="5334000" cy="5887267"/>
            <wp:effectExtent b="0" l="0" r="0" t="0"/>
            <wp:docPr descr=" A very simple sketch of a tree representing the database tree of computer evolution "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52"/>
    </w:p>
    <w:p>
      <w:pPr>
        <w:pStyle w:val="ImageCaption"/>
      </w:pPr>
      <w:r>
        <w:t xml:space="preserve"> </w:t>
      </w:r>
      <w:r>
        <w:t xml:space="preserve">A very simple sketch of a tree representing the database tree of computer evolution</w:t>
      </w:r>
      <w:r>
        <w:t xml:space="preserve"> </w:t>
      </w:r>
    </w:p>
    <w:p>
      <w:pPr>
        <w:pStyle w:val="BodyText"/>
      </w:pPr>
      <w:r>
        <w:t xml:space="preserve">0.4</w:t>
      </w:r>
    </w:p>
    <w:p>
      <w:pPr>
        <w:pStyle w:val="Heading5"/>
      </w:pPr>
      <w:bookmarkStart w:id="53" w:name="ground"/>
      <w:r>
        <w:t xml:space="preserve">Ground</w:t>
      </w:r>
      <w:bookmarkEnd w:id="53"/>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5"/>
      </w:pPr>
      <w:bookmarkStart w:id="54" w:name="roots"/>
      <w:r>
        <w:t xml:space="preserve">Roots</w:t>
      </w:r>
      <w:bookmarkEnd w:id="54"/>
    </w:p>
    <w:p>
      <w:pPr>
        <w:pStyle w:val="FirstParagraph"/>
      </w:pPr>
      <w:r>
        <w:t xml:space="preserve">The below-ground level is accessed through machine and assembly code, which constitutes the core of low-level programming languages and are, to a certain extent, humanly un-readable: the world of bits. Above the ground, readability by humans is the main feature.</w:t>
      </w:r>
    </w:p>
    <w:p>
      <w:pPr>
        <w:pStyle w:val="Heading5"/>
      </w:pPr>
      <w:bookmarkStart w:id="55" w:name="portability"/>
      <w:r>
        <w:t xml:space="preserve">Macros</w:t>
      </w:r>
      <w:bookmarkEnd w:id="55"/>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grounds.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5"/>
      </w:pPr>
      <w:bookmarkStart w:id="56" w:name="trunk"/>
      <w:r>
        <w:t xml:space="preserve">Trunk</w:t>
      </w:r>
      <w:bookmarkEnd w:id="56"/>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5"/>
      </w:pPr>
      <w:bookmarkStart w:id="57" w:name="branches"/>
      <w:r>
        <w:t xml:space="preserve">Branches</w:t>
      </w:r>
      <w:bookmarkEnd w:id="57"/>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5"/>
      </w:pPr>
      <w:bookmarkStart w:id="58" w:name="twigs"/>
      <w:r>
        <w:t xml:space="preserve">Twigs</w:t>
      </w:r>
      <w:bookmarkEnd w:id="58"/>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5"/>
      </w:pPr>
      <w:bookmarkStart w:id="59" w:name="leaves"/>
      <w:r>
        <w:t xml:space="preserve">Leaves</w:t>
      </w:r>
      <w:bookmarkEnd w:id="59"/>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generally used in businesses for data processing and editing, for example:</w:t>
      </w:r>
      <w:r>
        <w:t xml:space="preserve"> </w:t>
      </w:r>
      <w:r>
        <w:t xml:space="preserve">mysql</w:t>
      </w:r>
      <w:r>
        <w:t xml:space="preserve">,</w:t>
      </w:r>
      <w:r>
        <w:t xml:space="preserve"> </w:t>
      </w:r>
      <w:r>
        <w:t xml:space="preserve">postgresql</w:t>
      </w:r>
      <w:r>
        <w:t xml:space="preserve">,</w:t>
      </w:r>
      <w:r>
        <w:t xml:space="preserve"> </w:t>
      </w:r>
      <w:r>
        <w:t xml:space="preserve">nosql</w:t>
      </w:r>
      <w:r>
        <w:t xml:space="preserve">,</w:t>
      </w:r>
      <w:r>
        <w:t xml:space="preserve"> </w:t>
      </w:r>
      <w:r>
        <w:t xml:space="preserve">couchdb</w:t>
      </w:r>
      <w:r>
        <w:t xml:space="preserve"> </w:t>
      </w:r>
      <w:r>
        <w:t xml:space="preserve">and</w:t>
      </w:r>
      <w:r>
        <w:t xml:space="preserve"> </w:t>
      </w:r>
      <w:r>
        <w:t xml:space="preserve">mongodb</w:t>
      </w:r>
      <w:r>
        <w:t xml:space="preserve">.</w:t>
      </w:r>
    </w:p>
    <w:p>
      <w:pPr>
        <w:pStyle w:val="Heading5"/>
      </w:pPr>
      <w:bookmarkStart w:id="60" w:name="networks"/>
      <w:r>
        <w:t xml:space="preserve">Networks</w:t>
      </w:r>
      <w:bookmarkEnd w:id="60"/>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5"/>
      </w:pPr>
      <w:bookmarkStart w:id="61" w:name="clouds"/>
      <w:r>
        <w:t xml:space="preserve">Clouds</w:t>
      </w:r>
      <w:bookmarkEnd w:id="61"/>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62" w:name="models"/>
      <w:r>
        <w:t xml:space="preserve">The Realm Of Data Structures</w:t>
      </w:r>
      <w:bookmarkEnd w:id="62"/>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5"/>
      </w:pPr>
      <w:bookmarkStart w:id="63" w:name="array-data-structure"/>
      <w:r>
        <w:t xml:space="preserve">Array data structure</w:t>
      </w:r>
      <w:bookmarkEnd w:id="63"/>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5"/>
      </w:pPr>
      <w:bookmarkStart w:id="64" w:name="computer:linked"/>
      <w:r>
        <w:t xml:space="preserve">Linked Lists</w:t>
      </w:r>
      <w:bookmarkEnd w:id="64"/>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4.3.3.1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5"/>
      </w:pPr>
      <w:bookmarkStart w:id="65" w:name="computer:audacity"/>
      <w:r>
        <w:t xml:space="preserve">Sequences</w:t>
      </w:r>
      <w:bookmarkEnd w:id="65"/>
    </w:p>
    <w:p>
      <w:pPr>
        <w:pStyle w:val="FirstParagraph"/>
      </w:pPr>
      <w:r>
        <w:t xml:space="preserve">Crowley (1998)</w:t>
      </w:r>
      <w:r>
        <w:t xml:space="preserve"> </w:t>
      </w:r>
      <w:r>
        <w:t xml:space="preserve">claims, however, that neither linked lists nor arrays are suitable for large text sequences, since linked lists take up too much memory, and arrays are slow because they requires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66" w:name="descriptions"/>
      <w:r>
        <w:t xml:space="preserve">A Brief History Of Database Models</w:t>
      </w:r>
      <w:bookmarkEnd w:id="66"/>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w:t>
      </w:r>
      <w:r>
        <w:t xml:space="preserve"> </w:t>
      </w:r>
      <w:r>
        <w:t xml:space="preserve">“</w:t>
      </w:r>
      <w:r>
        <w:t xml:space="preserve">determines 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67" w:name="model:hierarchical"/>
      <w:r>
        <w:t xml:space="preserve">Hierarchical</w:t>
      </w:r>
      <w:bookmarkEnd w:id="67"/>
    </w:p>
    <w:p>
      <w:pPr>
        <w:pStyle w:val="CaptionedFigure"/>
      </w:pPr>
      <w:bookmarkStart w:id="69"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68"/>
                    <a:stretch>
                      <a:fillRect/>
                    </a:stretch>
                  </pic:blipFill>
                  <pic:spPr bwMode="auto">
                    <a:xfrm>
                      <a:off x="0" y="0"/>
                      <a:ext cx="2692400" cy="1866900"/>
                    </a:xfrm>
                    <a:prstGeom prst="rect">
                      <a:avLst/>
                    </a:prstGeom>
                    <a:noFill/>
                    <a:ln w="9525">
                      <a:noFill/>
                      <a:headEnd/>
                      <a:tailEnd/>
                    </a:ln>
                  </pic:spPr>
                </pic:pic>
              </a:graphicData>
            </a:graphic>
          </wp:inline>
        </w:drawing>
      </w:r>
      <w:bookmarkEnd w:id="69"/>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Their use within database systems was eclipsed by the relational model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4.2.4.7</w:t>
        </w:r>
      </w:hyperlink>
      <w:r>
        <w:t xml:space="preserve">).</w:t>
      </w:r>
    </w:p>
    <w:p>
      <w:pPr>
        <w:pStyle w:val="Heading4"/>
      </w:pPr>
      <w:bookmarkStart w:id="70" w:name="model:network"/>
      <w:r>
        <w:t xml:space="preserve">Network</w:t>
      </w:r>
      <w:bookmarkEnd w:id="70"/>
    </w:p>
    <w:p>
      <w:pPr>
        <w:pStyle w:val="CaptionedFigure"/>
      </w:pPr>
      <w:bookmarkStart w:id="72"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71"/>
                    <a:stretch>
                      <a:fillRect/>
                    </a:stretch>
                  </pic:blipFill>
                  <pic:spPr bwMode="auto">
                    <a:xfrm>
                      <a:off x="0" y="0"/>
                      <a:ext cx="2298700" cy="2552700"/>
                    </a:xfrm>
                    <a:prstGeom prst="rect">
                      <a:avLst/>
                    </a:prstGeom>
                    <a:noFill/>
                    <a:ln w="9525">
                      <a:noFill/>
                      <a:headEnd/>
                      <a:tailEnd/>
                    </a:ln>
                  </pic:spPr>
                </pic:pic>
              </a:graphicData>
            </a:graphic>
          </wp:inline>
        </w:drawing>
      </w:r>
      <w:bookmarkEnd w:id="72"/>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hiearachical structure, meaning that the network can be accessed starting from any node. Due to the interlocking of the physical implementation and the internal logic of node identity and access, very fast retrieval speeds are obtained.</w:t>
      </w:r>
    </w:p>
    <w:p>
      <w:pPr>
        <w:pStyle w:val="Heading5"/>
      </w:pPr>
      <w:bookmarkStart w:id="73" w:name="navigational-paradigm"/>
      <w:r>
        <w:t xml:space="preserve">Navigational Paradigm</w:t>
      </w:r>
      <w:bookmarkEnd w:id="73"/>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hierarchicalstructure, they can be accessed using this navigational paradigm.</w:t>
      </w:r>
    </w:p>
    <w:p>
      <w:pPr>
        <w:pStyle w:val="Heading4"/>
      </w:pPr>
      <w:bookmarkStart w:id="74" w:name="model:relational"/>
      <w:r>
        <w:t xml:space="preserve">Relational</w:t>
      </w:r>
      <w:bookmarkEnd w:id="74"/>
    </w:p>
    <w:p>
      <w:pPr>
        <w:pStyle w:val="CaptionedFigure"/>
      </w:pPr>
      <w:bookmarkStart w:id="76"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75"/>
                    <a:stretch>
                      <a:fillRect/>
                    </a:stretch>
                  </pic:blipFill>
                  <pic:spPr bwMode="auto">
                    <a:xfrm>
                      <a:off x="0" y="0"/>
                      <a:ext cx="2540000" cy="1676400"/>
                    </a:xfrm>
                    <a:prstGeom prst="rect">
                      <a:avLst/>
                    </a:prstGeom>
                    <a:noFill/>
                    <a:ln w="9525">
                      <a:noFill/>
                      <a:headEnd/>
                      <a:tailEnd/>
                    </a:ln>
                  </pic:spPr>
                </pic:pic>
              </a:graphicData>
            </a:graphic>
          </wp:inline>
        </w:drawing>
      </w:r>
      <w:bookmarkEnd w:id="76"/>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In recent years, object relational database have emerged such as</w:t>
      </w:r>
      <w:r>
        <w:t xml:space="preserve"> </w:t>
      </w:r>
      <w:r>
        <w:t xml:space="preserve">sqlobject</w:t>
      </w:r>
      <w:r>
        <w:t xml:space="preserve">, intepreting relations as classes in the object-oriented programming paradigm.</w:t>
      </w:r>
    </w:p>
    <w:p>
      <w:pPr>
        <w:pStyle w:val="Heading4"/>
      </w:pPr>
      <w:bookmarkStart w:id="77" w:name="model:nonrelational"/>
      <w:r>
        <w:t xml:space="preserve">Non-Relational</w:t>
      </w:r>
      <w:bookmarkEnd w:id="77"/>
    </w:p>
    <w:p>
      <w:pPr>
        <w:pStyle w:val="FirstParagraph"/>
      </w:pPr>
      <w:r>
        <w:t xml:space="preserve">This is a more general type of database models where the internal structure is different from the tabular kind that the relational model presents (See</w:t>
      </w:r>
      <w:r>
        <w:t xml:space="preserve"> </w:t>
      </w:r>
      <w:hyperlink w:anchor="model:relational">
        <w:r>
          <w:rPr>
            <w:rStyle w:val="Hyperlink"/>
          </w:rPr>
          <w:t xml:space="preserve">4.2.4.3</w:t>
        </w:r>
      </w:hyperlink>
      <w:r>
        <w:t xml:space="preserve">), and they are generally referred to as</w:t>
      </w:r>
      <w:r>
        <w:t xml:space="preserve"> </w:t>
      </w:r>
      <w:r>
        <w:t xml:space="preserve">nosql</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4.2.4.7</w:t>
        </w:r>
      </w:hyperlink>
      <w:r>
        <w:t xml:space="preserve">), also called document-oriented databases such as</w:t>
      </w:r>
      <w:r>
        <w:t xml:space="preserve"> </w:t>
      </w:r>
      <w:r>
        <w:t xml:space="preserve">xml</w:t>
      </w:r>
      <w:r>
        <w:t xml:space="preserve">,</w:t>
      </w:r>
      <w:r>
        <w:t xml:space="preserve"> </w:t>
      </w:r>
      <w:r>
        <w:t xml:space="preserve">yaml</w:t>
      </w:r>
      <w:r>
        <w:t xml:space="preserve">, and</w:t>
      </w:r>
      <w:r>
        <w:t xml:space="preserve"> </w:t>
      </w:r>
      <w:r>
        <w:t xml:space="preserve">json</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4.2.4.5</w:t>
        </w:r>
      </w:hyperlink>
      <w:r>
        <w:t xml:space="preserve">); object databases (See</w:t>
      </w:r>
      <w:r>
        <w:t xml:space="preserve"> </w:t>
      </w:r>
      <w:hyperlink w:anchor="model:object">
        <w:r>
          <w:rPr>
            <w:rStyle w:val="Hyperlink"/>
          </w:rPr>
          <w:t xml:space="preserve">4.2.4.6</w:t>
        </w:r>
      </w:hyperlink>
      <w:r>
        <w:t xml:space="preserve">); and database systems using combinations of different models.</w:t>
      </w:r>
    </w:p>
    <w:p>
      <w:pPr>
        <w:pStyle w:val="Heading4"/>
      </w:pPr>
      <w:bookmarkStart w:id="78" w:name="model:graph"/>
      <w:r>
        <w:t xml:space="preserve">Graph</w:t>
      </w:r>
      <w:bookmarkEnd w:id="78"/>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Kyma, among others, present their objects as a directed graph on a canvas.</w:t>
      </w:r>
    </w:p>
    <w:p>
      <w:pPr>
        <w:pStyle w:val="Heading4"/>
      </w:pPr>
      <w:bookmarkStart w:id="79" w:name="model:object"/>
      <w:r>
        <w:t xml:space="preserve">Object</w:t>
      </w:r>
      <w:bookmarkEnd w:id="79"/>
    </w:p>
    <w:p>
      <w:pPr>
        <w:pStyle w:val="CaptionedFigure"/>
      </w:pPr>
      <w:bookmarkStart w:id="81"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80"/>
                    <a:stretch>
                      <a:fillRect/>
                    </a:stretch>
                  </pic:blipFill>
                  <pic:spPr bwMode="auto">
                    <a:xfrm>
                      <a:off x="0" y="0"/>
                      <a:ext cx="3073400" cy="3111500"/>
                    </a:xfrm>
                    <a:prstGeom prst="rect">
                      <a:avLst/>
                    </a:prstGeom>
                    <a:noFill/>
                    <a:ln w="9525">
                      <a:noFill/>
                      <a:headEnd/>
                      <a:tailEnd/>
                    </a:ln>
                  </pic:spPr>
                </pic:pic>
              </a:graphicData>
            </a:graphic>
          </wp:inline>
        </w:drawing>
      </w:r>
      <w:bookmarkEnd w:id="81"/>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82" w:name="model:semistructured"/>
      <w:r>
        <w:t xml:space="preserve">Semi-structured</w:t>
      </w:r>
      <w:bookmarkEnd w:id="82"/>
    </w:p>
    <w:p>
      <w:pPr>
        <w:pStyle w:val="CaptionedFigure"/>
      </w:pPr>
      <w:bookmarkStart w:id="84"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83"/>
                    <a:stretch>
                      <a:fillRect/>
                    </a:stretch>
                  </pic:blipFill>
                  <pic:spPr bwMode="auto">
                    <a:xfrm>
                      <a:off x="0" y="0"/>
                      <a:ext cx="5334000" cy="2873505"/>
                    </a:xfrm>
                    <a:prstGeom prst="rect">
                      <a:avLst/>
                    </a:prstGeom>
                    <a:noFill/>
                    <a:ln w="9525">
                      <a:noFill/>
                      <a:headEnd/>
                      <a:tailEnd/>
                    </a:ln>
                  </pic:spPr>
                </pic:pic>
              </a:graphicData>
            </a:graphic>
          </wp:inline>
        </w:drawing>
      </w:r>
      <w:bookmarkEnd w:id="84"/>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w:t>
      </w:r>
    </w:p>
    <w:p>
      <w:pPr>
        <w:pStyle w:val="Heading4"/>
      </w:pPr>
      <w:bookmarkStart w:id="85" w:name="model:puredata"/>
      <w:r>
        <w:t xml:space="preserve">Pure Data as Database System</w:t>
      </w:r>
      <w:bookmarkEnd w:id="85"/>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86"/>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An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General Electric;</w:t>
            </w:r>
            <w:r>
              <w:t xml:space="preserve"> </w:t>
            </w:r>
            <w:r>
              <w:t xml:space="preserve">hp</w:t>
            </w:r>
            <w:r>
              <w:t xml:space="preserve">;</w:t>
            </w:r>
            <w:r>
              <w:t xml:space="preserve"> </w:t>
            </w:r>
            <w:r>
              <w:t xml:space="preserve">unisys</w:t>
            </w:r>
            <w:r>
              <w:t xml:space="preserve"> </w:t>
            </w:r>
            <w:r>
              <w:t xml:space="preserve"> </w:t>
            </w:r>
          </w:p>
        </w:tc>
        <w:tc>
          <w:p>
            <w:pPr>
              <w:pStyle w:val="Compact"/>
              <w:jc w:val="left"/>
            </w:pPr>
            <w:r>
              <w:t xml:space="preserve">ids</w:t>
            </w:r>
            <w:r>
              <w:t xml:space="preserve">;</w:t>
            </w:r>
            <w:r>
              <w:t xml:space="preserve"> </w:t>
            </w:r>
            <w:r>
              <w:t xml:space="preserve">idms</w:t>
            </w:r>
            <w:r>
              <w:t xml:space="preserve">;</w:t>
            </w:r>
            <w:r>
              <w:t xml:space="preserve"> </w:t>
            </w:r>
            <w:r>
              <w:t xml:space="preserve">rdm</w:t>
            </w:r>
            <w:r>
              <w:t xml:space="preserve">;</w:t>
            </w:r>
            <w:r>
              <w:t xml:space="preserve"> </w:t>
            </w:r>
            <w:r>
              <w:t xml:space="preserve">turboimage</w:t>
            </w:r>
            <w:r>
              <w:t xml:space="preserve">;</w:t>
            </w:r>
            <w:r>
              <w:t xml:space="preserve"> </w:t>
            </w:r>
            <w:r>
              <w:t xml:space="preserve">os_2200</w:t>
            </w:r>
            <w:r>
              <w:t xml:space="preserve">;</w:t>
            </w:r>
            <w:r>
              <w:t xml:space="preserve"> </w:t>
            </w:r>
            <w:r>
              <w:t xml:space="preserve">nosql</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w:t>
            </w:r>
            <w:r>
              <w:t xml:space="preserve"> </w:t>
            </w:r>
            <w:r>
              <w:t xml:space="preserve">sparsity</w:t>
            </w:r>
            <w:r>
              <w:t xml:space="preserve">;  </w:t>
            </w:r>
          </w:p>
        </w:tc>
        <w:tc>
          <w:p>
            <w:pPr>
              <w:pStyle w:val="Compact"/>
              <w:jc w:val="left"/>
            </w:pPr>
            <w:r>
              <w:t xml:space="preserve">mongodb</w:t>
            </w:r>
            <w:r>
              <w:t xml:space="preserve">;</w:t>
            </w:r>
            <w:r>
              <w:t xml:space="preserve"> </w:t>
            </w:r>
            <w:r>
              <w:t xml:space="preserve">redis</w:t>
            </w:r>
            <w:r>
              <w:t xml:space="preserve">;</w:t>
            </w:r>
            <w:r>
              <w:t xml:space="preserve"> </w:t>
            </w:r>
            <w:r>
              <w:t xml:space="preserve">cassandra</w:t>
            </w:r>
            <w:r>
              <w:t xml:space="preserve">;</w:t>
            </w:r>
            <w:r>
              <w:t xml:space="preserve"> </w:t>
            </w:r>
            <w:r>
              <w:t xml:space="preserve">sparksee</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w:t>
            </w:r>
            <w:r>
              <w:t xml:space="preserve"> </w:t>
            </w:r>
            <w:r>
              <w:t xml:space="preserve">oracle</w:t>
            </w:r>
            <w:r>
              <w:t xml:space="preserve">;</w:t>
            </w:r>
            <w:r>
              <w:t xml:space="preserve"> </w:t>
            </w:r>
            <w:r>
              <w:t xml:space="preserve">postgresql</w:t>
            </w:r>
            <w:r>
              <w:t xml:space="preserve">;</w:t>
            </w:r>
            <w:r>
              <w:t xml:space="preserve"> </w:t>
            </w:r>
            <w:r>
              <w:t xml:space="preserve">access</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w:t>
            </w:r>
            <w:r>
              <w:t xml:space="preserve"> </w:t>
            </w:r>
            <w:r>
              <w:t xml:space="preserve">apache</w:t>
            </w:r>
            <w:r>
              <w:t xml:space="preserve">; Amazon  </w:t>
            </w:r>
          </w:p>
        </w:tc>
        <w:tc>
          <w:p>
            <w:pPr>
              <w:pStyle w:val="Compact"/>
              <w:jc w:val="left"/>
            </w:pPr>
            <w:r>
              <w:t xml:space="preserve">neo4j</w:t>
            </w:r>
            <w:r>
              <w:t xml:space="preserve">; Oracle Spatial and Graph;</w:t>
            </w:r>
            <w:r>
              <w:t xml:space="preserve"> </w:t>
            </w:r>
            <w:r>
              <w:t xml:space="preserve">arangodb</w:t>
            </w:r>
            <w:r>
              <w:t xml:space="preserve">; Amazon Neptune;</w:t>
            </w:r>
            <w:r>
              <w:t xml:space="preserve"> </w:t>
            </w:r>
            <w:r>
              <w:t xml:space="preserve">boost</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smalltalk</w:t>
            </w:r>
            <w:r>
              <w:t xml:space="preserve">); Gbase (</w:t>
            </w:r>
            <w:r>
              <w:t xml:space="preserve">lisp</w:t>
            </w:r>
            <w:r>
              <w:t xml:space="preserve">);</w:t>
            </w:r>
            <w:r>
              <w:t xml:space="preserve"> </w:t>
            </w:r>
            <w:r>
              <w:t xml:space="preserve">couchdb</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w:t>
            </w:r>
            <w:r>
              <w:t xml:space="preserve"> </w:t>
            </w:r>
            <w:r>
              <w:t xml:space="preserve">sap_hana</w:t>
            </w:r>
            <w:r>
              <w:t xml:space="preserve">; EXASolution; WebDNA</w:t>
            </w:r>
          </w:p>
        </w:tc>
      </w:tr>
    </w:tbl>
    <w:p>
      <w:pPr>
        <w:pStyle w:val="Heading2"/>
      </w:pPr>
      <w:bookmarkStart w:id="87" w:name="Xec68453c8cc129b4ce436d3f67f46ba702f92a5"/>
      <w:r>
        <w:t xml:space="preserve">Databasing Sound: Applications Of Databases In Sound</w:t>
      </w:r>
      <w:bookmarkEnd w:id="87"/>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88"/>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89" w:name="img:mir_comp_sonif_interaction"/>
      <w:r>
        <w:t xml:space="preserve">[img:mir_comp_sonif_interaction]</w:t>
      </w:r>
      <w:bookmarkEnd w:id="89"/>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sheding some light to this inherent aspect of computers we can arrive at a clearer notion of how databases sound. Praticularly, by placing the database along a visibility continuum, we may find a reverse relation with audibility: the more invisible the database, the more present its sound. By this I do not argue in favor of neither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 As I hope to demonstrate, there are overt and covert uses of the database, but the database is ubiquitous in all computer practices (See Figure</w:t>
      </w:r>
      <w:r>
        <w:t xml:space="preserve"> </w:t>
      </w:r>
      <w:hyperlink w:anchor="img:mir_comp_sonif_interaction">
        <w:r>
          <w:rPr>
            <w:rStyle w:val="Hyperlink"/>
          </w:rPr>
          <w:t xml:space="preserve">[img:mir_comp_sonif_interaction]</w:t>
        </w:r>
      </w:hyperlink>
      <w:r>
        <w:t xml:space="preserve">).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sonification, and computer music.</w:t>
      </w:r>
    </w:p>
    <w:p>
      <w:pPr>
        <w:pStyle w:val="Heading3"/>
      </w:pPr>
      <w:bookmarkStart w:id="90" w:name="mir"/>
      <w:r>
        <w:t xml:space="preserve">Music Information Retrieval</w:t>
      </w:r>
      <w:bookmarkEnd w:id="90"/>
    </w:p>
    <w:p>
      <w:pPr>
        <w:pStyle w:val="FirstParagraph"/>
      </w:pPr>
      <w:r>
        <w:t xml:space="preserve">In</w:t>
      </w:r>
      <w:r>
        <w:t xml:space="preserve"> </w:t>
      </w:r>
      <w:r>
        <w:t xml:space="preserve">mir</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92"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91"/>
                    <a:stretch>
                      <a:fillRect/>
                    </a:stretch>
                  </pic:blipFill>
                  <pic:spPr bwMode="auto">
                    <a:xfrm>
                      <a:off x="0" y="0"/>
                      <a:ext cx="2743200" cy="1435100"/>
                    </a:xfrm>
                    <a:prstGeom prst="rect">
                      <a:avLst/>
                    </a:prstGeom>
                    <a:noFill/>
                    <a:ln w="9525">
                      <a:noFill/>
                      <a:headEnd/>
                      <a:tailEnd/>
                    </a:ln>
                  </pic:spPr>
                </pic:pic>
              </a:graphicData>
            </a:graphic>
          </wp:inline>
        </w:drawing>
      </w:r>
      <w:bookmarkEnd w:id="92"/>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’s</w:t>
      </w:r>
      <w:r>
        <w:t xml:space="preserve"> </w:t>
      </w:r>
      <w:r>
        <w:t xml:space="preserve">telemeta</w:t>
      </w:r>
      <w:r>
        <w:t xml:space="preserve">, both collaborative database systems: the first two for general sound file sharing and classification, the latter for ethno-musicological pursposes.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4.3.3.2</w:t>
        </w:r>
      </w:hyperlink>
      <w:r>
        <w:t xml:space="preserve">). Some examples of these notation databases can be the Polish folksong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93"/>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95"/>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96" w:name="sonification"/>
      <w:r>
        <w:t xml:space="preserve">Sonification</w:t>
      </w:r>
      <w:bookmarkEnd w:id="96"/>
    </w:p>
    <w:p>
      <w:pPr>
        <w:pStyle w:val="CaptionedFigure"/>
      </w:pPr>
      <w:bookmarkStart w:id="98"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97"/>
                    <a:stretch>
                      <a:fillRect/>
                    </a:stretch>
                  </pic:blipFill>
                  <pic:spPr bwMode="auto">
                    <a:xfrm>
                      <a:off x="0" y="0"/>
                      <a:ext cx="2019300" cy="1879600"/>
                    </a:xfrm>
                    <a:prstGeom prst="rect">
                      <a:avLst/>
                    </a:prstGeom>
                    <a:noFill/>
                    <a:ln w="9525">
                      <a:noFill/>
                      <a:headEnd/>
                      <a:tailEnd/>
                    </a:ln>
                  </pic:spPr>
                </pic:pic>
              </a:graphicData>
            </a:graphic>
          </wp:inline>
        </w:drawing>
      </w:r>
      <w:bookmarkEnd w:id="98"/>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99"/>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00" w:name="sonification:parametermapping"/>
      <w:r>
        <w:t xml:space="preserve">Parameter mapping</w:t>
      </w:r>
      <w:bookmarkEnd w:id="100"/>
    </w:p>
    <w:p>
      <w:pPr>
        <w:pStyle w:val="Heading5"/>
      </w:pPr>
      <w:bookmarkStart w:id="101" w:name="dow"/>
      <w:r>
        <w:t xml:space="preserve">DOW</w:t>
      </w:r>
      <w:bookmarkEnd w:id="101"/>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02"/>
      </w:r>
    </w:p>
    <w:p>
      <w:pPr>
        <w:pStyle w:val="Heading5"/>
      </w:pPr>
      <w:bookmarkStart w:id="103" w:name="medical-images"/>
      <w:r>
        <w:t xml:space="preserve">Medical Images</w:t>
      </w:r>
      <w:bookmarkEnd w:id="103"/>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04" w:name="sonification:model"/>
      <w:r>
        <w:t xml:space="preserve">Model-based sonification</w:t>
      </w:r>
      <w:bookmarkEnd w:id="104"/>
    </w:p>
    <w:p>
      <w:pPr>
        <w:pStyle w:val="Heading5"/>
      </w:pPr>
      <w:bookmarkStart w:id="105" w:name="space"/>
      <w:r>
        <w:t xml:space="preserve">Space</w:t>
      </w:r>
      <w:bookmarkEnd w:id="105"/>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06" w:name="sonification:artistic"/>
      <w:r>
        <w:t xml:space="preserve">Artistic sonification</w:t>
      </w:r>
      <w:bookmarkEnd w:id="106"/>
    </w:p>
    <w:p>
      <w:pPr>
        <w:pStyle w:val="Heading5"/>
      </w:pPr>
      <w:bookmarkStart w:id="107" w:name="wolves"/>
      <w:r>
        <w:t xml:space="preserve">Wolves</w:t>
      </w:r>
      <w:bookmarkEnd w:id="107"/>
    </w:p>
    <w:p>
      <w:pPr>
        <w:pStyle w:val="FirstParagraph"/>
      </w:pPr>
      <w:r>
        <w:t xml:space="preserve">Klein (1998)</w:t>
      </w:r>
      <w:r>
        <w:t xml:space="preserve"> </w:t>
      </w:r>
      <w:r>
        <w:t xml:space="preserve">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5"/>
      </w:pPr>
      <w:bookmarkStart w:id="108" w:name="selva"/>
      <w:r>
        <w:t xml:space="preserve">Selva</w:t>
      </w:r>
      <w:bookmarkEnd w:id="108"/>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5"/>
      </w:pPr>
      <w:bookmarkStart w:id="109" w:name="ocean"/>
      <w:r>
        <w:t xml:space="preserve">Ocean</w:t>
      </w:r>
      <w:bookmarkEnd w:id="109"/>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5"/>
      </w:pPr>
      <w:bookmarkStart w:id="110" w:name="molecules"/>
      <w:r>
        <w:t xml:space="preserve">Molecules</w:t>
      </w:r>
      <w:bookmarkEnd w:id="110"/>
    </w:p>
    <w:p>
      <w:pPr>
        <w:pStyle w:val="FirstParagraph"/>
      </w:pP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a database holding</w:t>
      </w:r>
      <w:r>
        <w:t xml:space="preserve"> </w:t>
      </w:r>
      <w:r>
        <w:t xml:space="preserve">nmr</w:t>
      </w:r>
      <w:r>
        <w:t xml:space="preserve"> </w:t>
      </w:r>
      <w:r>
        <w:t xml:space="preserve">spectroscopies of molecules.</w:t>
      </w:r>
    </w:p>
    <w:p>
      <w:pPr>
        <w:pStyle w:val="Heading5"/>
      </w:pPr>
      <w:bookmarkStart w:id="111" w:name="gender-distribution"/>
      <w:r>
        <w:t xml:space="preserve">Gender Distribution</w:t>
      </w:r>
      <w:bookmarkEnd w:id="111"/>
    </w:p>
    <w:p>
      <w:pPr>
        <w:pStyle w:val="FirstParagraph"/>
      </w:pP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w:t>
      </w:r>
      <w:r>
        <w:t xml:space="preserve"> </w:t>
      </w:r>
      <w:r>
        <w:t xml:space="preserve">nime</w:t>
      </w:r>
      <w:r>
        <w:t xml:space="preserve">, and</w:t>
      </w:r>
      <w:r>
        <w:t xml:space="preserve"> </w:t>
      </w:r>
      <w:r>
        <w:t xml:space="preserve">smc</w:t>
      </w:r>
      <w:r>
        <w:t xml:space="preserve">. By assigning polar frequency ranges for each group (male and female), her sonification emphasizes the significant inequality of gender in the resulting acoustic stream segregation into male backround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12" w:name="sonification:installations"/>
      <w:r>
        <w:t xml:space="preserve">Sonification Installations</w:t>
      </w:r>
      <w:bookmarkEnd w:id="112"/>
    </w:p>
    <w:p>
      <w:pPr>
        <w:pStyle w:val="Heading5"/>
      </w:pPr>
      <w:bookmarkStart w:id="113" w:name="ip-based-soundscape"/>
      <w:r>
        <w:t xml:space="preserve">IP-based soundscape</w:t>
      </w:r>
      <w:bookmarkEnd w:id="113"/>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ip</w:t>
      </w:r>
      <w:r>
        <w:t xml:space="preserve"> </w:t>
      </w:r>
      <w:r>
        <w:t xml:space="preserve">to frequency) to the more abstract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5"/>
      </w:pPr>
      <w:bookmarkStart w:id="114" w:name="earthquakes"/>
      <w:r>
        <w:t xml:space="preserve">Earthquakes</w:t>
      </w:r>
      <w:bookmarkEnd w:id="114"/>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5"/>
      </w:pPr>
      <w:bookmarkStart w:id="115" w:name="gpu-based-waveforms"/>
      <w:r>
        <w:t xml:space="preserve">GPU-based waveforms</w:t>
      </w:r>
      <w:bookmarkEnd w:id="115"/>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In order to carry this out, they used the Metal API</w:t>
      </w:r>
      <w:r>
        <w:rPr>
          <w:rStyle w:val="FootnoteReference"/>
        </w:rPr>
        <w:footnoteReference w:id="116"/>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18"/>
      </w:r>
      <w:r>
        <w:t xml:space="preserve">, they used the generated waveforms as a database, composing each waveform together with their visual generators as a collage.</w:t>
      </w:r>
    </w:p>
    <w:p>
      <w:pPr>
        <w:pStyle w:val="Heading5"/>
      </w:pPr>
      <w:bookmarkStart w:id="120" w:name="ucanny-faces"/>
      <w:r>
        <w:t xml:space="preserve">Ucanny Faces</w:t>
      </w:r>
      <w:bookmarkEnd w:id="120"/>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w:t>
      </w:r>
    </w:p>
    <w:p>
      <w:pPr>
        <w:pStyle w:val="Heading4"/>
      </w:pPr>
      <w:bookmarkStart w:id="121" w:name="sonification:software"/>
      <w:r>
        <w:t xml:space="preserve">Sonification Software</w:t>
      </w:r>
      <w:bookmarkEnd w:id="121"/>
    </w:p>
    <w:p>
      <w:pPr>
        <w:pStyle w:val="Heading5"/>
      </w:pPr>
      <w:bookmarkStart w:id="122" w:name="sonart"/>
      <w:r>
        <w:t xml:space="preserve">SonArt</w:t>
      </w:r>
      <w:bookmarkEnd w:id="122"/>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5"/>
      </w:pPr>
      <w:bookmarkStart w:id="123" w:name="dataplayer"/>
      <w:r>
        <w:t xml:space="preserve">DataPlayer</w:t>
      </w:r>
      <w:bookmarkEnd w:id="123"/>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5"/>
      </w:pPr>
      <w:bookmarkStart w:id="124" w:name="madbpm"/>
      <w:r>
        <w:t xml:space="preserve">madBPM</w:t>
      </w:r>
      <w:bookmarkEnd w:id="124"/>
    </w:p>
    <w:p>
      <w:pPr>
        <w:pStyle w:val="FirstParagraph"/>
      </w:pPr>
      <w:r>
        <w:t xml:space="preserve">Fox et al. (2017)</w:t>
      </w:r>
      <w:r>
        <w:t xml:space="preserve"> </w:t>
      </w:r>
      <w:r>
        <w:t xml:space="preserve">devised</w:t>
      </w:r>
      <w:r>
        <w:t xml:space="preserve"> </w:t>
      </w:r>
      <w:r>
        <w:t xml:space="preserve">madbpm</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Pauletto &amp; Hunt (2004a,b; Beilharz &amp; Ferguson 2009, Hildebrandt et al. 2014, Lodha et al. 1998, Vicinanza 2006, Walker &amp; Cothran 2003, Worrall et al. 2007)</w:t>
      </w:r>
    </w:p>
    <w:p>
      <w:pPr>
        <w:pStyle w:val="Heading3"/>
      </w:pPr>
      <w:bookmarkStart w:id="125" w:name="computer_music"/>
      <w:r>
        <w:t xml:space="preserve">Computer Music</w:t>
      </w:r>
      <w:bookmarkEnd w:id="125"/>
    </w:p>
    <w:p>
      <w:pPr>
        <w:pStyle w:val="FirstParagraph"/>
      </w:pPr>
      <w:r>
        <w:t xml:space="preserve">Computer music software is computer music’s playground. Composing and programming blend into different forms of play that can be understood by a closer look of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27"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26"/>
                    <a:stretch>
                      <a:fillRect/>
                    </a:stretch>
                  </pic:blipFill>
                  <pic:spPr bwMode="auto">
                    <a:xfrm>
                      <a:off x="0" y="0"/>
                      <a:ext cx="1181100" cy="863600"/>
                    </a:xfrm>
                    <a:prstGeom prst="rect">
                      <a:avLst/>
                    </a:prstGeom>
                    <a:noFill/>
                    <a:ln w="9525">
                      <a:noFill/>
                      <a:headEnd/>
                      <a:tailEnd/>
                    </a:ln>
                  </pic:spPr>
                </pic:pic>
              </a:graphicData>
            </a:graphic>
          </wp:inline>
        </w:drawing>
      </w:r>
      <w:bookmarkEnd w:id="127"/>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28" w:name="computer:sssp"/>
      <w:r>
        <w:t xml:space="preserve">Hierarchical environments</w:t>
      </w:r>
      <w:bookmarkEnd w:id="128"/>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5"/>
      </w:pPr>
      <w:bookmarkStart w:id="129" w:name="reducing-cognitive-burden"/>
      <w:r>
        <w:t xml:space="preserve">Reducing cognitive burden</w:t>
      </w:r>
      <w:bookmarkEnd w:id="129"/>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both failed as software, the former on account of their personalization and formalization, and the latter on their lack of interactivity. On his later interdisciplinary venture called</w:t>
      </w:r>
      <w:r>
        <w:t xml:space="preserve"> </w:t>
      </w:r>
      <w:r>
        <w:t xml:space="preserve">sssp</w:t>
      </w:r>
      <w:r>
        <w:t xml:space="preserve">, he focused on</w:t>
      </w:r>
      <w:r>
        <w:t xml:space="preserve"> </w:t>
      </w:r>
      <w:r>
        <w:t xml:space="preserve">hci</w:t>
      </w:r>
      <w:r>
        <w:t xml:space="preserve"> </w:t>
      </w:r>
      <w:r>
        <w:t xml:space="preserve">—a field in its very early stages in 1978—</w:t>
      </w:r>
      <w:r>
        <w:rPr>
          <w:rStyle w:val="FootnoteReference"/>
        </w:rPr>
        <w:footnoteReference w:id="130"/>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Buxton delimited the scope of action of the composer.</w:t>
      </w:r>
    </w:p>
    <w:p>
      <w:pPr>
        <w:pStyle w:val="Heading5"/>
      </w:pPr>
      <w:bookmarkStart w:id="131" w:name="a-hierarchical-representation"/>
      <w:r>
        <w:t xml:space="preserve">A Hierarchical Representation</w:t>
      </w:r>
      <w:bookmarkEnd w:id="131"/>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w:t>
      </w:r>
      <w:r>
        <w:t xml:space="preserve">(Xenakis 1992)</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4.3.3.1.6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4.2.3.0.2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5"/>
      </w:pPr>
      <w:bookmarkStart w:id="132" w:name="black-boxing"/>
      <w:r>
        <w:t xml:space="preserve">Black-boxing</w:t>
      </w:r>
      <w:bookmarkEnd w:id="132"/>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is the possibility condition for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4.1.5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5"/>
      </w:pPr>
      <w:bookmarkStart w:id="133" w:name="computer:free"/>
      <w:r>
        <w:t xml:space="preserve">Generality and Portability</w:t>
      </w:r>
      <w:bookmarkEnd w:id="133"/>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Free’s programming philosophy called for generality, portability, and simplicity. Due to</w:t>
      </w:r>
      <w:r>
        <w:t xml:space="preserve"> </w:t>
      </w:r>
      <w:r>
        <w:t xml:space="preserve">sssp</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4.2.2.0.3</w:t>
        </w:r>
      </w:hyperlink>
      <w:r>
        <w:t xml:space="preserve">), which moved him to create higher levels of software abstractions, so that software continued to live on in newer hardware. Free also developed</w:t>
      </w:r>
      <w:r>
        <w:t xml:space="preserve"> </w:t>
      </w:r>
      <w:r>
        <w:t xml:space="preserve">scriva</w:t>
      </w:r>
      <w:r>
        <w:t xml:space="preserve">,</w:t>
      </w:r>
      <w:r>
        <w:t xml:space="preserve"> </w:t>
      </w:r>
      <w:r>
        <w:t xml:space="preserve">sssp</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5"/>
      </w:pPr>
      <w:bookmarkStart w:id="134" w:name="computer:vanilla"/>
      <w:r>
        <w:t xml:space="preserve">Simplification</w:t>
      </w:r>
      <w:bookmarkEnd w:id="134"/>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5"/>
      </w:pPr>
      <w:bookmarkStart w:id="135" w:name="computer:balance"/>
      <w:r>
        <w:t xml:space="preserve">Balance</w:t>
      </w:r>
      <w:bookmarkEnd w:id="135"/>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36"/>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37" w:name="img:truax_generality_b"/>
      <w:r>
        <w:t xml:space="preserve">[img:truax_generality_b]</w:t>
      </w:r>
      <w:bookmarkEnd w:id="137"/>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structuresm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38" w:name="applications:notation"/>
      <w:r>
        <w:t xml:space="preserve">Music Notation Software</w:t>
      </w:r>
      <w:bookmarkEnd w:id="138"/>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w:t>
      </w:r>
      <w:r>
        <w:t xml:space="preserve"> </w:t>
      </w:r>
      <w:r>
        <w:t xml:space="preserve">musicxml</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5"/>
      </w:pPr>
      <w:bookmarkStart w:id="139" w:name="darms-and-score"/>
      <w:r>
        <w:t xml:space="preserve">DARMS and SCORE</w:t>
      </w:r>
      <w:bookmarkEnd w:id="139"/>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5"/>
      </w:pPr>
      <w:bookmarkStart w:id="140" w:name="from-staves-to-speakers"/>
      <w:r>
        <w:t xml:space="preserve">From Staves to Speakers</w:t>
      </w:r>
      <w:bookmarkEnd w:id="140"/>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5"/>
      </w:pPr>
      <w:bookmarkStart w:id="141" w:name="theoretical-performance"/>
      <w:r>
        <w:t xml:space="preserve">Theoretical Performance</w:t>
      </w:r>
      <w:bookmarkEnd w:id="141"/>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42" w:name="enter-objects"/>
      <w:r>
        <w:t xml:space="preserve">Enter Objects</w:t>
      </w:r>
      <w:bookmarkEnd w:id="142"/>
    </w:p>
    <w:p>
      <w:pPr>
        <w:pStyle w:val="CaptionedFigure"/>
      </w:pPr>
      <w:bookmarkStart w:id="144" w:name="img:realtime"/>
      <w:r>
        <w:drawing>
          <wp:inline>
            <wp:extent cx="5334000" cy="1616153"/>
            <wp:effectExtent b="0" l="0" r="0" t="0"/>
            <wp:docPr descr="A real-time version of music-11."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43"/>
                    <a:stretch>
                      <a:fillRect/>
                    </a:stretch>
                  </pic:blipFill>
                  <pic:spPr bwMode="auto">
                    <a:xfrm>
                      <a:off x="0" y="0"/>
                      <a:ext cx="5334000" cy="1616153"/>
                    </a:xfrm>
                    <a:prstGeom prst="rect">
                      <a:avLst/>
                    </a:prstGeom>
                    <a:noFill/>
                    <a:ln w="9525">
                      <a:noFill/>
                      <a:headEnd/>
                      <a:tailEnd/>
                    </a:ln>
                  </pic:spPr>
                </pic:pic>
              </a:graphicData>
            </a:graphic>
          </wp:inline>
        </w:drawing>
      </w:r>
      <w:bookmarkEnd w:id="144"/>
    </w:p>
    <w:p>
      <w:pPr>
        <w:pStyle w:val="ImageCaption"/>
      </w:pPr>
      <w:r>
        <w:t xml:space="preserve">A real-time version of</w:t>
      </w:r>
      <w:r>
        <w:t xml:space="preserve"> </w:t>
      </w:r>
      <w:r>
        <w:t xml:space="preserve">music-11</w:t>
      </w:r>
      <w:r>
        <w:t xml:space="preserve">.</w:t>
      </w:r>
    </w:p>
    <w:p>
      <w:pPr>
        <w:pStyle w:val="BodyText"/>
      </w:pPr>
      <w:r>
        <w:t xml:space="preserve">A bodyless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5"/>
      </w:pPr>
      <w:bookmarkStart w:id="145" w:name="computer:real-time"/>
      <w:r>
        <w:t xml:space="preserve">Max</w:t>
      </w:r>
      <w:bookmarkEnd w:id="145"/>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and a growing interest among composers and programmers circled around real-time computer music software (See Figure</w:t>
      </w:r>
      <w:r>
        <w:t xml:space="preserve"> </w:t>
      </w:r>
      <w:hyperlink w:anchor="img:realtime">
        <w:r>
          <w:rPr>
            <w:rStyle w:val="Hyperlink"/>
          </w:rPr>
          <w:t xml:space="preserve">4.11</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46"/>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5"/>
      </w:pPr>
      <w:bookmarkStart w:id="147" w:name="computer:kyma"/>
      <w:r>
        <w:t xml:space="preserve">Kyma</w:t>
      </w:r>
      <w:bookmarkEnd w:id="147"/>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circunvent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48"/>
      </w:r>
    </w:p>
    <w:p>
      <w:pPr>
        <w:pStyle w:val="Heading5"/>
      </w:pPr>
      <w:bookmarkStart w:id="150" w:name="computer:puredata"/>
      <w:r>
        <w:t xml:space="preserve">Pure Data</w:t>
      </w:r>
      <w:bookmarkEnd w:id="150"/>
    </w:p>
    <w:p>
      <w:pPr>
        <w:pStyle w:val="FirstParagraph"/>
      </w:pPr>
      <w:r>
        <w:t xml:space="preserve">Ten years after</w:t>
      </w:r>
      <w:r>
        <w:t xml:space="preserve"> </w:t>
      </w:r>
      <w:r>
        <w:t xml:space="preserve">max</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5"/>
      </w:pPr>
      <w:bookmarkStart w:id="151" w:name="graphic_scores"/>
      <w:r>
        <w:t xml:space="preserve">Graphic Scores</w:t>
      </w:r>
      <w:bookmarkEnd w:id="151"/>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w:t>
      </w:r>
      <w:r>
        <w:rPr>
          <w:rStyle w:val="FootnoteReference"/>
        </w:rPr>
        <w:footnoteReference w:id="152"/>
      </w:r>
      <w:r>
        <w:t xml:space="preserve"> </w:t>
      </w:r>
      <w:r>
        <w:t xml:space="preserve">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4.3.3.3.4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5"/>
      </w:pPr>
      <w:bookmarkStart w:id="153" w:name="openmusic"/>
      <w:r>
        <w:t xml:space="preserve">OpenMusic</w:t>
      </w:r>
      <w:bookmarkEnd w:id="153"/>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5"/>
      </w:pPr>
      <w:bookmarkStart w:id="154" w:name="heaps-and-nodes"/>
      <w:r>
        <w:t xml:space="preserve">Heaps and Nodes</w:t>
      </w:r>
      <w:bookmarkEnd w:id="154"/>
    </w:p>
    <w:p>
      <w:pPr>
        <w:pStyle w:val="FirstParagraph"/>
      </w:pPr>
      <w:r>
        <w:t xml:space="preserve">Garton &amp; Topper (1997)</w:t>
      </w:r>
      <w:r>
        <w:t xml:space="preserve"> </w:t>
      </w:r>
      <w:r>
        <w:t xml:space="preserve">presented</w:t>
      </w:r>
      <w:r>
        <w:t xml:space="preserve"> </w:t>
      </w:r>
      <w:r>
        <w:t xml:space="preserve">rtcmix</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hierarhcy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55" w:name="applications"/>
      <w:r>
        <w:t xml:space="preserve">Intersections</w:t>
      </w:r>
      <w:bookmarkEnd w:id="155"/>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56" w:name="corpus-based-approaches"/>
      <w:r>
        <w:t xml:space="preserve">Corpus-based Approaches</w:t>
      </w:r>
      <w:bookmarkEnd w:id="156"/>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5"/>
      </w:pPr>
      <w:bookmarkStart w:id="157" w:name="concatenative-synthesis"/>
      <w:r>
        <w:t xml:space="preserve">Concatenative Synthesis</w:t>
      </w:r>
      <w:bookmarkEnd w:id="157"/>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algorithim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5"/>
      </w:pPr>
      <w:bookmarkStart w:id="158" w:name="other-approaches"/>
      <w:r>
        <w:t xml:space="preserve">Other approaches</w:t>
      </w:r>
      <w:bookmarkEnd w:id="158"/>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59"/>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5"/>
      </w:pPr>
      <w:bookmarkStart w:id="160" w:name="software-libraries"/>
      <w:r>
        <w:t xml:space="preserve">Software Libraries</w:t>
      </w:r>
      <w:bookmarkEnd w:id="160"/>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William Brent’s research on timbre analysis developed into a timbre description library for Pure Data called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ony one of them is concatenative synthesis.</w:t>
      </w:r>
    </w:p>
    <w:p>
      <w:pPr>
        <w:pStyle w:val="Heading4"/>
      </w:pPr>
      <w:bookmarkStart w:id="161" w:name="querying-methods"/>
      <w:r>
        <w:t xml:space="preserve">Querying Methods</w:t>
      </w:r>
      <w:bookmarkEnd w:id="161"/>
    </w:p>
    <w:p>
      <w:pPr>
        <w:pStyle w:val="Heading5"/>
      </w:pPr>
      <w:bookmarkStart w:id="162" w:name="query-by-content"/>
      <w:r>
        <w:t xml:space="preserve">Query-by-content</w:t>
      </w:r>
      <w:bookmarkEnd w:id="162"/>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5"/>
      </w:pPr>
      <w:bookmarkStart w:id="163" w:name="similarity-based"/>
      <w:r>
        <w:t xml:space="preserve">Similarity-based</w:t>
      </w:r>
      <w:bookmarkEnd w:id="163"/>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64"/>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65"/>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5"/>
      </w:pPr>
      <w:bookmarkStart w:id="166" w:name="hybrid-queries"/>
      <w:r>
        <w:t xml:space="preserve">Hybrid Queries</w:t>
      </w:r>
      <w:bookmarkEnd w:id="166"/>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instrument built at Bell Labs by Max Mathews in the late 1980s that uses a mallet as controller within three-dimensional space</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67" w:name="traversing-methods"/>
      <w:r>
        <w:t xml:space="preserve">Traversing Methods</w:t>
      </w:r>
      <w:bookmarkEnd w:id="167"/>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-dimentional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5"/>
      </w:pPr>
      <w:bookmarkStart w:id="168" w:name="sensorial-networks"/>
      <w:r>
        <w:t xml:space="preserve">Sensorial Networks</w:t>
      </w:r>
      <w:bookmarkEnd w:id="168"/>
    </w:p>
    <w:p>
      <w:pPr>
        <w:pStyle w:val="FirstParagraph"/>
      </w:pPr>
      <w:r>
        <w:t xml:space="preserve">Choi (2000, Choi et al. 2000)</w:t>
      </w:r>
      <w:r>
        <w:t xml:space="preserve"> </w:t>
      </w:r>
      <w:r>
        <w:t xml:space="preserve">presented an interactive installation 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5"/>
      </w:pPr>
      <w:bookmarkStart w:id="169" w:name="involuntary-navigation"/>
      <w:r>
        <w:t xml:space="preserve">Involuntary Navigation</w:t>
      </w:r>
      <w:bookmarkEnd w:id="169"/>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throuth voluntary and involuntary agents that intertwine composition, interaction, and performance.</w:t>
      </w:r>
    </w:p>
    <w:p>
      <w:pPr>
        <w:pStyle w:val="Heading5"/>
      </w:pPr>
      <w:bookmarkStart w:id="170" w:name="networked-collaborations"/>
      <w:r>
        <w:t xml:space="preserve">Networked Collaborations</w:t>
      </w:r>
      <w:bookmarkEnd w:id="170"/>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w:t>
      </w:r>
      <w:r>
        <w:t xml:space="preserve">mysql</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5"/>
      </w:pPr>
      <w:bookmarkStart w:id="171" w:name="mobile-devices"/>
      <w:r>
        <w:t xml:space="preserve">Mobile Devices</w:t>
      </w:r>
      <w:bookmarkEnd w:id="171"/>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cellphones. By accessing a website that loads custom synthesizers made with the Web Audio</w:t>
      </w:r>
      <w:r>
        <w:t xml:space="preserve"> </w:t>
      </w:r>
      <w:r>
        <w:t xml:space="preserve">api</w:t>
      </w:r>
      <w:r>
        <w:t xml:space="preserve">, the audience becomes the performer in an innovative way. While the title of the work (</w:t>
      </w:r>
      <w:r>
        <w:t xml:space="preserve">Carter (2017)</w:t>
      </w:r>
      <w:r>
        <w:t xml:space="preserve">)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72" w:name="resource-sharing"/>
      <w:r>
        <w:t xml:space="preserve">Resource Sharing</w:t>
      </w:r>
      <w:bookmarkEnd w:id="172"/>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publishig results like in research or academic communities. This is the case of the multiple datasets that exist.</w:t>
      </w:r>
      <w:r>
        <w:rPr>
          <w:rStyle w:val="FootnoteReference"/>
        </w:rPr>
        <w:footnoteReference w:id="173"/>
      </w:r>
      <w:r>
        <w:t xml:space="preserve"> </w:t>
      </w:r>
      <w:r>
        <w:t xml:space="preserve">In any case, what is common between these forms of sharing is an entropic and endless plurality.</w:t>
      </w:r>
    </w:p>
    <w:p>
      <w:pPr>
        <w:pStyle w:val="Heading5"/>
      </w:pPr>
      <w:bookmarkStart w:id="174" w:name="multimodal-datasets"/>
      <w:r>
        <w:t xml:space="preserve">Multimodal Datasets</w:t>
      </w:r>
      <w:bookmarkEnd w:id="174"/>
    </w:p>
    <w:p>
      <w:pPr>
        <w:pStyle w:val="FirstParagraph"/>
      </w:pPr>
      <w:r>
        <w:t xml:space="preserve">Among the many datasets that are available (See</w:t>
      </w:r>
      <w:r>
        <w:t xml:space="preserve"> </w:t>
      </w:r>
      <w:hyperlink w:anchor="mir">
        <w:r>
          <w:rPr>
            <w:rStyle w:val="Hyperlink"/>
          </w:rPr>
          <w:t xml:space="preserve">4.3.1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r>
        <w:t xml:space="preserve"> </w:t>
      </w:r>
      <w:r>
        <w:t xml:space="preserve">dbms</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5"/>
      </w:pPr>
      <w:bookmarkStart w:id="175" w:name="formats"/>
      <w:r>
        <w:t xml:space="preserve">Formats</w:t>
      </w:r>
      <w:bookmarkEnd w:id="175"/>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w:t>
      </w:r>
      <w:r>
        <w:t xml:space="preserve"> </w:t>
      </w:r>
      <w:r>
        <w:t xml:space="preserve">yaml</w:t>
      </w:r>
      <w:r>
        <w:t xml:space="preserve">, or</w:t>
      </w:r>
      <w:r>
        <w:t xml:space="preserve"> </w:t>
      </w:r>
      <w:r>
        <w:rPr>
          <w:rStyle w:val="VerbatimChar"/>
        </w:rPr>
        <w:t xml:space="preserve">.bib</w:t>
      </w:r>
      <w:r>
        <w:t xml:space="preserve"> </w:t>
      </w:r>
      <w:r>
        <w:t xml:space="preserve">(LaTeXbibliography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5"/>
      </w:pPr>
      <w:bookmarkStart w:id="176" w:name="live-coding"/>
      <w:r>
        <w:t xml:space="preserve">Live Coding</w:t>
      </w:r>
      <w:bookmarkEnd w:id="176"/>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77" w:name="closing-remarks"/>
      <w:r>
        <w:t xml:space="preserve">Closing Remarks</w:t>
      </w:r>
      <w:bookmarkEnd w:id="177"/>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learninc. For example, in iteractive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4.12</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79"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78"/>
                    <a:stretch>
                      <a:fillRect/>
                    </a:stretch>
                  </pic:blipFill>
                  <pic:spPr bwMode="auto">
                    <a:xfrm>
                      <a:off x="0" y="0"/>
                      <a:ext cx="3759200" cy="2438400"/>
                    </a:xfrm>
                    <a:prstGeom prst="rect">
                      <a:avLst/>
                    </a:prstGeom>
                    <a:noFill/>
                    <a:ln w="9525">
                      <a:noFill/>
                      <a:headEnd/>
                      <a:tailEnd/>
                    </a:ln>
                  </pic:spPr>
                </pic:pic>
              </a:graphicData>
            </a:graphic>
          </wp:inline>
        </w:drawing>
      </w:r>
      <w:bookmarkEnd w:id="179"/>
    </w:p>
    <w:p>
      <w:pPr>
        <w:pStyle w:val="ImageCaption"/>
      </w:pPr>
      <w:r>
        <w:t xml:space="preserve">Intersection space.</w:t>
      </w:r>
    </w:p>
    <w:p>
      <w:pPr>
        <w:pStyle w:val="BodyText"/>
      </w:pPr>
      <w:r>
        <w:t xml:space="preserve">Position of the database in terms of visibility among</w:t>
      </w:r>
      <w:r>
        <w:t xml:space="preserve"> </w:t>
      </w:r>
      <w:r>
        <w:t xml:space="preserve">mir</w:t>
      </w:r>
      <w:r>
        <w:t xml:space="preserve">, Sonification, and Computer Music. Positive values indicate visibility and negative indicate invisibility.</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just one frame. At each point in time the databaser can pause for a second, analyze the frame, and perhaps describe the motion that the database has taken thus far. This has been my task until now, and it is safe to say that we have looked at the database. In what follows, I will change gears and approach the database from a different perspective, one not guided by light, but immersed within sound.</w:t>
      </w:r>
    </w:p>
    <w:p>
      <w:pPr>
        <w:pStyle w:val="Heading1"/>
      </w:pPr>
      <w:bookmarkStart w:id="180" w:name="chapter:Database_Aesthetics"/>
      <w:r>
        <w:t xml:space="preserve">Database Aesthetics</w:t>
      </w:r>
      <w:bookmarkEnd w:id="180"/>
    </w:p>
    <w:p>
      <w:pPr>
        <w:pStyle w:val="Heading2"/>
      </w:pPr>
      <w:bookmarkStart w:id="181" w:name="section:Listening_Databases"/>
      <w:r>
        <w:t xml:space="preserve">Listening Databases</w:t>
      </w:r>
      <w:bookmarkEnd w:id="181"/>
    </w:p>
    <w:p>
      <w:pPr>
        <w:pStyle w:val="Heading3"/>
      </w:pPr>
      <w:bookmarkStart w:id="182" w:name="lucierlude"/>
      <w:r>
        <w:t xml:space="preserve">Interlude: I Am Sitting In A Room</w:t>
      </w:r>
      <w:bookmarkEnd w:id="182"/>
    </w:p>
    <w:p>
      <w:pPr>
        <w:pStyle w:val="FirstParagraph"/>
      </w:pPr>
      <w:r>
        <w:t xml:space="preserve">The following transcription was made from a recording made at Lovely Music, Ltd (1981) of Alvin Lucier’s work</w:t>
      </w:r>
      <w:r>
        <w:t xml:space="preserve"> </w:t>
      </w:r>
      <w:r>
        <w:t xml:space="preserve">“</w:t>
      </w:r>
      <w:r>
        <w:t xml:space="preserve">I am sitting in a room</w:t>
      </w:r>
      <w:r>
        <w:t xml:space="preserve">”</w:t>
      </w:r>
      <w:r>
        <w:t xml:space="preserve"> </w:t>
      </w:r>
      <w:r>
        <w:t xml:space="preserve">(Lucier 1970)</w:t>
      </w:r>
      <w:r>
        <w:t xml:space="preserve">. It is meant to indicate the many</w:t>
      </w:r>
      <w:r>
        <w:t xml:space="preserve"> </w:t>
      </w:r>
      <w:r>
        <w:t xml:space="preserve">“</w:t>
      </w:r>
      <w:r>
        <w:t xml:space="preserve">irregularities</w:t>
      </w:r>
      <w:r>
        <w:t xml:space="preserve">”</w:t>
      </w:r>
      <w:r>
        <w:t xml:space="preserve"> </w:t>
      </w:r>
      <w:r>
        <w:t xml:space="preserve">that differ from the text. The recording is available online.</w:t>
      </w:r>
      <w:r>
        <w:rPr>
          <w:rStyle w:val="FootnoteReference"/>
        </w:rPr>
        <w:footnoteReference w:id="183"/>
      </w:r>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$\cancelto{kh}{c}$</w:t>
      </w:r>
      <w:r>
        <w:t xml:space="preserve">ording the</w:t>
      </w:r>
      <w:r>
        <w:t xml:space="preserve"> </w:t>
      </w:r>
      <w:r>
        <w:t xml:space="preserve">$\cancelto{ss}{s}$</w:t>
      </w:r>
      <w:r>
        <w:t xml:space="preserve">ound of my</w:t>
      </w:r>
      <w:r>
        <w:rPr>
          <w:i/>
        </w:rPr>
        <w:t xml:space="preserve">hh</w:t>
      </w:r>
      <w:r>
        <w:t xml:space="preserve"> </w:t>
      </w:r>
      <w:r>
        <w:t xml:space="preserve">speaking</w:t>
      </w:r>
      <w:r>
        <w:t xml:space="preserve"> </w:t>
      </w:r>
      <w:r>
        <w:t xml:space="preserve">$\cancelto{voisss}{voice}$</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$\cancelto{an}{and}$</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$\cancelto{tx!}{t}$</w:t>
      </w:r>
      <w:r>
        <w:t xml:space="preserve">il the</w:t>
      </w:r>
    </w:p>
    <w:p>
      <w:pPr>
        <w:pStyle w:val="BlockText"/>
      </w:pPr>
      <w:r>
        <w:t xml:space="preserve">re</w:t>
      </w:r>
      <w:r>
        <w:t xml:space="preserve">$\cancelto{ss}{s}$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$\cancelto{sss}{c}\xcancel{e}$</w:t>
      </w:r>
      <w:r>
        <w:t xml:space="preserve"> </w:t>
      </w:r>
      <w:r>
        <w:t xml:space="preserve">them</w:t>
      </w:r>
      <w:r>
        <w:t xml:space="preserve">$\cancelto{ss}{s}$</w:t>
      </w:r>
      <w:r>
        <w:t xml:space="preserve">elve</w:t>
      </w:r>
      <w:r>
        <w:t xml:space="preserve">$\cancelto{sss}{s}$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$\cancelto{sss}{s}$</w:t>
      </w:r>
      <w:r>
        <w:t xml:space="preserve">pee</w:t>
      </w:r>
      <w:r>
        <w:t xml:space="preserve">$\cancelto{ch\rightarrow shwh}{ch}$</w:t>
      </w:r>
    </w:p>
    <w:p>
      <w:pPr>
        <w:pStyle w:val="BlockText"/>
      </w:pPr>
      <w:r>
        <w:rPr>
          <w:i/>
        </w:rPr>
        <w:t xml:space="preserve">inhale</w:t>
      </w:r>
      <w:r>
        <w:t xml:space="preserve"> </w:t>
      </w:r>
      <w:r>
        <w:t xml:space="preserve">(long)</w:t>
      </w:r>
    </w:p>
    <w:p>
      <w:pPr>
        <w:pStyle w:val="BlockText"/>
      </w:pPr>
      <w:r>
        <w:t xml:space="preserve">with per</w:t>
      </w:r>
      <w:r>
        <w:t xml:space="preserve">$\cancelto{hhhh}{h}$</w:t>
      </w:r>
      <w:r>
        <w:t xml:space="preserve">ap</w:t>
      </w:r>
      <w:r>
        <w:t xml:space="preserve">$\cancelto{s!}{s}$</w:t>
      </w:r>
      <w:r>
        <w:t xml:space="preserve"> </w:t>
      </w:r>
      <w:r>
        <w:t xml:space="preserve">the excep</w:t>
      </w:r>
      <w:r>
        <w:t xml:space="preserve">$\cancelto{shh}{t}$</w:t>
      </w:r>
      <w:r>
        <w:t xml:space="preserve">ion of</w:t>
      </w:r>
    </w:p>
    <w:p>
      <w:pPr>
        <w:pStyle w:val="BlockText"/>
      </w:pPr>
      <w:r>
        <w:t xml:space="preserve">$\cancelto{rhythm}{\texttt{rwh\_\_$\cdot$\cdot$.$\cdot$-ythm}}$</w:t>
      </w:r>
    </w:p>
    <w:p>
      <w:pPr>
        <w:pStyle w:val="BlockText"/>
      </w:pPr>
      <w:r>
        <w:t xml:space="preserve">is</w:t>
      </w:r>
      <w:r>
        <w:rPr>
          <w:i/>
        </w:rPr>
        <w:t xml:space="preserve">s</w:t>
      </w:r>
      <w:r>
        <w:t xml:space="preserve"> </w:t>
      </w:r>
      <w:r>
        <w:t xml:space="preserve">de</w:t>
      </w:r>
      <w:r>
        <w:t xml:space="preserve">$\cancelto{ss}{s}$</w:t>
      </w:r>
      <w:r>
        <w:t xml:space="preserve">troye</w:t>
      </w:r>
      <w:r>
        <w:t xml:space="preserve">$\cancelto{dh}{d}$</w:t>
      </w:r>
    </w:p>
    <w:p>
      <w:pPr>
        <w:pStyle w:val="BlockText"/>
      </w:pPr>
      <w:r>
        <w:t xml:space="preserve">$\cancelto{ou}{Wh}$</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$\cancelto{tzsh!}{t}$</w:t>
      </w:r>
      <w:r>
        <w:t xml:space="preserve">iculated by</w:t>
      </w:r>
      <w:r>
        <w:rPr>
          <w:i/>
        </w:rPr>
        <w:t xml:space="preserve">sss</w:t>
      </w:r>
      <w:r>
        <w:t xml:space="preserve">speech</w:t>
      </w:r>
      <w:r>
        <w:rPr>
          <w:i/>
        </w:rPr>
        <w:t xml:space="preserve">hhh</w:t>
      </w:r>
    </w:p>
    <w:p>
      <w:pPr>
        <w:pStyle w:val="BlockText"/>
      </w:pPr>
      <w:r>
        <w:t xml:space="preserve">I regard … this-</w:t>
      </w:r>
      <w:r>
        <w:t xml:space="preserve">$\cancelto{a!}{a}$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$\cancelto{ss}{s}$</w:t>
      </w:r>
      <w:r>
        <w:t xml:space="preserve">tra</w:t>
      </w:r>
      <w:r>
        <w:t xml:space="preserve">$\cancelto{shh}{t}$</w:t>
      </w:r>
      <w:r>
        <w:t xml:space="preserve">ion of a physical f</w:t>
      </w:r>
      <w:r>
        <w:t xml:space="preserve">$\cancelto{aa}{a}$</w:t>
      </w:r>
      <w:r>
        <w:t xml:space="preserve">c</w:t>
      </w:r>
      <w:r>
        <w:t xml:space="preserve">$\cancelto{t\rightarrow h}{t}$</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$\cancelto{z}{s}$</w:t>
      </w:r>
      <w:r>
        <w:t xml:space="preserve">a way to</w:t>
      </w:r>
      <w:r>
        <w:t xml:space="preserve">$\rightarrow\cancelto{smooth}{\textit{{\normal S }{\large S }{\normal SS }{\small SSss }{\normal s }{\footnotesize sss  }{\scriptsize s  }{\tiny s }}}$</w:t>
      </w:r>
      <w:r>
        <w:t xml:space="preserve">out</w:t>
      </w:r>
    </w:p>
    <w:p>
      <w:pPr>
        <w:pStyle w:val="BlockText"/>
      </w:pPr>
      <w:r>
        <w:t xml:space="preserve">any irregularities</w:t>
      </w:r>
      <w:r>
        <w:t xml:space="preserve">$\rightarrowmy$</w:t>
      </w:r>
      <w:r>
        <w:t xml:space="preserve">my</w:t>
      </w:r>
      <w:r>
        <w:rPr>
          <w:i/>
        </w:rPr>
        <w:t xml:space="preserve">hs</w:t>
      </w:r>
      <w:r>
        <w:t xml:space="preserve">speech</w:t>
      </w:r>
      <w:r>
        <w:rPr>
          <w:i/>
        </w:rPr>
        <w:t xml:space="preserve">hh</w:t>
      </w:r>
      <w:r>
        <w:t xml:space="preserve"> </w:t>
      </w:r>
      <w:r>
        <w:t xml:space="preserve">might hav</w:t>
      </w:r>
      <w:r>
        <w:t xml:space="preserve">$\cancelto{f}{e}$</w:t>
      </w:r>
    </w:p>
    <w:p>
      <w:pPr>
        <w:pStyle w:val="Heading3"/>
      </w:pPr>
      <w:bookmarkStart w:id="185" w:name="resonance_of_a_return"/>
      <w:r>
        <w:t xml:space="preserve">The Resonance Of A Return</w:t>
      </w:r>
      <w:bookmarkEnd w:id="185"/>
    </w:p>
    <w:p>
      <w:pPr>
        <w:pStyle w:val="Heading5"/>
      </w:pPr>
      <w:bookmarkStart w:id="186" w:name="a-reverb"/>
      <w:r>
        <w:t xml:space="preserve">A Reverb</w:t>
      </w:r>
      <w:bookmarkEnd w:id="186"/>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or if there is wind blowing in the same direction of a sound, it will make the sound travel faster. This means that sound waves are affected in different ways by different media, some being more (concert halls) or less (anechoic chambers) resonant.</w:t>
      </w:r>
    </w:p>
    <w:p>
      <w:pPr>
        <w:pStyle w:val="Heading5"/>
      </w:pPr>
      <w:bookmarkStart w:id="187" w:name="a-filter"/>
      <w:r>
        <w:t xml:space="preserve">A Filter</w:t>
      </w:r>
      <w:bookmarkEnd w:id="187"/>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5"/>
      </w:pPr>
      <w:bookmarkStart w:id="188" w:name="a-loop"/>
      <w:r>
        <w:t xml:space="preserve">A Loop</w:t>
      </w:r>
      <w:bookmarkEnd w:id="188"/>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5"/>
      </w:pPr>
      <w:bookmarkStart w:id="189" w:name="an-attack"/>
      <w:r>
        <w:t xml:space="preserve">An Attack</w:t>
      </w:r>
      <w:bookmarkEnd w:id="189"/>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4.1.6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itself. In this sense, the creative capacity of the body enables the body itself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5"/>
      </w:pPr>
      <w:bookmarkStart w:id="190" w:name="a-sampler"/>
      <w:r>
        <w:t xml:space="preserve">A Sampler</w:t>
      </w:r>
      <w:bookmarkEnd w:id="190"/>
    </w:p>
    <w:p>
      <w:pPr>
        <w:pStyle w:val="FirstParagraph"/>
      </w:pPr>
      <w:r>
        <w:t xml:space="preserve">Consider, for example, an acousmatic concert in which one of the music works is made with pre-recorded violin samples. When this violin begins playing sounds, an illusion may very well begin to emerge: we can imagine a violin player. If the imaginary player continues to play sounds and move them in space, this illusion continues in the direction of physical but illusory motion in space, that is, we can perceive an actual violin and an actual violin player. Therefore, this virtuality may project itself throughout the complete music work, thus grounding the music work on an imaginary force that is only alive because of the listener’s own capacitiy for virtuality. The ghostly qualities of this force will be addressed further down this text (See</w:t>
      </w:r>
      <w:r>
        <w:t xml:space="preserve"> </w:t>
      </w:r>
      <w:hyperlink w:anchor="spectrality">
        <w:r>
          <w:rPr>
            <w:rStyle w:val="Hyperlink"/>
          </w:rPr>
          <w:t xml:space="preserve">5.2.4</w:t>
        </w:r>
      </w:hyperlink>
      <w:r>
        <w:t xml:space="preserve">). Most presently is the fact that this</w:t>
      </w:r>
      <w:r>
        <w:t xml:space="preserve"> </w:t>
      </w:r>
      <w:r>
        <w:t xml:space="preserve">‘</w:t>
      </w:r>
      <w:r>
        <w:t xml:space="preserve">magic</w:t>
      </w:r>
      <w:r>
        <w:t xml:space="preserve">’</w:t>
      </w:r>
      <w:r>
        <w:t xml:space="preserve"> </w:t>
      </w:r>
      <w:r>
        <w:t xml:space="preserve">show —happening in front and because of the listener’s body-sensing mind— can be understood in terms of a resonant link between the human and the nonhuman: a web of interconnected objects that refer to each other. In this listening process, therefore, the listening subject exposes itself to itself and to the virtual self of the violin. Virtual, in this context, does not mean in opposition to the real. The virtual comes as the affective presence of a reality, and thus it becomes the possibility condition for the reality of images.</w:t>
      </w:r>
    </w:p>
    <w:p>
      <w:pPr>
        <w:pStyle w:val="Heading5"/>
      </w:pPr>
      <w:bookmarkStart w:id="191" w:name="a-texture"/>
      <w:r>
        <w:t xml:space="preserve">A Texture</w:t>
      </w:r>
      <w:bookmarkEnd w:id="191"/>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ressemble each other, thus they can be understood as a spatial distribution of references.</w:t>
      </w:r>
    </w:p>
    <w:p>
      <w:pPr>
        <w:pStyle w:val="Heading5"/>
      </w:pPr>
      <w:bookmarkStart w:id="192" w:name="a-return"/>
      <w:r>
        <w:t xml:space="preserve">A Return</w:t>
      </w:r>
      <w:bookmarkEnd w:id="192"/>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their ontological condition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193" w:name="network"/>
      <w:r>
        <w:t xml:space="preserve">Resonant Network</w:t>
      </w:r>
      <w:bookmarkEnd w:id="193"/>
    </w:p>
    <w:p>
      <w:pPr>
        <w:pStyle w:val="Heading5"/>
      </w:pPr>
      <w:bookmarkStart w:id="194" w:name="the-recorded-movement-of-a-thing"/>
      <w:r>
        <w:t xml:space="preserve">The Recorded Movement of a Thing</w:t>
      </w:r>
      <w:bookmarkEnd w:id="194"/>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ant</w:t>
      </w:r>
      <w:r>
        <w:t xml:space="preserve">.</w:t>
      </w:r>
      <w:r>
        <w:t xml:space="preserve"> </w:t>
      </w:r>
      <w:r>
        <w:t xml:space="preserve">ant</w:t>
      </w:r>
      <w:r>
        <w:t xml:space="preserve"> </w:t>
      </w:r>
      <w:r>
        <w:t xml:space="preserve">can be understood as a way of connecting and associating entities to one another. It is a tool that builds an image of the world made of nodes along a decentralized web of meaning. Latour reformulates nodes and edges, with what he calls</w:t>
      </w:r>
      <w:r>
        <w:t xml:space="preserve"> </w:t>
      </w:r>
      <w:r>
        <w:t xml:space="preserve">‘</w:t>
      </w:r>
      <w:r>
        <w:t xml:space="preserve">semiotic actors,</w:t>
      </w:r>
      <w:r>
        <w:t xml:space="preserve">’</w:t>
      </w:r>
      <w:r>
        <w:t xml:space="preserve"> </w:t>
      </w:r>
      <w:r>
        <w:t xml:space="preserve">‘</w:t>
      </w:r>
      <w:r>
        <w:t xml:space="preserve">actants,</w:t>
      </w:r>
      <w:r>
        <w:t xml:space="preserve">’</w:t>
      </w:r>
      <w:r>
        <w:t xml:space="preserve"> </w:t>
      </w:r>
      <w:r>
        <w:t xml:space="preserve">or</w:t>
      </w:r>
      <w:r>
        <w:t xml:space="preserve"> </w:t>
      </w:r>
      <w:r>
        <w:t xml:space="preserve">‘</w:t>
      </w:r>
      <w:r>
        <w:t xml:space="preserve">agents</w:t>
      </w:r>
      <w:r>
        <w:t xml:space="preserve">’</w:t>
      </w:r>
      <w:r>
        <w:t xml:space="preserve"> </w:t>
      </w:r>
      <w:r>
        <w:t xml:space="preserve">(nodes) and of the interconnected accounts that these have of each other (edges). As I have mentioned earlier with the network model in databases (See</w:t>
      </w:r>
      <w:r>
        <w:t xml:space="preserve"> </w:t>
      </w:r>
      <w:hyperlink w:anchor="model:network">
        <w:r>
          <w:rPr>
            <w:rStyle w:val="Hyperlink"/>
          </w:rPr>
          <w:t xml:space="preserve">4.2.4.2</w:t>
        </w:r>
      </w:hyperlink>
      <w:r>
        <w:t xml:space="preserve">), navigating through networks is traversing from node to node. However, the (visual) two-dimentional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limits the understanding of its topology:</w:t>
      </w:r>
      <w:r>
        <w:t xml:space="preserve"> </w:t>
      </w:r>
      <w:r>
        <w:t xml:space="preserve">“</w:t>
      </w:r>
      <w:r>
        <w:t xml:space="preserve">instead of surfaces one gets filaments.</w:t>
      </w:r>
      <w:r>
        <w:t xml:space="preserve">”</w:t>
      </w:r>
      <w:r>
        <w:t xml:space="preserve"> </w:t>
      </w:r>
      <w:r>
        <w:t xml:space="preserve">(Latour 1990, p. 3)</w:t>
      </w:r>
      <w:r>
        <w:t xml:space="preserve"> </w:t>
      </w:r>
      <w:r>
        <w:t xml:space="preserve">In this sense, he points to a misunderstanding that comes from giving</w:t>
      </w:r>
      <w:r>
        <w:t xml:space="preserve"> </w:t>
      </w:r>
      <w:r>
        <w:t xml:space="preserve">ant</w:t>
      </w:r>
      <w:r>
        <w:t xml:space="preserve"> </w:t>
      </w:r>
      <w:r>
        <w:t xml:space="preserve">a technical definition such as the one described with the database model:</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r>
        <w:t xml:space="preserve"> </w:t>
      </w:r>
      <w:r>
        <w:t xml:space="preserve">ant</w:t>
      </w:r>
      <w:r>
        <w:t xml:space="preserve"> </w:t>
      </w:r>
      <w:r>
        <w:t xml:space="preserve">points towards a topological shift. Nevertheless, the navigational paradigm advanced by</w:t>
      </w:r>
      <w:r>
        <w:t xml:space="preserve"> </w:t>
      </w:r>
      <w:r>
        <w:t xml:space="preserve">Bachman (1973)</w:t>
      </w:r>
      <w:r>
        <w:t xml:space="preserve"> </w:t>
      </w:r>
      <w:r>
        <w:t xml:space="preserve">in relation to databases whose</w:t>
      </w:r>
      <w:r>
        <w:t xml:space="preserve"> </w:t>
      </w:r>
      <w:r>
        <w:t xml:space="preserve">‘</w:t>
      </w:r>
      <w:r>
        <w:t xml:space="preserve">keys</w:t>
      </w:r>
      <w:r>
        <w:t xml:space="preserve">’</w:t>
      </w:r>
      <w:r>
        <w:t xml:space="preserve"> </w:t>
      </w:r>
      <w:r>
        <w:t xml:space="preserve">become n-dimensional space, does translate well to Latour’s model, because nodes have</w:t>
      </w:r>
      <w:r>
        <w:t xml:space="preserve"> </w:t>
      </w:r>
      <w:r>
        <w:t xml:space="preserve">“</w:t>
      </w:r>
      <w:r>
        <w:t xml:space="preserve">as many dimensions as they have connections</w:t>
      </w:r>
      <w:r>
        <w:t xml:space="preserve">”</w:t>
      </w:r>
      <w:r>
        <w:t xml:space="preserve"> </w:t>
      </w:r>
      <w:r>
        <w:t xml:space="preserve">(Latour 1990, p. 3)</w:t>
      </w:r>
      <w:r>
        <w:t xml:space="preserve">. In any case, what this navigation points to is that</w:t>
      </w:r>
      <w:r>
        <w:t xml:space="preserve"> </w:t>
      </w:r>
      <w:r>
        <w:t xml:space="preserve">ant</w:t>
      </w:r>
      <w:r>
        <w:t xml:space="preserve"> </w:t>
      </w:r>
      <w:r>
        <w:t xml:space="preserve">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w:t>
      </w:r>
      <w:r>
        <w:t xml:space="preserve"> </w:t>
      </w:r>
      <w:r>
        <w:t xml:space="preserve">“</w:t>
      </w:r>
      <w:r>
        <w:t xml:space="preserve">In order to explain, to account, to observe, to prove, to argue, to dominate and to see, [an observer] has to move around and work, I should say it has to</w:t>
      </w:r>
      <w:r>
        <w:t xml:space="preserve"> </w:t>
      </w:r>
      <w:r>
        <w:t xml:space="preserve">‘</w:t>
      </w:r>
      <w:r>
        <w:t xml:space="preserve">network</w:t>
      </w:r>
      <w:r>
        <w:t xml:space="preserve">’</w:t>
      </w:r>
      <w:r>
        <w:t xml:space="preserve">”</w:t>
      </w:r>
      <w:r>
        <w:t xml:space="preserve"> </w:t>
      </w:r>
      <w:r>
        <w:t xml:space="preserve">(Latour 1990, p. 13)</w:t>
      </w:r>
      <w:r>
        <w:t xml:space="preserve">. This work,</w:t>
      </w:r>
      <w:r>
        <w:t xml:space="preserve"> </w:t>
      </w:r>
      <w:r>
        <w:rPr>
          <w:i/>
        </w:rPr>
        <w:t xml:space="preserve">net</w:t>
      </w:r>
      <w:r>
        <w:t xml:space="preserve">-work, or</w:t>
      </w:r>
      <w:r>
        <w:t xml:space="preserve"> </w:t>
      </w:r>
      <w:r>
        <w:t xml:space="preserve">‘</w:t>
      </w:r>
      <w:r>
        <w:t xml:space="preserve">tracing,</w:t>
      </w:r>
      <w:r>
        <w:t xml:space="preserve">’</w:t>
      </w:r>
      <w:r>
        <w:t xml:space="preserve"> </w:t>
      </w:r>
      <w:r>
        <w:t xml:space="preserve">is not only the movement of associations and connections, it is also the</w:t>
      </w:r>
      <w:r>
        <w:t xml:space="preserve"> </w:t>
      </w:r>
      <w:r>
        <w:t xml:space="preserve">‘</w:t>
      </w:r>
      <w:r>
        <w:t xml:space="preserve">recording</w:t>
      </w:r>
      <w:r>
        <w:t xml:space="preserve">’</w:t>
      </w:r>
      <w:r>
        <w:t xml:space="preserve"> </w:t>
      </w:r>
      <w:r>
        <w:t xml:space="preserve">of this movement. In this sense, Latour claims that</w:t>
      </w:r>
      <w:r>
        <w:t xml:space="preserve"> </w:t>
      </w:r>
      <w:r>
        <w:t xml:space="preserve">“</w:t>
      </w:r>
      <w:r>
        <w:t xml:space="preserve">a network is not a thing but the recorded movement of a thing</w:t>
      </w:r>
      <w:r>
        <w:t xml:space="preserve">”</w:t>
      </w:r>
      <w:r>
        <w:t xml:space="preserve"> </w:t>
      </w:r>
      <w:r>
        <w:t xml:space="preserve">(Latour 1990, p. 14)</w:t>
      </w:r>
      <w:r>
        <w:t xml:space="preserve">. 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expansive motion. Most importantly,</w:t>
      </w:r>
      <w:r>
        <w:t xml:space="preserve"> </w:t>
      </w:r>
      <w:r>
        <w:t xml:space="preserve">ant</w:t>
      </w:r>
      <w:r>
        <w:t xml:space="preserve"> </w:t>
      </w:r>
      <w:r>
        <w:t xml:space="preserve">is a tool aimed at describing the nature of society. However, in this description,</w:t>
      </w:r>
      <w:r>
        <w:t xml:space="preserve"> </w:t>
      </w:r>
      <w:r>
        <w:t xml:space="preserve">ant</w:t>
      </w:r>
      <w:r>
        <w:t xml:space="preserve"> </w:t>
      </w:r>
      <w:r>
        <w:t xml:space="preserve">“</w:t>
      </w:r>
      <w:r>
        <w:t xml:space="preserve">does not limit itself to human individual actors but extend[s] the word actor…to non-human, non individual entities</w:t>
      </w:r>
      <w:r>
        <w:t xml:space="preserve">”</w:t>
      </w:r>
      <w:r>
        <w:t xml:space="preserve"> </w:t>
      </w:r>
      <w:r>
        <w:t xml:space="preserve">(Latour 1990, p. 2)</w:t>
      </w:r>
      <w:r>
        <w:t xml:space="preserve">.</w:t>
      </w:r>
    </w:p>
    <w:p>
      <w:pPr>
        <w:pStyle w:val="Heading5"/>
      </w:pPr>
      <w:bookmarkStart w:id="195" w:name="howling"/>
      <w:r>
        <w:t xml:space="preserve">Howling</w:t>
      </w:r>
      <w:bookmarkEnd w:id="195"/>
    </w:p>
    <w:p>
      <w:pPr>
        <w:pStyle w:val="FirstParagraph"/>
      </w:pPr>
      <w:r>
        <w:t xml:space="preserve">Thinking networks in terms of a (sonic) three-dimentional metaphor (as a mechanical wave) is thus misunderstanding it.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(impossible) positive feedback. While a network expands in redundancy, overflow, accumulation, and self-reference, a sound attenuates towards imperceptible and infinitesimal thresholds. Lending an ear to the sound of</w:t>
      </w:r>
      <w:r>
        <w:t xml:space="preserve"> </w:t>
      </w:r>
      <w:r>
        <w:t xml:space="preserve">ant</w:t>
      </w:r>
      <w:r>
        <w:t xml:space="preserve"> </w:t>
      </w:r>
      <w:r>
        <w:t xml:space="preserve">we would find ourselves listening to expanding filaments. However, as an acoustic experiment that would combine the circuitry of a feedback with the accumulative quality of networks, I propose to consider</w:t>
      </w:r>
      <w:r>
        <w:t xml:space="preserve"> </w:t>
      </w:r>
      <w:r>
        <w:t xml:space="preserve">Lucier (1970)</w:t>
      </w:r>
      <w:r>
        <w:t xml:space="preserve">’s (</w:t>
      </w:r>
      <w:r>
        <w:t xml:space="preserve">(1970)</w:t>
      </w:r>
      <w:r>
        <w:t xml:space="preserve">) . I have transcribed this sound art piece at the beginning of this chapter, as it is self explanatory (See</w:t>
      </w:r>
      <w:r>
        <w:t xml:space="preserve"> </w:t>
      </w:r>
      <w:hyperlink w:anchor="lucierlude">
        <w:r>
          <w:rPr>
            <w:rStyle w:val="Hyperlink"/>
          </w:rPr>
          <w:t xml:space="preserve">5.1.1</w:t>
        </w:r>
      </w:hyperlink>
      <w:r>
        <w:t xml:space="preserve">). It can be understood as a triple crossfade, first between speech and music, gradually crossfading into a second crossfade,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w:t>
      </w:r>
      <w:r>
        <w:t xml:space="preserve">”</w:t>
      </w:r>
      <w:r>
        <w:t xml:space="preserve"> </w:t>
      </w:r>
      <w:r>
        <w:t xml:space="preserve">and thus the</w:t>
      </w:r>
      <w:r>
        <w:t xml:space="preserve"> </w:t>
      </w:r>
      <w:r>
        <w:t xml:space="preserve">“</w:t>
      </w:r>
      <w:r>
        <w:t xml:space="preserve">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However, (and here is the experiment) this does not mean that these nodes would cease to act, let alone resonate. In this sense, we can ask ourselves how would</w:t>
      </w:r>
      <w:r>
        <w:t xml:space="preserve"> </w:t>
      </w:r>
      <w:r>
        <w:rPr>
          <w:i/>
        </w:rPr>
        <w:t xml:space="preserve">this</w:t>
      </w:r>
      <w:r>
        <w:t xml:space="preserve"> </w:t>
      </w:r>
      <w:r>
        <w:t xml:space="preserve">sound like?</w:t>
      </w:r>
      <w:r>
        <w:t xml:space="preserve"> </w:t>
      </w:r>
      <w:r>
        <w:rPr>
          <w:i/>
        </w:rPr>
        <w:t xml:space="preserve">Where</w:t>
      </w:r>
      <w:r>
        <w:t xml:space="preserve"> </w:t>
      </w:r>
      <w:r>
        <w:t xml:space="preserve">would the</w:t>
      </w:r>
      <w:r>
        <w:t xml:space="preserve"> </w:t>
      </w:r>
      <w:r>
        <w:t xml:space="preserve">‘</w:t>
      </w:r>
      <w:r>
        <w:t xml:space="preserve">I</w:t>
      </w:r>
      <w:r>
        <w:t xml:space="preserve">’</w:t>
      </w:r>
      <w:r>
        <w:t xml:space="preserve"> </w:t>
      </w:r>
      <w:r>
        <w:t xml:space="preserve">be actually</w:t>
      </w:r>
      <w:r>
        <w:t xml:space="preserve"> </w:t>
      </w:r>
      <w:r>
        <w:rPr>
          <w:i/>
        </w:rPr>
        <w:t xml:space="preserve">sitting</w:t>
      </w:r>
      <w:r>
        <w:t xml:space="preserve">?</w:t>
      </w:r>
    </w:p>
    <w:p>
      <w:pPr>
        <w:pStyle w:val="Heading5"/>
      </w:pPr>
      <w:bookmarkStart w:id="196" w:name="the-resonant-movement-of-a-thing"/>
      <w:r>
        <w:t xml:space="preserve">The Resonant Movement of a Thing</w:t>
      </w:r>
      <w:bookmarkEnd w:id="196"/>
    </w:p>
    <w:p>
      <w:pPr>
        <w:pStyle w:val="FirstParagraph"/>
      </w:pPr>
      <w:r>
        <w:t xml:space="preserve">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through space. The room as a filter would resonate differently because it would be understood as a texture, a networked resonance.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Thus, Latour’s phrase can (perhaps) be reformulated:</w:t>
      </w:r>
      <w:r>
        <w:t xml:space="preserve"> </w:t>
      </w:r>
      <w:r>
        <w:rPr>
          <w:i/>
        </w:rPr>
        <w:t xml:space="preserve">the network is not a thing, but the resonant movement of a thing</w:t>
      </w:r>
      <w:r>
        <w:t xml:space="preserve">.</w:t>
      </w:r>
    </w:p>
    <w:p>
      <w:pPr>
        <w:pStyle w:val="Heading5"/>
      </w:pPr>
      <w:bookmarkStart w:id="197" w:name="i-am-sitting-in-a-database"/>
      <w:r>
        <w:t xml:space="preserve">I am sitting in a database…</w:t>
      </w:r>
      <w:bookmarkEnd w:id="197"/>
    </w:p>
    <w:p>
      <w:pPr>
        <w:pStyle w:val="FirstParagraph"/>
      </w:pPr>
      <w:r>
        <w:t xml:space="preserve">This is the crucial leap that comes out of the idea of a resonant network: the moment the nonhuman in the network is comprehended as resonant, it is the moment that they engage with an approach to self (in Nancy’s terms). Following this logical thread, a database can be considered as a semiotic actor as well as a resonant subject. On one hand, databases are not networks, they are agents: acting, tracing, and listening within a network. On the other hand, since databases are indeed listening, to what extent can we think of them as listening to themselves listening? Bringing back Lucier and his room, I would like to address this question with another aspect of the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fourth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 in the loop. I believe this is one of the most crucial</w:t>
      </w:r>
      <w:r>
        <w:t xml:space="preserve"> </w:t>
      </w:r>
      <w:r>
        <w:t xml:space="preserve">‘</w:t>
      </w:r>
      <w:r>
        <w:t xml:space="preserve">irregularities</w:t>
      </w:r>
      <w:r>
        <w:t xml:space="preserve">’</w:t>
      </w:r>
      <w:r>
        <w:t xml:space="preserve"> </w:t>
      </w:r>
      <w:r>
        <w:t xml:space="preserve">that can be found throughout the work. In the interlude at the beginning of this chapter, I transcribe the text as Lucier reads it. I attempted to be as clear as possible, crossing out, replacing, extending all the consonants into what I thought was a more faithful score for the read fragment. Thinking as a composer, this score (with all its notated irregularities) would explain the first minutes so fiercefully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5.2.4</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database</w:t>
      </w:r>
      <w:r>
        <w:t xml:space="preserve"> </w:t>
      </w:r>
      <w:r>
        <w:t xml:space="preserve">returns to us (resonates back) putting into question a relationship (a difference): what is the difference between the two ‘I’s? Is is this same difference at stake between the human and the nonhumam? The implications of these question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198" w:name="inoperativity"/>
      <w:r>
        <w:t xml:space="preserve">The Unworking Network</w:t>
      </w:r>
      <w:bookmarkEnd w:id="198"/>
    </w:p>
    <w:p>
      <w:pPr>
        <w:pStyle w:val="Heading5"/>
      </w:pPr>
      <w:bookmarkStart w:id="199" w:name="community-as-unwork"/>
      <w:r>
        <w:t xml:space="preserve">Community as unwork</w:t>
      </w:r>
      <w:bookmarkEnd w:id="199"/>
    </w:p>
    <w:p>
      <w:pPr>
        <w:pStyle w:val="FirstParagraph"/>
      </w:pPr>
      <w:r>
        <w:t xml:space="preserve">As I have described above, for Nancy, a resonant self (the</w:t>
      </w:r>
      <w:r>
        <w:t xml:space="preserve"> </w:t>
      </w:r>
      <w:r>
        <w:t xml:space="preserve">‘</w:t>
      </w:r>
      <w:r>
        <w:t xml:space="preserve">self</w:t>
      </w:r>
      <w:r>
        <w:t xml:space="preserve">’</w:t>
      </w:r>
      <w:r>
        <w:t xml:space="preserve"> </w:t>
      </w:r>
      <w:r>
        <w:t xml:space="preserve">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understsand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 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5.1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Furhtermore,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or a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Is this not the resonance of a return? Work returning as the interrupted resonance of its own unworking?</w:t>
      </w:r>
    </w:p>
    <w:p>
      <w:pPr>
        <w:pStyle w:val="CaptionedFigure"/>
      </w:pPr>
      <w:bookmarkStart w:id="201" w:name="img:work"/>
      <w:r>
        <w:drawing>
          <wp:inline>
            <wp:extent cx="5334000" cy="4290391"/>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00"/>
                    <a:stretch>
                      <a:fillRect/>
                    </a:stretch>
                  </pic:blipFill>
                  <pic:spPr bwMode="auto">
                    <a:xfrm>
                      <a:off x="0" y="0"/>
                      <a:ext cx="5334000" cy="4290391"/>
                    </a:xfrm>
                    <a:prstGeom prst="rect">
                      <a:avLst/>
                    </a:prstGeom>
                    <a:noFill/>
                    <a:ln w="9525">
                      <a:noFill/>
                      <a:headEnd/>
                      <a:tailEnd/>
                    </a:ln>
                  </pic:spPr>
                </pic:pic>
              </a:graphicData>
            </a:graphic>
          </wp:inline>
        </w:drawing>
      </w:r>
      <w:bookmarkEnd w:id="201"/>
    </w:p>
    <w:p>
      <w:pPr>
        <w:pStyle w:val="ImageCaption"/>
      </w:pPr>
      <w:r>
        <w:t xml:space="preserve">Community as work</w:t>
      </w:r>
    </w:p>
    <w:p>
      <w:pPr>
        <w:pStyle w:val="BodyText"/>
      </w:pPr>
      <w:r>
        <w:t xml:space="preserve">A graph displaying the teleology of the work (arrows) of selves (dots) in community (dots joined by arrows), in relation to the first two models with which databases were designed: hierarchical (right) and network (left).</w:t>
      </w:r>
    </w:p>
    <w:p>
      <w:pPr>
        <w:pStyle w:val="Heading5"/>
      </w:pPr>
      <w:bookmarkStart w:id="202" w:name="at-the-limit"/>
      <w:r>
        <w:t xml:space="preserve">At the Limit</w:t>
      </w:r>
      <w:bookmarkEnd w:id="202"/>
    </w:p>
    <w:p>
      <w:pPr>
        <w:pStyle w:val="FirstParagraph"/>
      </w:pPr>
      <w:r>
        <w:t xml:space="preserve">Nancy’s concept of community can be recognized within his later and broader concept of</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a limit. We can think of this limit as an edge in the resonant network that, in Nancy’s terms, exposes selves to themselves and to one another. Further, Nancy provides us with an essential insight, suggesting that</w:t>
      </w:r>
      <w:r>
        <w:t xml:space="preserve"> </w:t>
      </w:r>
      <w:r>
        <w:t xml:space="preserve">“</w:t>
      </w:r>
      <w:r>
        <w:t xml:space="preserve">it is not obvious that the community of singularities is limited to</w:t>
      </w:r>
      <w:r>
        <w:t xml:space="preserve"> </w:t>
      </w:r>
      <w:r>
        <w:t xml:space="preserve">‘</w:t>
      </w:r>
      <w:r>
        <w:t xml:space="preserve">man</w:t>
      </w:r>
      <w:r>
        <w:t xml:space="preserve">’</w:t>
      </w:r>
      <w:r>
        <w:t xml:space="preserve"> </w:t>
      </w:r>
      <w:r>
        <w:t xml:space="preserve">and excludes, for example, the</w:t>
      </w:r>
      <w:r>
        <w:t xml:space="preserve"> </w:t>
      </w:r>
      <w:r>
        <w:t xml:space="preserve">‘</w:t>
      </w:r>
      <w:r>
        <w:t xml:space="preserve">animal.</w:t>
      </w:r>
      <w:r>
        <w:t xml:space="preserve">’</w:t>
      </w:r>
      <w:r>
        <w:t xml:space="preserve">”</w:t>
      </w:r>
      <w:r>
        <w:t xml:space="preserve"> </w:t>
      </w:r>
      <w:r>
        <w:t xml:space="preserve">(Nancy 1991, p. 28)</w:t>
      </w:r>
      <w:r>
        <w:t xml:space="preserve"> </w:t>
      </w:r>
      <w:r>
        <w:t xml:space="preserve">Therefore, by understanding resonant networks in terms of community we can speak of an exposure of selves, or a self-exposure, between humans and nonhumans in a liminality can be thought of as a skin. Not in the sense of a layer that separates the interior form the exterior of a body, or, for that matter, as a surface under which or over which two selves can connect. For this would would make us fall out of Latour’s definition of the network. This skin is not a surface, but it can be thought of as a texture; not a layer, but an interweaving of minuscular threads that, in their own locality are fragile, but due to their reticulated structure expand into a redundancy of fragilities that prevents concepts such as unity, concentration, or purity, to enter into the picture. Within this quality of incompleteness, which relates to suspension, but also to fracture, instability, and unpredictability, is how the symmetry of this teleology of work also relates to communication. Understood as the being in common of singularities: “communication is the unworking of work that is social, economic, technical, and institutional</w:t>
      </w:r>
      <w:r>
        <w:t xml:space="preserve"> </w:t>
      </w:r>
      <w:r>
        <w:t xml:space="preserve">(Nancy 1991, p. 31)</w:t>
      </w:r>
      <w:r>
        <w:t xml:space="preserve">. I am tempted here to suggest that it communication, as well as community, is also the unworking of work that is resonant.</w:t>
      </w:r>
    </w:p>
    <w:p>
      <w:pPr>
        <w:pStyle w:val="CaptionedFigure"/>
      </w:pPr>
      <w:bookmarkStart w:id="204" w:name="img:unwork"/>
      <w:r>
        <w:drawing>
          <wp:inline>
            <wp:extent cx="1193800" cy="939800"/>
            <wp:effectExtent b="0" l="0" r="0" t="0"/>
            <wp:docPr descr="Community as unwork" title="" id="1" name="Picture"/>
            <a:graphic>
              <a:graphicData uri="http://schemas.openxmlformats.org/drawingml/2006/picture">
                <pic:pic>
                  <pic:nvPicPr>
                    <pic:cNvPr descr="/Users/federicocamarahalac/Documents/fd_work/text/waves/bin/img/unwork.png" id="0" name="Picture"/>
                    <pic:cNvPicPr>
                      <a:picLocks noChangeArrowheads="1" noChangeAspect="1"/>
                    </pic:cNvPicPr>
                  </pic:nvPicPr>
                  <pic:blipFill>
                    <a:blip r:embed="rId203"/>
                    <a:stretch>
                      <a:fillRect/>
                    </a:stretch>
                  </pic:blipFill>
                  <pic:spPr bwMode="auto">
                    <a:xfrm>
                      <a:off x="0" y="0"/>
                      <a:ext cx="1193800" cy="939800"/>
                    </a:xfrm>
                    <a:prstGeom prst="rect">
                      <a:avLst/>
                    </a:prstGeom>
                    <a:noFill/>
                    <a:ln w="9525">
                      <a:noFill/>
                      <a:headEnd/>
                      <a:tailEnd/>
                    </a:ln>
                  </pic:spPr>
                </pic:pic>
              </a:graphicData>
            </a:graphic>
          </wp:inline>
        </w:drawing>
      </w:r>
      <w:bookmarkEnd w:id="204"/>
    </w:p>
    <w:p>
      <w:pPr>
        <w:pStyle w:val="ImageCaption"/>
      </w:pPr>
      <w:r>
        <w:t xml:space="preserve">Community as unwork</w:t>
      </w:r>
    </w:p>
    <w:p>
      <w:pPr>
        <w:pStyle w:val="BodyText"/>
      </w:pPr>
      <w:r>
        <w:t xml:space="preserve">A graph displaying community as an ontology of unwork.</w:t>
      </w:r>
    </w:p>
    <w:p>
      <w:pPr>
        <w:pStyle w:val="BodyText"/>
      </w:pPr>
      <w:r>
        <w:t xml:space="preserve">(A process which composes itself as process),</w:t>
      </w:r>
    </w:p>
    <w:p>
      <w:pPr>
        <w:pStyle w:val="BodyText"/>
      </w:pPr>
      <w:r>
        <w:t xml:space="preserve">In the network model, the nodes within the network are connected and associated to each other, that is, the</w:t>
      </w:r>
      <w:r>
        <w:t xml:space="preserve"> </w:t>
      </w:r>
      <w:r>
        <w:t xml:space="preserve">‘</w:t>
      </w:r>
      <w:r>
        <w:t xml:space="preserve">work</w:t>
      </w:r>
      <w:r>
        <w:t xml:space="preserve">’</w:t>
      </w:r>
      <w:r>
        <w:t xml:space="preserve"> </w:t>
      </w:r>
      <w:r>
        <w:t xml:space="preserve">of agents in Latour’s terminology. As I describe earlier, Latour’s network encompasses the human and the nonhuman:</w:t>
      </w:r>
    </w:p>
    <w:p>
      <w:pPr>
        <w:pStyle w:val="BodyText"/>
      </w:pPr>
      <w:r>
        <w:t xml:space="preserve">Agency, therefore, is what is in common across all nodes. However, a crucial distinction appears if we understand this agency as a form of</w:t>
      </w:r>
      <w:r>
        <w:t xml:space="preserve"> </w:t>
      </w:r>
      <w:r>
        <w:t xml:space="preserve">‘</w:t>
      </w:r>
      <w:r>
        <w:t xml:space="preserve">networking,</w:t>
      </w:r>
      <w:r>
        <w:t xml:space="preserve">’</w:t>
      </w:r>
      <w:r>
        <w:t xml:space="preserve"> </w:t>
      </w:r>
      <w:r>
        <w:t xml:space="preserve">that is, as the way this web of associations and connections works:</w:t>
      </w:r>
      <w:r>
        <w:t xml:space="preserve"> </w:t>
      </w:r>
      <w:r>
        <w:t xml:space="preserve">In other words, consider the graph that I include here (See Figure</w:t>
      </w:r>
      <w:r>
        <w:t xml:space="preserve"> </w:t>
      </w:r>
      <w:hyperlink w:anchor="img:work">
        <w:r>
          <w:rPr>
            <w:rStyle w:val="Hyperlink"/>
          </w:rPr>
          <w:t xml:space="preserve">5.1</w:t>
        </w:r>
      </w:hyperlink>
      <w:r>
        <w:t xml:space="preserve">).</w:t>
      </w:r>
    </w:p>
    <w:p>
      <w:pPr>
        <w:pStyle w:val="BodyText"/>
      </w:pPr>
      <w:r>
        <w:t xml:space="preserve">“</w:t>
      </w:r>
      <w:r>
        <w:t xml:space="preserve">extend the word actor -or actant- to non-human, non individual entities</w:t>
      </w:r>
      <w:r>
        <w:t xml:space="preserve">”</w:t>
      </w:r>
      <w:r>
        <w:t xml:space="preserve"> </w:t>
      </w:r>
      <w:r>
        <w:t xml:space="preserve">(Latour 1990, p. 2)</w:t>
      </w:r>
      <w:r>
        <w:t xml:space="preserve">.</w:t>
      </w:r>
    </w:p>
    <w:p>
      <w:pPr>
        <w:pStyle w:val="BodyText"/>
      </w:pPr>
      <w:r>
        <w:t xml:space="preserve">“</w:t>
      </w:r>
      <w:r>
        <w:t xml:space="preserve">The notion of network allows us to lift the tyranny of social theorists and to regain some margin of manoeuvers between the ingredients of society —its vertical space, its hierarchy, its layering, its macro scale, its wholeness, its overarching character— and how these features are achieved and which stuff they are made of</w:t>
      </w:r>
      <w:r>
        <w:t xml:space="preserve">”</w:t>
      </w:r>
      <w:r>
        <w:t xml:space="preserve"> </w:t>
      </w:r>
      <w:r>
        <w:t xml:space="preserve">(Latour 1990, p. 5)</w:t>
      </w:r>
      <w:r>
        <w:t xml:space="preserve">.</w:t>
      </w:r>
    </w:p>
    <w:p>
      <w:pPr>
        <w:pStyle w:val="BodyText"/>
      </w:pPr>
      <w:r>
        <w:t xml:space="preserve">“</w:t>
      </w:r>
      <w:r>
        <w:t xml:space="preserve">how these features are achieved and which stuff they are made of.The notion of network, in its barest topological outline, allows us already to reshuffle spatial metaphors that have rendered the study of society-nature so difficult: close and far, up and down, local and global, inside and outside. They are replaced by associations and connections (which AT does not have to qualify as being either social or natural or technical as I will show below) . This is not to say that there is nothing like</w:t>
      </w:r>
      <w:r>
        <w:t xml:space="preserve"> </w:t>
      </w:r>
      <w:r>
        <w:t xml:space="preserve">“</w:t>
      </w:r>
      <w:r>
        <w:t xml:space="preserve">macro</w:t>
      </w:r>
      <w:r>
        <w:t xml:space="preserve">”</w:t>
      </w:r>
      <w:r>
        <w:t xml:space="preserve"> </w:t>
      </w:r>
      <w:r>
        <w:t xml:space="preserve">society, or</w:t>
      </w:r>
      <w:r>
        <w:t xml:space="preserve"> </w:t>
      </w:r>
      <w:r>
        <w:t xml:space="preserve">“</w:t>
      </w:r>
      <w:r>
        <w:t xml:space="preserve">outside</w:t>
      </w:r>
      <w:r>
        <w:t xml:space="preserve">”</w:t>
      </w:r>
      <w:r>
        <w:t xml:space="preserve"> </w:t>
      </w:r>
      <w:r>
        <w:t xml:space="preserve">nature as the AT is often accused to, but that in order to obtain the effects of distance, proximity, hierarchies, connectedness, outsiderness and surfaces, an enormous supplementary work has to be done. This work however is not captured by the topological notion of network no matter how sophisticated we wish to make it.</w:t>
      </w:r>
      <w:r>
        <w:t xml:space="preserve">”</w:t>
      </w:r>
      <w:r>
        <w:t xml:space="preserve"> </w:t>
      </w:r>
      <w:r>
        <w:t xml:space="preserve">(Latour 1990, p. 6)</w:t>
      </w:r>
    </w:p>
    <w:p>
      <w:pPr>
        <w:pStyle w:val="BodyText"/>
      </w:pPr>
      <w:r>
        <w:t xml:space="preserve">“. 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 </w:t>
      </w:r>
      <w:r>
        <w:t xml:space="preserve">(Latour 1990, p. 7)</w:t>
      </w:r>
    </w:p>
    <w:p>
      <w:pPr>
        <w:pStyle w:val="BodyText"/>
      </w:pPr>
      <w:r>
        <w:t xml:space="preserve">HYBRIDS: extending semiotics to things instead of limiting it to meaning</w:t>
      </w:r>
    </w:p>
    <w:p>
      <w:pPr>
        <w:pStyle w:val="BodyText"/>
      </w:pPr>
      <w:r>
        <w:t xml:space="preserve">“</w:t>
      </w:r>
      <w:r>
        <w:t xml:space="preserve">What really matters is that it is an elevation instead of a reduction and that the new hybrid status give to all entities both the action, variety and circulating existence recognized in the study of textual characters and also the reality, solidity, externality that was recognized in things</w:t>
      </w:r>
      <w:r>
        <w:t xml:space="preserve"> </w:t>
      </w:r>
      <w:r>
        <w:t xml:space="preserve">“</w:t>
      </w:r>
      <w:r>
        <w:t xml:space="preserve">out of</w:t>
      </w:r>
      <w:r>
        <w:t xml:space="preserve">”</w:t>
      </w:r>
      <w:r>
        <w:t xml:space="preserve"> </w:t>
      </w:r>
      <w:r>
        <w:t xml:space="preserve">our representations. What is lost is the absolute distinction between representation and things -but such is exactly what AT wishes to redistribute through what I call a counter-copernican revolution</w:t>
      </w:r>
      <w:r>
        <w:t xml:space="preserve">”</w:t>
      </w:r>
      <w:r>
        <w:t xml:space="preserve"> </w:t>
      </w:r>
      <w:r>
        <w:t xml:space="preserve">(Latour 1990, p. 11)</w:t>
      </w:r>
      <w:r>
        <w:t xml:space="preserve">.</w:t>
      </w:r>
    </w:p>
    <w:p>
      <w:pPr>
        <w:pStyle w:val="Heading5"/>
      </w:pPr>
      <w:bookmarkStart w:id="205" w:name="database-community"/>
      <w:r>
        <w:t xml:space="preserve">Database Community</w:t>
      </w:r>
      <w:bookmarkEnd w:id="205"/>
    </w:p>
    <w:p>
      <w:pPr>
        <w:pStyle w:val="FirstParagraph"/>
      </w:pPr>
      <w:r>
        <w:t xml:space="preserve">The resistance of the skin represents, thus, the resistance of connectivity itself, that is, the resistance of a community.</w:t>
      </w:r>
    </w:p>
    <w:p>
      <w:pPr>
        <w:pStyle w:val="BodyText"/>
      </w:pPr>
      <w:r>
        <w:t xml:space="preserve">In the resonant network model I am proposing here database performers (or databasers) are human actors in the network, while nonhuman actors include the database.</w:t>
      </w:r>
    </w:p>
    <w:p>
      <w:pPr>
        <w:pStyle w:val="BodyText"/>
      </w:pPr>
      <w:r>
        <w:t xml:space="preserve">The resonant network, as an instantiation of a process of unworking, enables the thought of a database community to emerge. This community consists of ……………...</w:t>
      </w:r>
    </w:p>
    <w:p>
      <w:pPr>
        <w:pStyle w:val="BodyText"/>
      </w:pPr>
      <w:r>
        <w:t xml:space="preserve">Therefore, by substituting, on one hand, the human with the database performer (databaser) and, on the other, the nonhuman with the database, the resonant network, as an instantiation of a process of unworking, enables the thought of a</w:t>
      </w:r>
      <w:r>
        <w:t xml:space="preserve"> </w:t>
      </w:r>
      <w:r>
        <w:rPr>
          <w:i/>
        </w:rPr>
        <w:t xml:space="preserve">database community</w:t>
      </w:r>
      <w:r>
        <w:t xml:space="preserve"> </w:t>
      </w:r>
      <w:r>
        <w:t xml:space="preserve">to emerge.</w:t>
      </w:r>
    </w:p>
    <w:p>
      <w:pPr>
        <w:pStyle w:val="BodyText"/>
      </w:pPr>
      <w:r>
        <w:t xml:space="preserve">In a database community, database music can be understood as a hybridly social and communicative event.</w:t>
      </w:r>
    </w:p>
    <w:p>
      <w:pPr>
        <w:pStyle w:val="BodyText"/>
      </w:pPr>
      <w:r>
        <w:t xml:space="preserve">This is to say that, following Latour’s hybridity of objects in his understanding of society</w:t>
      </w:r>
      <w:r>
        <w:t xml:space="preserve"> </w:t>
      </w:r>
      <w:r>
        <w:t xml:space="preserve">(Latour 1990, p. 2)</w:t>
      </w:r>
      <w:r>
        <w:t xml:space="preserve">, database music is a social practice that comes as a result of databasers and databases in resonance with each other.</w:t>
      </w:r>
    </w:p>
    <w:p>
      <w:pPr>
        <w:pStyle w:val="BodyText"/>
      </w:pPr>
      <w:r>
        <w:t xml:space="preserve">Furthermore, database music is an instance of community,</w:t>
      </w:r>
    </w:p>
    <w:p>
      <w:pPr>
        <w:pStyle w:val="BodyText"/>
      </w:pPr>
      <w:r>
        <w:t xml:space="preserve">in the sense that it is an event of communication, understanding the communicative as</w:t>
      </w:r>
      <w:r>
        <w:t xml:space="preserve"> </w:t>
      </w:r>
      <w:r>
        <w:t xml:space="preserve">“</w:t>
      </w:r>
      <w:r>
        <w:t xml:space="preserve">the unworking of work that is social, economic, technical, and institutional</w:t>
      </w:r>
      <w:r>
        <w:t xml:space="preserve">”</w:t>
      </w:r>
      <w:r>
        <w:t xml:space="preserve"> </w:t>
      </w:r>
      <w:r>
        <w:t xml:space="preserve">(Nancy 1991, p. 31)</w:t>
      </w:r>
      <w:r>
        <w:t xml:space="preserve">.</w:t>
      </w:r>
    </w:p>
    <w:p>
      <w:pPr>
        <w:pStyle w:val="BodyText"/>
      </w:pPr>
      <w:r>
        <w:t xml:space="preserve">Therefore, the database community emerges as the unworking of databasers and databases.</w:t>
      </w:r>
    </w:p>
    <w:p>
      <w:pPr>
        <w:pStyle w:val="BodyText"/>
      </w:pPr>
      <w:r>
        <w:t xml:space="preserve">Database community can be considered as, precisely, the skin</w:t>
      </w:r>
    </w:p>
    <w:p>
      <w:pPr>
        <w:pStyle w:val="BodyText"/>
      </w:pPr>
      <w:r>
        <w:t xml:space="preserve">upon which the human and the nonhuman resonate, which amounts to —but never finalizes in— a musical event.</w:t>
      </w:r>
    </w:p>
    <w:p>
      <w:pPr>
        <w:pStyle w:val="Heading2"/>
      </w:pPr>
      <w:bookmarkStart w:id="206" w:name="section:Databases_And_Memory"/>
      <w:r>
        <w:t xml:space="preserve">Databases And Memory</w:t>
      </w:r>
      <w:bookmarkEnd w:id="206"/>
    </w:p>
    <w:p>
      <w:pPr>
        <w:pStyle w:val="Heading3"/>
      </w:pPr>
      <w:bookmarkStart w:id="207" w:name="funeslude"/>
      <w:r>
        <w:t xml:space="preserve">Interlude: Embodied Memory</w:t>
      </w:r>
      <w:bookmarkEnd w:id="207"/>
    </w:p>
    <w:p>
      <w:pPr>
        <w:pStyle w:val="BlockText"/>
      </w:pPr>
      <w:r>
        <w:t xml:space="preserve">I suspect, nevertheless, that he was not very capable of thought. To think is to forget differences, to generalize, to abstract.</w:t>
      </w:r>
      <w:r>
        <w:t xml:space="preserve"> </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remember, to dream, to imagine. Throughout the years, he became condemned to absolute memory, and so to its consequence, insomnia:</w:t>
      </w:r>
      <w:r>
        <w:rPr>
          <w:rStyle w:val="FootnoteReference"/>
        </w:rPr>
        <w:footnoteReference w:id="208"/>
      </w:r>
      <w:r>
        <w:t xml:space="preserve"> </w:t>
      </w:r>
      <w:r>
        <w:t xml:space="preserve">he was secluded in a dark and enclosed space so as not to perceive the world.</w:t>
      </w:r>
      <w:r>
        <w:rPr>
          <w:rStyle w:val="FootnoteReference"/>
        </w:rPr>
        <w:footnoteReference w:id="209"/>
      </w:r>
      <w:r>
        <w:t xml:space="preserve"> </w:t>
      </w:r>
      <w:r>
        <w:t xml:space="preserve">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w:t>
      </w:r>
    </w:p>
    <w:p>
      <w:pPr>
        <w:pStyle w:val="BodyText"/>
      </w:pPr>
      <w:r>
        <w:t xml:space="preserve">Therefore, the point that she is touching is that of the limits and fragility of embodied memory.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Borges’ 1942 character’s mind was aiming at. This capability of accumulation without the need of erasure is enabled by the database structure inherent in computers.</w:t>
      </w:r>
      <w:r>
        <w:rPr>
          <w:rStyle w:val="FootnoteReference"/>
        </w:rPr>
        <w:footnoteReference w:id="210"/>
      </w:r>
      <w:r>
        <w:t xml:space="preserve"> </w:t>
      </w:r>
      <w:r>
        <w:t xml:space="preserve">However, the distinction that Hayles presents —which has been discussed before (See</w:t>
      </w:r>
      <w:r>
        <w:t xml:space="preserve"> </w:t>
      </w:r>
      <w:hyperlink w:anchor="bodiless_information">
        <w:r>
          <w:rPr>
            <w:rStyle w:val="Hyperlink"/>
          </w:rPr>
          <w:t xml:space="preserve">4.1.4</w:t>
        </w:r>
      </w:hyperlink>
      <w:r>
        <w:t xml:space="preserve">)— is crucial: data is not information because information needs to be embodied. Therefore, on one hand, a disembodied data bank can have all the uniqueness and difference that is available by the sum of all cloud computing and storage to date; however, on the other hand, an embodied memory is only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precisely to the negation of narrativity itself, thus finding in the image of Funes a hyperbole for contemporary subjectivity</w:t>
      </w:r>
      <w:r>
        <w:t xml:space="preserve"> </w:t>
      </w:r>
      <w:r>
        <w:t xml:space="preserve">(Oviedo 2019, p. 5)</w:t>
      </w:r>
      <w:r>
        <w:t xml:space="preserve">, where there is no room for narration, only accumulation of data. In this sense, narrativity can be seen as that which resides in the threshold between knowledge (i.e., memory) and storage (i.e., archives, databases). I believe this distinction stems precisely from the difference between information and data. The process of information, of giving form, requires a certain temporality that is not that of the immediate and extremely operative zero-time of the (computer) processor. Within the zero-time of computer operations, there simply is no time for narrative, only for addition, for an increment. With this in mind, I would like to question Manovich’s opposition of narrative and database, precisely on the grounds that narrative is temporal —happening as a historical process— and algorithms are atemporal —operating in an effervescent now. Therefore, Funes’ accumulative memory represents the overflow of the now that precludes narration: neither data structures nor algorithms can forget to count.</w:t>
      </w:r>
    </w:p>
    <w:p>
      <w:pPr>
        <w:pStyle w:val="BodyText"/>
      </w:pPr>
      <w:r>
        <w:t xml:space="preserve">Studies in cognitive psychology might have something to add here. In Wessel and Moulds’ commentary</w:t>
      </w:r>
      <w:r>
        <w:t xml:space="preserve"> </w:t>
      </w:r>
      <w:r>
        <w:t xml:space="preserve">(Wessel &amp; Moulds 2008)</w:t>
      </w:r>
      <w:r>
        <w:t xml:space="preserve"> </w:t>
      </w:r>
      <w:r>
        <w:t xml:space="preserve">on Paul Connerton’s</w:t>
      </w:r>
      <w:r>
        <w:t xml:space="preserve"> </w:t>
      </w:r>
      <w:r>
        <w:rPr>
          <w:i/>
        </w:rPr>
        <w:t xml:space="preserve">Seven Types of Forgetting</w:t>
      </w:r>
      <w:r>
        <w:t xml:space="preserve">, the authors consider forgetting to be the</w:t>
      </w:r>
      <w:r>
        <w:t xml:space="preserve"> </w:t>
      </w:r>
      <w:r>
        <w:t xml:space="preserve">“</w:t>
      </w:r>
      <w:r>
        <w:t xml:space="preserve">failure</w:t>
      </w:r>
      <w:r>
        <w:t xml:space="preserve">”</w:t>
      </w:r>
      <w:r>
        <w:t xml:space="preserve"> </w:t>
      </w:r>
      <w:r>
        <w:t xml:space="preserve">of certain search processes on account of an inability to recall information from memory. While pointing to current psychological models of memory which consider forgetting to be an adaptive and functional activity, the authors acknowledge the mystery of certain aspects of memory:</w:t>
      </w:r>
      <w:r>
        <w:t xml:space="preserve"> </w:t>
      </w:r>
      <w:r>
        <w:t xml:space="preserve">“</w:t>
      </w:r>
      <w:r>
        <w:t xml:space="preserve">In human memory, it is unclear what really happens to old, disused or deliberately ignored memory traces —they might be retrievable, they might be lost, but no-one can tell</w:t>
      </w:r>
      <w:r>
        <w:t xml:space="preserve">”</w:t>
      </w:r>
      <w:r>
        <w:t xml:space="preserve"> </w:t>
      </w:r>
      <w:r>
        <w:t xml:space="preserve">(Wessel &amp; Moulds 2008, p. 292)</w:t>
      </w:r>
      <w:r>
        <w:t xml:space="preserve">.</w:t>
      </w:r>
    </w:p>
    <w:p>
      <w:pPr>
        <w:pStyle w:val="BodyText"/>
      </w:pPr>
      <w:r>
        <w:t xml:space="preserve">Thus, considering this distinction between embodied and disembodied memory, I propose an imaginary experiment, one that I believe was missing from Borges’ short story, however utterly fantastic his writing was.</w:t>
      </w:r>
    </w:p>
    <w:p>
      <w:pPr>
        <w:pStyle w:val="BodyText"/>
      </w:pPr>
      <w:r>
        <w:t xml:space="preserve">One thing that can be read from the story is that, in order to seclude himself from perceiving the world, or better, in order to forget the world altogether, Irineo stayed in the dark. This is how he cancelled light, a quite powerful stimuli if memory-space is to be optimized —for the purpose of, say, getting some sleep.</w:t>
      </w:r>
      <w:r>
        <w:rPr>
          <w:rStyle w:val="FootnoteReference"/>
        </w:rPr>
        <w:footnoteReference w:id="211"/>
      </w:r>
      <w:r>
        <w:t xml:space="preserve"> </w:t>
      </w:r>
      <w:r>
        <w:t xml:space="preserve">However, there is little to no mention of the sonic environment in which Funes was embedded —probably in the outskirts of the quiet Uruguayan city of Fray Bentos. In fact, the only sonic references are focused on the narrator’s perspective, referring to Funes’ high-pitched and —due to his being in the darkness— acousmatic voice.</w:t>
      </w:r>
      <w:r>
        <w:rPr>
          <w:rStyle w:val="FootnoteReference"/>
        </w:rPr>
        <w:footnoteReference w:id="212"/>
      </w:r>
      <w:r>
        <w:t xml:space="preserve"> </w:t>
      </w:r>
      <w:r>
        <w:t xml:space="preserve">Therefore, focusing on Funes’ listening, by locking himself inside a room he would have managed to attenuate sound waves coming in from outside. Notwithstanding his isolation —or, better, his self-imprisonment—, sound waves are actually very difficult to cancel. An interesting experiment would have been to have John Cage take Irineo to an anechoic chamber and ask him what he can remember then. From Cage’s own experience, we can guess that Funes would effectively remember his own sounding body.</w:t>
      </w:r>
    </w:p>
    <w:p>
      <w:pPr>
        <w:pStyle w:val="BodyText"/>
      </w:pPr>
      <w:r>
        <w:t xml:space="preserve">(It is interesting to compare Funes’ search for filtering out the world with John Cage’s search for silence. Kim Cascone 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It is interesting to place an 80 year-old Irineo in David Tudor’s premiere at Maverick Concert Hall in Woodstock, NY, infinitely listening to 4’33”)</w:t>
      </w:r>
    </w:p>
    <w:p>
      <w:pPr>
        <w:pStyle w:val="BodyText"/>
      </w:pPr>
      <w:r>
        <w:t xml:space="preserve">However, it is very unlikely —but nonetheless possible— that Borges was aware of American acoustician Leo Beranek’s research for the US Army during World War II, that is, when the first anechoic chamber was built.</w:t>
      </w:r>
      <w:r>
        <w:rPr>
          <w:rStyle w:val="FootnoteReference"/>
        </w:rPr>
        <w:footnoteReference w:id="213"/>
      </w:r>
      <w:r>
        <w:t xml:space="preserve"> </w:t>
      </w:r>
      <w:r>
        <w:t xml:space="preserve">Furthermore, even if he managed to isolate himself perfectly from the world, cancelling perception altogether, Funes would have been with his memories, which are not discrete, but continuous iterations of the world he had accumulated over the years. What this means is that all the sounds he had listened to would be available to his imagination.</w:t>
      </w:r>
    </w:p>
    <w:p>
      <w:pPr>
        <w:pStyle w:val="BodyText"/>
      </w:pPr>
      <w:r>
        <w:t xml:space="preserve">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completely out of Funes’ concerns. Therefore, the question is how would the world sound for Irineo Funes? The task is not difficult to imagine: the world would be inscribed in poor Irineo’s memory in such an infinitely continuous way that each fraction of wave oscillation would be different, unique, leaving no space for repetition of any kind. All sounds would be listened completely, with every infinitesimal fraction of oscillation of the waves pointing to the most utterly complete scope of imaginable references. It would not be inaccurate to compare this type of memory saturation with CPU saturation, for example, the way a computer would —even the most gigantic multi-core imagined—, if it was commanded to compute, with accuracy, the wave equation. In this complete state of listening, there would be no possibility for thought, no processing of any kind, only infinite accumulation and storage.</w:t>
      </w:r>
    </w:p>
    <w:p>
      <w:pPr>
        <w:pStyle w:val="BodyText"/>
      </w:pPr>
      <w:r>
        <w:t xml:space="preserve">In this sense, an infinitesimal incorporation of sound is unthinkable. This is not to be confused with the infinite structure of referrals and deferrals that Nancy’s resonance points to. The problem here —and this is evident in the story itself— is in the intersection of the finite with the infinite. While the structure of sound itself is infinite, in the sense that it is an ongoing process —i.e., circular loop— of delays and references, the singularity of the listening subject is finite: its limit exists as its possibility condition. This is to say that, given such an ontology of sound, the emergence of a resonant subject occurs</w:t>
      </w:r>
      <w:r>
        <w:t xml:space="preserve"> </w:t>
      </w:r>
      <w:r>
        <w:rPr>
          <w:i/>
        </w:rPr>
        <w:t xml:space="preserve">at</w:t>
      </w:r>
      <w:r>
        <w:t xml:space="preserve"> </w:t>
      </w:r>
      <w:r>
        <w:t xml:space="preserve">the limit, that is, at the liminality of an exposure to itself, to others, to waves, etc. In the case of the story, while Funes’ nonhuman qualities correspond to dynamics of the infinite, his human body is just like any other that was thrown in the world. Therefore, no matter what the narrator has the reader believe, Funes is not deprived of this liminality. Throughout the story, Funes’ liminality grows more and more evidently, all the way until the end —an ending that, despite all his nonhumanly infinite qualities, is, nonetheless —be it a blessing or a curse—, utterly human.</w:t>
      </w:r>
    </w:p>
    <w:p>
      <w:pPr>
        <w:pStyle w:val="BodyText"/>
      </w:pPr>
      <w:r>
        <w:t xml:space="preserve">Less than focusing on literary analysis, in this interlude I take the concept of an absolute memory within a human being to be at an intersection between disembodied theories of information and, precisely, the concept of an embodied memory. The aim is to differentiate between human and nonhuman in terms of memory and databases, so as to provide a link between Latour’s</w:t>
      </w:r>
      <w:r>
        <w:t xml:space="preserve"> </w:t>
      </w:r>
      <w:r>
        <w:t xml:space="preserve">‘</w:t>
      </w:r>
      <w:r>
        <w:t xml:space="preserve">recorded movement</w:t>
      </w:r>
      <w:r>
        <w:t xml:space="preserve">’</w:t>
      </w:r>
      <w:r>
        <w:t xml:space="preserve"> </w:t>
      </w:r>
      <w:r>
        <w:t xml:space="preserve">of the network, and Derrida’s concept of the archive.</w:t>
      </w:r>
    </w:p>
    <w:p>
      <w:pPr>
        <w:pStyle w:val="Heading3"/>
      </w:pPr>
      <w:bookmarkStart w:id="215" w:name="human"/>
      <w:r>
        <w:t xml:space="preserve">The Effraction Of The Trace</w:t>
      </w:r>
      <w:bookmarkEnd w:id="215"/>
    </w:p>
    <w:p>
      <w:pPr>
        <w:pStyle w:val="BlockText"/>
      </w:pPr>
      <w:r>
        <w:t xml:space="preserve">Lo cierto es que vivimos postergando todo lo postergable; tal vez todos sabemos profundamente que somos inmortales y que tarde o temprano, todo hombre hará todas las cosas y sabrá todo.</w:t>
      </w:r>
      <w:r>
        <w:rPr>
          <w:rStyle w:val="FootnoteReference"/>
        </w:rPr>
        <w:footnoteReference w:id="216"/>
      </w:r>
      <w:r>
        <w:t xml:space="preserve"> </w:t>
      </w:r>
      <w:r>
        <w:t xml:space="preserve">(Borges 1942)</w:t>
      </w:r>
    </w:p>
    <w:p>
      <w:pPr>
        <w:pStyle w:val="BlockText"/>
      </w:pPr>
      <w:r>
        <w:t xml:space="preserve">All these differences in the production of the trace may be reinterpreted as moments of deferring…Is it not already death at the origin of life which can defend itself against death only through an</w:t>
      </w:r>
      <w:r>
        <w:t xml:space="preserve"> </w:t>
      </w:r>
      <w:r>
        <w:rPr>
          <w:i/>
        </w:rPr>
        <w:t xml:space="preserve">economy</w:t>
      </w:r>
      <w:r>
        <w:t xml:space="preserve"> </w:t>
      </w:r>
      <w:r>
        <w:t xml:space="preserve">of death, through deferment, repetition, reserve?</w:t>
      </w:r>
      <w:r>
        <w:t xml:space="preserve"> </w:t>
      </w:r>
      <w:r>
        <w:t xml:space="preserve">(Derrida 1978, p. 202)</w:t>
      </w:r>
    </w:p>
    <w:p>
      <w:pPr>
        <w:pStyle w:val="FirstParagraph"/>
      </w:pPr>
      <w:r>
        <w:t xml:space="preserve">I would like to take a brief, but necessary, psychoanalytic detour, so as to set some context for the concept of memory. For this purpose, I take Derrida’s reading of Freud’s conceptualization of memory as a starting point towards distinguishing between human and nonhuman memory.</w:t>
      </w:r>
    </w:p>
    <w:p>
      <w:pPr>
        <w:pStyle w:val="Heading5"/>
      </w:pPr>
      <w:bookmarkStart w:id="217" w:name="memory-as-breaching"/>
      <w:r>
        <w:t xml:space="preserve">Memory as Breaching</w:t>
      </w:r>
      <w:bookmarkEnd w:id="217"/>
    </w:p>
    <w:p>
      <w:pPr>
        <w:pStyle w:val="FirstParagraph"/>
      </w:pPr>
      <w:r>
        <w:t xml:space="preserve">According to Derrida</w:t>
      </w:r>
      <w:r>
        <w:t xml:space="preserve"> </w:t>
      </w:r>
      <w:r>
        <w:t xml:space="preserve">(Derrida 1978)</w:t>
      </w:r>
      <w:r>
        <w:t xml:space="preserve">, Freud understood memory as the essence of the psyche:</w:t>
      </w:r>
      <w:r>
        <w:t xml:space="preserve"> </w:t>
      </w:r>
      <w:r>
        <w:t xml:space="preserve">“</w:t>
      </w:r>
      <w:r>
        <w:t xml:space="preserve">Memory, thus, 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 In this sense, the perceived world enters as a force of effraction into the resisting unconscious, resulting in the inscription of a trace, that is, a memory. By definition, this is a violent process of impression (pressing</w:t>
      </w:r>
      <w:r>
        <w:t xml:space="preserve"> </w:t>
      </w:r>
      <w:r>
        <w:rPr>
          <w:i/>
        </w:rPr>
        <w:t xml:space="preserve">in</w:t>
      </w:r>
      <w:r>
        <w:t xml:space="preserve">), which is only possible by the notion of resistance. Thus, in order for something to leave a mark, there has to be some force acting against an other. In this case, one force is the world with its constantly changing images; another, the unconscious with its resistance to change. In this sense, Freud describes memory as breaching, or better, a state of being opened to this effraction. Memories are inscribed with incredible violence, one that can define the extent to which the inscription can be recalled later on, for instance, the case of repression, which is not forgetfulness but the deferred case of a force of containment. Furthermore, this breaching can be equally thought of as a fracture, hence the notion of effraction, which speaks of a the violent rupture. Despite, however, this violent image of path-breaking, Derrida writes of memory as an opening, in a paradoxical game between the resistance of the unconscious and the unavoidable (unclosing) state of being innocently ready for the next perception.</w:t>
      </w:r>
    </w:p>
    <w:p>
      <w:pPr>
        <w:pStyle w:val="Heading5"/>
      </w:pPr>
      <w:bookmarkStart w:id="218" w:name="breaching-and-différance"/>
      <w:r>
        <w:t xml:space="preserve">Breaching and</w:t>
      </w:r>
      <w:r>
        <w:t xml:space="preserve"> </w:t>
      </w:r>
      <w:r>
        <w:rPr>
          <w:i/>
        </w:rPr>
        <w:t xml:space="preserve">différance</w:t>
      </w:r>
      <w:bookmarkEnd w:id="218"/>
    </w:p>
    <w:p>
      <w:pPr>
        <w:pStyle w:val="FirstParagraph"/>
      </w:pPr>
      <w:r>
        <w:t xml:space="preserve">Derrida points to one issue in Freud’s opposing forces: the case where resisting forces meet equally strong forces, which would result in a paralysis of memory. Therefore, he proposes that it is</w:t>
      </w:r>
      <w:r>
        <w:t xml:space="preserve"> </w:t>
      </w:r>
      <w:r>
        <w:t xml:space="preserve">“</w:t>
      </w:r>
      <w:r>
        <w:t xml:space="preserve">the difference between breaches which is the true origin of memory, and thus of the psyche</w:t>
      </w:r>
      <w:r>
        <w:t xml:space="preserve">”</w:t>
      </w:r>
      <w:r>
        <w:t xml:space="preserve"> </w:t>
      </w:r>
      <w:r>
        <w:t xml:space="preserve">(Derrida 1978, p. 201)</w:t>
      </w:r>
      <w:r>
        <w:t xml:space="preserve">. In other words, Derrida reconfigures the psyche with the interplay of</w:t>
      </w:r>
      <w:r>
        <w:t xml:space="preserve"> </w:t>
      </w:r>
      <w:r>
        <w:rPr>
          <w:i/>
        </w:rPr>
        <w:t xml:space="preserve">différance</w:t>
      </w:r>
      <w:r>
        <w:t xml:space="preserve">, that is, a structure of infinite referrals and deferrals:</w:t>
      </w:r>
      <w:r>
        <w:t xml:space="preserve"> </w:t>
      </w:r>
      <w:r>
        <w:t xml:space="preserve">“</w:t>
      </w:r>
      <w:r>
        <w:t xml:space="preserve">trace as memory is not a pure breaching that might be reappropriated at any time as simple presence; it is rather the ungraspable and invisible difference between breaches</w:t>
      </w:r>
      <w:r>
        <w:t xml:space="preserve">”</w:t>
      </w:r>
      <w:r>
        <w:t xml:space="preserve"> </w:t>
      </w:r>
      <w:r>
        <w:t xml:space="preserve">(Derrida 1978, p. 201)</w:t>
      </w:r>
      <w:r>
        <w:t xml:space="preserve"> </w:t>
      </w:r>
      <w:r>
        <w:t xml:space="preserve">Therefore, since the essence of the psyche (memory) is breaching (tracing) and the space and temporal dislocation of traces (</w:t>
      </w:r>
      <w:r>
        <w:rPr>
          <w:i/>
        </w:rPr>
        <w:t xml:space="preserve">différance</w:t>
      </w:r>
      <w:r>
        <w:t xml:space="preserve">), a link between human and nonhuman can be established: writing.</w:t>
      </w:r>
    </w:p>
    <w:p>
      <w:pPr>
        <w:pStyle w:val="Heading5"/>
      </w:pPr>
      <w:bookmarkStart w:id="219" w:name="hypomnesis-and-the-mystic-pad"/>
      <w:r>
        <w:t xml:space="preserve">Hypomnesis and the Mystic Pad</w:t>
      </w:r>
      <w:bookmarkEnd w:id="219"/>
    </w:p>
    <w:p>
      <w:pPr>
        <w:pStyle w:val="FirstParagraph"/>
      </w:pPr>
      <w:r>
        <w:t xml:space="preserve">As Derrida points out, writing as</w:t>
      </w:r>
      <w:r>
        <w:t xml:space="preserve"> </w:t>
      </w:r>
      <w:r>
        <w:rPr>
          <w:i/>
        </w:rPr>
        <w:t xml:space="preserve">hypomnesis</w:t>
      </w:r>
      <w:r>
        <w:t xml:space="preserve"> </w:t>
      </w:r>
      <w:r>
        <w:t xml:space="preserve">(as an externalization of memory) has been considered since Plato</w:t>
      </w:r>
      <w:r>
        <w:t xml:space="preserve"> </w:t>
      </w:r>
      <w:r>
        <w:t xml:space="preserve">(Derrida 1978, p. 221)</w:t>
      </w:r>
      <w:r>
        <w:t xml:space="preserve">. However, Freud’s metaphor for the perceptual system found yet another place: the Mystic Pad. There were many derivations of this device, but it consists in something like a writable surface board. When you write on it, a thin layer on top sticks to a sort of wax on the back, thus leaving a trace; when you lift the upper layer, the traces vanish completely. This special device came to represent, for Freud, the structure of the perceptual apparatus itself, or as Derrida says, it is where</w:t>
      </w:r>
      <w:r>
        <w:t xml:space="preserve"> </w:t>
      </w:r>
      <w:r>
        <w:t xml:space="preserve">“</w:t>
      </w:r>
      <w:r>
        <w:t xml:space="preserve">the psychical is caught up in an apparatus, and what is written will be more readily represented as a part extracted from the apparatus and</w:t>
      </w:r>
      <w:r>
        <w:t xml:space="preserve"> </w:t>
      </w:r>
      <w:r>
        <w:t xml:space="preserve">‘</w:t>
      </w:r>
      <w:r>
        <w:t xml:space="preserve">materialized</w:t>
      </w:r>
      <w:r>
        <w:t xml:space="preserve">’</w:t>
      </w:r>
      <w:r>
        <w:t xml:space="preserve">”</w:t>
      </w:r>
      <w:r>
        <w:t xml:space="preserve"> </w:t>
      </w:r>
      <w:r>
        <w:t xml:space="preserve">(Derrida 1978, p. 222)</w:t>
      </w:r>
      <w:r>
        <w:t xml:space="preserve">. Therefore, this new (1925) hypomnesic device allowed Freud to shift from considering regular writable surfaces (paper), to a combination of resisting textures in a device which allowed for</w:t>
      </w:r>
      <w:r>
        <w:t xml:space="preserve"> </w:t>
      </w:r>
      <w:r>
        <w:t xml:space="preserve">“</w:t>
      </w:r>
      <w:r>
        <w:t xml:space="preserve">a perpetually available innocence and an infinite reserve of traces</w:t>
      </w:r>
      <w:r>
        <w:t xml:space="preserve">”</w:t>
      </w:r>
      <w:r>
        <w:t xml:space="preserve"> </w:t>
      </w:r>
      <w:r>
        <w:t xml:space="preserve">(Derrida 1978, p. 223)</w:t>
      </w:r>
      <w:r>
        <w:t xml:space="preserve">. Derrida, however, reconceptualized this differently. The crucial distinction he finds on this writing device is the notion of erasure, but most pressingly, that of repetition. In this sense, traces</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This means that tracing constitutes a process whose only possibility is its own negation, that is, its own undoing of itself. Furthermore, these traces are, from the first moment, that is, from the beginning of the process of impression,</w:t>
      </w:r>
      <w:r>
        <w:t xml:space="preserve"> </w:t>
      </w:r>
      <w:r>
        <w:t xml:space="preserve">“</w:t>
      </w:r>
      <w:r>
        <w:t xml:space="preserve">constituted by the double force of repetition and erasure, legibility and illegibility</w:t>
      </w:r>
      <w:r>
        <w:t xml:space="preserve">”</w:t>
      </w:r>
      <w:r>
        <w:t xml:space="preserve"> </w:t>
      </w:r>
      <w:r>
        <w:t xml:space="preserve">(Derrida 1978, p. 226)</w:t>
      </w:r>
      <w:r>
        <w:t xml:space="preserve">. Hence, the spatio-temporal duality of the concept of</w:t>
      </w:r>
      <w:r>
        <w:t xml:space="preserve"> </w:t>
      </w:r>
      <w:r>
        <w:rPr>
          <w:i/>
        </w:rPr>
        <w:t xml:space="preserve">différance</w:t>
      </w:r>
      <w:r>
        <w:t xml:space="preserve">, that is, the interplay between spacing and deferments, which comes to be the</w:t>
      </w:r>
      <w:r>
        <w:t xml:space="preserve"> </w:t>
      </w:r>
      <w:r>
        <w:t xml:space="preserve">“</w:t>
      </w:r>
      <w:r>
        <w:t xml:space="preserve">work of memory</w:t>
      </w:r>
      <w:r>
        <w:t xml:space="preserve">”</w:t>
      </w:r>
      <w:r>
        <w:t xml:space="preserve"> </w:t>
      </w:r>
      <w:r>
        <w:t xml:space="preserve">itself</w:t>
      </w:r>
      <w:r>
        <w:t xml:space="preserve"> </w:t>
      </w:r>
      <w:r>
        <w:t xml:space="preserve">(Derrida 1978, p. 226)</w:t>
      </w:r>
      <w:r>
        <w:t xml:space="preserve">.</w:t>
      </w:r>
    </w:p>
    <w:p>
      <w:pPr>
        <w:pStyle w:val="BlockText"/>
      </w:pPr>
      <w:r>
        <w:t xml:space="preserve">The</w:t>
      </w:r>
      <w:r>
        <w:t xml:space="preserve"> </w:t>
      </w:r>
      <w:r>
        <w:t xml:space="preserve">‘</w:t>
      </w:r>
      <w:r>
        <w:t xml:space="preserve">subject</w:t>
      </w:r>
      <w:r>
        <w:t xml:space="preserve">’</w:t>
      </w:r>
      <w:r>
        <w:t xml:space="preserve"> </w:t>
      </w:r>
      <w:r>
        <w:t xml:space="preserve">of writing does not exist if we mean by that some sovereign solitude of the author.</w:t>
      </w:r>
      <w:r>
        <w:t xml:space="preserve"> </w:t>
      </w:r>
      <w:r>
        <w:rPr>
          <w:i/>
        </w:rPr>
        <w:t xml:space="preserve">The subject of writing is a system of relations between strata</w:t>
      </w:r>
      <w:r>
        <w:t xml:space="preserve">: the Mystic Pad, the psyche, society, the world. Within that scene, on that stage, the punctual simplicity of the classical subject is not to be found. In order to describe the structure, it is not enough to recall that one always writes for someone; and the oppositions sender-receiver, code-message, etc., remain extremely coarse instruments. We would search the</w:t>
      </w:r>
      <w:r>
        <w:t xml:space="preserve"> </w:t>
      </w:r>
      <w:r>
        <w:t xml:space="preserve">‘</w:t>
      </w:r>
      <w:r>
        <w:t xml:space="preserve">public</w:t>
      </w:r>
      <w:r>
        <w:t xml:space="preserve">’</w:t>
      </w:r>
      <w:r>
        <w:t xml:space="preserve"> </w:t>
      </w:r>
      <w:r>
        <w:t xml:space="preserve">in vain for the first reader: i.e., the first author of a work. [emphasis added]</w:t>
      </w:r>
      <w:r>
        <w:t xml:space="preserve"> </w:t>
      </w:r>
      <w:r>
        <w:t xml:space="preserve">(Derrida 1978, p. 227)</w:t>
      </w:r>
    </w:p>
    <w:p>
      <w:pPr>
        <w:pStyle w:val="Heading5"/>
      </w:pPr>
      <w:bookmarkStart w:id="220" w:name="nonhuman-authors"/>
      <w:r>
        <w:t xml:space="preserve">Nonhuman Authors</w:t>
      </w:r>
      <w:bookmarkEnd w:id="220"/>
    </w:p>
    <w:p>
      <w:pPr>
        <w:pStyle w:val="FirstParagraph"/>
      </w:pPr>
      <w:r>
        <w:t xml:space="preserve">Since the structure of memory, as I outlined above, can be comprehended as path breaking and</w:t>
      </w:r>
      <w:r>
        <w:t xml:space="preserve"> </w:t>
      </w:r>
      <w:r>
        <w:rPr>
          <w:i/>
        </w:rPr>
        <w:t xml:space="preserve">différance</w:t>
      </w:r>
      <w:r>
        <w:t xml:space="preserve">, the concepts of resistance, referrals, and deferrals play an important role in its definition. Furthermore, the externalization of memory comes as an instantiation of the very structure of not only our perceptual machine, but also of the structure of the psyche itself. This hypomnesis allows for a materialization of the psyche that is constituted as a tool, that is, as an apparatus to be handled. With this conceptualization of memory as writing, Derrida reconfigures the notion of the self of writing, that is, of an author. Therefore, when memory is thought of as writing, the classical notion of self begins to disappear, opening up the space for the nonhuman. In what sense can this disappearance of the self be accounted for if we substitute writing for databasing? How does the databasing self emerges in this non-origin of the originary moment of writing that Derrida describes above? How is this</w:t>
      </w:r>
      <w:r>
        <w:t xml:space="preserve"> </w:t>
      </w:r>
      <w:r>
        <w:t xml:space="preserve">“</w:t>
      </w:r>
      <w:r>
        <w:t xml:space="preserve">system of relations between strata</w:t>
      </w:r>
      <w:r>
        <w:t xml:space="preserve">”</w:t>
      </w:r>
      <w:r>
        <w:t xml:space="preserve"> </w:t>
      </w:r>
      <w:r>
        <w:t xml:space="preserve">to be understood in terms of the work of databasers? This is how a further step into the conceptualization of memory can be of aid, one that considers memory as resonance, and writing as databasing. I have already described above how resonance and memory constitute processes of</w:t>
      </w:r>
      <w:r>
        <w:t xml:space="preserve"> </w:t>
      </w:r>
      <w:r>
        <w:rPr>
          <w:i/>
        </w:rPr>
        <w:t xml:space="preserve">différance</w:t>
      </w:r>
      <w:r>
        <w:t xml:space="preserve">, that is, how the structure of sound, on the one hand, and traces, on the other, relate to spatiality and temporality. This is to say that, while the infinite situations of reference create a space of multiple situations, connections, associations, etc., which constitute an instance of signification, simultaneously, the ongoing process of deferral creates the oscillatory condition of perception, which constitutes the infinite return, the repetition, and the reverberation of a self. This self, however, is not an essential one, that is, it is not a substance, but it is understood as a resonant subject,</w:t>
      </w:r>
      <w:r>
        <w:t xml:space="preserve"> </w:t>
      </w:r>
      <w:r>
        <w:rPr>
          <w:i/>
        </w:rPr>
        <w:t xml:space="preserve">the resonance of a return</w:t>
      </w:r>
      <w:r>
        <w:t xml:space="preserve">, which, like Derrida’s</w:t>
      </w:r>
      <w:r>
        <w:t xml:space="preserve"> </w:t>
      </w:r>
      <w:r>
        <w:t xml:space="preserve">“</w:t>
      </w:r>
      <w:r>
        <w:t xml:space="preserve">subject of writing</w:t>
      </w:r>
      <w:r>
        <w:t xml:space="preserve">”</w:t>
      </w:r>
      <w:r>
        <w:t xml:space="preserve">, does not exist in itself, and only appears as a result of a resonant</w:t>
      </w:r>
      <w:r>
        <w:t xml:space="preserve"> </w:t>
      </w:r>
      <w:r>
        <w:t xml:space="preserve">“</w:t>
      </w:r>
      <w:r>
        <w:t xml:space="preserve">system of relations between strata.</w:t>
      </w:r>
      <w:r>
        <w:t xml:space="preserve">”</w:t>
      </w:r>
    </w:p>
    <w:p>
      <w:pPr>
        <w:pStyle w:val="Heading5"/>
      </w:pPr>
      <w:bookmarkStart w:id="221" w:name="database-as-agents"/>
      <w:r>
        <w:t xml:space="preserve">Database as Agents</w:t>
      </w:r>
      <w:bookmarkEnd w:id="221"/>
    </w:p>
    <w:p>
      <w:pPr>
        <w:pStyle w:val="FirstParagraph"/>
      </w:pPr>
      <w:r>
        <w:t xml:space="preserve">Therefore, if this resonant self can only emerge out of this system —or better, network— of relations, then, every resonant point of the network must be considered as an agent in the constitution of a self. This means not only that the database, in this particular case of database music, becomes an agent of self-hood —and, for that matter, an agent of authorship relating to the resulting work of database music. It also means that, as an instance of hypomnesis, that is, as technology that externalizes memory, the database appropriates the qualities relating to memory itself that were described above: breaching and</w:t>
      </w:r>
      <w:r>
        <w:t xml:space="preserve"> </w:t>
      </w:r>
      <w:r>
        <w:rPr>
          <w:i/>
        </w:rPr>
        <w:t xml:space="preserve">différance</w:t>
      </w:r>
      <w:r>
        <w:t xml:space="preserve">. Thus, not only can the nonhuman be reconceptualized within these qualities, also the human itself becomes reconfigured when faced upon the situation that memory, as breaching and</w:t>
      </w:r>
      <w:r>
        <w:t xml:space="preserve"> </w:t>
      </w:r>
      <w:r>
        <w:rPr>
          <w:i/>
        </w:rPr>
        <w:t xml:space="preserve">différance</w:t>
      </w:r>
      <w:r>
        <w:t xml:space="preserve"> </w:t>
      </w:r>
      <w:r>
        <w:t xml:space="preserve">can also be found in the nonhuman. Therefore, given that the nonhuman and the human are engaged in this resonant network that cancels the classical notion of self, then, distinguishing between the human and the nonhuman cannot be carried out in classical terms, that is, in terms of substance, essence, etc., since they do not apply anymore. The only thing that remains is, basically, the body, the singular instance of a resonant skin, whether it be of a human or a nonhuman, of a databaser or a database; a skin, but also an open resistance to the forces of change.</w:t>
      </w:r>
    </w:p>
    <w:p>
      <w:pPr>
        <w:pStyle w:val="Heading3"/>
      </w:pPr>
      <w:bookmarkStart w:id="222" w:name="archontic"/>
      <w:r>
        <w:t xml:space="preserve">The Archontic Principle</w:t>
      </w:r>
      <w:bookmarkEnd w:id="222"/>
    </w:p>
    <w:p>
      <w:pPr>
        <w:pStyle w:val="Heading5"/>
      </w:pPr>
      <w:bookmarkStart w:id="223" w:name="archives-and-memory"/>
      <w:r>
        <w:t xml:space="preserve">Archives and Memory</w:t>
      </w:r>
      <w:bookmarkEnd w:id="223"/>
    </w:p>
    <w:p>
      <w:pPr>
        <w:pStyle w:val="FirstParagraph"/>
      </w:pPr>
      <w:r>
        <w:t xml:space="preserve">For Derrida, the archive cannot be reduced to memory, it is is neither a form of rememoration nor a</w:t>
      </w:r>
      <w:r>
        <w:t xml:space="preserve"> </w:t>
      </w:r>
      <w:r>
        <w:t xml:space="preserve">“</w:t>
      </w:r>
      <w:r>
        <w:t xml:space="preserve">conscious reserve,</w:t>
      </w:r>
      <w:r>
        <w:t xml:space="preserve">”</w:t>
      </w:r>
      <w:r>
        <w:t xml:space="preserve"> </w:t>
      </w:r>
      <w:r>
        <w:t xml:space="preserve">but simply a place where</w:t>
      </w:r>
      <w:r>
        <w:t xml:space="preserve"> </w:t>
      </w:r>
      <w:r>
        <w:t xml:space="preserve">“</w:t>
      </w:r>
      <w:r>
        <w:t xml:space="preserve">the origin speaks by itself</w:t>
      </w:r>
      <w:r>
        <w:t xml:space="preserve">”</w:t>
      </w:r>
      <w:r>
        <w:t xml:space="preserve"> </w:t>
      </w:r>
      <w:r>
        <w:t xml:space="preserve">(Derrida &amp; Prenowitz 1995, p. 60)</w:t>
      </w:r>
      <w:r>
        <w:t xml:space="preserve">. In this definition, the word</w:t>
      </w:r>
      <w:r>
        <w:t xml:space="preserve"> </w:t>
      </w:r>
      <w:r>
        <w:t xml:space="preserve">‘</w:t>
      </w:r>
      <w:r>
        <w:t xml:space="preserve">origin</w:t>
      </w:r>
      <w:r>
        <w:t xml:space="preserve">’</w:t>
      </w:r>
      <w:r>
        <w:t xml:space="preserve"> </w:t>
      </w:r>
      <w:r>
        <w:t xml:space="preserve">refers to the greek root of the word</w:t>
      </w:r>
      <w:r>
        <w:t xml:space="preserve"> </w:t>
      </w:r>
      <w:r>
        <w:t xml:space="preserve">‘</w:t>
      </w:r>
      <w:r>
        <w:t xml:space="preserve">archive</w:t>
      </w:r>
      <w:r>
        <w:t xml:space="preserve">’</w:t>
      </w:r>
      <w:r>
        <w:t xml:space="preserve"> </w:t>
      </w:r>
      <w:r>
        <w:t xml:space="preserve">[arkhē], whose meaning is twofold: on one hand, its definition is topological (space) on the other, it is nomological (law). In the topological sense,</w:t>
      </w:r>
      <w:r>
        <w:t xml:space="preserve"> </w:t>
      </w:r>
      <w:r>
        <w:rPr>
          <w:i/>
        </w:rPr>
        <w:t xml:space="preserve">arkhē</w:t>
      </w:r>
      <w:r>
        <w:t xml:space="preserve"> </w:t>
      </w:r>
      <w:r>
        <w:t xml:space="preserve">is related to the greek word arkheion, which, in turn, refers to</w:t>
      </w:r>
      <w:r>
        <w:t xml:space="preserve"> </w:t>
      </w:r>
      <w:r>
        <w:t xml:space="preserve">“</w:t>
      </w:r>
      <w:r>
        <w:t xml:space="preserve">a house, a domicile, an address, the residence of the superior magistrates, the</w:t>
      </w:r>
      <w:r>
        <w:t xml:space="preserve"> </w:t>
      </w:r>
      <w:r>
        <w:rPr>
          <w:i/>
        </w:rPr>
        <w:t xml:space="preserve">archons</w:t>
      </w:r>
      <w:r>
        <w:t xml:space="preserve">, those who commanded</w:t>
      </w:r>
      <w:r>
        <w:t xml:space="preserve">”</w:t>
      </w:r>
      <w:r>
        <w:t xml:space="preserve"> </w:t>
      </w:r>
      <w:r>
        <w:t xml:space="preserve">(Derrida &amp; Prenowitz 1995, p. 9)</w:t>
      </w:r>
      <w:r>
        <w:t xml:space="preserve">. In the nomological sense,</w:t>
      </w:r>
      <w:r>
        <w:t xml:space="preserve"> </w:t>
      </w:r>
      <w:r>
        <w:rPr>
          <w:i/>
        </w:rPr>
        <w:t xml:space="preserve">arkhē</w:t>
      </w:r>
      <w:r>
        <w:t xml:space="preserve"> </w:t>
      </w:r>
      <w:r>
        <w:t xml:space="preserve">refers to the ruling, to authority, to the command or commandment, i.e., the law. Thus, the magistrates [archons] are those who</w:t>
      </w:r>
      <w:r>
        <w:t xml:space="preserve"> </w:t>
      </w:r>
      <w:r>
        <w:t xml:space="preserve">“</w:t>
      </w:r>
      <w:r>
        <w:t xml:space="preserve">have the power to interpret the archives,</w:t>
      </w:r>
      <w:r>
        <w:t xml:space="preserve">”</w:t>
      </w:r>
      <w:r>
        <w:t xml:space="preserve"> </w:t>
      </w:r>
      <w:r>
        <w:t xml:space="preserve">and they indeed reside inside this place called</w:t>
      </w:r>
      <w:r>
        <w:t xml:space="preserve"> </w:t>
      </w:r>
      <w:r>
        <w:rPr>
          <w:i/>
        </w:rPr>
        <w:t xml:space="preserve">archeion</w:t>
      </w:r>
      <w:r>
        <w:t xml:space="preserve"> </w:t>
      </w:r>
      <w:r>
        <w:t xml:space="preserve">(Derrida &amp; Prenowitz 1995, p. 9)</w:t>
      </w:r>
      <w:r>
        <w:t xml:space="preserve">. Therefore, considering the fact that these magistrates actually reside in place of the archive, Derrida refers to an</w:t>
      </w:r>
      <w:r>
        <w:t xml:space="preserve"> </w:t>
      </w:r>
      <w:r>
        <w:t xml:space="preserve">“</w:t>
      </w:r>
      <w:r>
        <w:t xml:space="preserve">institutional passage from the private to the public</w:t>
      </w:r>
      <w:r>
        <w:t xml:space="preserve">”</w:t>
      </w:r>
      <w:r>
        <w:t xml:space="preserve"> </w:t>
      </w:r>
      <w:r>
        <w:t xml:space="preserve">which is constitutive of the archive itself</w:t>
      </w:r>
      <w:r>
        <w:t xml:space="preserve"> </w:t>
      </w:r>
      <w:r>
        <w:t xml:space="preserve">(Derrida &amp; Prenowitz 1995, p. 9)</w:t>
      </w:r>
      <w:r>
        <w:t xml:space="preserve">.</w:t>
      </w:r>
    </w:p>
    <w:p>
      <w:pPr>
        <w:pStyle w:val="Heading5"/>
      </w:pPr>
      <w:bookmarkStart w:id="224" w:name="hierarchies"/>
      <w:r>
        <w:t xml:space="preserve">Hierarchies</w:t>
      </w:r>
      <w:bookmarkEnd w:id="224"/>
    </w:p>
    <w:p>
      <w:pPr>
        <w:pStyle w:val="FirstParagraph"/>
      </w:pPr>
      <w:r>
        <w:t xml:space="preserve">From this definition of the archive, what is alluded is the hierarchical structure of civilization itself, that is, of government and legislation. Going further into this aspect of the concept of the archive would extend the limits of this text. Derrida, with this conceptualization of the archive, focused on the exponential growth of archives that spawned during the 20th century, defining it as an impulse, or better, as a</w:t>
      </w:r>
      <w:r>
        <w:t xml:space="preserve"> </w:t>
      </w:r>
      <w:r>
        <w:t xml:space="preserve">‘</w:t>
      </w:r>
      <w:r>
        <w:t xml:space="preserve">fever</w:t>
      </w:r>
      <w:r>
        <w:t xml:space="preserve">’</w:t>
      </w:r>
      <w:r>
        <w:t xml:space="preserve"> </w:t>
      </w:r>
      <w:r>
        <w:t xml:space="preserve">and a drive. Thus, he proceeded to perform a psychoanalysis of this symptomatic condition of mid-1990 society, beginning with the archivization of the house of the</w:t>
      </w:r>
      <w:r>
        <w:t xml:space="preserve"> </w:t>
      </w:r>
      <w:r>
        <w:rPr>
          <w:i/>
        </w:rPr>
        <w:t xml:space="preserve">father</w:t>
      </w:r>
      <w:r>
        <w:t xml:space="preserve"> </w:t>
      </w:r>
      <w:r>
        <w:t xml:space="preserve">of psychoanalysis, Sigmund Freud. Therefore, I would like to focus on one principle that Derrida described as belonging to the concept of the archive, what he calls the</w:t>
      </w:r>
      <w:r>
        <w:t xml:space="preserve"> </w:t>
      </w:r>
      <w:r>
        <w:rPr>
          <w:i/>
        </w:rPr>
        <w:t xml:space="preserve">archontic</w:t>
      </w:r>
      <w:r>
        <w:t xml:space="preserve"> </w:t>
      </w:r>
      <w:r>
        <w:t xml:space="preserve">principle.</w:t>
      </w:r>
    </w:p>
    <w:p>
      <w:pPr>
        <w:pStyle w:val="Heading5"/>
      </w:pPr>
      <w:bookmarkStart w:id="225" w:name="archontic-principle"/>
      <w:r>
        <w:t xml:space="preserve">Archontic Principle</w:t>
      </w:r>
      <w:bookmarkEnd w:id="225"/>
    </w:p>
    <w:p>
      <w:pPr>
        <w:pStyle w:val="FirstParagraph"/>
      </w:pPr>
      <w:r>
        <w:t xml:space="preserve">The archontic principle is a type of authority that the archive projects, which can be understood as powerful dictating rule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(e.g., principal, prince, etc.). For Derrida, this principle is constitutive of all words deriving from</w:t>
      </w:r>
      <w:r>
        <w:t xml:space="preserve"> </w:t>
      </w:r>
      <w:r>
        <w:rPr>
          <w:i/>
        </w:rPr>
        <w:t xml:space="preserve">archē</w:t>
      </w:r>
      <w:r>
        <w:t xml:space="preserve">, which is why he understands the archive, for example, as being patriarchic. Since the archontic principle is present in the etymology of the word</w:t>
      </w:r>
      <w:r>
        <w:t xml:space="preserve"> </w:t>
      </w:r>
      <w:r>
        <w:t xml:space="preserve">‘</w:t>
      </w:r>
      <w:r>
        <w:t xml:space="preserve">patriarchy</w:t>
      </w:r>
      <w:r>
        <w:t xml:space="preserve">’</w:t>
      </w:r>
      <w:r>
        <w:t xml:space="preserve"> </w:t>
      </w:r>
      <w:r>
        <w:t xml:space="preserve">—which refers, likewise, to</w:t>
      </w:r>
      <w:r>
        <w:t xml:space="preserve"> </w:t>
      </w:r>
      <w:r>
        <w:t xml:space="preserve">‘</w:t>
      </w:r>
      <w:r>
        <w:t xml:space="preserve">lineage,</w:t>
      </w:r>
      <w:r>
        <w:t xml:space="preserve">’</w:t>
      </w:r>
      <w:r>
        <w:t xml:space="preserve"> </w:t>
      </w:r>
      <w:r>
        <w:t xml:space="preserve">‘</w:t>
      </w:r>
      <w:r>
        <w:t xml:space="preserve">father,</w:t>
      </w:r>
      <w:r>
        <w:t xml:space="preserve">’</w:t>
      </w:r>
      <w:r>
        <w:t xml:space="preserve"> </w:t>
      </w:r>
      <w:r>
        <w:t xml:space="preserve">and</w:t>
      </w:r>
      <w:r>
        <w:t xml:space="preserve"> </w:t>
      </w:r>
      <w:r>
        <w:t xml:space="preserve">‘</w:t>
      </w:r>
      <w:r>
        <w:t xml:space="preserve">I rule</w:t>
      </w:r>
      <w:r>
        <w:t xml:space="preserve">’</w:t>
      </w:r>
      <w:r>
        <w:t xml:space="preserve">—, therefore, he argues that the archontic is embedded first with a sense of filiation, that is, with fatherhood and the relationship between father and child. Thus, the archontic is</w:t>
      </w:r>
      <w:r>
        <w:t xml:space="preserve"> </w:t>
      </w:r>
      <w:r>
        <w:t xml:space="preserve">“</w:t>
      </w:r>
      <w:r>
        <w:t xml:space="preserve">paternal and patriarchic</w:t>
      </w:r>
      <w:r>
        <w:t xml:space="preserve">”</w:t>
      </w:r>
      <w:r>
        <w:t xml:space="preserve"> </w:t>
      </w:r>
      <w:r>
        <w:t xml:space="preserve">(Derrida &amp; Prenowitz 1995, p. 60)</w:t>
      </w:r>
      <w:r>
        <w:t xml:space="preserve">.</w:t>
      </w:r>
    </w:p>
    <w:p>
      <w:pPr>
        <w:pStyle w:val="Heading5"/>
      </w:pPr>
      <w:bookmarkStart w:id="226" w:name="patriarchy"/>
      <w:r>
        <w:t xml:space="preserve">Patriarchy</w:t>
      </w:r>
      <w:bookmarkEnd w:id="226"/>
    </w:p>
    <w:p>
      <w:pPr>
        <w:pStyle w:val="FirstParagraph"/>
      </w:pPr>
      <w:r>
        <w:t xml:space="preserve">What follows is that this patriarchy is grounded in a domicile (house) or an institution (family). Within this domiciliation or institutionalization is from where rules are prescribed, and where the ruling takes place. In the case of the patriarchic concept of family, the father is the ruler; in the case of civilization, the governor is the ruler. Therefore, this is what Derrida means when he performs a psychoanalysis of the archive: the topo-nomological aspect of the archive comes precisely from a —strategically male-centered— concept of fatherhood. In this sense, Derrida discovers that the archontic has the form of Freud’s oedipus complex. An oedipus complex constitutes a desire of the child’s unconscious hatred towards a parent. It is itself based in Sophocles’ drama</w:t>
      </w:r>
      <w:r>
        <w:t xml:space="preserve"> </w:t>
      </w:r>
      <w:r>
        <w:rPr>
          <w:i/>
        </w:rPr>
        <w:t xml:space="preserve">Oedipus Rex</w:t>
      </w:r>
      <w:r>
        <w:t xml:space="preserve">, in which such desire results in eventual parricide. Derrida notes that this complex has the form of an infinite loop between father and child, which is bound to repeat itself, just as is the case with Freud’s definition of the complex, which, according to the greek drama, is articulated by the figure of the parricide. In this sense, Derrida claims that Freud</w:t>
      </w:r>
      <w:r>
        <w:t xml:space="preserve"> </w:t>
      </w:r>
      <w:r>
        <w:t xml:space="preserve">“</w:t>
      </w:r>
      <w:r>
        <w:t xml:space="preserve">has shown how this archontic, that is, paternal and patriarchic, principle only posited itself to repeat itself and returned to re-posit itself only in the parricide</w:t>
      </w:r>
      <w:r>
        <w:t xml:space="preserve">”</w:t>
      </w:r>
      <w:r>
        <w:t xml:space="preserve"> </w:t>
      </w:r>
      <w:r>
        <w:t xml:space="preserve">(Derrida &amp; Prenowitz 1995, p. 60)</w:t>
      </w:r>
      <w:r>
        <w:t xml:space="preserve">.</w:t>
      </w:r>
    </w:p>
    <w:p>
      <w:pPr>
        <w:pStyle w:val="Heading5"/>
      </w:pPr>
      <w:bookmarkStart w:id="227" w:name="institutional-passage"/>
      <w:r>
        <w:t xml:space="preserve">Institutional Passage</w:t>
      </w:r>
      <w:bookmarkEnd w:id="227"/>
    </w:p>
    <w:p>
      <w:pPr>
        <w:pStyle w:val="FirstParagraph"/>
      </w:pPr>
      <w:r>
        <w:t xml:space="preserve">What is the case when this patriarchic principle is found on archives? I mentioned above the passage from the private to the public that Derrida recognized in the concept of the archive. This fact resonates with the plurality that is condensed in the place of the archive, which is opposed to the singularity that is condensed in the plurality of memory. In other words, while archives are a singular place where documents —made by a plurality of authors, that is, by different people, technologies, etc— are singularly kept, in the case of human memory, the reverse occurs. While the psyche is singular, that is, while there is only</w:t>
      </w:r>
      <w:r>
        <w:t xml:space="preserve"> </w:t>
      </w:r>
      <w:r>
        <w:t xml:space="preserve">‘</w:t>
      </w:r>
      <w:r>
        <w:t xml:space="preserve">myself</w:t>
      </w:r>
      <w:r>
        <w:t xml:space="preserve">’</w:t>
      </w:r>
      <w:r>
        <w:t xml:space="preserve"> </w:t>
      </w:r>
      <w:r>
        <w:t xml:space="preserve">remembering, the difference between each trace of memory is indeed a plurality. While I remember, the memory I rememorate is composed out the set of differences of traces that I have effracted in the moment of remembering.</w:t>
      </w:r>
    </w:p>
    <w:p>
      <w:pPr>
        <w:pStyle w:val="BodyText"/>
      </w:pPr>
      <w:r>
        <w:t xml:space="preserve">The following pseudocode may help in this distinction:</w:t>
      </w:r>
    </w:p>
    <w:p>
      <w:pPr>
        <w:pStyle w:val="SourceCode"/>
      </w:pPr>
      <w:r>
        <w:rPr>
          <w:rStyle w:val="VerbatimChar"/>
        </w:rPr>
        <w:t xml:space="preserve">function make_an_archive() {</w:t>
      </w:r>
      <w:r>
        <w:br w:type="textWrapping"/>
      </w:r>
      <w:r>
        <w:rPr>
          <w:rStyle w:val="VerbatimChar"/>
        </w:rPr>
        <w:t xml:space="preserve">    public      = PRIVATE</w:t>
      </w:r>
      <w:r>
        <w:br w:type="textWrapping"/>
      </w:r>
      <w:r>
        <w:rPr>
          <w:rStyle w:val="VerbatimChar"/>
        </w:rPr>
        <w:t xml:space="preserve">    singular    = PLURAL</w:t>
      </w:r>
      <w:r>
        <w:br w:type="textWrapping"/>
      </w:r>
      <w:r>
        <w:rPr>
          <w:rStyle w:val="VerbatimChar"/>
        </w:rPr>
        <w:t xml:space="preserve">    place       = COMMUNITY</w:t>
      </w:r>
      <w:r>
        <w:br w:type="textWrapping"/>
      </w:r>
      <w:r>
        <w:rPr>
          <w:rStyle w:val="VerbatimChar"/>
        </w:rPr>
        <w:t xml:space="preserve">    archive     = place = singular = public</w:t>
      </w:r>
      <w:r>
        <w:br w:type="textWrapping"/>
      </w:r>
      <w:r>
        <w:rPr>
          <w:rStyle w:val="VerbatimChar"/>
        </w:rPr>
        <w:t xml:space="preserve">    return archive</w:t>
      </w:r>
      <w:r>
        <w:br w:type="textWrapping"/>
      </w:r>
      <w:r>
        <w:rPr>
          <w:rStyle w:val="VerbatimChar"/>
        </w:rPr>
        <w:t xml:space="preserve">    }</w:t>
      </w:r>
      <w:r>
        <w:br w:type="textWrapping"/>
      </w:r>
      <w:r>
        <w:br w:type="textWrapping"/>
      </w:r>
      <w:r>
        <w:rPr>
          <w:rStyle w:val="VerbatimChar"/>
        </w:rPr>
        <w:t xml:space="preserve">function make_a_memory() {</w:t>
      </w:r>
      <w:r>
        <w:br w:type="textWrapping"/>
      </w:r>
      <w:r>
        <w:rPr>
          <w:rStyle w:val="VerbatimChar"/>
        </w:rPr>
        <w:t xml:space="preserve">    private     = PUBLIC</w:t>
      </w:r>
      <w:r>
        <w:br w:type="textWrapping"/>
      </w:r>
      <w:r>
        <w:rPr>
          <w:rStyle w:val="VerbatimChar"/>
        </w:rPr>
        <w:t xml:space="preserve">    plural      = SINGULAR</w:t>
      </w:r>
      <w:r>
        <w:br w:type="textWrapping"/>
      </w:r>
      <w:r>
        <w:rPr>
          <w:rStyle w:val="VerbatimChar"/>
        </w:rPr>
        <w:t xml:space="preserve">    trace       = SELF</w:t>
      </w:r>
      <w:r>
        <w:br w:type="textWrapping"/>
      </w:r>
      <w:r>
        <w:rPr>
          <w:rStyle w:val="VerbatimChar"/>
        </w:rPr>
        <w:t xml:space="preserve">    memory      = trace = plural = private </w:t>
      </w:r>
      <w:r>
        <w:br w:type="textWrapping"/>
      </w:r>
      <w:r>
        <w:rPr>
          <w:rStyle w:val="VerbatimChar"/>
        </w:rPr>
        <w:t xml:space="preserve">    return memory</w:t>
      </w:r>
      <w:r>
        <w:br w:type="textWrapping"/>
      </w:r>
      <w:r>
        <w:rPr>
          <w:rStyle w:val="VerbatimChar"/>
        </w:rPr>
        <w:t xml:space="preserve">}</w:t>
      </w:r>
    </w:p>
    <w:p>
      <w:pPr>
        <w:pStyle w:val="Heading5"/>
      </w:pPr>
      <w:bookmarkStart w:id="228" w:name="authorities"/>
      <w:r>
        <w:t xml:space="preserve">Authorities</w:t>
      </w:r>
      <w:bookmarkEnd w:id="228"/>
    </w:p>
    <w:p>
      <w:pPr>
        <w:pStyle w:val="FirstParagraph"/>
      </w:pPr>
      <w:r>
        <w:t xml:space="preserve">For example, the case of making an archive can be exemplified with the passing of a law or the signing of a contract. Derrida speaks of the act of consignation as constitutive of the archontic principle, since it is an act of</w:t>
      </w:r>
      <w:r>
        <w:t xml:space="preserve"> </w:t>
      </w:r>
      <w:r>
        <w:t xml:space="preserve">“</w:t>
      </w:r>
      <w:r>
        <w:t xml:space="preserve">gathering together signs</w:t>
      </w:r>
      <w:r>
        <w:t xml:space="preserve">”</w:t>
      </w:r>
      <w:r>
        <w:t xml:space="preserve"> </w:t>
      </w:r>
      <w:r>
        <w:t xml:space="preserve">(Derrida &amp; Prenowitz 1995, p. 10)</w:t>
      </w:r>
      <w:r>
        <w:t xml:space="preserve">, as is the case of the signatures on a bill or a contract. One’s signature is private, therefore, the moment one signs a document one makes it public. Furthermore, in making a contract, multiple signatures need to be gathered into the same space: the plurality of the community needs to be condensed in the singularity of the document. Finally, the document itself comes to be a place, but it itself needs yet another place where it is stored, which comes to be the archive. What this act of consignation entails is, precisely, the archontic principle, since the contract itself now becomes an authoritative presence that emerged out of this function of making an archive. The structure of this presence will be discussed in the following section (See</w:t>
      </w:r>
      <w:r>
        <w:t xml:space="preserve"> </w:t>
      </w:r>
      <w:hyperlink w:anchor="spectrality">
        <w:r>
          <w:rPr>
            <w:rStyle w:val="Hyperlink"/>
          </w:rPr>
          <w:t xml:space="preserve">5.2.4</w:t>
        </w:r>
      </w:hyperlink>
      <w:r>
        <w:t xml:space="preserve">). For now, let us continue with the case of making a memory. The moment one perceives the world, one makes it private, inasmuch as one engages with remembering it. When one begin remembering, oneself begins the process of pathbreaking and effraction of traces —and of forgetting, as I will continue to develop below–, which results in the plurality of the condition of traces, that is, on the difference between traces constitutive of memory.</w:t>
      </w:r>
    </w:p>
    <w:p>
      <w:pPr>
        <w:pStyle w:val="BodyText"/>
      </w:pPr>
      <w:r>
        <w:t xml:space="preserve">So, given that if this constitution of archive and memory are indeed reflections of each other, that is, one being the reverse of the other, how is the archontic present in the making of a memory? What would a reversed archontic principle look like? How would it act? These questions deserve a few paragraphs because they will explain the relationship between database, memory, and archive.</w:t>
      </w:r>
    </w:p>
    <w:p>
      <w:pPr>
        <w:pStyle w:val="Heading5"/>
      </w:pPr>
      <w:bookmarkStart w:id="229" w:name="anarchic-memory"/>
      <w:r>
        <w:t xml:space="preserve">Anarchic Memory</w:t>
      </w:r>
      <w:bookmarkEnd w:id="229"/>
    </w:p>
    <w:p>
      <w:pPr>
        <w:pStyle w:val="FirstParagraph"/>
      </w:pPr>
      <w:r>
        <w:t xml:space="preserve">What is important to note here, before continuing, is that just as memory is in a state of fracture and rupture, an archive is also in such state of discontinuity, and thus it is this condition of being in the form of disconnected gaps that makes memories and archives so alike. Spieker notes is that of discontinuity and rupture:</w:t>
      </w:r>
      <w:r>
        <w:t xml:space="preserve"> </w:t>
      </w:r>
      <w:r>
        <w:t xml:space="preserve">“</w:t>
      </w:r>
      <w:r>
        <w:t xml:space="preserve">Like all kinds of data banks, [the archive]</w:t>
      </w:r>
      <w:r>
        <w:t xml:space="preserve"> </w:t>
      </w:r>
      <w:r>
        <w:t xml:space="preserve">‘</w:t>
      </w:r>
      <w:r>
        <w:t xml:space="preserve">forms relationships not on the basis of causes and effects, but through networks</w:t>
      </w:r>
      <w:r>
        <w:t xml:space="preserve">’</w:t>
      </w:r>
      <w:r>
        <w:t xml:space="preserve">”</w:t>
      </w:r>
      <w:r>
        <w:t xml:space="preserve"> </w:t>
      </w:r>
      <w:r>
        <w:t xml:space="preserve">(Ernst 2013, p. 113)</w:t>
      </w:r>
      <w:r>
        <w:t xml:space="preserve">. From these two qualities of archives (filtering and fracture), their resemblance to memory can be drawn. However, while the archive is indeed patriarchic, memory, on the other hand, in terms of the archontic principle, it can only be described as an-archic. While there is indeed oneself remembering, there is no possibility of ruling over the plurality of traces that one has in memory. There is no place to go to remember things, one may try to trick the body into feeling similar things as when one was remembering so as to make a memory resurface, but in the end, memories remember themselves. One has no control over neither remembering nor forgetting. Memories forget themselves.</w:t>
      </w:r>
    </w:p>
    <w:p>
      <w:pPr>
        <w:pStyle w:val="Heading5"/>
      </w:pPr>
      <w:bookmarkStart w:id="230" w:name="collective-memory"/>
      <w:r>
        <w:t xml:space="preserve">Collective Memory</w:t>
      </w:r>
      <w:bookmarkEnd w:id="230"/>
    </w:p>
    <w:p>
      <w:pPr>
        <w:pStyle w:val="FirstParagraph"/>
      </w:pPr>
      <w:r>
        <w:t xml:space="preserve">In the fantastic case of Funes (See</w:t>
      </w:r>
      <w:r>
        <w:t xml:space="preserve"> </w:t>
      </w:r>
      <w:hyperlink w:anchor="funeslude">
        <w:r>
          <w:rPr>
            <w:rStyle w:val="Hyperlink"/>
          </w:rPr>
          <w:t xml:space="preserve">5.2.1</w:t>
        </w:r>
      </w:hyperlink>
      <w:r>
        <w:t xml:space="preserve">), for example, forgetting is a mysterious lack that cannot be reduced to a simple loss of information. It is also a necessary condition for memory to be considered as trace, given that the moment a trace begins is when its own erasure begins. Thus, every memory comes with its own forgetting mechanism, a mechanism that is triggered on its own, and, further, that it is still not fully understood</w:t>
      </w:r>
      <w:r>
        <w:t xml:space="preserve"> </w:t>
      </w:r>
      <w:r>
        <w:t xml:space="preserve">(Wessel &amp; Moulds 2008, p. 292)</w:t>
      </w:r>
      <w:r>
        <w:t xml:space="preserve">. However, in the case of an archive or, what some (perhaps wrongfully) refer to as</w:t>
      </w:r>
      <w:r>
        <w:t xml:space="preserve"> </w:t>
      </w:r>
      <w:r>
        <w:t xml:space="preserve">‘</w:t>
      </w:r>
      <w:r>
        <w:t xml:space="preserve">collective</w:t>
      </w:r>
      <w:r>
        <w:t xml:space="preserve">’</w:t>
      </w:r>
      <w:r>
        <w:t xml:space="preserve"> </w:t>
      </w:r>
      <w:r>
        <w:t xml:space="preserve">memory, the opposite occurs: data loss consists of plain and simple erasure, that is, a destruction that cannot be considered an instance of forgetting:</w:t>
      </w:r>
      <w:r>
        <w:t xml:space="preserve"> </w:t>
      </w:r>
      <w:r>
        <w:t xml:space="preserve">“</w:t>
      </w:r>
      <w:r>
        <w:t xml:space="preserve">in collectivistic memory, where the database has a tangible form, it is more apparent that permanent loss is a possibility. In archives, ink may fade, paper may crumble and entire files may end up in the shredder.</w:t>
      </w:r>
      <w:r>
        <w:t xml:space="preserve"> </w:t>
      </w:r>
      <w:r>
        <w:t xml:space="preserve">(Wessel &amp; Moulds 2008, p. 292)</w:t>
      </w:r>
      <w:r>
        <w:t xml:space="preserve">”</w:t>
      </w:r>
    </w:p>
    <w:p>
      <w:pPr>
        <w:pStyle w:val="Heading5"/>
      </w:pPr>
      <w:bookmarkStart w:id="231" w:name="writing-code"/>
      <w:r>
        <w:t xml:space="preserve">Writing Code</w:t>
      </w:r>
      <w:bookmarkEnd w:id="231"/>
    </w:p>
    <w:p>
      <w:pPr>
        <w:pStyle w:val="FirstParagraph"/>
      </w:pPr>
      <w:r>
        <w:t xml:space="preserve">Since writing can function as a link between human and the nonhuman memory (See</w:t>
      </w:r>
      <w:r>
        <w:t xml:space="preserve"> </w:t>
      </w:r>
      <w:hyperlink w:anchor="human">
        <w:r>
          <w:rPr>
            <w:rStyle w:val="Hyperlink"/>
          </w:rPr>
          <w:t xml:space="preserve">5.2.2</w:t>
        </w:r>
      </w:hyperlink>
      <w:r>
        <w:t xml:space="preserve">), several instances of the metaphor of writing need to be explained in relation to databasing. For example, not only programming languages imply writing in terms of symbols (words and characters), also data structures appropriate the concepts of writing and erasing. Furthermore, in resonance to the Derridean trace, erasure is embedded in the structure of writing. This is to say, that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 lifetime.</w:t>
      </w:r>
      <w:r>
        <w:rPr>
          <w:rStyle w:val="FootnoteReference"/>
        </w:rPr>
        <w:footnoteReference w:id="232"/>
      </w:r>
    </w:p>
    <w:p>
      <w:pPr>
        <w:pStyle w:val="Heading5"/>
      </w:pPr>
      <w:bookmarkStart w:id="234" w:name="anarchic-computer-memory"/>
      <w:r>
        <w:t xml:space="preserve">Anarchic Computer Memory</w:t>
      </w:r>
      <w:bookmarkEnd w:id="234"/>
    </w:p>
    <w:p>
      <w:pPr>
        <w:pStyle w:val="FirstParagraph"/>
      </w:pPr>
      <w:r>
        <w:t xml:space="preserve">This comparison between</w:t>
      </w:r>
      <w:r>
        <w:t xml:space="preserve"> </w:t>
      </w:r>
      <w:r>
        <w:rPr>
          <w:rStyle w:val="VerbatimChar"/>
        </w:rPr>
        <w:t xml:space="preserve">destructor</w:t>
      </w:r>
      <w:r>
        <w:t xml:space="preserve">s and forgetting serves as a starting point to determine the extent to which computer memory —i.e., data structure handling in restricted, discrete space— can be thought of as human memory itself, and, if so, the extent to which it also constitutes an instance of an-archic structure. (The first thing that comes to mind is an an-archic program written in C++ with self-destructing classes that fire at will, in complete unpredictability, rendering the software utterly anarchic, but utterly useless.) Therefore, there has to be a different way to think of an-archy in software. In what follows, I address the extent to which databases can be understood in terms of memory and anarchy, taking German media theorist Wolfgang Ernst’s concept of the</w:t>
      </w:r>
      <w:r>
        <w:t xml:space="preserve"> </w:t>
      </w:r>
      <w:r>
        <w:rPr>
          <w:i/>
        </w:rPr>
        <w:t xml:space="preserve">anarchoarchive</w:t>
      </w:r>
      <w:r>
        <w:t xml:space="preserve"> </w:t>
      </w:r>
      <w:r>
        <w:t xml:space="preserve">to a different dimension.</w:t>
      </w:r>
    </w:p>
    <w:p>
      <w:pPr>
        <w:pStyle w:val="Heading3"/>
      </w:pPr>
      <w:bookmarkStart w:id="235" w:name="spectrality"/>
      <w:r>
        <w:t xml:space="preserve">The Spectral Database</w:t>
      </w:r>
      <w:bookmarkEnd w:id="235"/>
    </w:p>
    <w:p>
      <w:pPr>
        <w:pStyle w:val="BlockText"/>
      </w:pP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 </w:t>
      </w:r>
      <w:r>
        <w:t xml:space="preserve">(Derrida &amp; Prenowitz 1995, p. 54)</w:t>
      </w:r>
    </w:p>
    <w:p>
      <w:pPr>
        <w:pStyle w:val="Heading5"/>
      </w:pPr>
      <w:bookmarkStart w:id="236" w:name="computer-memory-and-writing"/>
      <w:r>
        <w:t xml:space="preserve">Computer Memory and Writing</w:t>
      </w:r>
      <w:bookmarkEnd w:id="236"/>
    </w:p>
    <w:p>
      <w:pPr>
        <w:pStyle w:val="FirstParagraph"/>
      </w:pPr>
      <w:r>
        <w:t xml:space="preserve">Despite the multiplicity of elements that constitute software programming, such as compiler instructions, hardware stipulations, collaboration platforms, etc., the concepts of inscription and erasure (writing) are still in place. Because of this, the concept of the Derridean trace applies to programming. This fact can be linked further back to the conception of the computer itself, as it was previously discussed (See</w:t>
      </w:r>
      <w:r>
        <w:t xml:space="preserve"> </w:t>
      </w:r>
      <w:hyperlink w:anchor="databasing">
        <w:r>
          <w:rPr>
            <w:rStyle w:val="Hyperlink"/>
          </w:rPr>
          <w:t xml:space="preserve">4.2.1</w:t>
        </w:r>
      </w:hyperlink>
      <w:r>
        <w:t xml:space="preserve">). In his architecture, Von Neumann proposes that the storage unit of the computer allowed data to be written and erased in different locations and times. In fact,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Therefore, these setting and unsetting movements represent inscription and erasure, to the point that, as Kittler notes, quoted by Ernst:</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w:t>
      </w:r>
    </w:p>
    <w:p>
      <w:pPr>
        <w:pStyle w:val="Heading5"/>
      </w:pPr>
      <w:bookmarkStart w:id="237" w:name="memory-replacement"/>
      <w:r>
        <w:t xml:space="preserve">Memory Replacement</w:t>
      </w:r>
      <w:bookmarkEnd w:id="237"/>
    </w:p>
    <w:p>
      <w:pPr>
        <w:pStyle w:val="FirstParagraph"/>
      </w:pPr>
      <w:r>
        <w:t xml:space="preserve">However, an important distinction needs to be made here. While I am arguing for the similarities that exist between memory and database, Ernst proposes that databases —i.e., what he refers to as digital an-archives— enter as a form of replacement. This is to say that, given the convergence of all media into digital media,</w:t>
      </w:r>
      <w:r>
        <w:t xml:space="preserve"> </w:t>
      </w:r>
      <w:r>
        <w:t xml:space="preserve">‘</w:t>
      </w:r>
      <w:r>
        <w:t xml:space="preserve">reading</w:t>
      </w:r>
      <w:r>
        <w:t xml:space="preserve">’</w:t>
      </w:r>
      <w:r>
        <w:t xml:space="preserve"> </w:t>
      </w:r>
      <w:r>
        <w:t xml:space="preserve">is rendered null, giving way to mathematical processes that come to interpret the data. In Ernst’s words,</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is only valid within the Kittlerian, disembodied worldview (See</w:t>
      </w:r>
      <w:r>
        <w:t xml:space="preserve"> </w:t>
      </w:r>
      <w:hyperlink w:anchor="convergence">
        <w:r>
          <w:rPr>
            <w:rStyle w:val="Hyperlink"/>
          </w:rPr>
          <w:t xml:space="preserve">4.1.3</w:t>
        </w:r>
      </w:hyperlink>
      <w:r>
        <w:t xml:space="preserve">), which would also allow to convey the following: signal processing replaces</w:t>
      </w:r>
      <w:r>
        <w:t xml:space="preserve"> </w:t>
      </w:r>
      <w:r>
        <w:rPr>
          <w:i/>
        </w:rPr>
        <w:t xml:space="preserve">listening</w:t>
      </w:r>
      <w:r>
        <w:t xml:space="preserve">. Thus, in such a world where data structures and algorithms perform our own capacities to create and, by doing so, remove our bodies from ourselves, there would be no need for neither reading nor writing. Since, if the database reads itself, it also writes itself, and, in the case of music, if it listens to itself, it also sounds itself, removing listening altogether. Therefore, in order to arrive at the point of resonance that enables both the nonhuman and the human to coexist, a reconceptualization of the anarchic in relation to databases needs to be made; specifically, one that is grounded not on substitution, but on difference, and one that explains how authority enters into the sphere of databases.</w:t>
      </w:r>
    </w:p>
    <w:p>
      <w:pPr>
        <w:pStyle w:val="Heading5"/>
      </w:pPr>
      <w:bookmarkStart w:id="238" w:name="anarchic-records"/>
      <w:r>
        <w:t xml:space="preserve">Anarchic Records</w:t>
      </w:r>
      <w:bookmarkEnd w:id="238"/>
    </w:p>
    <w:p>
      <w:pPr>
        <w:pStyle w:val="FirstParagraph"/>
      </w:pPr>
      <w:r>
        <w:t xml:space="preserve">In his conceptualization of the</w:t>
      </w:r>
      <w:r>
        <w:t xml:space="preserve"> </w:t>
      </w:r>
      <w:r>
        <w:rPr>
          <w:i/>
        </w:rPr>
        <w:t xml:space="preserve">anarchoarchive</w:t>
      </w:r>
      <w:r>
        <w:t xml:space="preserve">, Ernst</w:t>
      </w:r>
      <w:r>
        <w:t xml:space="preserve"> </w:t>
      </w:r>
      <w:r>
        <w:t xml:space="preserve">(Ernst 2013)</w:t>
      </w:r>
      <w:r>
        <w:t xml:space="preserve"> </w:t>
      </w:r>
      <w:r>
        <w:t xml:space="preserve">opposes technical recording with symbolic transcription. Given the fact that a microphone captures the entire sonic environment, this involuntary memory —of</w:t>
      </w:r>
      <w:r>
        <w:t xml:space="preserve"> </w:t>
      </w:r>
      <w:r>
        <w:t xml:space="preserve">“</w:t>
      </w:r>
      <w:r>
        <w:t xml:space="preserve">past acoustic, not intended for tradition: a noisy memory</w:t>
      </w:r>
      <w:r>
        <w:t xml:space="preserve">”</w:t>
      </w:r>
      <w:r>
        <w:t xml:space="preserve"> </w:t>
      </w:r>
      <w:r>
        <w:t xml:space="preserve">(Ernst 2013, p. 174)</w:t>
      </w:r>
      <w:r>
        <w:t xml:space="preserve">— comes to be a form of anarchic archive, or</w:t>
      </w:r>
      <w:r>
        <w:t xml:space="preserve"> </w:t>
      </w:r>
      <w:r>
        <w:rPr>
          <w:i/>
        </w:rPr>
        <w:t xml:space="preserve">an-archive</w:t>
      </w:r>
      <w:r>
        <w:t xml:space="preserve">. Therefore, for example, he claims that Bela Bartok’s transcriptions to musical notation of Milman Parry’s Serbian epic song recordings</w:t>
      </w:r>
      <w:r>
        <w:rPr>
          <w:rStyle w:val="FootnoteReference"/>
        </w:rPr>
        <w:footnoteReference w:id="239"/>
      </w:r>
      <w:r>
        <w:t xml:space="preserve"> </w:t>
      </w:r>
      <w:r>
        <w:t xml:space="preserve">becomes an archivization process, that is, a process by which symbolic transcription leads to an ordered archive, i.e., a score.</w:t>
      </w:r>
      <w:r>
        <w:rPr>
          <w:rStyle w:val="FootnoteReference"/>
        </w:rPr>
        <w:footnoteReference w:id="241"/>
      </w:r>
      <w:r>
        <w:t xml:space="preserve"> </w:t>
      </w:r>
      <w:r>
        <w:t xml:space="preserve">In Ernst’s sense, a sound file storing samples of the recorded world is anarchic because of the unfiltered (</w:t>
      </w:r>
      <w:r>
        <w:t xml:space="preserve">‘</w:t>
      </w:r>
      <w:r>
        <w:t xml:space="preserve">pure</w:t>
      </w:r>
      <w:r>
        <w:t xml:space="preserve">’</w:t>
      </w:r>
      <w:r>
        <w:t xml:space="preserve">) way in which the world is inscribed by the recorder. He bases this idea on another media theorist, Sven Spieker, who claims that, following Derrida’s conceptualization of the archive, a central feature of archives is not memory, but a need to</w:t>
      </w:r>
      <w:r>
        <w:t xml:space="preserve"> </w:t>
      </w:r>
      <w:r>
        <w:t xml:space="preserve">“</w:t>
      </w:r>
      <w:r>
        <w:t xml:space="preserve">discard, erase, eliminate</w:t>
      </w:r>
      <w:r>
        <w:t xml:space="preserve">”</w:t>
      </w:r>
      <w:r>
        <w:t xml:space="preserve"> </w:t>
      </w:r>
      <w:r>
        <w:t xml:space="preserve">that which is not intended for archivization</w:t>
      </w:r>
      <w:r>
        <w:t xml:space="preserve"> </w:t>
      </w:r>
      <w:r>
        <w:t xml:space="preserve">(Ernst 2013, p. 113)</w:t>
      </w:r>
      <w:r>
        <w:t xml:space="preserve">. In other words, the possibility condition of an archive is filtering, or better: framing. The problem is that, the moment Ernst deposits on the recording technology the disappearance of the body, he dislocates framing altogether, and thus is how the concept of</w:t>
      </w:r>
      <w:r>
        <w:t xml:space="preserve"> </w:t>
      </w:r>
      <w:r>
        <w:t xml:space="preserve">‘</w:t>
      </w:r>
      <w:r>
        <w:t xml:space="preserve">pure</w:t>
      </w:r>
      <w:r>
        <w:t xml:space="preserve">’</w:t>
      </w:r>
      <w:r>
        <w:t xml:space="preserve"> </w:t>
      </w:r>
      <w:r>
        <w:t xml:space="preserve">recording comes in. Therefore, if for Ernst, Parry’s audio recordings are anarchic, this is because they are constructed upon a Kittlerian idea of purity that leaves the human out of the equation.</w:t>
      </w:r>
    </w:p>
    <w:p>
      <w:pPr>
        <w:pStyle w:val="Heading5"/>
      </w:pPr>
      <w:bookmarkStart w:id="242" w:name="memory-and-framing"/>
      <w:r>
        <w:t xml:space="preserve">Memory and Framing</w:t>
      </w:r>
      <w:bookmarkEnd w:id="242"/>
    </w:p>
    <w:p>
      <w:pPr>
        <w:pStyle w:val="FirstParagraph"/>
      </w:pPr>
      <w:r>
        <w:t xml:space="preserve">If we consider the body’s capacity to create images from the world of images, then framing is also a possibility condition for human memory. In fact, we have seen with the Derridean trace that it is a resisting force what first enables the violent rupture of traces, and thus, this force can also be considered as an instance of framing itself. Resistance of the psyche as creativity taking action as the moment of framing. In the an-archic memory graph that I am conceptualizing here, framing can be thought of as the edge (the arrow) that thus connects the public to the private. Furthermore, framing can also be inversely considered as the arrow between the private and the public in the case of archives, since, for example, in the case of a contract, only a limited amount of signatures are needed, thus a frame needs to be an active part of the process of archivization.</w:t>
      </w:r>
    </w:p>
    <w:p>
      <w:pPr>
        <w:pStyle w:val="Heading5"/>
      </w:pPr>
      <w:bookmarkStart w:id="243" w:name="nonhuman-tympans"/>
      <w:r>
        <w:t xml:space="preserve">Nonhuman Tympans</w:t>
      </w:r>
      <w:bookmarkEnd w:id="243"/>
    </w:p>
    <w:p>
      <w:pPr>
        <w:pStyle w:val="FirstParagraph"/>
      </w:pPr>
      <w:r>
        <w:t xml:space="preserve">Therefore, given that framing is in between the public and the private, in order to consider the case of audio recording as either memory or archive, these two categories, privacy and publicness need to be taken into account in relation to nonhumans. In other words, given that the world can be considered public, because it is in a constant state of availability at any time, then, a microphone can be considered an actor of privacy, since it deprives some sounds from being recorded —e.g., because it has not been designed for certain frequency bands— while recording other sounds. Therefore, if transducers have a filtering capacity, they engage with the passage from the public to the private —and vice versa, since both speakers and microphones are transducers. Consider, for example, Jonathan Sterne’s definition of the</w:t>
      </w:r>
      <w:r>
        <w:t xml:space="preserve"> </w:t>
      </w:r>
      <w:r>
        <w:t xml:space="preserve">‘</w:t>
      </w:r>
      <w:r>
        <w:t xml:space="preserve">tympanic</w:t>
      </w:r>
      <w:r>
        <w:t xml:space="preserve">’</w:t>
      </w:r>
      <w:r>
        <w:t xml:space="preserve"> </w:t>
      </w:r>
      <w:r>
        <w:t xml:space="preserve">function of transducers, as quoted by Cathy Van Eyck in her PhD dissertation on microphones and loudspeakers:</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(Eck 2013, p. 107)</w:t>
      </w:r>
      <w:r>
        <w:t xml:space="preserve">. Therefore, considering these nonhuman tympans as actors of privacy and publicness, audio reproduction technology can be compared to the structure of memory and archives. For example, audio recording can be conceived as a form of memory, only to the extent that its inscription is singular yet reproducible. This is because a magnetic tape or a hard drive cannot be considered in the same (plural) way as Derridean traces, since once data is stored, it exists only once in discrete, limited space, unless copied to another location, in which case it becomes a duplicate, an identical (in-different) clone of itself. Furthermore, the case of audio playback can be a form of archive, since it consists of the passage from the private —the stored air pressure waves— to the public —the reproduced air pressure waves in space—, only to the extent that the latter is not considered space as such, but resonance within space. In this sense, Ernst’ consideration of the Parry’s recordings as anarchic needs to be reconfigured.</w:t>
      </w:r>
    </w:p>
    <w:p>
      <w:pPr>
        <w:pStyle w:val="Heading5"/>
      </w:pPr>
      <w:bookmarkStart w:id="244" w:name="spectrality-of-archives"/>
      <w:r>
        <w:t xml:space="preserve">Spectrality of Archives</w:t>
      </w:r>
      <w:bookmarkEnd w:id="244"/>
    </w:p>
    <w:p>
      <w:pPr>
        <w:pStyle w:val="FirstParagraph"/>
      </w:pPr>
      <w:r>
        <w:t xml:space="preserve">Given that these nonhuman tympans constitute the limit between sonic —but also tactile</w:t>
      </w:r>
      <w:r>
        <w:t xml:space="preserve"> </w:t>
      </w:r>
      <w:r>
        <w:t xml:space="preserve">(Eck 2013, p. 223)</w:t>
      </w:r>
      <w:r>
        <w:t xml:space="preserve">— world and the binary world of databases, their comparison to memory and archives renders a hybrid object: one that, on the one side, becomes a private and singular</w:t>
      </w:r>
      <w:r>
        <w:t xml:space="preserve"> </w:t>
      </w:r>
      <w:r>
        <w:t xml:space="preserve">‘</w:t>
      </w:r>
      <w:r>
        <w:t xml:space="preserve">trace</w:t>
      </w:r>
      <w:r>
        <w:t xml:space="preserve">’</w:t>
      </w:r>
      <w:r>
        <w:t xml:space="preserve">, and, on the other, becomes a public, resonant</w:t>
      </w:r>
      <w:r>
        <w:t xml:space="preserve"> </w:t>
      </w:r>
      <w:r>
        <w:t xml:space="preserve">‘</w:t>
      </w:r>
      <w:r>
        <w:t xml:space="preserve">space.</w:t>
      </w:r>
      <w:r>
        <w:t xml:space="preserve">’</w:t>
      </w:r>
      <w:r>
        <w:t xml:space="preserve"> </w:t>
      </w:r>
      <w:r>
        <w:t xml:space="preserve">Thus, databases represent neither a trace nor a space. At this point it is important to address the quote at the beginning of this section, that is, the structure of the archontic that Derrida assigned to archives: spectrality. 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—Derrida points to the greek root</w:t>
      </w:r>
      <w:r>
        <w:t xml:space="preserve"> </w:t>
      </w:r>
      <w:r>
        <w:rPr>
          <w:i/>
        </w:rPr>
        <w:t xml:space="preserve">oikos</w:t>
      </w:r>
      <w:r>
        <w:t xml:space="preserve">, meaning</w:t>
      </w:r>
      <w:r>
        <w:t xml:space="preserve"> </w:t>
      </w:r>
      <w:r>
        <w:t xml:space="preserve">‘</w:t>
      </w:r>
      <w:r>
        <w:t xml:space="preserve">house</w:t>
      </w:r>
      <w:r>
        <w:t xml:space="preserve">’</w:t>
      </w:r>
      <w:r>
        <w:t xml:space="preserve">—, that is, to the passing through (trans-action) of signs, but also de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 addressing, that is of transaction. Finally, what this uncanniness of the ghost entails is nothing other than the haunting itself, as Derrida writes:</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To bring back our database, the hybridity that the database projects when compared to memory or archives points to a certain uncanniness, that is, precisely to the hauntedness that comes from its spectrality. Furthermore, it can be argued that considering the database in such way is plain and simple delusion, that is, insanity at its best. Not surprisingly, this is the point exactly; within this delusion exists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5"/>
      </w:pPr>
      <w:bookmarkStart w:id="245" w:name="spectrality-of-databases"/>
      <w:r>
        <w:t xml:space="preserve">Spectrality of Databases</w:t>
      </w:r>
      <w:bookmarkEnd w:id="245"/>
    </w:p>
    <w:p>
      <w:pPr>
        <w:pStyle w:val="FirstParagraph"/>
      </w:pPr>
      <w:r>
        <w:t xml:space="preserve">Therefore, given that Derrida considers the structure of the archive to be indeed spectral, I can bring this spectrality to the database itself, and consider it just as spectral but in a different sense. The spectrality of the database comes not from its hauntedness, that is, it is not domiciled since, as humans, we have no access to data space (address space) directly with our bodies. As humans, we cannot engage in transaction with the specter directly: we need transducers. In the case of audio playback, we need loudspeakers because we need to create, with our bodies, the image that was recorded in the first place. In consequence, while embodying stored data, we embody its specter. Therefore, the hauntedness needs to be</w:t>
      </w:r>
      <w:r>
        <w:t xml:space="preserve"> </w:t>
      </w:r>
      <w:r>
        <w:t xml:space="preserve">‘</w:t>
      </w:r>
      <w:r>
        <w:t xml:space="preserve">transduced</w:t>
      </w:r>
      <w:r>
        <w:t xml:space="preserve">’</w:t>
      </w:r>
      <w:r>
        <w:t xml:space="preserve"> </w:t>
      </w:r>
      <w:r>
        <w:t xml:space="preserve">into space, and with this transduction the agency of the database can be effectively felt. Likewise, the uncanniness of the case of audio recording can be felt as the ghost that will</w:t>
      </w:r>
      <w:r>
        <w:t xml:space="preserve"> </w:t>
      </w:r>
      <w:r>
        <w:t xml:space="preserve">‘</w:t>
      </w:r>
      <w:r>
        <w:t xml:space="preserve">remember us,</w:t>
      </w:r>
      <w:r>
        <w:t xml:space="preserve">’</w:t>
      </w:r>
      <w:r>
        <w:t xml:space="preserve"> </w:t>
      </w:r>
      <w:r>
        <w:t xml:space="preserve">because of this computer</w:t>
      </w:r>
      <w:r>
        <w:t xml:space="preserve"> </w:t>
      </w:r>
      <w:r>
        <w:t xml:space="preserve">‘</w:t>
      </w:r>
      <w:r>
        <w:t xml:space="preserve">memory</w:t>
      </w:r>
      <w:r>
        <w:t xml:space="preserve">’</w:t>
      </w:r>
      <w:r>
        <w:t xml:space="preserve"> </w:t>
      </w:r>
      <w:r>
        <w:t xml:space="preserve">that will keep (to its own privacy) the sonic environment that attests to our presence in space —because we sing, we make sounds, etc. Hence, the haunting that resides in-memory, together with the stored data and pointers.</w:t>
      </w:r>
    </w:p>
    <w:p>
      <w:pPr>
        <w:pStyle w:val="Heading5"/>
      </w:pPr>
      <w:bookmarkStart w:id="246" w:name="agency-of-the-uncanny"/>
      <w:r>
        <w:t xml:space="preserve">Agency of the Uncanny</w:t>
      </w:r>
      <w:bookmarkEnd w:id="246"/>
    </w:p>
    <w:p>
      <w:pPr>
        <w:pStyle w:val="FirstParagraph"/>
      </w:pPr>
      <w:r>
        <w:t xml:space="preserve">In recognizing this presence, which is the archontic specter of the database, comes the recognition of the agency of the database itself, and, furthermore, of the quality of the aesthetic experience that we encounter whenever there is a database in art. As Timothy Morton</w:t>
      </w:r>
      <w:r>
        <w:t xml:space="preserve"> </w:t>
      </w:r>
      <w:r>
        <w:t xml:space="preserve">(Morton 2013)</w:t>
      </w:r>
      <w:r>
        <w:t xml:space="preserve"> </w:t>
      </w:r>
      <w:r>
        <w:t xml:space="preserve">writes in relation to what he calls hyperobjects:</w:t>
      </w:r>
    </w:p>
    <w:p>
      <w:pPr>
        <w:pStyle w:val="BlockText"/>
      </w:pPr>
      <w:r>
        <w:t xml:space="preserve">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 as Adorno says, the primordial aesthetic experience is goose bumps. Yet this is precisely the aesthetic experience of the hyperobject, which can only be detected as a ghostly spectrality that comes in and out of phase with normalized human spacetime.</w:t>
      </w:r>
      <w:r>
        <w:t xml:space="preserve"> </w:t>
      </w:r>
      <w:r>
        <w:t xml:space="preserve">(Morton 2013, p. 169)</w:t>
      </w:r>
    </w:p>
    <w:p>
      <w:pPr>
        <w:pStyle w:val="FirstParagraph"/>
      </w:pPr>
      <w:r>
        <w:t xml:space="preserve">To the point that databases are spectral, they can be considered hyperobjects in Morton’s sense, and thus, agents translating through aesthetic networks. However, I will not dwell much longer on this definition in this text. If we consider the</w:t>
      </w:r>
      <w:r>
        <w:t xml:space="preserve"> </w:t>
      </w:r>
      <w:r>
        <w:t xml:space="preserve">“</w:t>
      </w:r>
      <w:r>
        <w:t xml:space="preserve">recorded movement of a thing</w:t>
      </w:r>
      <w:r>
        <w:t xml:space="preserve">”</w:t>
      </w:r>
      <w:r>
        <w:t xml:space="preserve"> </w:t>
      </w:r>
      <w:r>
        <w:t xml:space="preserve">with which Latour identified his concept of the network, databases are agents not only of recording, also of motility, and of thing-hood itself. This is to say that, in the constitution of networks, the spectrality of the database expands in multiple directions. Bringing back the illusory violin of the acousmatic concert I mentioned earlier (See</w:t>
      </w:r>
      <w:r>
        <w:t xml:space="preserve"> </w:t>
      </w:r>
      <w:hyperlink w:anchor="resonance_of_a_return">
        <w:r>
          <w:rPr>
            <w:rStyle w:val="Hyperlink"/>
          </w:rPr>
          <w:t xml:space="preserve">5.1.2</w:t>
        </w:r>
      </w:hyperlink>
      <w:r>
        <w:t xml:space="preserve">), it exemplified Hansen’s concept of the creation of images our brain’s capacity for virtuality has, that is, our imagination. The sound of a violin can be recorded —but also synthesized— into the privacy of a database. Then, it can be played back with loudspeakers located in such a way that they emulate the location of an actual violin player. As a result, the listener could very likely imagine a physically present violin in the room, that is, a ghost. This ghost comes in as the phantom of a human player; of the violin itself; of the histories and traditions that those two elements bring forth; of the presence of the nonhuman that the database implies; of the privacy that is not human but that it is still uncannily private; of the plurality that is embedded in the construction of databases;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In what follows, a crucial aspect of the database will be addressed, one that defines the condition of possibility of this hauntedness to be indeed instantiated into appearance, not only in the form of authority, as I have shown in the case of its archontic presence, but also in the form of style, and most important, gender: the performativity of the database.</w:t>
      </w:r>
    </w:p>
    <w:p>
      <w:pPr>
        <w:pStyle w:val="Heading2"/>
      </w:pPr>
      <w:bookmarkStart w:id="247" w:name="section:Performativity_Of_Databases"/>
      <w:r>
        <w:t xml:space="preserve">Performativity Of Databases</w:t>
      </w:r>
      <w:bookmarkEnd w:id="247"/>
    </w:p>
    <w:p>
      <w:pPr>
        <w:pStyle w:val="Heading3"/>
      </w:pPr>
      <w:bookmarkStart w:id="248" w:name="gender"/>
      <w:r>
        <w:t xml:space="preserve">Gendered Database</w:t>
      </w:r>
      <w:bookmarkEnd w:id="248"/>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 mistaken for a natural or linguistic given, power is relinquished to expand the cultural field bodily through subversive performances of various kinds.</w:t>
      </w:r>
      <w:r>
        <w:t xml:space="preserve"> </w:t>
      </w:r>
      <w:r>
        <w:t xml:space="preserve">(Butler 1988, p. 531)</w:t>
      </w:r>
    </w:p>
    <w:p>
      <w:pPr>
        <w:pStyle w:val="FirstParagraph"/>
      </w:pPr>
      <w:r>
        <w:t xml:space="preserve">Judith Butler</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section:Listening_Databases">
        <w:r>
          <w:rPr>
            <w:rStyle w:val="Hyperlink"/>
          </w:rPr>
          <w:t xml:space="preserve">5.1</w:t>
        </w:r>
      </w:hyperlink>
      <w:r>
        <w:t xml:space="preserve">).</w:t>
      </w:r>
    </w:p>
    <w:p>
      <w:pPr>
        <w:pStyle w:val="Heading5"/>
      </w:pPr>
      <w:bookmarkStart w:id="249" w:name="skin-of-the-database"/>
      <w:r>
        <w:t xml:space="preserve">Skin of the Database</w:t>
      </w:r>
      <w:bookmarkEnd w:id="249"/>
    </w:p>
    <w:p>
      <w:pPr>
        <w:pStyle w:val="FirstParagraph"/>
      </w:pPr>
      <w:r>
        <w:t xml:space="preserve">In the performativity of databasing resides the possibility for the skin of the database to emerge. On the one hand, this skin is the spectral surface of the database’s illusory self. On the other, it is the limit towards which the human and the nonhuman engage in resonance. The skin of the database carries the mark of a style. That is to say, in defining style as a repetition of acts, it is a form of embodiment that is ascribed to databases. Because the self of the database is inscribed on its skin, we can assign yet another quality of the database: an authorial subject. This subject relates to the uncanny, not only because of its nonhuman spectrality, also because of its gendered appearance which comes to redefine our own social categories such as reality itself. Therefore, I claim that, given that databasing is the performative condition of databases, the database becomes gendered.</w:t>
      </w:r>
    </w:p>
    <w:p>
      <w:pPr>
        <w:pStyle w:val="Heading5"/>
      </w:pPr>
      <w:bookmarkStart w:id="250" w:name="expressing-nothing"/>
      <w:r>
        <w:t xml:space="preserve">Expressing Nothing</w:t>
      </w:r>
      <w:bookmarkEnd w:id="250"/>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Furthermore,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this terms of performativity, to the point that, while having the capacity to store millions of data, a database can in deed express nothing?</w:t>
      </w:r>
    </w:p>
    <w:p>
      <w:pPr>
        <w:pStyle w:val="Heading5"/>
      </w:pPr>
      <w:bookmarkStart w:id="251" w:name="a-historical-situation"/>
      <w:r>
        <w:t xml:space="preserve">A Historical Situation</w:t>
      </w:r>
      <w:bookmarkEnd w:id="251"/>
    </w:p>
    <w:p>
      <w:pPr>
        <w:pStyle w:val="FirstParagraph"/>
      </w:pPr>
      <w:r>
        <w:t xml:space="preserve">Butler defined gender identity as a historical situation, distinguishing between physiological facticity of the body (sex) and the cultural significance of such facticity in terms of gender. Added to this distance between body and identity, Butler speaks of the body as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itself.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 ’woman,’ 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5"/>
      </w:pPr>
      <w:bookmarkStart w:id="252" w:name="subversive-repetition"/>
      <w:r>
        <w:t xml:space="preserve">Subversive Repetition</w:t>
      </w:r>
      <w:bookmarkEnd w:id="252"/>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layerers that deposit themselves in time. Furthermore, within this notion of temporality there is the need for repetition, but a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 these acts are necessarily discontinuous, and it is because of this discontinuity that exists the possibility of gender transformation. In this sense, gender performance is neither linear nor nonlinear. It resides along an anarachic temporality that replaces teleology with the multiplicity of resonant nows. It is an inline iterative function with random breaks.</w:t>
      </w:r>
    </w:p>
    <w:p>
      <w:pPr>
        <w:pStyle w:val="Heading5"/>
      </w:pPr>
      <w:bookmarkStart w:id="253" w:name="gendered-database"/>
      <w:r>
        <w:t xml:space="preserve">Gendered Database</w:t>
      </w:r>
      <w:bookmarkEnd w:id="253"/>
    </w:p>
    <w:p>
      <w:pPr>
        <w:pStyle w:val="FirstParagraph"/>
      </w:pPr>
      <w:r>
        <w:t xml:space="preserve">The database is a collection of facts. It is facticity itself. This is what Butler’s gendered self can teach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human. It is simply a nonhuman fabrication of selfhood: there, around, making its way through the rupture of the permanent condition of performativity to which we (humans and nonhumans) are phenomenologically bound. That is the how the style of the database appears. This nonhuman self, like Butler’s gendered self, is equally</w:t>
      </w:r>
      <w:r>
        <w:t xml:space="preserve"> </w:t>
      </w:r>
      <w:r>
        <w:t xml:space="preserve">‘</w:t>
      </w:r>
      <w:r>
        <w:t xml:space="preserve">outside,</w:t>
      </w:r>
      <w:r>
        <w:t xml:space="preserve">’</w:t>
      </w:r>
      <w:r>
        <w:t xml:space="preserve"> </w:t>
      </w:r>
      <w:r>
        <w:t xml:space="preserve">that is,</w:t>
      </w:r>
      <w:r>
        <w:t xml:space="preserve"> </w:t>
      </w:r>
      <w:r>
        <w:t xml:space="preserve">“</w:t>
      </w:r>
      <w:r>
        <w:t xml:space="preserve">constituted in social discourse</w:t>
      </w:r>
      <w:r>
        <w:t xml:space="preserve">”</w:t>
      </w:r>
      <w:r>
        <w:t xml:space="preserve"> </w:t>
      </w:r>
      <w:r>
        <w:t xml:space="preserve">(Butler 1988, p. 528)</w:t>
      </w:r>
      <w:r>
        <w:t xml:space="preserve">. That is to say, the skin of the database is open for perception outside of itself, and in fact, nothing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Turing himself:</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54" w:name="limits"/>
      <w:r>
        <w:t xml:space="preserve">Towards The Limits</w:t>
      </w:r>
      <w:bookmarkEnd w:id="254"/>
    </w:p>
    <w:p>
      <w:pPr>
        <w:pStyle w:val="Heading5"/>
      </w:pPr>
      <w:bookmarkStart w:id="255" w:name="exposure"/>
      <w:r>
        <w:t xml:space="preserve">Exposure</w:t>
      </w:r>
      <w:bookmarkEnd w:id="255"/>
    </w:p>
    <w:p>
      <w:pPr>
        <w:pStyle w:val="FirstParagraph"/>
      </w:pPr>
      <w:r>
        <w:t xml:space="preserve">The performativity of databasing can be understood in terms of what Nancy calls exposure</w:t>
      </w:r>
      <w:r>
        <w:t xml:space="preserve"> </w:t>
      </w:r>
      <w:r>
        <w:t xml:space="preserve">(Nancy 1991)</w:t>
      </w:r>
      <w:r>
        <w:t xml:space="preserve">. Exposure is the appearance of a limit and the finitud of a singularity. With this limit instantiated in the (public) moment of the performative act, is how communication emerges as that which is in common among singularities. That is to say, because it is itself nothing (</w:t>
      </w:r>
      <w:r>
        <w:t xml:space="preserve">“</w:t>
      </w:r>
      <w:r>
        <w:t xml:space="preserve">neither a ground, nor an essence, nor a substance</w:t>
      </w:r>
      <w:r>
        <w:t xml:space="preserve">”</w:t>
      </w:r>
      <w:r>
        <w:t xml:space="preserve"> </w:t>
      </w:r>
      <w:r>
        <w:t xml:space="preserve">(Nancy 1991, p. 31)</w:t>
      </w:r>
      <w:r>
        <w:t xml:space="preserve">) Nancy considers finitud to just appear in the form of communication:</w:t>
      </w:r>
      <w:r>
        <w:t xml:space="preserve"> </w:t>
      </w:r>
      <w:r>
        <w:t xml:space="preserve">“</w:t>
      </w:r>
      <w:r>
        <w:t xml:space="preserve">it presents itself, it exposes itself, and thus it exists as communication</w:t>
      </w:r>
      <w:r>
        <w:t xml:space="preserve">”</w:t>
      </w:r>
      <w:r>
        <w:t xml:space="preserve"> </w:t>
      </w:r>
      <w:r>
        <w:t xml:space="preserve">(Nancy 1991, p. 31)</w:t>
      </w:r>
      <w:r>
        <w:t xml:space="preserve">. His emphasis on communication as exposure marks a crucial distinction on the concept of community. For Nancy, as I have described above (See</w:t>
      </w:r>
      <w:r>
        <w:t xml:space="preserve"> </w:t>
      </w:r>
      <w:hyperlink w:anchor="inoperativity">
        <w:r>
          <w:rPr>
            <w:rStyle w:val="Hyperlink"/>
          </w:rPr>
          <w:t xml:space="preserve">5.1.4</w:t>
        </w:r>
      </w:hyperlink>
      <w:r>
        <w:t xml:space="preserve">), community cannot come from an instance of work: it emerges as an instance of the communicative action which is</w:t>
      </w:r>
      <w:r>
        <w:t xml:space="preserve"> </w:t>
      </w:r>
      <w:r>
        <w:t xml:space="preserve">“</w:t>
      </w:r>
      <w:r>
        <w:t xml:space="preserve">the unworking of a work that is social, economic, technical, and institutional</w:t>
      </w:r>
      <w:r>
        <w:t xml:space="preserve">”</w:t>
      </w:r>
      <w:r>
        <w:t xml:space="preserve"> </w:t>
      </w:r>
      <w:r>
        <w:t xml:space="preserve">(Nancy 1991, p. 31)</w:t>
      </w:r>
      <w:r>
        <w:t xml:space="preserve">. In other words, the performativity of this communicative act, the publicness and dramatic qualities with which it unfolds, result in exposure. This is why, in the case of databasing, what is exposed at the limit of its performance is the finitud of the database itself. Through this exposition of the limit is how the singularity of the database can be communicated; or, better, through this exposure is how communication expands our concept of community towards one that includes the database as an agent of community itself.</w:t>
      </w:r>
    </w:p>
    <w:p>
      <w:pPr>
        <w:pStyle w:val="Heading5"/>
      </w:pPr>
      <w:bookmarkStart w:id="256" w:name="anarchic-touch"/>
      <w:r>
        <w:t xml:space="preserve">Anarchic Touch</w:t>
      </w:r>
      <w:bookmarkEnd w:id="256"/>
    </w:p>
    <w:p>
      <w:pPr>
        <w:pStyle w:val="FirstParagraph"/>
      </w:pPr>
      <w:r>
        <w:t xml:space="preserve">As Nancy writes,</w:t>
      </w:r>
      <w:r>
        <w:t xml:space="preserve"> </w:t>
      </w:r>
      <w:r>
        <w:t xml:space="preserve">“</w:t>
      </w:r>
      <w:r>
        <w:t xml:space="preserve">a singular being does not emerge or rise up against the background of a chaotic, undifferentiated identity of beings</w:t>
      </w:r>
      <w:r>
        <w:t xml:space="preserve">”</w:t>
      </w:r>
      <w:r>
        <w:t xml:space="preserve"> </w:t>
      </w:r>
      <w:r>
        <w:t xml:space="preserve">(Nancy 1991, p. 28)</w:t>
      </w:r>
      <w:r>
        <w:t xml:space="preserve">. This is to say that, like Butler’s gendered self, there is no substance within singularity. The appearance of a database as finitud comes not from an originary</w:t>
      </w:r>
      <w:r>
        <w:t xml:space="preserve"> </w:t>
      </w:r>
      <w:r>
        <w:rPr>
          <w:i/>
        </w:rPr>
        <w:t xml:space="preserve">archē</w:t>
      </w:r>
      <w:r>
        <w:t xml:space="preserve"> </w:t>
      </w:r>
      <w:r>
        <w:t xml:space="preserve">which would impose its archontic power as is the case of archives. Further, the limit of the database is not instantiated out of the one, a</w:t>
      </w:r>
      <w:r>
        <w:t xml:space="preserve"> </w:t>
      </w:r>
      <w:r>
        <w:t xml:space="preserve">“</w:t>
      </w:r>
      <w:r>
        <w:t xml:space="preserve">unitary assumption</w:t>
      </w:r>
      <w:r>
        <w:t xml:space="preserve">”</w:t>
      </w:r>
      <w:r>
        <w:t xml:space="preserve"> </w:t>
      </w:r>
      <w:r>
        <w:t xml:space="preserve">(Nancy 1991, p. 28)</w:t>
      </w:r>
      <w:r>
        <w:t xml:space="preserve">, or the wholeness of a single one. This finitud does not come from intentionality or any essentialist notions: it simply appears, for Nancy, in the form of touch:</w:t>
      </w:r>
      <w:r>
        <w:t xml:space="preserve"> </w:t>
      </w:r>
      <w:r>
        <w:t xml:space="preserve">“</w:t>
      </w:r>
      <w:r>
        <w:t xml:space="preserve">…as finitude itself: at the end (or at the beginning), with the contact of the</w:t>
      </w:r>
      <w:r>
        <w:t xml:space="preserve"> </w:t>
      </w:r>
      <w:r>
        <w:rPr>
          <w:i/>
        </w:rPr>
        <w:t xml:space="preserve">skin</w:t>
      </w:r>
      <w:r>
        <w:t xml:space="preserve"> </w:t>
      </w:r>
      <w:r>
        <w:t xml:space="preserve">(or the heart) of another singular being, at the confines of the same singularity that is, as such, always other, always shared, always exposed…</w:t>
      </w:r>
      <w:r>
        <w:t xml:space="preserve">”</w:t>
      </w:r>
      <w:r>
        <w:t xml:space="preserve"> </w:t>
      </w:r>
      <w:r>
        <w:t xml:space="preserve">[emphasis added]</w:t>
      </w:r>
      <w:r>
        <w:t xml:space="preserve"> </w:t>
      </w:r>
      <w:r>
        <w:t xml:space="preserve">(Nancy 1991, p. 28)</w:t>
      </w:r>
      <w:r>
        <w:t xml:space="preserve">. The temporality of this touch, like that of gender, is anarchic.</w:t>
      </w:r>
    </w:p>
    <w:p>
      <w:pPr>
        <w:pStyle w:val="Heading5"/>
      </w:pPr>
      <w:bookmarkStart w:id="257" w:name="communities-of-skin"/>
      <w:r>
        <w:t xml:space="preserve">Communities of Skin</w:t>
      </w:r>
      <w:bookmarkEnd w:id="257"/>
    </w:p>
    <w:p>
      <w:pPr>
        <w:pStyle w:val="FirstParagraph"/>
      </w:pPr>
      <w:r>
        <w:t xml:space="preserve">The limit of the database, as performative, spectral skin, is the condition for community to emerges between the human and the nonhuman. This means that the agency locus of the database needs to be placed precisely on its skin, because it is what becomes public of itself. In other words, given that this skin is available to the perception of others, it becomes touchable, it reaches our own limit as databasers. By doing so, that is, by exposing our own limits to ourselves and to each other, the database changes our definition, or, better, delimits the extent of our own singularity. However, this does not mean that it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—or, more accurately, anything that is not</w:t>
      </w:r>
      <w:r>
        <w:t xml:space="preserve"> </w:t>
      </w:r>
      <w:r>
        <w:t xml:space="preserve">‘</w:t>
      </w:r>
      <w:r>
        <w:t xml:space="preserve">man.</w:t>
      </w:r>
      <w:r>
        <w:t xml:space="preserve">’</w:t>
      </w:r>
      <w:r>
        <w:t xml:space="preserve"> </w:t>
      </w:r>
      <w:r>
        <w:t xml:space="preserve">As Nancy rightfully claims,</w:t>
      </w:r>
      <w:r>
        <w:t xml:space="preserve"> </w:t>
      </w:r>
      <w:r>
        <w:t xml:space="preserve">“</w:t>
      </w:r>
      <w:r>
        <w:t xml:space="preserve"> </w:t>
      </w:r>
      <w:r>
        <w:t xml:space="preserve">it is not obvious that the community of singularities is limited to</w:t>
      </w:r>
      <w:r>
        <w:t xml:space="preserve"> </w:t>
      </w:r>
      <w:r>
        <w:t xml:space="preserve">‘</w:t>
      </w:r>
      <w:r>
        <w:t xml:space="preserve">man</w:t>
      </w:r>
      <w:r>
        <w:t xml:space="preserve">’</w:t>
      </w:r>
      <w:r>
        <w:t xml:space="preserve">”</w:t>
      </w:r>
      <w:r>
        <w:t xml:space="preserve"> </w:t>
      </w:r>
      <w:r>
        <w:t xml:space="preserve">(Nancy 1991, p. 28)</w:t>
      </w:r>
      <w:r>
        <w:t xml:space="preserve">.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a resonant spectrality. This is the community of resonance, the community of the resonant network, which has no purpose, no intentionality behind, no essence; only appearance and motility, performance and repetition: an activity that is the unworking with which community exposes itself.</w:t>
      </w:r>
    </w:p>
    <w:p>
      <w:pPr>
        <w:pStyle w:val="Heading5"/>
      </w:pPr>
      <w:bookmarkStart w:id="258" w:name="hybrid-pluralities"/>
      <w:r>
        <w:t xml:space="preserve">Hybrid Pluralities</w:t>
      </w:r>
      <w:bookmarkEnd w:id="258"/>
    </w:p>
    <w:p>
      <w:pPr>
        <w:pStyle w:val="FirstParagraph"/>
      </w:pPr>
      <w:r>
        <w:t xml:space="preserve">Database models tend to reside next to each other, either within a single database system or within an interconnected networked system. With this plurality of the model,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resonanting in such performativity, databasers approach (but do not reach) the limit of the database. This approach to the skin of the database exposes simultaneously the skin of the databaser to the database. What this exposure amounts to is not, however, an opposition of forces. It results in the fragmented state of community that resides in the different degrees of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59" w:name="style"/>
      <w:r>
        <w:t xml:space="preserve">Contingencies Of Style</w:t>
      </w:r>
      <w:bookmarkEnd w:id="259"/>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itself. Databasing projects its own style as a result of its performance, and through this projection comes the exposure of its skin. The</w:t>
      </w:r>
      <w:r>
        <w:t xml:space="preserve"> </w:t>
      </w:r>
      <w:r>
        <w:t xml:space="preserve">“</w:t>
      </w:r>
      <w:r>
        <w:t xml:space="preserve">stylistic repetition of acts</w:t>
      </w:r>
      <w:r>
        <w:t xml:space="preserve">”</w:t>
      </w:r>
      <w:r>
        <w:t xml:space="preserve"> </w:t>
      </w:r>
      <w:r>
        <w:t xml:space="preserve">in the dramatic case of the gendered database is now revealed as style itself. Like skin and voice, singularity emerges as style and timbre.</w:t>
      </w:r>
    </w:p>
    <w:p>
      <w:pPr>
        <w:pStyle w:val="Heading5"/>
      </w:pPr>
      <w:bookmarkStart w:id="260" w:name="style-and-timbre"/>
      <w:r>
        <w:t xml:space="preserve">Style and Timbre</w:t>
      </w:r>
      <w:bookmarkEnd w:id="260"/>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itself, hence resulting in the style of a certain text, or, for that matter, a programming style, or even the style of an author. Beyond writing, style becomes the way in which the body moves, how it looks, whether it is human or nonhuman: the style of a music work, the style of a composer; and beyond, the style of an entire musical period, thus extending style in time and space. Most important,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itself: timbre. That is to say, style and timbre can be understood equally as the presence of the singular: the signature that comes with the unique and irreproducible timbral quality:</w:t>
      </w:r>
      <w:r>
        <w:rPr>
          <w:rStyle w:val="FootnoteReference"/>
        </w:rPr>
        <w:footnoteReference w:id="261"/>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5"/>
      </w:pPr>
      <w:bookmarkStart w:id="262" w:name="endless-databases"/>
      <w:r>
        <w:t xml:space="preserve">Endless Databases</w:t>
      </w:r>
      <w:bookmarkEnd w:id="262"/>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4.2.2</w:t>
        </w:r>
      </w:hyperlink>
      <w:r>
        <w:t xml:space="preserve">). Considering databasing as chaotic systems brings yet another aspect to the contingency of style.</w:t>
      </w:r>
    </w:p>
    <w:p>
      <w:pPr>
        <w:pStyle w:val="Heading5"/>
      </w:pPr>
      <w:bookmarkStart w:id="263" w:name="database-and-chaos"/>
      <w:r>
        <w:t xml:space="preserve">Database and Chaos</w:t>
      </w:r>
      <w:bookmarkEnd w:id="263"/>
    </w:p>
    <w:p>
      <w:pPr>
        <w:pStyle w:val="FirstParagraph"/>
      </w:pPr>
      <w:r>
        <w:t xml:space="preserve">Given that this style can be considered as an emergent singularity of databasing, this singularity can be considered as well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which is also related to the concept of the</w:t>
      </w:r>
      <w:r>
        <w:t xml:space="preserve"> </w:t>
      </w:r>
      <w:r>
        <w:t xml:space="preserve">‘</w:t>
      </w:r>
      <w:r>
        <w:t xml:space="preserve">butterfly effect</w:t>
      </w:r>
      <w:r>
        <w:t xml:space="preserve">’</w:t>
      </w:r>
      <w:r>
        <w:t xml:space="preserve"> </w:t>
      </w:r>
      <w:r>
        <w:t xml:space="preserve">(See Figure</w:t>
      </w:r>
      <w:r>
        <w:t xml:space="preserve"> </w:t>
      </w:r>
      <w:hyperlink w:anchor="img:lorenz_plotter">
        <w:r>
          <w:rPr>
            <w:rStyle w:val="Hyperlink"/>
          </w:rPr>
          <w:t xml:space="preserve">[img:lorenz_plotter]</w:t>
        </w:r>
      </w:hyperlink>
      <w:r>
        <w:t xml:space="preserve">). The Lorenz attractor is a dynamic system, which means that it can render very different and quite unpredictable results by minimal changes on their initial conditions, despite the fact that it is indeed a deterministic system. Furthermore, a graph of a dynamic systems presents fractal properties. Considering, thus, databasing as a dynamic system, on the one hand, two performances can be exactly the same if given the same initial conditions and states. This is the case, for example, of the performance of fixed media (digital) works, which at least at the sample level, every bit of it is exactly the same of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6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65" w:name="img:lorenz_plotter"/>
      <w:r>
        <w:t xml:space="preserve">[img:lorenz_plotter]</w:t>
      </w:r>
      <w:bookmarkEnd w:id="265"/>
    </w:p>
    <w:p>
      <w:pPr>
        <w:pStyle w:val="BodyText"/>
      </w:pPr>
      <w:r>
        <w:t xml:space="preserve">Plotting of the Lorenz system in Pure Data.</w:t>
      </w:r>
    </w:p>
    <w:p>
      <w:pPr>
        <w:pStyle w:val="Heading5"/>
      </w:pPr>
      <w:bookmarkStart w:id="266" w:name="fractality"/>
      <w:r>
        <w:t xml:space="preserve">Fractality</w:t>
      </w:r>
      <w:bookmarkEnd w:id="266"/>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itself, which is the possibility condition for the resonant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On the one hand, because of the fractal dimension, it expands the definition of geometric figures to the infinite. On the other, it presents an unfolding symmetry (self-similarity), which relates to their shapes being replicated nearly exactly in different scales.</w:t>
      </w:r>
    </w:p>
    <w:p>
      <w:pPr>
        <w:pStyle w:val="Heading5"/>
      </w:pPr>
      <w:bookmarkStart w:id="267" w:name="a-music-work-as-a-singularity"/>
      <w:r>
        <w:t xml:space="preserve">A Music Work as a Singularity</w:t>
      </w:r>
      <w:bookmarkEnd w:id="267"/>
    </w:p>
    <w:p>
      <w:pPr>
        <w:pStyle w:val="FirstParagraph"/>
      </w:pPr>
      <w:r>
        <w:t xml:space="preserve">This aesthetic experience, it must be noted, is of a nature that slips through the cracks of traditional conceptualizations of the work of music as a result of stylistic, or stipulated constraints on the part of the composer, or stochastic procedures. For example, composer Horacio Vaggione goes to great lengths to prove that the musical work affirms itself as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had reshaped the black-boxed approach towards composition in</w:t>
      </w:r>
      <w:r>
        <w:t xml:space="preserve"> </w:t>
      </w:r>
      <w:r>
        <w:t xml:space="preserve">cac</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for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Adorno was of course conscious of this dialectic: his statement about sound material considered not as something</w:t>
      </w:r>
      <w:r>
        <w:t xml:space="preserve"> </w:t>
      </w:r>
      <w:r>
        <w:t xml:space="preserve">“</w:t>
      </w:r>
      <w:r>
        <w:t xml:space="preserve">given</w:t>
      </w:r>
      <w:r>
        <w:t xml:space="preserve">”</w:t>
      </w:r>
      <w:r>
        <w:t xml:space="preserve"> </w:t>
      </w:r>
      <w:r>
        <w:t xml:space="preserve">but as a</w:t>
      </w:r>
      <w:r>
        <w:t xml:space="preserve"> </w:t>
      </w:r>
      <w:r>
        <w:t xml:space="preserve">“</w:t>
      </w:r>
      <w:r>
        <w:t xml:space="preserve">result</w:t>
      </w:r>
      <w:r>
        <w:t xml:space="preserve">”</w:t>
      </w:r>
      <w:r>
        <w:t xml:space="preserve"> </w:t>
      </w:r>
      <w:r>
        <w:t xml:space="preserve">of a musical thesis clearly points to this fact. [emphasis added]</w:t>
      </w:r>
      <w:r>
        <w:t xml:space="preserve"> </w:t>
      </w:r>
      <w:r>
        <w:t xml:space="preserve">(Vaggione 2001, p. 59)</w:t>
      </w:r>
    </w:p>
    <w:p>
      <w:pPr>
        <w:pStyle w:val="Heading5"/>
      </w:pPr>
      <w:bookmarkStart w:id="268" w:name="arbitrariness"/>
      <w:r>
        <w:t xml:space="preserve">Arbitrariness</w:t>
      </w:r>
      <w:bookmarkEnd w:id="268"/>
    </w:p>
    <w:p>
      <w:pPr>
        <w:pStyle w:val="FirstParagraph"/>
      </w:pPr>
      <w:r>
        <w:t xml:space="preserve">Despite the fact that, distinguishing between rules and constraints, that is, between socially and historically established canons —as stylistic conventions—, and locally established postulates to be carried out by the composer —as constraints—, is crucial in defining style in databasing, at the same time both ends collapse into the realm of arbitrariness that composition is made of, for, if any</w:t>
      </w:r>
      <w:r>
        <w:t xml:space="preserve"> </w:t>
      </w:r>
      <w:r>
        <w:t xml:space="preserve">“</w:t>
      </w:r>
      <w:r>
        <w:t xml:space="preserve">primitive</w:t>
      </w:r>
      <w:r>
        <w:t xml:space="preserve">”</w:t>
      </w:r>
      <w:r>
        <w:t xml:space="preserve"> </w:t>
      </w:r>
      <w:r>
        <w:t xml:space="preserve">of the composition is indeed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That is to say, given that style is the contingent skin that emerges out of the performative action of databasing, if it were considered productively, that is, in terms of a targeted object towards which work is oriented, then it would only result in closure, in a closed object, and thus, it cannot be considered contingent, precisely because it is stipulated from the start as a law to which every composable element abides. This is the case of, in Vaggione’s sense, formalized processes which act as global laws, and in which —comparing it with a marching army following the one-two directive:</w:t>
      </w:r>
      <w:r>
        <w:t xml:space="preserve"> </w:t>
      </w:r>
      <w:r>
        <w:t xml:space="preserve">“</w:t>
      </w:r>
      <w:r>
        <w:t xml:space="preserve">no singularities —and hence no specific formal (relational) properties— are here allowed</w:t>
      </w:r>
      <w:r>
        <w:t xml:space="preserve">”</w:t>
      </w:r>
      <w:r>
        <w:t xml:space="preserve"> </w:t>
      </w:r>
      <w:r>
        <w:t xml:space="preserve">(Vaggione 1993, p. 101)</w:t>
      </w:r>
      <w:r>
        <w:t xml:space="preserve">.</w:t>
      </w:r>
    </w:p>
    <w:p>
      <w:pPr>
        <w:pStyle w:val="Heading5"/>
      </w:pPr>
      <w:bookmarkStart w:id="269" w:name="inoperative-style"/>
      <w:r>
        <w:t xml:space="preserve">Inoperative Style</w:t>
      </w:r>
      <w:bookmarkEnd w:id="269"/>
    </w:p>
    <w:p>
      <w:pPr>
        <w:pStyle w:val="FirstParagraph"/>
      </w:pPr>
      <w:r>
        <w:t xml:space="preserve">However, if style is understood as inoperative, that is, as the unfolding of the performative act of composition, which implies equally the</w:t>
      </w:r>
      <w:r>
        <w:t xml:space="preserve"> </w:t>
      </w:r>
      <w:r>
        <w:t xml:space="preserve">‘</w:t>
      </w:r>
      <w:r>
        <w:t xml:space="preserve">composability</w:t>
      </w:r>
      <w:r>
        <w:t xml:space="preserve">’</w:t>
      </w:r>
      <w:r>
        <w:t xml:space="preserve"> </w:t>
      </w:r>
      <w:r>
        <w:t xml:space="preserve">of all primitives, then, its contingency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Like the marks on our skin, like its wounds; like the cracks of an old house, like debris, wreckages, or any form of residual mark that is the evidence of an event; with forensic intimacy, the contingent style of a musical unwork reveals itself as communication. This is what connects aesthetic experience of style with forensic (musical) analysis as well as with an encounter with the spectral. Furthermore, this is how the spectral itself cannot be but a result of the inoperative, of that which escapes the limits of the work, and that which, by releasing itself from itself, returns to itself like the timbre of the voice. This voice of the unwork is what is</w:t>
      </w:r>
      <w:r>
        <w:t xml:space="preserve"> </w:t>
      </w:r>
      <w:r>
        <w:t xml:space="preserve">‘</w:t>
      </w:r>
      <w:r>
        <w:t xml:space="preserve">invisible</w:t>
      </w:r>
      <w:r>
        <w:t xml:space="preserve">’</w:t>
      </w:r>
      <w:r>
        <w:t xml:space="preserve"> </w:t>
      </w:r>
      <w:r>
        <w:t xml:space="preserve">to it, or better, it is what it can never listen, and in being hidden or silenced from itself is how it becomes available for listening, what begins listening at the first staging of the waves.</w:t>
      </w:r>
    </w:p>
    <w:p>
      <w:pPr>
        <w:pStyle w:val="Heading3"/>
      </w:pPr>
      <w:bookmarkStart w:id="270" w:name="authority"/>
      <w:r>
        <w:t xml:space="preserve">A Specter Of Authority</w:t>
      </w:r>
      <w:bookmarkEnd w:id="270"/>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exploded as network by the complexity of the system. However, authority is reified into the name because of the interplay among work, productivity, and product. In this section I attempt an approach to the name 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5.1.3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5"/>
      </w:pPr>
      <w:bookmarkStart w:id="271" w:name="the-name"/>
      <w:r>
        <w:t xml:space="preserve">The Name</w:t>
      </w:r>
      <w:bookmarkEnd w:id="271"/>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72"/>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5.2.3</w:t>
        </w:r>
      </w:hyperlink>
      <w:r>
        <w:t xml:space="preserve">), authority can be seen as the illusory resonance of an author. It is this illusion that I attempt to address here, this ghost which haunts music composition.</w:t>
      </w:r>
    </w:p>
    <w:p>
      <w:pPr>
        <w:pStyle w:val="Heading5"/>
      </w:pPr>
      <w:bookmarkStart w:id="273" w:name="dictionaries"/>
      <w:r>
        <w:t xml:space="preserve">Dictionaries</w:t>
      </w:r>
      <w:bookmarkEnd w:id="273"/>
    </w:p>
    <w:p>
      <w:pPr>
        <w:pStyle w:val="FirstParagraph"/>
      </w:pPr>
      <w:r>
        <w:t xml:space="preserve">Consider how style is used in some cases of</w:t>
      </w:r>
      <w:r>
        <w:t xml:space="preserve"> </w:t>
      </w:r>
      <w:r>
        <w:t xml:space="preserve">cac</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w:t>
      </w:r>
      <w:r>
        <w:t xml:space="preserve"> </w:t>
      </w:r>
      <w:r>
        <w:t xml:space="preserve">emi</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hirearchical,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5"/>
      </w:pPr>
      <w:bookmarkStart w:id="274" w:name="artistry"/>
      <w:r>
        <w:t xml:space="preserve">Artistry</w:t>
      </w:r>
      <w:bookmarkEnd w:id="274"/>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(or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75"/>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abundandy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it is a point of departure to think of a branch of Argentinian electroacoustic identity that developed in France.</w:t>
      </w:r>
      <w:r>
        <w:rPr>
          <w:rStyle w:val="FootnoteReference"/>
        </w:rPr>
        <w:footnoteReference w:id="276"/>
      </w:r>
    </w:p>
    <w:p>
      <w:pPr>
        <w:pStyle w:val="Heading5"/>
      </w:pPr>
      <w:bookmarkStart w:id="277" w:name="the-work-of-mice"/>
      <w:r>
        <w:t xml:space="preserve">The Work of Mice</w:t>
      </w:r>
      <w:bookmarkEnd w:id="277"/>
    </w:p>
    <w:p>
      <w:pPr>
        <w:pStyle w:val="FirstParagraph"/>
      </w:pPr>
      <w:r>
        <w:t xml:space="preserve">Instead of being on the rule-based programming of formalization processes alone (keyboard-based input), the artistry of the composer resides in the use of the mouse. The timeline (sequence interface) workflow depends on the pointer. If the presence of the hand of the composer is evidenced by the trajectory (the course of the cursor), it shapes together with the historial of clicks, drag-n-drop motions, etc., the spectral presence of the author. This mouse, as the point of the pointer, the writing device, the ’stilus’, becomes that with which we resonate as listeners. Therefore, we perceive the marks of an authorial skin in the database music of pointers. The Vaggionian singularity-based approach to authority embeds composers and computers in a complex system, allowing for the world of music with computers to be a hybrid one. This is how the specter of the author coexists with the specter of the database, and thus, how databasing and composition reveal themselves to be instances of a performativity that resonates aesthetically through the work of music.</w:t>
      </w:r>
    </w:p>
    <w:p>
      <w:pPr>
        <w:pStyle w:val="Heading2"/>
      </w:pPr>
      <w:bookmarkStart w:id="278" w:name="section:Rethinking_Composition"/>
      <w:r>
        <w:t xml:space="preserve">Rethinking Composition</w:t>
      </w:r>
      <w:bookmarkEnd w:id="278"/>
    </w:p>
    <w:p>
      <w:pPr>
        <w:pStyle w:val="Heading3"/>
      </w:pPr>
      <w:bookmarkStart w:id="279" w:name="performance"/>
      <w:r>
        <w:t xml:space="preserve">Interlude: Hyperbolic Reactions</w:t>
      </w:r>
      <w:bookmarkEnd w:id="279"/>
    </w:p>
    <w:p>
      <w:pPr>
        <w:pStyle w:val="Heading5"/>
      </w:pPr>
      <w:bookmarkStart w:id="280" w:name="imagining-composers"/>
      <w:r>
        <w:t xml:space="preserve">Imagining Composers</w:t>
      </w:r>
      <w:bookmarkEnd w:id="280"/>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anachronic and obtrusive; anachronic, since the romantic quality of the scene would point to the fact that personal desktop computers were not available until late in the 20th century; obtrusive, in the sense that it would attempt against this composer, by interfering with the</w:t>
      </w:r>
      <w:r>
        <w:t xml:space="preserve"> </w:t>
      </w:r>
      <w:r>
        <w:t xml:space="preserve">‘</w:t>
      </w:r>
      <w:r>
        <w:t xml:space="preserve">ethereal</w:t>
      </w:r>
      <w:r>
        <w:t xml:space="preserve">’</w:t>
      </w:r>
      <w:r>
        <w:t xml:space="preserve"> </w:t>
      </w:r>
      <w:r>
        <w:t xml:space="preserve">link between imagination and notation. This reification of the composer already precludes not only the digital, also the many technological devices that have entered music composition over the years, such as tape recorders, or electronics in general. These technological devices have redefined the composer in many ways.</w:t>
      </w:r>
    </w:p>
    <w:p>
      <w:pPr>
        <w:pStyle w:val="Heading5"/>
      </w:pPr>
      <w:bookmarkStart w:id="281" w:name="composers-and-technology"/>
      <w:r>
        <w:t xml:space="preserve">Composers and Technology</w:t>
      </w:r>
      <w:bookmarkEnd w:id="281"/>
    </w:p>
    <w:p>
      <w:pPr>
        <w:pStyle w:val="FirstParagraph"/>
      </w:pPr>
      <w:r>
        <w:t xml:space="preserve">Georgina Born’s ethnography of</w:t>
      </w:r>
      <w:r>
        <w:t xml:space="preserve"> </w:t>
      </w:r>
      <w:r>
        <w:t xml:space="preserve">ircam</w:t>
      </w:r>
      <w:r>
        <w:t xml:space="preserve"> </w:t>
      </w:r>
      <w:r>
        <w:t xml:space="preserve">(Born 1995)</w:t>
      </w:r>
      <w:r>
        <w:t xml:space="preserve">, 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describes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knowing what they were doing or even whether they were working at all</w:t>
      </w:r>
      <w:r>
        <w:t xml:space="preserve">”</w:t>
      </w:r>
      <w:r>
        <w:t xml:space="preserve"> </w:t>
      </w:r>
      <w:r>
        <w:t xml:space="preserve">(Born 1995, p. 272)</w:t>
      </w:r>
      <w:r>
        <w:t xml:space="preserve">.</w:t>
      </w:r>
    </w:p>
    <w:p>
      <w:pPr>
        <w:pStyle w:val="Heading5"/>
      </w:pPr>
      <w:bookmarkStart w:id="282" w:name="playing-with-shadows"/>
      <w:r>
        <w:t xml:space="preserve">Playing with Shadows</w:t>
      </w:r>
      <w:bookmarkEnd w:id="282"/>
    </w:p>
    <w:p>
      <w:pPr>
        <w:pStyle w:val="FirstParagraph"/>
      </w:pPr>
      <w:r>
        <w:t xml:space="preserve">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anyone but Boulez on her transcriptions might attest to this shadow. The music maker has been traditionally considered an outsider, marginalized by society, but simultaneously an integrator of society itself</w:t>
      </w:r>
      <w:r>
        <w:t xml:space="preserve"> </w:t>
      </w:r>
      <w:r>
        <w:t xml:space="preserve">(Attali 2009, p. 12)</w:t>
      </w:r>
      <w:r>
        <w:t xml:space="preserve">. On the other hand, this shadow might also be that of the computer itself, the structural presence of a fictional intelligence constructed upon first wave cybernetics. That is to say, precisely because the computer projects an insurmountable power that comes from its calculations, the human is inevitably bound to be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as well as the reversal of the human-computer subordination evidenced in the social strata of the institution. In any case,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5"/>
      </w:pPr>
      <w:bookmarkStart w:id="283" w:name="composers-without-computers"/>
      <w:r>
        <w:t xml:space="preserve">Composers Without Computers</w:t>
      </w:r>
      <w:bookmarkEnd w:id="283"/>
    </w:p>
    <w:p>
      <w:pPr>
        <w:pStyle w:val="FirstParagraph"/>
      </w:pPr>
      <w:r>
        <w:t xml:space="preserve">Composing with or without computers cannot be seen as poles on a continuum upon which the name of the composer writes and rewrites itself. Composing cannot be separated from computers, because the human cannot be separated from the non. At the risk of drawing a straw-man out of this computer-less composer, it is very unlikely in today’s world to imagine a composer that has not googled</w:t>
      </w:r>
      <w:r>
        <w:t xml:space="preserve"> </w:t>
      </w:r>
      <w:r>
        <w:t xml:space="preserve">‘</w:t>
      </w:r>
      <w:r>
        <w:t xml:space="preserve">clarinet multiphonics</w:t>
      </w:r>
      <w:r>
        <w:t xml:space="preserve">’</w:t>
      </w:r>
      <w:r>
        <w:t xml:space="preserve"> </w:t>
      </w:r>
      <w:r>
        <w:t xml:space="preserve">for more than a few YouTube tutorials on the topic. The same can be said for digitized music listening, which,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 composer, that would not need the human to write music.</w:t>
      </w:r>
    </w:p>
    <w:p>
      <w:pPr>
        <w:pStyle w:val="Heading5"/>
      </w:pPr>
      <w:bookmarkStart w:id="284" w:name="databasing-without-computers"/>
      <w:r>
        <w:t xml:space="preserve">Databasing Without Computers</w:t>
      </w:r>
      <w:bookmarkEnd w:id="284"/>
    </w:p>
    <w:p>
      <w:pPr>
        <w:pStyle w:val="FirstParagraph"/>
      </w:pPr>
      <w:r>
        <w:t xml:space="preserve">The same applies to databasing itself. Removing computers altogether from databasing takes us to the world of libraries, encyclopedias, collectors, gatherers. Most important, it takes us to the place databasing occupies within society: to museums, but also to the dynamics of civilization, to church, put simply: to institutionalization itself. That is to say, it relates performance with the archontic, with the oedipal drive to re-place (See</w:t>
      </w:r>
      <w:r>
        <w:t xml:space="preserve"> </w:t>
      </w:r>
      <w:hyperlink w:anchor="archontic">
        <w:r>
          <w:rPr>
            <w:rStyle w:val="Hyperlink"/>
          </w:rPr>
          <w:t xml:space="preserve">5.2.3</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5.2.1</w:t>
        </w:r>
      </w:hyperlink>
      <w:r>
        <w:t xml:space="preserve">), and the only possible storage medium would be his memory. Hopefully, the reader would consider this resort to hyperbolic fictions less as a means of justification of the hybrid condition of composition and databasing, and more as an absurd parenthesis that brings nothing of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of their validity, only in terms of their definition, which, for the purposes of this text, is understood as built upon organicist notions of the human: the human as the one, indivisible, complete whole. These notions are precisely those that help reify the image of the composer in its essentiality.</w:t>
      </w:r>
    </w:p>
    <w:p>
      <w:pPr>
        <w:pStyle w:val="Heading3"/>
      </w:pPr>
      <w:bookmarkStart w:id="285" w:name="organic"/>
      <w:r>
        <w:t xml:space="preserve">Working Composition</w:t>
      </w:r>
      <w:bookmarkEnd w:id="285"/>
    </w:p>
    <w:p>
      <w:pPr>
        <w:pStyle w:val="BlockText"/>
      </w:pPr>
      <w:r>
        <w:t xml:space="preserve">And the listening in question here is not that of a given listener, or of a category of listeners one has to take into account; it is rather structural listening in Adorno’s sense —or even, beyond Adorno, a</w:t>
      </w:r>
      <w:r>
        <w:t xml:space="preserve"> </w:t>
      </w:r>
      <w:r>
        <w:rPr>
          <w:i/>
        </w:rPr>
        <w:t xml:space="preserve">listening without listener in which the work listens to itself</w:t>
      </w:r>
      <w:r>
        <w:t xml:space="preserve">. …we hear an organicist concept of the work being strongly articulated [by Schoenberg] (where the work is a whole that doesn’t allow any cuts) and a regime of listening whose ultimate, ideal aim is the absorption or resorption of the listener in the work. A listener who is somewhat distracted, inattentive, who would skip over a few tracks daydreaming —</w:t>
      </w:r>
      <w:r>
        <w:rPr>
          <w:i/>
        </w:rPr>
        <w:t xml:space="preserve">such a listener could fall away like a dead limb</w:t>
      </w:r>
      <w:r>
        <w:t xml:space="preserve">.</w:t>
      </w:r>
      <w:r>
        <w:t xml:space="preserve"> </w:t>
      </w:r>
      <w:r>
        <w:rPr>
          <w:i/>
        </w:rPr>
        <w:t xml:space="preserve">Useless</w:t>
      </w:r>
      <w:r>
        <w:t xml:space="preserve">. Bringing nothing to the great corpus of the work. This organicism, in the radical (or structural) tendency that Schoenberg gives it, forms the cornerstone of the construction of a modernist regime of listening. [emphasis added]</w:t>
      </w:r>
      <w:r>
        <w:t xml:space="preserve"> </w:t>
      </w:r>
      <w:r>
        <w:t xml:space="preserve">(Szendy 2008, p. 127)</w:t>
      </w:r>
    </w:p>
    <w:p>
      <w:pPr>
        <w:pStyle w:val="FirstParagraph"/>
      </w:pPr>
      <w:r>
        <w:t xml:space="preserve">In Peter Szendy’s discussion on Schoenberg’s modern organicism and what he calls</w:t>
      </w:r>
      <w:r>
        <w:t xml:space="preserve"> </w:t>
      </w:r>
      <w:r>
        <w:t xml:space="preserve">“</w:t>
      </w:r>
      <w:r>
        <w:t xml:space="preserve">the modernist regime of listening</w:t>
      </w:r>
      <w:r>
        <w:t xml:space="preserve">”</w:t>
      </w:r>
      <w:r>
        <w:t xml:space="preserve"> </w:t>
      </w:r>
      <w:r>
        <w:t xml:space="preserve">(Szendy 2008)</w:t>
      </w:r>
      <w:r>
        <w:t xml:space="preserve">,</w:t>
      </w:r>
      <w:r>
        <w:t xml:space="preserve"> </w:t>
      </w:r>
      <w:r>
        <w:t xml:space="preserve">‘</w:t>
      </w:r>
      <w:r>
        <w:t xml:space="preserve">listening</w:t>
      </w:r>
      <w:r>
        <w:t xml:space="preserve">’</w:t>
      </w:r>
      <w:r>
        <w:t xml:space="preserve"> </w:t>
      </w:r>
      <w:r>
        <w:t xml:space="preserve">and</w:t>
      </w:r>
      <w:r>
        <w:t xml:space="preserve"> </w:t>
      </w:r>
      <w:r>
        <w:t xml:space="preserve">‘</w:t>
      </w:r>
      <w:r>
        <w:t xml:space="preserve">work</w:t>
      </w:r>
      <w:r>
        <w:t xml:space="preserve">’</w:t>
      </w:r>
      <w:r>
        <w:t xml:space="preserve"> </w:t>
      </w:r>
      <w:r>
        <w:t xml:space="preserve">collapse into each other, and the problem of the music work can be articulated. The image of the composer and the practice of composition can be understood differently, and by extension, databasing will be reconfigured as well, and the database as that which is a product (or work) of databasing will in turn be seen differently.</w:t>
      </w:r>
    </w:p>
    <w:p>
      <w:pPr>
        <w:pStyle w:val="Heading5"/>
      </w:pPr>
      <w:bookmarkStart w:id="286" w:name="the-work-problem"/>
      <w:r>
        <w:t xml:space="preserve">The Work Problem</w:t>
      </w:r>
      <w:bookmarkEnd w:id="286"/>
    </w:p>
    <w:p>
      <w:pPr>
        <w:pStyle w:val="FirstParagraph"/>
      </w:pPr>
      <w:r>
        <w:t xml:space="preserve">In what does this articulation of the problem of the music work consist of? First of all, why is it a problem? As Szendy suggests with the metaphor of the the self-amputation of the listener, we as the body of listeners (the listening body) would be severed. Put differently, listening itself would be delineated from outside itself. That is to say, with the presence of an object (music work) which, in its interest of perfecting, polishing, and thus giving itself a</w:t>
      </w:r>
      <w:r>
        <w:t xml:space="preserve"> </w:t>
      </w:r>
      <w:r>
        <w:t xml:space="preserve">‘</w:t>
      </w:r>
      <w:r>
        <w:t xml:space="preserve">finish,</w:t>
      </w:r>
      <w:r>
        <w:t xml:space="preserve">’</w:t>
      </w:r>
      <w:r>
        <w:t xml:space="preserve"> </w:t>
      </w:r>
      <w:r>
        <w:t xml:space="preserve">would shape and reshape listening until an ideal listening was achieved. The work would work out listening as work. This is the point: the moment the work of music begins to act as</w:t>
      </w:r>
      <w:r>
        <w:t xml:space="preserve"> </w:t>
      </w:r>
      <w:r>
        <w:t xml:space="preserve">‘</w:t>
      </w:r>
      <w:r>
        <w:t xml:space="preserve">work</w:t>
      </w:r>
      <w:r>
        <w:t xml:space="preserve">’</w:t>
      </w:r>
      <w:r>
        <w:t xml:space="preserve"> </w:t>
      </w:r>
      <w:r>
        <w:t xml:space="preserve">itself, its listening is worked out as well, not by the physicality of the waves in media, nor by the virtuality of perception, but by the concept of</w:t>
      </w:r>
      <w:r>
        <w:t xml:space="preserve"> </w:t>
      </w:r>
      <w:r>
        <w:t xml:space="preserve">‘</w:t>
      </w:r>
      <w:r>
        <w:t xml:space="preserve">work</w:t>
      </w:r>
      <w:r>
        <w:t xml:space="preserve">’</w:t>
      </w:r>
      <w:r>
        <w:t xml:space="preserve"> </w:t>
      </w:r>
      <w:r>
        <w:t xml:space="preserve">itself. The</w:t>
      </w:r>
      <w:r>
        <w:t xml:space="preserve"> </w:t>
      </w:r>
      <w:r>
        <w:t xml:space="preserve">“</w:t>
      </w:r>
      <w:r>
        <w:t xml:space="preserve">modern regime of listening</w:t>
      </w:r>
      <w:r>
        <w:t xml:space="preserve">”</w:t>
      </w:r>
      <w:r>
        <w:t xml:space="preserve"> </w:t>
      </w:r>
      <w:r>
        <w:t xml:space="preserve">played this through and through, shaping its listeners into an idealized listener. In this sense, this listener displays a measured listening, tailored, developed into different degrees of listening like a</w:t>
      </w:r>
      <w:r>
        <w:t xml:space="preserve"> </w:t>
      </w:r>
      <w:r>
        <w:rPr>
          <w:i/>
        </w:rPr>
        <w:t xml:space="preserve">gradus ad auscultare</w:t>
      </w:r>
      <w:r>
        <w:t xml:space="preserve">, one existing beyond any psychoacoustic measuring.</w:t>
      </w:r>
    </w:p>
    <w:p>
      <w:pPr>
        <w:pStyle w:val="Heading5"/>
      </w:pPr>
      <w:bookmarkStart w:id="287" w:name="working-rules"/>
      <w:r>
        <w:t xml:space="preserve">Working Rules</w:t>
      </w:r>
      <w:bookmarkEnd w:id="287"/>
    </w:p>
    <w:p>
      <w:pPr>
        <w:pStyle w:val="FirstParagraph"/>
      </w:pPr>
      <w:r>
        <w:t xml:space="preserve">From the shaping of listening by the work, and from the working activity that is performed by the work itself, the presence of the work as an object can be thus traced. In other words, the work of the music work can be considered as the work of an agent in the composition network: the music-work-as-object and the listening-as-object become nodes. In the modernist regime, the hierarchy priorizes the ruler (work-node), and all that can be identified with listening-node is arrived at by subordinating the relations to the work-node, and by restricting the directionality of this relation to being</w:t>
      </w:r>
      <w:r>
        <w:t xml:space="preserve"> </w:t>
      </w:r>
      <m:oMath>
        <m:r>
          <m:t>→</m:t>
        </m:r>
      </m:oMath>
      <w:r>
        <w:t xml:space="preserve"> </w:t>
      </w:r>
      <w:r>
        <w:t xml:space="preserve">. The only exception is, of course, the extremely cultivated case of composers, which revert the arrow. This exception, however, is not so much an exception, as it is the prescription of the rule and of ruling itself, since it is this reversal what enables the structure in the first place: the ruling of the exception. This is what occurs when the work begins to listen to itself. Which is radically different from the case of a</w:t>
      </w:r>
      <w:r>
        <w:t xml:space="preserve"> </w:t>
      </w:r>
      <w:r>
        <w:rPr>
          <w:i/>
        </w:rPr>
        <w:t xml:space="preserve">listening</w:t>
      </w:r>
      <w:r>
        <w:t xml:space="preserve"> </w:t>
      </w:r>
      <w:r>
        <w:t xml:space="preserve">that listens to itself. Jean-Luc Nancy, in the foreword to Szendy’s text, considers that</w:t>
      </w:r>
      <w:r>
        <w:t xml:space="preserve"> </w:t>
      </w:r>
      <w:r>
        <w:t xml:space="preserve">“</w:t>
      </w:r>
      <w:r>
        <w:t xml:space="preserve">music places us outside of ourselves,</w:t>
      </w:r>
      <w:r>
        <w:t xml:space="preserve">”</w:t>
      </w:r>
      <w:r>
        <w:t xml:space="preserve"> </w:t>
      </w:r>
      <w:r>
        <w:t xml:space="preserve">because</w:t>
      </w:r>
      <w:r>
        <w:t xml:space="preserve"> </w:t>
      </w:r>
      <w:r>
        <w:t xml:space="preserve">“</w:t>
      </w:r>
      <w:r>
        <w:t xml:space="preserve">…what listens to itself is not just what resounds in the self and what rebounds to the self: this same movement, and this very movement, places it outside of self and makes its rebound overflow.</w:t>
      </w:r>
      <w:r>
        <w:t xml:space="preserve"> </w:t>
      </w:r>
      <w:r>
        <w:t xml:space="preserve">(Szendy 2008 xii)</w:t>
      </w:r>
      <w:r>
        <w:t xml:space="preserve">”</w:t>
      </w:r>
      <w:r>
        <w:t xml:space="preserve"> </w:t>
      </w:r>
      <w:r>
        <w:t xml:space="preserve">As I have explained before using Nancy’s concept of the resonance of a return (See</w:t>
      </w:r>
      <w:r>
        <w:t xml:space="preserve"> </w:t>
      </w:r>
      <w:hyperlink w:anchor="resonance_of_a_return">
        <w:r>
          <w:rPr>
            <w:rStyle w:val="Hyperlink"/>
          </w:rPr>
          <w:t xml:space="preserve">5.1.2</w:t>
        </w:r>
      </w:hyperlink>
      <w:r>
        <w:t xml:space="preserve">), listening is an approach to the relationship in self. Implementing this relationship within the dynamics of listening and work, the previous graph can be revised as follows.</w:t>
      </w:r>
      <w:r>
        <w:t xml:space="preserve"> </w:t>
      </w:r>
      <w:r>
        <w:t xml:space="preserve">‘</w:t>
      </w:r>
      <w:r>
        <w:t xml:space="preserve">Work</w:t>
      </w:r>
      <w:r>
        <w:t xml:space="preserve">’</w:t>
      </w:r>
      <w:r>
        <w:t xml:space="preserve"> </w:t>
      </w:r>
      <w:r>
        <w:t xml:space="preserve">and</w:t>
      </w:r>
      <w:r>
        <w:t xml:space="preserve"> </w:t>
      </w:r>
      <w:r>
        <w:t xml:space="preserve">‘</w:t>
      </w:r>
      <w:r>
        <w:t xml:space="preserve">listening</w:t>
      </w:r>
      <w:r>
        <w:t xml:space="preserve">’</w:t>
      </w:r>
      <w:r>
        <w:t xml:space="preserve"> </w:t>
      </w:r>
      <w:r>
        <w:t xml:space="preserve">would exist as well in relation, with the difference now that it is a relation that exists in a permanent state of overload, redundancy, or excess:</w:t>
      </w:r>
      <w:r>
        <w:t xml:space="preserve"> </w:t>
      </w:r>
      <m:oMath>
        <m:r>
          <m:t>←</m:t>
        </m:r>
        <m:r>
          <m:t>→</m:t>
        </m:r>
      </m:oMath>
      <w:r>
        <w:t xml:space="preserve"> </w:t>
      </w:r>
      <w:r>
        <w:t xml:space="preserve">.</w:t>
      </w:r>
    </w:p>
    <w:p>
      <w:pPr>
        <w:pStyle w:val="Heading5"/>
      </w:pPr>
      <w:bookmarkStart w:id="288" w:name="a-space-of-difference"/>
      <w:r>
        <w:t xml:space="preserve">A Space of Difference</w:t>
      </w:r>
      <w:bookmarkEnd w:id="288"/>
    </w:p>
    <w:p>
      <w:pPr>
        <w:pStyle w:val="FirstParagraph"/>
      </w:pPr>
      <w:r>
        <w:t xml:space="preserve">In thinking listening this way, the concept of the work is relieved of its duties, discharged, fired, it becomes unemployed. The regime of listening becomes a listening space, but a space not of equality: a space of difference. Within this space where difference resonates, the music work no longer</w:t>
      </w:r>
      <w:r>
        <w:t xml:space="preserve"> </w:t>
      </w:r>
      <w:r>
        <w:t xml:space="preserve">‘</w:t>
      </w:r>
      <w:r>
        <w:t xml:space="preserve">works</w:t>
      </w:r>
      <w:r>
        <w:t xml:space="preserve">’</w:t>
      </w:r>
      <w:r>
        <w:t xml:space="preserve">, it</w:t>
      </w:r>
      <w:r>
        <w:t xml:space="preserve"> </w:t>
      </w:r>
      <w:r>
        <w:t xml:space="preserve">‘</w:t>
      </w:r>
      <w:r>
        <w:t xml:space="preserve">unworks</w:t>
      </w:r>
      <w:r>
        <w:t xml:space="preserve">’</w:t>
      </w:r>
      <w:r>
        <w:t xml:space="preserve"> </w:t>
      </w:r>
      <w:r>
        <w:t xml:space="preserve">(See</w:t>
      </w:r>
      <w:r>
        <w:t xml:space="preserve"> </w:t>
      </w:r>
      <w:hyperlink w:anchor="inoperativity">
        <w:r>
          <w:rPr>
            <w:rStyle w:val="Hyperlink"/>
          </w:rPr>
          <w:t xml:space="preserve">5.1.4</w:t>
        </w:r>
      </w:hyperlink>
      <w:r>
        <w:t xml:space="preserve">). That is to say, the relations between the different resonant points in the composition network expose themselves in a state of suspension, or interruption, creating space with the space of their own incompleteness by the fractality of their fracture. Thus, inoperativity is creation, it is techne, but it is a creativity that is necessarily indefinite, incomplete: the moment it becomes a thing it begins to work in the realm of the</w:t>
      </w:r>
      <w:r>
        <w:t xml:space="preserve"> </w:t>
      </w:r>
      <w:r>
        <w:t xml:space="preserve">‘</w:t>
      </w:r>
      <w:r>
        <w:t xml:space="preserve">archi</w:t>
      </w:r>
      <w:r>
        <w:t xml:space="preserve">’</w:t>
      </w:r>
      <w:r>
        <w:t xml:space="preserve">; the moment it remains suspended upon its limit, it unworks in negation of the</w:t>
      </w:r>
      <w:r>
        <w:t xml:space="preserve"> </w:t>
      </w:r>
      <w:r>
        <w:t xml:space="preserve">‘</w:t>
      </w:r>
      <w:r>
        <w:t xml:space="preserve">archi</w:t>
      </w:r>
      <w:r>
        <w:t xml:space="preserve">’</w:t>
      </w:r>
      <w:r>
        <w:t xml:space="preserve">. One is tempted to place this inoperativity in utopia, in the very instance of the non-place itself, but then one would forget what is already</w:t>
      </w:r>
      <w:r>
        <w:t xml:space="preserve"> </w:t>
      </w:r>
      <w:r>
        <w:t xml:space="preserve">‘</w:t>
      </w:r>
      <w:r>
        <w:t xml:space="preserve">there</w:t>
      </w:r>
      <w:r>
        <w:t xml:space="preserve">’</w:t>
      </w:r>
      <w:r>
        <w:t xml:space="preserve">, the fluid medium, as well as gravity itself, which was until recent studies, thought of as unrelated to sound.</w:t>
      </w:r>
      <w:r>
        <w:rPr>
          <w:rStyle w:val="FootnoteReference"/>
        </w:rPr>
        <w:footnoteReference w:id="289"/>
      </w:r>
      <w:r>
        <w:t xml:space="preserve"> </w:t>
      </w:r>
      <w:r>
        <w:t xml:space="preserve">One would be tempted, equally, to place this inoperativity outside temporality itself, but then one would forget forgetfulness itself. Inoperativity is within the resonant space of an always.</w:t>
      </w:r>
    </w:p>
    <w:p>
      <w:pPr>
        <w:pStyle w:val="Heading5"/>
      </w:pPr>
      <w:bookmarkStart w:id="290" w:name="a-severed-work"/>
      <w:r>
        <w:t xml:space="preserve">A Severed Work</w:t>
      </w:r>
      <w:bookmarkEnd w:id="290"/>
    </w:p>
    <w:p>
      <w:pPr>
        <w:pStyle w:val="FirstParagraph"/>
      </w:pPr>
      <w:r>
        <w:t xml:space="preserve">What constitutes, then, that moment when the music work becomes a work? How is it possible for the work to become a thing, for the object to become the ruler, for the regime to be built on the first place, if the resonant space is already an inoperative space, interrupted and suspended? I would like to revert Szendy’s metaphor of the amputated limb, and propose that it is the music work itself what is amputated, what falls off, the moment that it becomes a finished thing. Thus, just like the modern inattentive listener falls in the uselessness of its excess, sound</w:t>
      </w:r>
      <w:r>
        <w:t xml:space="preserve"> </w:t>
      </w:r>
      <w:r>
        <w:t xml:space="preserve">‘</w:t>
      </w:r>
      <w:r>
        <w:t xml:space="preserve">outside</w:t>
      </w:r>
      <w:r>
        <w:t xml:space="preserve">’</w:t>
      </w:r>
      <w:r>
        <w:t xml:space="preserve"> </w:t>
      </w:r>
      <w:r>
        <w:t xml:space="preserve">the work is cut from the work, fading out in the uselessness of its excess. Like the human in Kittler’s digitally converged apocalypse, redundancy is out of the question, it is left at the gates of the majestic concert hall, with the rest of the (useless) humans: it is literally and conceptually placed outside architecture itself. The created work, in its essential nature of being a cohesive, coherent whole, separates itself from the world of mechanical waves, and forms the one and only work: the piece of music. A</w:t>
      </w:r>
      <w:r>
        <w:t xml:space="preserve"> </w:t>
      </w:r>
      <w:r>
        <w:t xml:space="preserve">‘</w:t>
      </w:r>
      <w:r>
        <w:t xml:space="preserve">piece</w:t>
      </w:r>
      <w:r>
        <w:t xml:space="preserve">’</w:t>
      </w:r>
      <w:r>
        <w:t xml:space="preserve"> </w:t>
      </w:r>
      <w:r>
        <w:t xml:space="preserve">not because it is in itself incomplete, but because it is the piece of the whole of the work of the composer.</w:t>
      </w:r>
    </w:p>
    <w:p>
      <w:pPr>
        <w:pStyle w:val="Heading5"/>
      </w:pPr>
      <w:bookmarkStart w:id="291" w:name="absorbption"/>
      <w:r>
        <w:t xml:space="preserve">Absorbption</w:t>
      </w:r>
      <w:bookmarkEnd w:id="291"/>
    </w:p>
    <w:p>
      <w:pPr>
        <w:pStyle w:val="FirstParagraph"/>
      </w:pPr>
      <w:r>
        <w:t xml:space="preserve">I would like to add to this worldview another concept brought by Szendy, that of</w:t>
      </w:r>
      <w:r>
        <w:t xml:space="preserve"> </w:t>
      </w:r>
      <w:r>
        <w:t xml:space="preserve">‘</w:t>
      </w:r>
      <w:r>
        <w:t xml:space="preserve">absorption.</w:t>
      </w:r>
      <w:r>
        <w:t xml:space="preserve">’</w:t>
      </w:r>
      <w:r>
        <w:t xml:space="preserve"> </w:t>
      </w:r>
      <w:r>
        <w:t xml:space="preserve">He claims that it is the absorption of the listener in the work what is the ultimate aim of this modern regime of listening. Not surprisingly,</w:t>
      </w:r>
      <w:r>
        <w:t xml:space="preserve"> </w:t>
      </w:r>
      <w:r>
        <w:t xml:space="preserve">‘</w:t>
      </w:r>
      <w:r>
        <w:t xml:space="preserve">absorption</w:t>
      </w:r>
      <w:r>
        <w:t xml:space="preserve">’</w:t>
      </w:r>
      <w:r>
        <w:t xml:space="preserve"> </w:t>
      </w:r>
      <w:r>
        <w:t xml:space="preserve">is the key concept in Iannis Xenakis’ narrative of the fours stages of degradation of Western Music’s</w:t>
      </w:r>
      <w:r>
        <w:t xml:space="preserve"> </w:t>
      </w:r>
      <w:r>
        <w:t xml:space="preserve">“</w:t>
      </w:r>
      <w:r>
        <w:t xml:space="preserve">outside-time structures,</w:t>
      </w:r>
      <w:r>
        <w:t xml:space="preserve">”</w:t>
      </w:r>
      <w:r>
        <w:t xml:space="preserve"> </w:t>
      </w:r>
      <w:r>
        <w:t xml:space="preserve">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Further,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Therefore, considering the organicity of the work in Xenakis’s overly modern gesture towards unity, metastructure, and mechanization,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how can these notions of inoperativity be found together within architecture? How would this archi-techne be designed? Would it still be the product of the</w:t>
      </w:r>
      <w:r>
        <w:t xml:space="preserve"> </w:t>
      </w:r>
      <w:r>
        <w:t xml:space="preserve">‘</w:t>
      </w:r>
      <w:r>
        <w:t xml:space="preserve">archi</w:t>
      </w:r>
      <w:r>
        <w:t xml:space="preserve">’</w:t>
      </w:r>
      <w:r>
        <w:t xml:space="preserve">? Where is the poison that Xenakis the architect and composer, was identifying with</w:t>
      </w:r>
      <w:r>
        <w:t xml:space="preserve"> </w:t>
      </w:r>
      <w:r>
        <w:t xml:space="preserve">‘</w:t>
      </w:r>
      <w:r>
        <w:t xml:space="preserve">industrialized</w:t>
      </w:r>
      <w:r>
        <w:t xml:space="preserve">’</w:t>
      </w:r>
      <w:r>
        <w:t xml:space="preserve"> </w:t>
      </w:r>
      <w:r>
        <w:t xml:space="preserve">music? Is it not a product of modernity itself, as the working that listened to itself to the point of working out a Xenakis-listener-node to the extreme?</w:t>
      </w:r>
    </w:p>
    <w:p>
      <w:pPr>
        <w:pStyle w:val="Heading3"/>
      </w:pPr>
      <w:bookmarkStart w:id="292" w:name="practice"/>
      <w:r>
        <w:t xml:space="preserve">The Composer As Navigator</w:t>
      </w:r>
      <w:bookmarkEnd w:id="292"/>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5"/>
      </w:pPr>
      <w:bookmarkStart w:id="293" w:name="querying-the-sieves"/>
      <w:r>
        <w:t xml:space="preserve">Querying the Sieves</w:t>
      </w:r>
      <w:bookmarkEnd w:id="293"/>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is, not surprisingly, the computer itself, and not just any computer, the</w:t>
      </w:r>
      <w:r>
        <w:t xml:space="preserve"> </w:t>
      </w:r>
      <w:r>
        <w:t xml:space="preserve">ibm-7090</w:t>
      </w:r>
      <w:r>
        <w:t xml:space="preserve">.</w:t>
      </w:r>
      <w:r>
        <w:rPr>
          <w:rStyle w:val="FootnoteReference"/>
        </w:rPr>
        <w:footnoteReference w:id="294"/>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97"/>
      </w:r>
      <w:r>
        <w:t xml:space="preserve"> </w:t>
      </w:r>
      <w:r>
        <w:t xml:space="preserve">Xenakis’s work on sieves came a few years after his experiments on the</w:t>
      </w:r>
      <w:r>
        <w:t xml:space="preserve"> </w:t>
      </w:r>
      <w:r>
        <w:t xml:space="preserve">ibm-7090</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98"/>
      </w:r>
    </w:p>
    <w:p>
      <w:pPr>
        <w:pStyle w:val="Heading5"/>
      </w:pPr>
      <w:bookmarkStart w:id="299" w:name="sound-synthesis-parenthesis"/>
      <w:r>
        <w:t xml:space="preserve">Sound Synthesis Parenthesis</w:t>
      </w:r>
      <w:bookmarkEnd w:id="299"/>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300"/>
      </w:r>
      <w:r>
        <w:t xml:space="preserve"> </w:t>
      </w:r>
      <w:r>
        <w:t xml:space="preserve">I will close this parenthesis, not without returning to this discussion in the following section (See</w:t>
      </w:r>
      <w:r>
        <w:t xml:space="preserve"> </w:t>
      </w:r>
      <w:hyperlink w:anchor="improv">
        <w:r>
          <w:rPr>
            <w:rStyle w:val="Hyperlink"/>
          </w:rPr>
          <w:t xml:space="preserve">5.4.4</w:t>
        </w:r>
      </w:hyperlink>
      <w:r>
        <w:t xml:space="preserve">))</w:t>
      </w:r>
    </w:p>
    <w:p>
      <w:pPr>
        <w:pStyle w:val="Heading5"/>
      </w:pPr>
      <w:bookmarkStart w:id="302" w:name="algebraic-abstractions-for-freedom"/>
      <w:r>
        <w:t xml:space="preserve">Algebraic Abstractions for Freedom</w:t>
      </w:r>
      <w:bookmarkEnd w:id="302"/>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While sieve theory was aimed at providing a plethora of computable sets (or relations) of pitches, according to different temperings of the smallest displacement unit and the selected value for the modulo operator, Codd’s relational algebra was meant the internal structure of a query language for selecting elements based on their relations. Both of these can be considered algebraic abstractions of a selection process. In the case of Xenakis, the abstraction was one held outside-time. This meant that the composer could make a snapshot, or a tomography of the pitch space in order to analyze it, extrapolating structural relations. In Codd’s case, the abstraction was spatial: the query language would be separated from the database itself, allowing a distance between a</w:t>
      </w:r>
      <w:r>
        <w:t xml:space="preserve"> </w:t>
      </w:r>
      <w:r>
        <w:t xml:space="preserve">‘</w:t>
      </w:r>
      <w:r>
        <w:t xml:space="preserve">backend</w:t>
      </w:r>
      <w:r>
        <w:t xml:space="preserve">’</w:t>
      </w:r>
      <w:r>
        <w:t xml:space="preserve"> </w:t>
      </w:r>
      <w:r>
        <w:t xml:space="preserve">and a</w:t>
      </w:r>
      <w:r>
        <w:t xml:space="preserve"> </w:t>
      </w:r>
      <w:r>
        <w:t xml:space="preserve">‘</w:t>
      </w:r>
      <w:r>
        <w:t xml:space="preserve">frontend,</w:t>
      </w:r>
      <w:r>
        <w:t xml:space="preserve">’</w:t>
      </w:r>
      <w:r>
        <w:t xml:space="preserve"> </w:t>
      </w:r>
      <w:r>
        <w:t xml:space="preserve">allowing databasers to perform queries without worrying about internal data structures, memory allocation, since these operations would occur in the background. Both methods came as an extension of freedom on the human operator: by black-boxing hardware-specific programming, the human operator could devise any kind of algebraic queries, thus operating at a higher level of abstraction, enabling a less problematic kind of envisioning. Conversely, Xenakis writes:</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5"/>
      </w:pPr>
      <w:bookmarkStart w:id="303" w:name="a-cosmic-vessel-and-an-armchair"/>
      <w:r>
        <w:t xml:space="preserve">A Cosmic Vessel and an Armchair</w:t>
      </w:r>
      <w:bookmarkEnd w:id="303"/>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for the</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304"/>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itself, which the overall circuitry would itself complicate; criticism on account of this shortcoming of the circuit would thus be rendered anachronic, but recalling these limitations places composition and databasing in perspective.</w:t>
      </w:r>
    </w:p>
    <w:p>
      <w:pPr>
        <w:pStyle w:val="Heading3"/>
      </w:pPr>
      <w:bookmarkStart w:id="305" w:name="improv"/>
      <w:r>
        <w:t xml:space="preserve">The Database As Performer</w:t>
      </w:r>
      <w:bookmarkEnd w:id="305"/>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w:t>
      </w:r>
      <w:r>
        <w:t xml:space="preserve"> </w:t>
      </w:r>
      <w:r>
        <w:t xml:space="preserve">“</w:t>
      </w:r>
      <w:r>
        <w:t xml:space="preserve">a 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networked relation</w:t>
      </w:r>
      <w:r>
        <w:t xml:space="preserve"> </w:t>
      </w:r>
      <w:r>
        <w:rPr>
          <w:i/>
        </w:rPr>
        <w:t xml:space="preserve">with</w:t>
      </w:r>
      <w:r>
        <w:t xml:space="preserve"> </w:t>
      </w:r>
      <w:r>
        <w:t xml:space="preserve">the computer. That is to say, Xenakis’ metaphor of the computer as pilot, would be turned upside down, altogether reconfiguring the navigational metaphor: the ship begins to navigate itself.</w:t>
      </w:r>
    </w:p>
    <w:p>
      <w:pPr>
        <w:pStyle w:val="Heading5"/>
      </w:pPr>
      <w:bookmarkStart w:id="306" w:name="the-computer-as-a-musical-instrument"/>
      <w:r>
        <w:t xml:space="preserve">The Computer as a Musical Instrument</w:t>
      </w:r>
      <w:bookmarkEnd w:id="306"/>
    </w:p>
    <w:p>
      <w:pPr>
        <w:pStyle w:val="FirstParagraph"/>
      </w:pPr>
      <w:r>
        <w:t xml:space="preserve">It is now pertintent to bring back Max Mathews</w:t>
      </w:r>
      <w:r>
        <w:t xml:space="preserve"> </w:t>
      </w:r>
      <w:r>
        <w:t xml:space="preserve">“</w:t>
      </w:r>
      <w:r>
        <w:t xml:space="preserve">computer as musical instrument</w:t>
      </w:r>
      <w:r>
        <w:t xml:space="preserve">”</w:t>
      </w:r>
      <w:r>
        <w:t xml:space="preserve"> </w:t>
      </w:r>
      <w:r>
        <w:t xml:space="preserve">(Mathews 1963)</w:t>
      </w:r>
      <w:r>
        <w:t xml:space="preserve">. The architecture of</w:t>
      </w:r>
      <w:r>
        <w:t xml:space="preserve"> </w:t>
      </w:r>
      <w:r>
        <w:t xml:space="preserve">music-v</w:t>
      </w:r>
      <w:r>
        <w:t xml:space="preserve"> </w:t>
      </w:r>
      <w:r>
        <w:t xml:space="preserve">is buit on concept of the computer as an instrument that the composer performs by providing it a score. The three stages of data flow (reading, sorting, and executing) are modeled from three music concepts: score, metronome, and instrument. It is significant that two (human) elements of (european) music tradition (composer and performer) are missing from this triad, as well as the programmer. (A fourth missing element, the improviser, will appear further down this text.) On the one hand, the hybrid musical instrument that the computer represented already collapsed three concepts into one, resulting in a hybrid score/metronome/instrument. On the other hand, it can be argued that by this ellision, the three missing human terms have collapsed into one another, forming a new hybrid definition of composer, performer, and programmer. In any case, this hybridity became evident in the music work itself, as can be read from a rethorics of control in favor of the composer:</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5"/>
      </w:pPr>
      <w:bookmarkStart w:id="307" w:name="a-minor-liberty"/>
      <w:r>
        <w:t xml:space="preserve">A Minor Liberty</w:t>
      </w:r>
      <w:bookmarkEnd w:id="307"/>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generator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reassurment for the reader that computers would not take control over music, let alone over the world. As I see it, arguing for control while granting some liberty relates to a negotiation between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5"/>
      </w:pPr>
      <w:bookmarkStart w:id="308" w:name="the-computer-as-a-player"/>
      <w:r>
        <w:t xml:space="preserve">The Computer as a Player</w:t>
      </w:r>
      <w:bookmarkEnd w:id="308"/>
    </w:p>
    <w:p>
      <w:pPr>
        <w:pStyle w:val="FirstParagraph"/>
      </w:pPr>
      <w:r>
        <w:t xml:space="preserve">Rowe (1992)</w:t>
      </w:r>
      <w:r>
        <w:t xml:space="preserve"> </w:t>
      </w:r>
      <w:r>
        <w:t xml:space="preserve">(Rowe 1992)</w:t>
      </w:r>
      <w:r>
        <w:t xml:space="preserve"> </w:t>
      </w:r>
      <w:r>
        <w:t xml:space="preserve">identified two paradimgs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a response (sonic output) is elaborated.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instrument itself contains embedded processes that grant some level of independence. This means that the composer intentionally relinquishes control of the artwork’s structure to the system itself.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What this amount to is a distributed authority of the work among the elements of the system. For example, in</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as personal computers became affordable the type of negotiations no longer depeded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5"/>
      </w:pPr>
      <w:bookmarkStart w:id="309" w:name="programming-decisions"/>
      <w:r>
        <w:t xml:space="preserve">Programming Decisions</w:t>
      </w:r>
      <w:bookmarkEnd w:id="309"/>
    </w:p>
    <w:p>
      <w:pPr>
        <w:pStyle w:val="FirstParagraph"/>
      </w:pPr>
      <w:r>
        <w:t xml:space="preserve">However, in order to implement concepts coming from artificial intelligence such as machine listening and learning, the complexity of the program itself increases exponentially. In light of these difficulties arising from programming,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Furthermore, the player paradigm and its subsequence reconfiguration of authority is possible by means of an implemented database: the computer stores features during the course of the performance, which are then averaged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4.3.3.1.4</w:t>
        </w:r>
      </w:hyperlink>
      <w:r>
        <w:t xml:space="preserve">).</w:t>
      </w:r>
      <w:r>
        <w:t xml:space="preserve"> </w:t>
      </w:r>
      <w:r>
        <w:rPr>
          <w:i/>
        </w:rPr>
        <w:t xml:space="preserve">Voyager</w:t>
      </w:r>
      <w:r>
        <w:t xml:space="preserve"> </w:t>
      </w:r>
      <w:r>
        <w:t xml:space="preserve">indeed brings interactivity between human and nonhumans to another stage, and because of it, music composition can be seen differently. However, the intricacies of the programming decisions are still in play, specifically in the modelling of musical concepts within data structures.</w:t>
      </w:r>
    </w:p>
    <w:p>
      <w:pPr>
        <w:pStyle w:val="Heading5"/>
      </w:pPr>
      <w:bookmarkStart w:id="310" w:name="anachronic-composers"/>
      <w:r>
        <w:t xml:space="preserve">Anachronic Composers</w:t>
      </w:r>
      <w:bookmarkEnd w:id="310"/>
    </w:p>
    <w:p>
      <w:pPr>
        <w:pStyle w:val="FirstParagraph"/>
      </w:pPr>
      <w:r>
        <w:t xml:space="preserve">This notion of interactivity differs greatly from Xenakis’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5"/>
      </w:pPr>
      <w:bookmarkStart w:id="311" w:name="section"/>
      <w:bookmarkEnd w:id="311"/>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considered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5.3.3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itself, and to the unfortunate naming of</w:t>
      </w:r>
      <w:r>
        <w:t xml:space="preserve"> </w:t>
      </w:r>
      <w:r>
        <w:t xml:space="preserve">‘</w:t>
      </w:r>
      <w:r>
        <w:t xml:space="preserve">bang</w:t>
      </w:r>
      <w:r>
        <w:t xml:space="preserve">’</w:t>
      </w:r>
      <w:r>
        <w:t xml:space="preserve"> </w:t>
      </w:r>
      <w:r>
        <w:t xml:space="preserve">method of objects, a method which (generally) triggers the object’s core routine.</w:t>
      </w:r>
      <w:r>
        <w:rPr>
          <w:rStyle w:val="FootnoteReference"/>
        </w:rPr>
        <w:footnoteReference w:id="312"/>
      </w:r>
      <w:r>
        <w:t xml:space="preserve"> </w:t>
      </w:r>
      <w:r>
        <w:t xml:space="preserve">In order to address this shortcoming of interactivity, Lewis relates it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itself is at stake by the presence of a simple model of interaction. For Lewis, the crucial aspect of this model is the empowering of the image of the composer.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that would not allow for the nonhuman to become an operational agent beyond the instructions for which it was designed. In this sense, the simple-level automaton is a symbolic restrain representing the classical concept of the human itself, which allows a non-threatening relation between man and machine that can be considered functional, productive, and operative.</w:t>
      </w:r>
    </w:p>
    <w:p>
      <w:pPr>
        <w:pStyle w:val="Heading5"/>
      </w:pPr>
      <w:bookmarkStart w:id="313" w:name="nonhuman-composers"/>
      <w:r>
        <w:t xml:space="preserve">Nonhuman composers</w:t>
      </w:r>
      <w:bookmarkEnd w:id="313"/>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In Lewis’ narrative, this entails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itself, 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hybridity. A hybridity that cannot be considered</w:t>
      </w:r>
      <w:r>
        <w:t xml:space="preserve"> </w:t>
      </w:r>
      <w:r>
        <w:t xml:space="preserve">‘</w:t>
      </w:r>
      <w:r>
        <w:t xml:space="preserve">on its own</w:t>
      </w:r>
      <w:r>
        <w:t xml:space="preserve">’</w:t>
      </w:r>
      <w:r>
        <w:t xml:space="preserve">, since it escapes any idea of ownness (or oneness). Therefore, a hybridity that is expanded in networked resonance. It is in this sense that Lewis’ proposal is geared towards an interactive (computer) music</w:t>
      </w:r>
      <w:r>
        <w:t xml:space="preserve"> </w:t>
      </w:r>
      <w:r>
        <w:rPr>
          <w:i/>
        </w:rPr>
        <w:t xml:space="preserve">not entirely</w:t>
      </w:r>
      <w:r>
        <w:t xml:space="preserve"> </w:t>
      </w:r>
      <w:r>
        <w:t xml:space="preserve">driven by input.</w:t>
      </w:r>
    </w:p>
    <w:p>
      <w:pPr>
        <w:pStyle w:val="Heading5"/>
      </w:pPr>
      <w:bookmarkStart w:id="314" w:name="fractured-works"/>
      <w:r>
        <w:t xml:space="preserve">Fractured Works</w:t>
      </w:r>
      <w:bookmarkEnd w:id="314"/>
    </w:p>
    <w:p>
      <w:pPr>
        <w:pStyle w:val="BlockText"/>
      </w:pPr>
      <w:r>
        <w:t xml:space="preserve">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what begins to question the basis upon which our general concept of the human is built, and by extension, the agency of everything that falls outside of its definition. It is the beginning of a breakage, a crack on the foundation of Xenakis’ (old) armchair, from which the state of suspension of the concept of the music work can be understood:</w:t>
      </w:r>
    </w:p>
    <w:p>
      <w:pPr>
        <w:pStyle w:val="BlockText"/>
      </w:pPr>
      <w:r>
        <w:t xml:space="preserve">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 (Foster 1983). Rather, 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Furthermore, what this fracture reveals is hybrid nature of the notion of what is real and what is virtual. Understood traditionally, or better, understood under the stipulations of the first wave cyberneticians, the composer, being the real factor in the constitution of the (modern) image of the composer, is faced with the virtuality of the computer. Upon this encounter, the virtual comes as a form of threat to replace that which is real. In this sense, this is how I would like to approach Lewis’ consideration of</w:t>
      </w:r>
      <w:r>
        <w:t xml:space="preserve"> </w:t>
      </w:r>
      <w:r>
        <w:rPr>
          <w:i/>
        </w:rPr>
        <w:t xml:space="preserve">Voyager</w:t>
      </w:r>
      <w:r>
        <w:t xml:space="preserve"> </w:t>
      </w:r>
      <w:r>
        <w:t xml:space="preserve">as</w:t>
      </w:r>
      <w:r>
        <w:t xml:space="preserve"> </w:t>
      </w:r>
      <w:r>
        <w:t xml:space="preserve">“</w:t>
      </w:r>
      <w:r>
        <w:t xml:space="preserve">not really a work.</w:t>
      </w:r>
      <w:r>
        <w:t xml:space="preserve">”</w:t>
      </w:r>
      <w:r>
        <w:t xml:space="preserve"> </w:t>
      </w:r>
      <w:r>
        <w:t xml:space="preserve">I hope the reader would forgive me for having borrowed these adjectives out of context —</w:t>
      </w:r>
      <w:r>
        <w:t xml:space="preserve">‘</w:t>
      </w:r>
      <w:r>
        <w:t xml:space="preserve">entirely</w:t>
      </w:r>
      <w:r>
        <w:t xml:space="preserve">’</w:t>
      </w:r>
      <w:r>
        <w:t xml:space="preserve"> </w:t>
      </w:r>
      <w:r>
        <w:t xml:space="preserve">and</w:t>
      </w:r>
      <w:r>
        <w:t xml:space="preserve"> </w:t>
      </w:r>
      <w:r>
        <w:t xml:space="preserve">‘</w:t>
      </w:r>
      <w:r>
        <w:t xml:space="preserve">really</w:t>
      </w:r>
      <w:r>
        <w:t xml:space="preserve">’</w:t>
      </w:r>
      <w:r>
        <w:t xml:space="preserve">— so as to allow my argument to echo with Lewis’ for a while. On the one hand, as Lewis claims, the goal of the interactivity between the composer and the computer is to allow the real and the virtual,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 Seen in this light, virtuality should enhance, not interfere, with communication between us</w:t>
      </w:r>
      <w:r>
        <w:t xml:space="preserve">”</w:t>
      </w:r>
      <w:r>
        <w:t xml:space="preserve"> </w:t>
      </w:r>
      <w:r>
        <w:t xml:space="preserve">(Lewis 1999, p. 110)</w:t>
      </w:r>
      <w:r>
        <w:t xml:space="preserve">. Therefore, considering the role of virtuality after new media integrated theories of embodiment, the computer reveals to the human —composer, improviser, performer— the very condition of its own virtuality, that is, virtuality itself within the human.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it can’t be ’really’ a work, because it is virtuality itself resounding back. Another way to approach this is the fact that the computer can be said to be</w:t>
      </w:r>
      <w:r>
        <w:t xml:space="preserve"> </w:t>
      </w:r>
      <w:r>
        <w:t xml:space="preserve">‘</w:t>
      </w:r>
      <w:r>
        <w:t xml:space="preserve">listening</w:t>
      </w:r>
      <w:r>
        <w:t xml:space="preserve">’</w:t>
      </w:r>
      <w:r>
        <w:t xml:space="preserve"> </w:t>
      </w:r>
      <w:r>
        <w:t xml:space="preserve">to the performer, given that its real-time analysis is content-based, using techniques that have been applied to music information retrieval over the years (See</w:t>
      </w:r>
      <w:r>
        <w:t xml:space="preserve"> </w:t>
      </w:r>
      <w:hyperlink w:anchor="mir">
        <w:r>
          <w:rPr>
            <w:rStyle w:val="Hyperlink"/>
          </w:rPr>
          <w:t xml:space="preserve">4.3.1</w:t>
        </w:r>
      </w:hyperlink>
      <w:r>
        <w:t xml:space="preserve">).</w:t>
      </w:r>
    </w:p>
    <w:p>
      <w:pPr>
        <w:pStyle w:val="Heading5"/>
      </w:pPr>
      <w:bookmarkStart w:id="315" w:name="databasing-vessel"/>
      <w:r>
        <w:t xml:space="preserve">Databasing Vessel</w:t>
      </w:r>
      <w:bookmarkEnd w:id="315"/>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resonant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itself. This database of actions, however, is the sonic trace of the performance itself,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one that puts into question —though, to a certain extent— the operativity of the music work itself. To a certain extent, because the notion of productivity and cohesion are still present within Lewis’ music and texts, and also, to the (paradoxical) extent that it is still a</w:t>
      </w:r>
      <w:r>
        <w:t xml:space="preserve"> </w:t>
      </w:r>
      <w:r>
        <w:t xml:space="preserve">‘</w:t>
      </w:r>
      <w:r>
        <w:t xml:space="preserve">work,</w:t>
      </w:r>
      <w:r>
        <w:t xml:space="preserve">’</w:t>
      </w:r>
      <w:r>
        <w:t xml:space="preserve"> </w:t>
      </w:r>
      <w:r>
        <w:t xml:space="preserve">a destiny that somehow manages to persist within the practice of composition. Nonetheless, and without a doubt, Lewis’ claim for the</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16" w:name="music"/>
      <w:r>
        <w:t xml:space="preserve">The Severed Object Of Music</w:t>
      </w:r>
      <w:bookmarkEnd w:id="316"/>
    </w:p>
    <w:p>
      <w:pPr>
        <w:pStyle w:val="BlockText"/>
      </w:pPr>
      <w:r>
        <w:t xml:space="preserve">[The] Heideggerian ‘work of art’ is able to present a unified picture that may be used for political purposes [it] is only what it is in the world that it opens…Nancy is seeking a ‘workless’ or ‘unworking’ work,</w:t>
      </w:r>
      <w:r>
        <w:t xml:space="preserve"> </w:t>
      </w:r>
      <w:r>
        <w:rPr>
          <w:i/>
        </w:rPr>
        <w:t xml:space="preserve">a work that refuses to create itself as a total work</w:t>
      </w:r>
      <w:r>
        <w:t xml:space="preserve">. Hence, Nancy proposes an artwork that would offer itself as a permanently open whole, the concept of art remaining undecided and lacking anything that might unify it. [emphasis added]</w:t>
      </w:r>
      <w:r>
        <w:t xml:space="preserve"> </w:t>
      </w:r>
      <w:r>
        <w:t xml:space="preserve">(Gratton &amp; Morin 2015)</w:t>
      </w:r>
    </w:p>
    <w:p>
      <w:pPr>
        <w:pStyle w:val="Heading5"/>
      </w:pPr>
      <w:bookmarkStart w:id="317" w:name="an-incomplete-object"/>
      <w:r>
        <w:t xml:space="preserve">An Incomplete Object</w:t>
      </w:r>
      <w:bookmarkEnd w:id="317"/>
    </w:p>
    <w:p>
      <w:pPr>
        <w:pStyle w:val="FirstParagraph"/>
      </w:pPr>
      <w:r>
        <w:t xml:space="preserve">I would like to refer once again to Jean-Luc Nancy’s concept of inoperativity (See</w:t>
      </w:r>
      <w:r>
        <w:t xml:space="preserve"> </w:t>
      </w:r>
      <w:hyperlink w:anchor="inoperativity">
        <w:r>
          <w:rPr>
            <w:rStyle w:val="Hyperlink"/>
          </w:rPr>
          <w:t xml:space="preserve">5.1.4</w:t>
        </w:r>
      </w:hyperlink>
      <w:r>
        <w:t xml:space="preserve">), this time in relation to the music object. I argue that, given that the inoperativity of the listening experience reveals itself as the interaction between resonance —as the</w:t>
      </w:r>
      <w:r>
        <w:t xml:space="preserve"> </w:t>
      </w:r>
      <w:r>
        <w:rPr>
          <w:i/>
        </w:rPr>
        <w:t xml:space="preserve">différance</w:t>
      </w:r>
      <w:r>
        <w:t xml:space="preserve"> </w:t>
      </w:r>
      <w:r>
        <w:t xml:space="preserve">within sense and sensuality— and the unworking of the network, its resulting object, instead of being a complete whole —a finished, integral</w:t>
      </w:r>
      <w:r>
        <w:t xml:space="preserve"> </w:t>
      </w:r>
      <w:r>
        <w:t xml:space="preserve">‘</w:t>
      </w:r>
      <w:r>
        <w:t xml:space="preserve">thing</w:t>
      </w:r>
      <w:r>
        <w:t xml:space="preserve">’</w:t>
      </w:r>
      <w:r>
        <w:t xml:space="preserve">, or even, a</w:t>
      </w:r>
      <w:r>
        <w:t xml:space="preserve"> </w:t>
      </w:r>
      <w:r>
        <w:t xml:space="preserve">‘</w:t>
      </w:r>
      <w:r>
        <w:t xml:space="preserve">piece</w:t>
      </w:r>
      <w:r>
        <w:t xml:space="preserve">’</w:t>
      </w:r>
      <w:r>
        <w:rPr>
          <w:rStyle w:val="FootnoteReference"/>
        </w:rPr>
        <w:footnoteReference w:id="318"/>
      </w:r>
      <w:r>
        <w:t xml:space="preserve">—, it becomes a severed music object. This object is different from Pierre Schaeffer’s music or sound object, which comes to represent material with which to work. Neither it is related to Vaggione’s concept of object, which comes from object-oriented programming, meaning every composable primitive, from the micro to the macro. In both of the above, the object is used to provide, though not without their author’s intervention, a notion of</w:t>
      </w:r>
      <w:r>
        <w:t xml:space="preserve"> </w:t>
      </w:r>
      <w:r>
        <w:rPr>
          <w:i/>
        </w:rPr>
        <w:t xml:space="preserve">coherence</w:t>
      </w:r>
      <w:r>
        <w:t xml:space="preserve"> </w:t>
      </w:r>
      <w:r>
        <w:t xml:space="preserve">to the work.</w:t>
      </w:r>
    </w:p>
    <w:p>
      <w:pPr>
        <w:pStyle w:val="Heading5"/>
      </w:pPr>
      <w:bookmarkStart w:id="319" w:name="remains-of-listening"/>
      <w:r>
        <w:t xml:space="preserve">Remains of Listening</w:t>
      </w:r>
      <w:bookmarkEnd w:id="319"/>
    </w:p>
    <w:p>
      <w:pPr>
        <w:pStyle w:val="FirstParagraph"/>
      </w:pPr>
      <w:r>
        <w:t xml:space="preserve">The object I am referring to resides in memory, as the remains of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subject of analysis, it is forensic. In being fractured, it is the evidence of a destruction. In being severed, and this is the central aspect that I would like to focus on, risking simultaneously the severing of the object itself, it becomes the evidence of a sacrifice. If it can be said that the music object is a severed object, then the question of its severing necessarily relates to the question of listening. Therefore, by listening —and, by this, I mean entering in resonance with resonance itself, exposing the self to that which returns to itself— I participate in this severing, because in listening I choose what to listen in spite of being already deprived from that choice.</w:t>
      </w:r>
    </w:p>
    <w:p>
      <w:pPr>
        <w:pStyle w:val="Heading5"/>
      </w:pPr>
      <w:bookmarkStart w:id="320" w:name="sources-and-sorcerers"/>
      <w:r>
        <w:t xml:space="preserve">Sources and Sorcerers</w:t>
      </w:r>
      <w:bookmarkEnd w:id="320"/>
    </w:p>
    <w:p>
      <w:pPr>
        <w:pStyle w:val="FirstParagraph"/>
      </w:pPr>
      <w:r>
        <w:t xml:space="preserve">The sounds onstage are always before and after the staging. The severed object of music is what, as listeners, we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The severed object of music is always severed, but never in the same way, since there are as many severings as there are listeners, and as many listenings as there are moments. In this difference, what is resonant is the object of music, which is never one and the same because it is a singularity resonanting in plurality. Composers have traditionally been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w:t>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BlockText"/>
      </w:pPr>
      <w:r>
        <w:t xml:space="preserve">This is why for some years I have experimented with releasing music under other people’s names, so as to dilute their style, and under multiple versions of my own name, to case doubt on any claim to the future.</w:t>
      </w:r>
      <w:r>
        <w:t xml:space="preserve"> </w:t>
      </w:r>
      <w:r>
        <w:t xml:space="preserve">(Nilson 2016)</w:t>
      </w:r>
    </w:p>
    <w:p>
      <w:pPr>
        <w:pStyle w:val="Heading5"/>
      </w:pPr>
      <w:bookmarkStart w:id="321" w:name="naming"/>
      <w:r>
        <w:t xml:space="preserve">Naming</w:t>
      </w:r>
      <w:bookmarkEnd w:id="321"/>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itself as the one and only owner of the world —that is, owner of the mountain itself, and of the water, and every particle of the one and only universe. In being in resonance, listeners become the resonant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itself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itself. Further, the severing style itself now can be named. How many differet names or anagrams would it take for Click Nilson’s style to dilute or to arrive at the unclaimable work of art? The name of the composer becomes a synecdoche of the source itself,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22"/>
      </w:r>
    </w:p>
    <w:p>
      <w:pPr>
        <w:pStyle w:val="Heading5"/>
      </w:pPr>
      <w:bookmarkStart w:id="323" w:name="dynamics"/>
      <w:r>
        <w:t xml:space="preserve">Dynamics</w:t>
      </w:r>
      <w:bookmarkEnd w:id="323"/>
    </w:p>
    <w:p>
      <w:pPr>
        <w:pStyle w:val="FirstParagraph"/>
      </w:pPr>
      <w:r>
        <w:t xml:space="preserve">Furthermore, the activity of the sorcerer lends itself to its signature. In other words, the manner in which the composer defines the music, from beginning to end, becomes the shape of the music, understanding</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simply media in general—, the movement of air pressure. It is in front, because it filters the memory of the activity of sound sources. However, this composed shape and the singularity act together in the moment of listening. The question is, then, regarding the dynamics of this activity. Given that this activity happens during listening, what I addressing now is precisely how the shape of the music interacts with the listening itself. That is to say, the interaction between shape —but also the form, the idea— and the singularity of the listened. Interaction, here, refers to the shared activity that occurs</w:t>
      </w:r>
      <w:r>
        <w:t xml:space="preserve"> </w:t>
      </w:r>
      <w:r>
        <w:t xml:space="preserve">‘</w:t>
      </w:r>
      <w:r>
        <w:t xml:space="preserve">inside</w:t>
      </w:r>
      <w:r>
        <w:t xml:space="preserve">’</w:t>
      </w:r>
      <w:r>
        <w:t xml:space="preserve"> </w:t>
      </w:r>
      <w:r>
        <w:t xml:space="preserve">listening itself, and it happens</w:t>
      </w:r>
      <w:r>
        <w:t xml:space="preserve"> </w:t>
      </w:r>
      <w:r>
        <w:t xml:space="preserve">‘</w:t>
      </w:r>
      <w:r>
        <w:t xml:space="preserve">inside</w:t>
      </w:r>
      <w:r>
        <w:t xml:space="preserve">’</w:t>
      </w:r>
      <w:r>
        <w:t xml:space="preserve"> </w:t>
      </w:r>
      <w:r>
        <w:t xml:space="preserve">because of the severing that needed to occur prior —or immediately at— the resonant oscillation of air pressure. This is what I consider the moment of listening that is none other than listening to music. However, once this severing has occurred, and within its momentum, it is the internal dynamics that enter into play, and it is the shape of the music what begins to delineate the shape of the listened.</w:t>
      </w:r>
    </w:p>
    <w:p>
      <w:pPr>
        <w:pStyle w:val="Heading5"/>
      </w:pPr>
      <w:bookmarkStart w:id="324" w:name="masterwork"/>
      <w:r>
        <w:t xml:space="preserve">Masterwork</w:t>
      </w:r>
      <w:bookmarkEnd w:id="324"/>
    </w:p>
    <w:p>
      <w:pPr>
        <w:pStyle w:val="FirstParagraph"/>
      </w:pPr>
      <w:r>
        <w:t xml:space="preserve">Understood in this way, that is, the shape of the music as a force that produces a certain listening experience, therefore, the internal dynamics are already written.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 ideal force. The singularity of the listened is resistance itself, like I have mentioned before in relation to the trace (See</w:t>
      </w:r>
      <w:r>
        <w:t xml:space="preserve"> </w:t>
      </w:r>
      <w:hyperlink w:anchor="human">
        <w:r>
          <w:rPr>
            <w:rStyle w:val="Hyperlink"/>
          </w:rPr>
          <w:t xml:space="preserve">5.2.2</w:t>
        </w:r>
      </w:hyperlink>
      <w:r>
        <w:t xml:space="preserve">). It acts as resistance itself, and its force is not enough to resist the command of the excellent work. This is the very presence of the masterwork, at work, the work of a master that requires the slave —a slave that is not the rest of the works but the outshunned singularities that have been muted by its very own presence.</w:t>
      </w:r>
      <w:r>
        <w:t xml:space="preserve"> </w:t>
      </w:r>
      <w:r>
        <w:t xml:space="preserve">‘</w:t>
      </w:r>
      <w:r>
        <w:t xml:space="preserve">Almost,</w:t>
      </w:r>
      <w:r>
        <w:t xml:space="preserve">’</w:t>
      </w:r>
      <w:r>
        <w:t xml:space="preserve"> </w:t>
      </w:r>
      <w:r>
        <w:t xml:space="preserve">in the hope that its work can be relativized, disarticulated, disentangled from the source of sources, brought down the stream to the place where singularities can resonate in endless forms of matter. However, the problem is now of a different sort. Even if resisting forces match those of the masterwork, then, like Derrida’s concept of a paralysis of memory, we can encounter a paralysis of listening itself. This paralysis. This might (also) be what Szendy means, as well, by the cutting loose of the inattentive listener in modernity, but in a different way. It is not a paralysis caused by distraction, it is a paralysis caused by the very force that is needed to match the force of the master work. It is a paralysis that is directly called for from outside —from the shape of the music itself—, one which prevents any further listening. This is what is called for by the work of the masterwork: pure —and utterly ideal— silence.</w:t>
      </w:r>
    </w:p>
    <w:p>
      <w:pPr>
        <w:pStyle w:val="Heading5"/>
      </w:pPr>
      <w:bookmarkStart w:id="325" w:name="architecture-of-obedience"/>
      <w:r>
        <w:t xml:space="preserve">Architecture of Obedience</w:t>
      </w:r>
      <w:bookmarkEnd w:id="325"/>
    </w:p>
    <w:p>
      <w:pPr>
        <w:pStyle w:val="FirstParagraph"/>
      </w:pPr>
      <w:r>
        <w:t xml:space="preserve">Therefore, within these dynamics of work, what results is a function of the predicates, it is the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working out the work, of creating the structures, becomes the architect of the listened, the creator of a listening that of which he himself is the only chief. The sorcerer in charge of quenching a thirst that is only there because it is always already there, beforehand, instantiated with its own creation. The question now is how can this dynamics be approached once that I have recognized that it is there. How can composition continue, a composition that does not participate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26" w:name="anarchy"/>
      <w:r>
        <w:t xml:space="preserve">Anarchy And The Unwork</w:t>
      </w:r>
      <w:bookmarkEnd w:id="326"/>
    </w:p>
    <w:p>
      <w:pPr>
        <w:pStyle w:val="FirstParagraph"/>
      </w:pPr>
      <w:r>
        <w:t xml:space="preserve">What characterizes the aesthetic dimension in the severed music object of the composition that does not impose its own listening is inoperativity.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 The case is quite different from that of the</w:t>
      </w:r>
      <w:r>
        <w:t xml:space="preserve"> </w:t>
      </w:r>
      <w:r>
        <w:t xml:space="preserve">‘</w:t>
      </w:r>
      <w:r>
        <w:t xml:space="preserve">open</w:t>
      </w:r>
      <w:r>
        <w:t xml:space="preserve">’</w:t>
      </w:r>
      <w:r>
        <w:t xml:space="preserve"> </w:t>
      </w:r>
      <w:r>
        <w:t xml:space="preserve">work, since the work never reaches completion.</w:t>
      </w:r>
    </w:p>
    <w:p>
      <w:pPr>
        <w:pStyle w:val="Heading5"/>
      </w:pPr>
      <w:bookmarkStart w:id="327" w:name="place-in-common"/>
      <w:r>
        <w:t xml:space="preserve">Place in Common</w:t>
      </w:r>
      <w:bookmarkEnd w:id="327"/>
    </w:p>
    <w:p>
      <w:pPr>
        <w:pStyle w:val="FirstParagraph"/>
      </w:pPr>
      <w:r>
        <w:t xml:space="preserve">The unwork radically differs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 in inherent to the hybridity of its construction. The construction, in turn, is a result of the reticulated and fragmented state of exposure between the human and the nonhuman. In this sense, the limit of the unwork is the exposure of exposure itself, that is, an instantiation of the place in common.</w:t>
      </w:r>
    </w:p>
    <w:p>
      <w:pPr>
        <w:pStyle w:val="Heading5"/>
      </w:pPr>
      <w:bookmarkStart w:id="328" w:name="disintegrated-imperative"/>
      <w:r>
        <w:t xml:space="preserve">Disintegrated Imperative</w:t>
      </w:r>
      <w:bookmarkEnd w:id="328"/>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for if this were the case, such failure would be its paradoxical success.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5"/>
      </w:pPr>
      <w:bookmarkStart w:id="329" w:name="blind-experimentation"/>
      <w:r>
        <w:t xml:space="preserve">Blind Experimentation</w:t>
      </w:r>
      <w:bookmarkEnd w:id="329"/>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Therefore,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5"/>
      </w:pPr>
      <w:bookmarkStart w:id="330" w:name="doctoring-the-glitch"/>
      <w:r>
        <w:t xml:space="preserve">Doctoring the Glitch</w:t>
      </w:r>
      <w:bookmarkEnd w:id="330"/>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p>
    <w:p>
      <w:pPr>
        <w:pStyle w:val="BlockText"/>
      </w:pPr>
      <w:r>
        <w:t xml:space="preserve">But it seems this approach affects the listening habits of electronica aficionados…the</w:t>
      </w:r>
      <w:r>
        <w:t xml:space="preserve"> </w:t>
      </w:r>
      <w:r>
        <w:t xml:space="preserve">‘</w:t>
      </w:r>
      <w:r>
        <w:t xml:space="preserve">atomic</w:t>
      </w:r>
      <w:r>
        <w:t xml:space="preserve">’</w:t>
      </w:r>
      <w:r>
        <w:t xml:space="preserve"> </w:t>
      </w:r>
      <w:r>
        <w:t xml:space="preserve">parts, or samples, used in composing electronica from small modular pieces had become the whole. This is a clear indication that contemporary computer music has become fragmented, it is composed of stratified layers that intermingle and defer meaning until the listener takes an active role in the production of meaning.</w:t>
      </w:r>
      <w:r>
        <w:t xml:space="preserve"> </w:t>
      </w:r>
      <w:r>
        <w:t xml:space="preserve">(Cascone 2000, p. 17)</w:t>
      </w:r>
    </w:p>
    <w:p>
      <w:pPr>
        <w:pStyle w:val="Heading5"/>
      </w:pPr>
      <w:bookmarkStart w:id="331" w:name="unnecessary-blindfolds"/>
      <w:r>
        <w:t xml:space="preserve">Unnecessary Blindfolds</w:t>
      </w:r>
      <w:bookmarkEnd w:id="331"/>
    </w:p>
    <w:p>
      <w:pPr>
        <w:pStyle w:val="FirstParagraph"/>
      </w:pPr>
      <w:r>
        <w:t xml:space="preserve">How are we to interpret Cascone’s call for education? What is the center of this education: music technology, composition, or listening? If fragmentation, modularity, stratification, and deferred meaning are</w:t>
      </w:r>
      <w:r>
        <w:t xml:space="preserve"> </w:t>
      </w:r>
      <w:r>
        <w:t xml:space="preserve">‘</w:t>
      </w:r>
      <w:r>
        <w:t xml:space="preserve">affecting</w:t>
      </w:r>
      <w:r>
        <w:t xml:space="preserve">’</w:t>
      </w:r>
      <w:r>
        <w:t xml:space="preserve"> </w:t>
      </w:r>
      <w:r>
        <w:t xml:space="preserve">listening habits, are these</w:t>
      </w:r>
      <w:r>
        <w:t xml:space="preserve"> </w:t>
      </w:r>
      <w:r>
        <w:t xml:space="preserve">‘</w:t>
      </w:r>
      <w:r>
        <w:t xml:space="preserve">habits</w:t>
      </w:r>
      <w:r>
        <w:t xml:space="preserve">’</w:t>
      </w:r>
      <w:r>
        <w:t xml:space="preserve"> </w:t>
      </w:r>
      <w:r>
        <w:t xml:space="preserve">themselves that need to be taught? Or is the structure of the music in desperate need of medical attention? These ambiguities in his argument, however, I chose to understand as coming out of the main premise of the text, that of extending the concept of failure from the technology itself to the analysis of the work. Thus, in Cascone’s view, the aesthetics of failure of the late 1990s is still</w:t>
      </w:r>
      <w:r>
        <w:t xml:space="preserve"> </w:t>
      </w:r>
      <w:r>
        <w:t xml:space="preserve">‘</w:t>
      </w:r>
      <w:r>
        <w:t xml:space="preserve">failing</w:t>
      </w:r>
      <w:r>
        <w:t xml:space="preserve">’</w:t>
      </w:r>
      <w:r>
        <w:t xml:space="preserve"> </w:t>
      </w:r>
      <w:r>
        <w:t xml:space="preserve">to enter academia because it is itself</w:t>
      </w:r>
      <w:r>
        <w:t xml:space="preserve"> </w:t>
      </w:r>
      <w:r>
        <w:t xml:space="preserve">‘</w:t>
      </w:r>
      <w:r>
        <w:t xml:space="preserve">failing</w:t>
      </w:r>
      <w:r>
        <w:t xml:space="preserve">’</w:t>
      </w:r>
      <w:r>
        <w:t xml:space="preserve"> </w:t>
      </w:r>
      <w:r>
        <w:t xml:space="preserve">to achieve the same standards of formal cohesion that are required by the modern conception of the music</w:t>
      </w:r>
      <w:r>
        <w:t xml:space="preserve"> </w:t>
      </w:r>
      <w:r>
        <w:t xml:space="preserve">‘</w:t>
      </w:r>
      <w:r>
        <w:t xml:space="preserve">work</w:t>
      </w:r>
      <w:r>
        <w:t xml:space="preserve">’</w:t>
      </w:r>
      <w:r>
        <w:t xml:space="preserve">. Therefore, instead of finding an academic cure for blind experimentalism, I would claim to understand failure itself as an unnecessary blindfold since, at least in my consideration of the unwork, if there is no notion of success in the technology involved, there need not be any in the work itself. The success, if any, exists within the composer, and as such, it does so in relation to the very goal of disintegrating the imperative. This success is unrelated to popularity, for example, as is the case with software production, in which more users mean generally more chances of survival. This success is unrelated to value, since there is no measuring system that can determine how much of the imperative was disintegrated. In being for the composer, success is, like listening, inevitably private, a personal construction, like any other personal growth, or the overcoming of fears.</w:t>
      </w:r>
    </w:p>
    <w:p>
      <w:pPr>
        <w:pStyle w:val="Heading5"/>
      </w:pPr>
      <w:bookmarkStart w:id="332" w:name="spectral-remains"/>
      <w:r>
        <w:t xml:space="preserve">Spectral Remains</w:t>
      </w:r>
      <w:bookmarkEnd w:id="332"/>
    </w:p>
    <w:p>
      <w:pPr>
        <w:pStyle w:val="FirstParagraph"/>
      </w:pPr>
      <w:r>
        <w:t xml:space="preserve">The unwork cannot behave like a force, but it can be considered the spectral remains of a force. In this sense, if there is an illusion of a force, it must appear as wreckage, an after dream, a mirror that shows us our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 not us, but as yet again us. This is the moment that the unwork carries with it the most crucial aspect of all: it has nothing to give. It gives nothing. And this is when listening finds us without anything to hold on to but our very own resonance. Our very own listening to ourselves listening. The moment where we realize it is our own self that is returning to us. This is our resistance.</w:t>
      </w:r>
    </w:p>
    <w:p>
      <w:pPr>
        <w:pStyle w:val="Heading5"/>
      </w:pPr>
      <w:bookmarkStart w:id="333" w:name="macroforma"/>
      <w:r>
        <w:t xml:space="preserve">Macroforma</w:t>
      </w:r>
      <w:bookmarkEnd w:id="333"/>
    </w:p>
    <w:p>
      <w:pPr>
        <w:pStyle w:val="FirstParagraph"/>
      </w:pPr>
      <w:r>
        <w:t xml:space="preserve">The resonance of a return. This is why the unwork depends so extremely on its very state of fragility: it touches the self from itself, it engages the self with its own touch, with its own skin, with the resonance of itself. The moment this fragility is forgotten is when composers, performers, improvisors, programmers —humans and nonhuman listeners, in the most broadest sense possible— enable an operative</w:t>
      </w:r>
      <w:r>
        <w:t xml:space="preserve"> </w:t>
      </w:r>
      <w:r>
        <w:rPr>
          <w:rStyle w:val="VerbatimChar"/>
        </w:rPr>
        <w:t xml:space="preserve">macro</w:t>
      </w:r>
      <w:r>
        <w:t xml:space="preserve"> </w:t>
      </w:r>
      <w:r>
        <w:t xml:space="preserve">that has a political agency in the shaping of singularities. In order to to provide some insight into the difficulties that arise from this conceptualization of the unwork, I would like to brin again Vaggione.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singularly, and the value of his music is not put into question. I bring this as an example, as I have mentioned before, of the name of the composer and its impression on the music. In this case, the singularity that is the composer impresses its own singular shape, its own style, its own trace, on the music, and makes it a work. The problem is that the work now engages with its own operativity, with its integrity, and begins to dictate the shape of its own listening.</w:t>
      </w:r>
    </w:p>
    <w:p>
      <w:pPr>
        <w:pStyle w:val="Heading5"/>
      </w:pPr>
      <w:bookmarkStart w:id="334" w:name="overfitting"/>
      <w:r>
        <w:t xml:space="preserve">Overfitting</w:t>
      </w:r>
      <w:bookmarkEnd w:id="334"/>
    </w:p>
    <w:p>
      <w:pPr>
        <w:pStyle w:val="FirstParagraph"/>
      </w:pPr>
      <w:r>
        <w:t xml:space="preserve">Defining anarchy as a paradoxically productive force —a form of destruction which</w:t>
      </w:r>
      <w:r>
        <w:t xml:space="preserve"> </w:t>
      </w:r>
      <w:r>
        <w:t xml:space="preserve">“</w:t>
      </w:r>
      <w:r>
        <w:t xml:space="preserve">produces the very thing it reduces</w:t>
      </w:r>
      <w:r>
        <w:t xml:space="preserve">”</w:t>
      </w:r>
      <w:r>
        <w:t xml:space="preserve"> </w:t>
      </w:r>
      <w:r>
        <w:t xml:space="preserve">(Derrida &amp; Prenowitz 1995)</w:t>
      </w:r>
      <w:r>
        <w:t xml:space="preserve">—, Derrida locates it at the core of the concept of the archive (See</w:t>
      </w:r>
      <w:r>
        <w:t xml:space="preserve"> </w:t>
      </w:r>
      <w:hyperlink w:anchor="archontic">
        <w:r>
          <w:rPr>
            <w:rStyle w:val="Hyperlink"/>
          </w:rPr>
          <w:t xml:space="preserve">5.2.3</w:t>
        </w:r>
      </w:hyperlink>
      <w:r>
        <w:t xml:space="preserve">). As I have outlined before, databasing and composition bring forth their relation to the archive, and by doing so, they reveal themselves as repositories for the the archontic principle: bound to the origin and the rule. Like the name of the composer which is written in the shape of the music, the database has too the potential of becoming a source. Databasing becomes an activity of this source, and thus embeds the databaser with a specter of authority (See</w:t>
      </w:r>
      <w:r>
        <w:t xml:space="preserve"> </w:t>
      </w:r>
      <w:hyperlink w:anchor="authority">
        <w:r>
          <w:rPr>
            <w:rStyle w:val="Hyperlink"/>
          </w:rPr>
          <w:t xml:space="preserve">5.3.4</w:t>
        </w:r>
      </w:hyperlink>
      <w:r>
        <w:t xml:space="preserve">). Claiming, therefore, that composition can be identified with databasing means translating the</w:t>
      </w:r>
      <w:r>
        <w:t xml:space="preserve"> </w:t>
      </w:r>
      <w:r>
        <w:t xml:space="preserve">‘</w:t>
      </w:r>
      <w:r>
        <w:t xml:space="preserve">archic</w:t>
      </w:r>
      <w:r>
        <w:t xml:space="preserve">’</w:t>
      </w:r>
      <w:r>
        <w:t xml:space="preserve"> </w:t>
      </w:r>
      <w:r>
        <w:t xml:space="preserve">not only to the performativity of composition, also to the product of composing, to the composer and the composed, to the shape of the music, and to the singularity of the listened. An unwork, therefore, would be a necessarily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in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 set, tend to adapt themselves too closely to the data set, thus failing to render future predictions reliably. This is known as overfitting. Despite its uselessness (or better, because of it) I believe this to be a suitable metaphor for the pursuit of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35" w:name="worker"/>
      <w:r>
        <w:t xml:space="preserve">[Wip] Work In Progress</w:t>
      </w:r>
      <w:bookmarkEnd w:id="335"/>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36" w:name="chapter:Conclusion"/>
      <w:r>
        <w:t xml:space="preserve">Conclusion</w:t>
      </w:r>
      <w:bookmarkEnd w:id="336"/>
    </w:p>
    <w:p>
      <w:pPr>
        <w:pStyle w:val="FirstParagraph"/>
      </w:pPr>
      <w:r>
        <w:t xml:space="preserve">…</w:t>
      </w:r>
      <w:r>
        <w:t xml:space="preserve"> </w:t>
      </w:r>
      <w:r>
        <w:t xml:space="preserve">placeholder for conclusion abstract</w:t>
      </w:r>
      <w:r>
        <w:t xml:space="preserve"> </w:t>
      </w:r>
      <w:r>
        <w:t xml:space="preserve">…</w:t>
      </w:r>
    </w:p>
    <w:p>
      <w:pPr>
        <w:pStyle w:val="Heading1"/>
      </w:pPr>
      <w:bookmarkStart w:id="337" w:name="chapter:Appendices"/>
      <w:r>
        <w:t xml:space="preserve">Appendices</w:t>
      </w:r>
      <w:bookmarkEnd w:id="337"/>
    </w:p>
    <w:p>
      <w:pPr>
        <w:pStyle w:val="FirstParagraph"/>
      </w:pPr>
      <w:r>
        <w:t xml:space="preserve">abstract of appendices</w:t>
      </w:r>
    </w:p>
    <w:p>
      <w:pPr>
        <w:pStyle w:val="Heading2"/>
      </w:pPr>
      <w:bookmarkStart w:id="338" w:name="X9928d5a4298d9156e673c83842d96a99bfb66d7"/>
      <w:r>
        <w:t xml:space="preserve">DIANA: Database for Image and Audio Navigation</w:t>
      </w:r>
      <w:bookmarkEnd w:id="338"/>
    </w:p>
    <w:p>
      <w:pPr>
        <w:pStyle w:val="FirstParagraph"/>
      </w:pPr>
      <w:r>
        <w:t xml:space="preserve">I use William Brent’s —timbre description algorithms— and Antoine Villeret’s —image descriptors using Computer Vision algorithms—, to develop a new software library for Pure Data. My model consists of a joint Database structure for Image and Audio descriptors suitable for realtime navigation. At its core, the Database is generated by calculating derivatives between both data sets, and it is performed by applying random probabilities, markov chains, or chaotic generators to this navigation. This allows for multiple paths to be traced on each navigation.</w:t>
      </w:r>
    </w:p>
    <w:p>
      <w:pPr>
        <w:pStyle w:val="Heading3"/>
      </w:pPr>
      <w:bookmarkStart w:id="339" w:name="dbmodel"/>
      <w:r>
        <w:t xml:space="preserve">A Database Model</w:t>
      </w:r>
      <w:bookmarkEnd w:id="339"/>
    </w:p>
    <w:p>
      <w:pPr>
        <w:pStyle w:val="FirstParagraph"/>
      </w:pPr>
      <w:r>
        <w:t xml:space="preserve">A detailed description of the image and audio navigation system…</w:t>
      </w:r>
    </w:p>
    <w:p>
      <w:pPr>
        <w:pStyle w:val="BlockText"/>
      </w:pPr>
      <w:r>
        <w:t xml:space="preserve">Just as a fractal has the same structure on different scales, a new media object has the same modular structure throughout. Media elements…are represented as collections of discrete samples</w:t>
      </w:r>
      <w:r>
        <w:t xml:space="preserve"> </w:t>
      </w:r>
      <w:r>
        <w:t xml:space="preserve">(Manovich 2001, p. 30)</w:t>
      </w:r>
      <w:r>
        <w:t xml:space="preserve">.</w:t>
      </w:r>
    </w:p>
    <w:p>
      <w:pPr>
        <w:pStyle w:val="BlockText"/>
      </w:pPr>
      <w:r>
        <w:t xml:space="preserve">First, data is sampled, most often at regular intervals, such as the grid of pixels used to represent a digital image. The frequency of sampling is referred to as resolution. Sampling turns continuous data into discrete data…Second, each sample is quantified, that is, it is assigned a numerical value drawn from a defined range (such as 0-255 in the case of an 8-bit greyscale image)</w:t>
      </w:r>
      <w:r>
        <w:t xml:space="preserve"> </w:t>
      </w:r>
      <w:r>
        <w:t xml:space="preserve">(Manovich 2002, p. 28)</w:t>
      </w:r>
    </w:p>
    <w:p>
      <w:pPr>
        <w:pStyle w:val="FirstParagraph"/>
      </w:pPr>
      <w:r>
        <w:t xml:space="preserve">I define the points in common between Database Practice and Music Composition. I describe the main technical concepts behind Database Navigation and provide use cases from both appendices A and B, the former relating to joint image and audio databases, and the latter to text databases. I then reflect on the quality of this navigation in relation to the type of navigation and results that they obtain.</w:t>
      </w:r>
    </w:p>
    <w:p>
      <w:pPr>
        <w:pStyle w:val="BodyText"/>
      </w:pPr>
      <w:r>
        <w:t xml:space="preserve">I use computer vision literature to briefly introduce and describe the most common visual descriptors. I focus on certain descriptors (TBD) which are suitable for live multimedia use, and which I will implement in Appendix A.</w:t>
      </w:r>
    </w:p>
    <w:p>
      <w:pPr>
        <w:pStyle w:val="BodyText"/>
      </w:pPr>
      <w:r>
        <w:t xml:space="preserve">I use Timbre Analysis literature to briefly introduce and describe the most useful audio descriptors. I take William Brent’s TimbreID library, complementing it with Tae Hong Park’s dissertation on timbre recognition, and I focus on the most useful descriptors for live multimedia use (TBD), which I will implement in Appendix A in relation to the image descriptors introduced above.</w:t>
      </w:r>
    </w:p>
    <w:p>
      <w:pPr>
        <w:pStyle w:val="Heading2"/>
      </w:pPr>
      <w:bookmarkStart w:id="340" w:name="X7616598f194c52ee6f4c09f01c755a7090177ba"/>
      <w:r>
        <w:t xml:space="preserve">ABBY: An Online Environment for Annotated Bibliographies</w:t>
      </w:r>
      <w:bookmarkEnd w:id="340"/>
    </w:p>
    <w:p>
      <w:pPr>
        <w:pStyle w:val="FirstParagraph"/>
      </w:pPr>
      <w:r>
        <w:t xml:space="preserve">In order to write this dissertation, I have developed</w:t>
      </w:r>
      <w:r>
        <w:t xml:space="preserve"> </w:t>
      </w:r>
      <w:r>
        <w:t xml:space="preserve">“</w:t>
      </w:r>
      <w:r>
        <w:t xml:space="preserve">Abby</w:t>
      </w:r>
      <w:r>
        <w:t xml:space="preserve">”</w:t>
      </w:r>
      <w:r>
        <w:t xml:space="preserve"> </w:t>
      </w:r>
      <w:r>
        <w:t xml:space="preserve">an online Text Database tool namely to build an annotated bibliography. The program is mostly written in Javascript, with the data navigation and programming hosted in Github, and the datasets stored in the Google account that New York University has provided me. The annotated bibliography is available at</w:t>
      </w:r>
      <w:r>
        <w:t xml:space="preserve"> </w:t>
      </w:r>
      <w:hyperlink r:id="rId341">
        <w:r>
          <w:rPr>
            <w:rStyle w:val="Hyperlink"/>
          </w:rPr>
          <w:t xml:space="preserve">https://fdch.github.io/abby</w:t>
        </w:r>
      </w:hyperlink>
      <w:r>
        <w:t xml:space="preserve">, and the code can be accessed or cloned from</w:t>
      </w:r>
      <w:r>
        <w:t xml:space="preserve"> </w:t>
      </w:r>
      <w:hyperlink r:id="rId342">
        <w:r>
          <w:rPr>
            <w:rStyle w:val="Hyperlink"/>
          </w:rPr>
          <w:t xml:space="preserve">https://github.com/fdch/litrev</w:t>
        </w:r>
      </w:hyperlink>
      <w:r>
        <w:t xml:space="preserve">.</w:t>
      </w:r>
    </w:p>
    <w:p>
      <w:pPr>
        <w:pStyle w:val="Heading3"/>
      </w:pPr>
      <w:bookmarkStart w:id="343" w:name="texdb"/>
      <w:r>
        <w:t xml:space="preserve">A Text Database</w:t>
      </w:r>
      <w:bookmarkEnd w:id="343"/>
    </w:p>
    <w:p>
      <w:pPr>
        <w:pStyle w:val="FirstParagraph"/>
      </w:pPr>
      <w:r>
        <w:t xml:space="preserve">A detailed description of the text database model…</w:t>
      </w:r>
    </w:p>
    <w:bookmarkStart w:id="689" w:name="refs"/>
    <w:bookmarkStart w:id="344"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44"/>
    <w:bookmarkStart w:id="345"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45"/>
    <w:bookmarkStart w:id="346"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46"/>
    <w:bookmarkStart w:id="347"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47"/>
    <w:bookmarkStart w:id="348"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48"/>
    <w:bookmarkStart w:id="350"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49">
        <w:r>
          <w:rPr>
            <w:rStyle w:val="Hyperlink"/>
          </w:rPr>
          <w:t xml:space="preserve">http://www.terasoft.com.tw/conf/ismir2014/proceedings/T014_162_Paper.pdf</w:t>
        </w:r>
      </w:hyperlink>
    </w:p>
    <w:bookmarkEnd w:id="350"/>
    <w:bookmarkStart w:id="351"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51"/>
    <w:bookmarkStart w:id="352"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52"/>
    <w:bookmarkStart w:id="353"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53"/>
    <w:bookmarkStart w:id="354"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54"/>
    <w:bookmarkStart w:id="355"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55"/>
    <w:bookmarkStart w:id="356"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56"/>
    <w:bookmarkStart w:id="357"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57"/>
    <w:bookmarkStart w:id="358"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58"/>
    <w:bookmarkStart w:id="359"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59"/>
    <w:bookmarkStart w:id="360"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60"/>
    <w:bookmarkStart w:id="361" w:name="ref-Bar20:Viv"/>
    <w:p>
      <w:pPr>
        <w:pStyle w:val="Bibliography"/>
      </w:pPr>
      <w:r>
        <w:t xml:space="preserve">Barrett N. 2000b. Viva la selva</w:t>
      </w:r>
    </w:p>
    <w:bookmarkEnd w:id="361"/>
    <w:bookmarkStart w:id="362" w:name="ref-Bar68:Ele"/>
    <w:p>
      <w:pPr>
        <w:pStyle w:val="Bibliography"/>
      </w:pPr>
      <w:r>
        <w:t xml:space="preserve">Barthes R, Lavers A, Smith C. 1968.</w:t>
      </w:r>
      <w:r>
        <w:t xml:space="preserve"> </w:t>
      </w:r>
      <w:r>
        <w:rPr>
          <w:i/>
        </w:rPr>
        <w:t xml:space="preserve">Elements of Semiology</w:t>
      </w:r>
      <w:r>
        <w:t xml:space="preserve">. Hill; Wang, New York. ed.</w:t>
      </w:r>
    </w:p>
    <w:bookmarkEnd w:id="362"/>
    <w:bookmarkStart w:id="363"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63"/>
    <w:bookmarkStart w:id="364"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64"/>
    <w:bookmarkStart w:id="365"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65"/>
    <w:bookmarkStart w:id="367"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66">
        <w:r>
          <w:rPr>
            <w:rStyle w:val="Hyperlink"/>
          </w:rPr>
          <w:t xml:space="preserve">http://www.terasoft.com.tw/conf/ismir2014/proceedings/T028_322_Paper.pdf</w:t>
        </w:r>
      </w:hyperlink>
    </w:p>
    <w:bookmarkEnd w:id="367"/>
    <w:bookmarkStart w:id="368"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68"/>
    <w:bookmarkStart w:id="370"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69">
        <w:r>
          <w:rPr>
            <w:rStyle w:val="Hyperlink"/>
          </w:rPr>
          <w:t xml:space="preserve">http://www.ppgia.pucpr.br/ismir2013/wp-content/uploads/2013/09/177\_Paper.pdf</w:t>
        </w:r>
      </w:hyperlink>
    </w:p>
    <w:bookmarkEnd w:id="370"/>
    <w:bookmarkStart w:id="371"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71"/>
    <w:bookmarkStart w:id="372" w:name="ref-Bor42:Fun"/>
    <w:p>
      <w:pPr>
        <w:pStyle w:val="Bibliography"/>
      </w:pPr>
      <w:r>
        <w:t xml:space="preserve">Borges JL. 1942. Funes el memorioso.</w:t>
      </w:r>
      <w:r>
        <w:t xml:space="preserve"> </w:t>
      </w:r>
      <w:r>
        <w:rPr>
          <w:i/>
        </w:rPr>
        <w:t xml:space="preserve">Ficciones</w:t>
      </w:r>
    </w:p>
    <w:bookmarkEnd w:id="372"/>
    <w:bookmarkStart w:id="373" w:name="ref-Bor95:Rat"/>
    <w:p>
      <w:pPr>
        <w:pStyle w:val="Bibliography"/>
      </w:pPr>
      <w:r>
        <w:t xml:space="preserve">Born G. 1995.</w:t>
      </w:r>
      <w:r>
        <w:t xml:space="preserve"> </w:t>
      </w:r>
      <w:r>
        <w:rPr>
          <w:i/>
        </w:rPr>
        <w:t xml:space="preserve">Rationalizing Culture</w:t>
      </w:r>
      <w:r>
        <w:t xml:space="preserve">. University of California Press. ed.</w:t>
      </w:r>
    </w:p>
    <w:bookmarkEnd w:id="373"/>
    <w:bookmarkStart w:id="374"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74"/>
    <w:bookmarkStart w:id="375"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75"/>
    <w:bookmarkStart w:id="376"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76"/>
    <w:bookmarkStart w:id="377"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77"/>
    <w:bookmarkStart w:id="378"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78"/>
    <w:bookmarkStart w:id="379"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79"/>
    <w:bookmarkStart w:id="380" w:name="ref-score11manual"/>
    <w:p>
      <w:pPr>
        <w:pStyle w:val="Bibliography"/>
      </w:pPr>
      <w:r>
        <w:t xml:space="preserve">Brinkman AR. 1982. Original version of the score11 manual.</w:t>
      </w:r>
      <w:r>
        <w:t xml:space="preserve"> </w:t>
      </w:r>
      <w:r>
        <w:rPr>
          <w:i/>
        </w:rPr>
        <w:t xml:space="preserve">Score11 Manual</w:t>
      </w:r>
    </w:p>
    <w:bookmarkEnd w:id="380"/>
    <w:bookmarkStart w:id="381"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81"/>
    <w:bookmarkStart w:id="382"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82"/>
    <w:bookmarkStart w:id="383"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83"/>
    <w:bookmarkStart w:id="385"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84">
        <w:r>
          <w:rPr>
            <w:rStyle w:val="Hyperlink"/>
          </w:rPr>
          <w:t xml:space="preserve">http://www.nime.org/proceedings/2011/nime2011_387.pdf</w:t>
        </w:r>
      </w:hyperlink>
    </w:p>
    <w:bookmarkEnd w:id="385"/>
    <w:bookmarkStart w:id="387"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386">
        <w:r>
          <w:rPr>
            <w:rStyle w:val="Hyperlink"/>
          </w:rPr>
          <w:t xml:space="preserve">http://www.nime.org/proceedings/2009/nime2009_266.pdf</w:t>
        </w:r>
      </w:hyperlink>
    </w:p>
    <w:bookmarkEnd w:id="387"/>
    <w:bookmarkStart w:id="388"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388"/>
    <w:bookmarkStart w:id="389"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389"/>
    <w:bookmarkStart w:id="390"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390"/>
    <w:bookmarkStart w:id="391" w:name="ref-Bux77:Aco"/>
    <w:p>
      <w:pPr>
        <w:pStyle w:val="Bibliography"/>
      </w:pPr>
      <w:r>
        <w:t xml:space="preserve">Buxton W. 1977. A composer’s introduction to computer music.</w:t>
      </w:r>
      <w:r>
        <w:t xml:space="preserve"> </w:t>
      </w:r>
      <w:r>
        <w:rPr>
          <w:i/>
        </w:rPr>
        <w:t xml:space="preserve">Interface</w:t>
      </w:r>
      <w:r>
        <w:t xml:space="preserve">. 6:57–72</w:t>
      </w:r>
    </w:p>
    <w:bookmarkEnd w:id="391"/>
    <w:bookmarkStart w:id="392" w:name="ref-youtube/buxton10"/>
    <w:p>
      <w:pPr>
        <w:pStyle w:val="Bibliography"/>
      </w:pPr>
      <w:r>
        <w:t xml:space="preserve">Buxton W. 2016a. Objed: The sssp sound editing tool.</w:t>
      </w:r>
      <w:r>
        <w:t xml:space="preserve"> </w:t>
      </w:r>
      <w:r>
        <w:rPr>
          <w:i/>
        </w:rPr>
        <w:t xml:space="preserve">Youtube</w:t>
      </w:r>
    </w:p>
    <w:bookmarkEnd w:id="392"/>
    <w:bookmarkStart w:id="393"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393"/>
    <w:bookmarkStart w:id="394"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394"/>
    <w:bookmarkStart w:id="395"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395"/>
    <w:bookmarkStart w:id="396"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396"/>
    <w:bookmarkStart w:id="398"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397">
        <w:r>
          <w:rPr>
            <w:rStyle w:val="Hyperlink"/>
          </w:rPr>
          <w:t xml:space="preserve">http://www.nime.org/proceedings/2011/nime2011_329.pdf</w:t>
        </w:r>
      </w:hyperlink>
    </w:p>
    <w:bookmarkEnd w:id="398"/>
    <w:bookmarkStart w:id="399"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399"/>
    <w:bookmarkStart w:id="400"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400"/>
    <w:bookmarkStart w:id="401"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401"/>
    <w:bookmarkStart w:id="402" w:name="ref-Rya17:OnT"/>
    <w:p>
      <w:pPr>
        <w:pStyle w:val="Bibliography"/>
      </w:pPr>
      <w:r>
        <w:t xml:space="preserve">Carter R. 2017. On the expressive potential of suboptimal speakers</w:t>
      </w:r>
    </w:p>
    <w:bookmarkEnd w:id="402"/>
    <w:bookmarkStart w:id="403"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403"/>
    <w:bookmarkStart w:id="404"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404"/>
    <w:bookmarkStart w:id="405"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405"/>
    <w:bookmarkStart w:id="406"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406"/>
    <w:bookmarkStart w:id="407"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407"/>
    <w:bookmarkStart w:id="408"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408"/>
    <w:bookmarkStart w:id="409"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409"/>
    <w:bookmarkStart w:id="410"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410"/>
    <w:bookmarkStart w:id="411" w:name="ref-Cho00:Voi"/>
    <w:p>
      <w:pPr>
        <w:pStyle w:val="Bibliography"/>
      </w:pPr>
      <w:r>
        <w:t xml:space="preserve">Choi I. 2000. Voices in ruins — composition with residuals</w:t>
      </w:r>
    </w:p>
    <w:bookmarkEnd w:id="411"/>
    <w:bookmarkStart w:id="412"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412"/>
    <w:bookmarkStart w:id="413"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413"/>
    <w:bookmarkStart w:id="414"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414"/>
    <w:bookmarkStart w:id="415"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415"/>
    <w:bookmarkStart w:id="416"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416"/>
    <w:bookmarkStart w:id="417"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417"/>
    <w:bookmarkStart w:id="418"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418"/>
    <w:bookmarkStart w:id="419"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419"/>
    <w:bookmarkStart w:id="420"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420"/>
    <w:bookmarkStart w:id="421" w:name="ref-connes:shapes"/>
    <w:p>
      <w:pPr>
        <w:pStyle w:val="Bibliography"/>
      </w:pPr>
      <w:r>
        <w:t xml:space="preserve">Connes A. 2012. The music of shapes</w:t>
      </w:r>
    </w:p>
    <w:bookmarkEnd w:id="421"/>
    <w:bookmarkStart w:id="422"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422"/>
    <w:bookmarkStart w:id="423"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423"/>
    <w:bookmarkStart w:id="424"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24"/>
    <w:bookmarkStart w:id="425"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25"/>
    <w:bookmarkStart w:id="426"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26"/>
    <w:bookmarkStart w:id="428"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27">
        <w:r>
          <w:rPr>
            <w:rStyle w:val="Hyperlink"/>
          </w:rPr>
          <w:t xml:space="preserve">https://ismir2017.smcnus.org/wp-content/uploads/2017/10/235_Paper.pdf</w:t>
        </w:r>
      </w:hyperlink>
    </w:p>
    <w:bookmarkEnd w:id="428"/>
    <w:bookmarkStart w:id="430" w:name="ref-crowley98"/>
    <w:p>
      <w:pPr>
        <w:pStyle w:val="Bibliography"/>
      </w:pPr>
      <w:r>
        <w:t xml:space="preserve">Crowley C. 1998. Data structures for text sequences.</w:t>
      </w:r>
      <w:r>
        <w:t xml:space="preserve"> </w:t>
      </w:r>
      <w:hyperlink r:id="rId429">
        <w:r>
          <w:rPr>
            <w:rStyle w:val="Hyperlink"/>
          </w:rPr>
          <w:t xml:space="preserve">https://www.cs.unm.edu/~crowley/papers/sds.pdf</w:t>
        </w:r>
      </w:hyperlink>
    </w:p>
    <w:bookmarkEnd w:id="430"/>
    <w:bookmarkStart w:id="431"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31"/>
    <w:bookmarkStart w:id="433"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32">
        <w:r>
          <w:rPr>
            <w:rStyle w:val="Hyperlink"/>
          </w:rPr>
          <w:t xml:space="preserve">https://ismir2017.smcnus.org/wp-content/uploads/2017/10/75_Paper.pdf</w:t>
        </w:r>
      </w:hyperlink>
    </w:p>
    <w:bookmarkEnd w:id="433"/>
    <w:bookmarkStart w:id="434"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34"/>
    <w:bookmarkStart w:id="435"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35"/>
    <w:bookmarkStart w:id="436"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36"/>
    <w:bookmarkStart w:id="437" w:name="ref-Der78:Wri"/>
    <w:p>
      <w:pPr>
        <w:pStyle w:val="Bibliography"/>
      </w:pPr>
      <w:r>
        <w:t xml:space="preserve">Derrida J. 1978.</w:t>
      </w:r>
      <w:r>
        <w:t xml:space="preserve"> </w:t>
      </w:r>
      <w:r>
        <w:rPr>
          <w:i/>
        </w:rPr>
        <w:t xml:space="preserve">Writing and Difference</w:t>
      </w:r>
      <w:r>
        <w:t xml:space="preserve">. The University of Chicago. ed.</w:t>
      </w:r>
    </w:p>
    <w:bookmarkEnd w:id="437"/>
    <w:bookmarkStart w:id="438" w:name="ref-Der82:Mar"/>
    <w:p>
      <w:pPr>
        <w:pStyle w:val="Bibliography"/>
      </w:pPr>
      <w:r>
        <w:t xml:space="preserve">Derrida J. 1982.</w:t>
      </w:r>
      <w:r>
        <w:t xml:space="preserve"> </w:t>
      </w:r>
      <w:r>
        <w:rPr>
          <w:i/>
        </w:rPr>
        <w:t xml:space="preserve">Margins of Philosophy</w:t>
      </w:r>
      <w:r>
        <w:t xml:space="preserve">. The Harvester Press. ed.</w:t>
      </w:r>
    </w:p>
    <w:bookmarkEnd w:id="438"/>
    <w:bookmarkStart w:id="439" w:name="ref-Der95:Arc"/>
    <w:p>
      <w:pPr>
        <w:pStyle w:val="Bibliography"/>
      </w:pPr>
      <w:r>
        <w:t xml:space="preserve">Derrida J, Prenowitz E. 1995. Archive fever: A freudian impression.</w:t>
      </w:r>
      <w:r>
        <w:t xml:space="preserve"> </w:t>
      </w:r>
      <w:r>
        <w:rPr>
          <w:i/>
        </w:rPr>
        <w:t xml:space="preserve">Diacritics</w:t>
      </w:r>
      <w:r>
        <w:t xml:space="preserve">. 25(2):</w:t>
      </w:r>
    </w:p>
    <w:bookmarkEnd w:id="439"/>
    <w:bookmarkStart w:id="441"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40">
        <w:r>
          <w:rPr>
            <w:rStyle w:val="Hyperlink"/>
          </w:rPr>
          <w:t xml:space="preserve">http://ismir2015.uma.es/articles/261_Paper.pdf</w:t>
        </w:r>
      </w:hyperlink>
    </w:p>
    <w:bookmarkEnd w:id="441"/>
    <w:bookmarkStart w:id="442"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42"/>
    <w:bookmarkStart w:id="443"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43"/>
    <w:bookmarkStart w:id="444"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44"/>
    <w:bookmarkStart w:id="445"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45"/>
    <w:bookmarkStart w:id="446"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46"/>
    <w:bookmarkStart w:id="447"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47"/>
    <w:bookmarkStart w:id="449"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48">
        <w:r>
          <w:rPr>
            <w:rStyle w:val="Hyperlink"/>
          </w:rPr>
          <w:t xml:space="preserve">http://ismir2018.ircam.fr/doc/pdfs/265_Paper.pdf</w:t>
        </w:r>
      </w:hyperlink>
    </w:p>
    <w:bookmarkEnd w:id="449"/>
    <w:bookmarkStart w:id="450"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50"/>
    <w:bookmarkStart w:id="452"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51">
        <w:r>
          <w:rPr>
            <w:rStyle w:val="Hyperlink"/>
          </w:rPr>
          <w:t xml:space="preserve">http://ismir2000.ismir.net/papers/invites/dunn_invite.pdf</w:t>
        </w:r>
      </w:hyperlink>
    </w:p>
    <w:bookmarkEnd w:id="452"/>
    <w:bookmarkStart w:id="453"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53"/>
    <w:bookmarkStart w:id="454"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54"/>
    <w:bookmarkStart w:id="455" w:name="ref-Eco04:The"/>
    <w:p>
      <w:pPr>
        <w:pStyle w:val="Bibliography"/>
      </w:pPr>
      <w:r>
        <w:t xml:space="preserve">Eco U. 2004. The poetics of the open work.</w:t>
      </w:r>
      <w:r>
        <w:t xml:space="preserve"> </w:t>
      </w:r>
      <w:r>
        <w:rPr>
          <w:i/>
        </w:rPr>
        <w:t xml:space="preserve">Audio Culture: Readings in Modern Music</w:t>
      </w:r>
    </w:p>
    <w:bookmarkEnd w:id="455"/>
    <w:bookmarkStart w:id="456" w:name="ref-Emm86:The"/>
    <w:p>
      <w:pPr>
        <w:pStyle w:val="Bibliography"/>
      </w:pPr>
      <w:r>
        <w:t xml:space="preserve">Emmerson S. 1986.</w:t>
      </w:r>
      <w:r>
        <w:t xml:space="preserve"> </w:t>
      </w:r>
      <w:r>
        <w:rPr>
          <w:i/>
        </w:rPr>
        <w:t xml:space="preserve">The Language of Electroacoustic Music</w:t>
      </w:r>
      <w:r>
        <w:t xml:space="preserve">. ed.</w:t>
      </w:r>
    </w:p>
    <w:bookmarkEnd w:id="456"/>
    <w:bookmarkStart w:id="458"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57">
        <w:r>
          <w:rPr>
            <w:rStyle w:val="Hyperlink"/>
          </w:rPr>
          <w:t xml:space="preserve">http://ismir2018.ircam.fr/doc/pdfs/206_Paper.pdf</w:t>
        </w:r>
      </w:hyperlink>
    </w:p>
    <w:bookmarkEnd w:id="458"/>
    <w:bookmarkStart w:id="459"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59"/>
    <w:bookmarkStart w:id="460" w:name="ref-Ern13:Dig"/>
    <w:p>
      <w:pPr>
        <w:pStyle w:val="Bibliography"/>
      </w:pPr>
      <w:r>
        <w:t xml:space="preserve">Ernst W. 2013.</w:t>
      </w:r>
      <w:r>
        <w:t xml:space="preserve"> </w:t>
      </w:r>
      <w:r>
        <w:rPr>
          <w:i/>
        </w:rPr>
        <w:t xml:space="preserve">Digital Memory and the Archive</w:t>
      </w:r>
      <w:r>
        <w:t xml:space="preserve">. University of Minnesota Press. ed.</w:t>
      </w:r>
    </w:p>
    <w:bookmarkEnd w:id="460"/>
    <w:bookmarkStart w:id="461" w:name="ref-PhysRevLett.122.084501"/>
    <w:p>
      <w:pPr>
        <w:pStyle w:val="Bibliography"/>
      </w:pPr>
      <w:r>
        <w:t xml:space="preserve">Esposito A, Krichevsky R, Nicolis A. 2019. Gravitational mass carried by sound waves.</w:t>
      </w:r>
      <w:r>
        <w:t xml:space="preserve"> </w:t>
      </w:r>
      <w:r>
        <w:rPr>
          <w:i/>
        </w:rPr>
        <w:t xml:space="preserve">Phys. Rev. Lett.</w:t>
      </w:r>
      <w:r>
        <w:t xml:space="preserve"> </w:t>
      </w:r>
      <w:r>
        <w:t xml:space="preserve">122(8):084501</w:t>
      </w:r>
    </w:p>
    <w:bookmarkEnd w:id="461"/>
    <w:bookmarkStart w:id="462"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62"/>
    <w:bookmarkStart w:id="464"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63">
        <w:r>
          <w:rPr>
            <w:rStyle w:val="Hyperlink"/>
          </w:rPr>
          <w:t xml:space="preserve">https://ismir2017.smcnus.org/wp-content/uploads/2017/10/161_Paper.pdf</w:t>
        </w:r>
      </w:hyperlink>
    </w:p>
    <w:bookmarkEnd w:id="464"/>
    <w:bookmarkStart w:id="465"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65"/>
    <w:bookmarkStart w:id="466"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66"/>
    <w:bookmarkStart w:id="467"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67"/>
    <w:bookmarkStart w:id="468"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68"/>
    <w:bookmarkStart w:id="469"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69"/>
    <w:bookmarkStart w:id="470"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70"/>
    <w:bookmarkStart w:id="472"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71">
        <w:r>
          <w:rPr>
            <w:rStyle w:val="Hyperlink"/>
          </w:rPr>
          <w:t xml:space="preserve">http://www.nime.org/proceedings/2011/nime2011_124.pdf</w:t>
        </w:r>
      </w:hyperlink>
    </w:p>
    <w:bookmarkEnd w:id="472"/>
    <w:bookmarkStart w:id="473"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73"/>
    <w:bookmarkStart w:id="475"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74">
        <w:r>
          <w:rPr>
            <w:rStyle w:val="Hyperlink"/>
          </w:rPr>
          <w:t xml:space="preserve">http://ismir2000.ismir.net/posters/good.pdf</w:t>
        </w:r>
      </w:hyperlink>
    </w:p>
    <w:bookmarkEnd w:id="475"/>
    <w:bookmarkStart w:id="477"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76">
        <w:r>
          <w:rPr>
            <w:rStyle w:val="Hyperlink"/>
          </w:rPr>
          <w:t xml:space="preserve">http://ismir2002.ismir.net/proceedings/03-SP04-1.pdf</w:t>
        </w:r>
      </w:hyperlink>
    </w:p>
    <w:bookmarkEnd w:id="477"/>
    <w:bookmarkStart w:id="479"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78">
        <w:r>
          <w:rPr>
            <w:rStyle w:val="Hyperlink"/>
          </w:rPr>
          <w:t xml:space="preserve">http://ismir2003.ismir.net/papers/Goto1.PDF</w:t>
        </w:r>
      </w:hyperlink>
    </w:p>
    <w:bookmarkEnd w:id="479"/>
    <w:bookmarkStart w:id="480" w:name="ref-Gra15:The"/>
    <w:p>
      <w:pPr>
        <w:pStyle w:val="Bibliography"/>
      </w:pPr>
      <w:r>
        <w:t xml:space="preserve">Gratton P, Morin M-E. 2015.</w:t>
      </w:r>
      <w:r>
        <w:t xml:space="preserve"> </w:t>
      </w:r>
      <w:r>
        <w:rPr>
          <w:i/>
        </w:rPr>
        <w:t xml:space="preserve">The Nancy Dictionary</w:t>
      </w:r>
      <w:r>
        <w:t xml:space="preserve">. Edinburgh University Press. ed.</w:t>
      </w:r>
    </w:p>
    <w:bookmarkEnd w:id="480"/>
    <w:bookmarkStart w:id="481"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81"/>
    <w:bookmarkStart w:id="483"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82">
        <w:r>
          <w:rPr>
            <w:rStyle w:val="Hyperlink"/>
          </w:rPr>
          <w:t xml:space="preserve">http://www.terasoft.com.tw/conf/ismir2014/proceedings/T059_257_Paper.pdf</w:t>
        </w:r>
      </w:hyperlink>
    </w:p>
    <w:bookmarkEnd w:id="483"/>
    <w:bookmarkStart w:id="484"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84"/>
    <w:bookmarkStart w:id="485"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85"/>
    <w:bookmarkStart w:id="486" w:name="ref-Han04:New"/>
    <w:p>
      <w:pPr>
        <w:pStyle w:val="Bibliography"/>
      </w:pPr>
      <w:r>
        <w:t xml:space="preserve">Hansen MBN. 2004.</w:t>
      </w:r>
      <w:r>
        <w:t xml:space="preserve"> </w:t>
      </w:r>
      <w:r>
        <w:rPr>
          <w:i/>
        </w:rPr>
        <w:t xml:space="preserve">New Philosophy for New Media</w:t>
      </w:r>
      <w:r>
        <w:t xml:space="preserve">. The MIT Press. ed.</w:t>
      </w:r>
    </w:p>
    <w:bookmarkEnd w:id="486"/>
    <w:bookmarkStart w:id="488"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487">
        <w:r>
          <w:rPr>
            <w:rStyle w:val="Hyperlink"/>
          </w:rPr>
          <w:t xml:space="preserve">http://ismir2008.ismir.net/papers/ISMIR2008_173.pdf</w:t>
        </w:r>
      </w:hyperlink>
    </w:p>
    <w:bookmarkEnd w:id="488"/>
    <w:bookmarkStart w:id="489"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489"/>
    <w:bookmarkStart w:id="490"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490"/>
    <w:bookmarkStart w:id="492"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491">
        <w:r>
          <w:rPr>
            <w:rStyle w:val="Hyperlink"/>
          </w:rPr>
          <w:t xml:space="preserve">http://www.ppgia.pucpr.br/ismir2013/wp-content/uploads/2013/09/85_Paper.pdf</w:t>
        </w:r>
      </w:hyperlink>
    </w:p>
    <w:bookmarkEnd w:id="492"/>
    <w:bookmarkStart w:id="493"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493"/>
    <w:bookmarkStart w:id="494" w:name="ref-Hay93:The"/>
    <w:p>
      <w:pPr>
        <w:pStyle w:val="Bibliography"/>
      </w:pPr>
      <w:r>
        <w:t xml:space="preserve">Hayles NK. 1993. The materiality of informatics.</w:t>
      </w:r>
      <w:r>
        <w:t xml:space="preserve"> </w:t>
      </w:r>
      <w:r>
        <w:rPr>
          <w:i/>
        </w:rPr>
        <w:t xml:space="preserve">Configurations</w:t>
      </w:r>
      <w:r>
        <w:t xml:space="preserve">. 1(1):</w:t>
      </w:r>
    </w:p>
    <w:bookmarkEnd w:id="494"/>
    <w:bookmarkStart w:id="495"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495"/>
    <w:bookmarkStart w:id="496"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496"/>
    <w:bookmarkStart w:id="497"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497"/>
    <w:bookmarkStart w:id="499"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498">
        <w:r>
          <w:rPr>
            <w:rStyle w:val="Hyperlink"/>
          </w:rPr>
          <w:t xml:space="preserve">http://www.nime.org/proceedings/2010/nime2010_233.pdf</w:t>
        </w:r>
      </w:hyperlink>
    </w:p>
    <w:bookmarkEnd w:id="499"/>
    <w:bookmarkStart w:id="501"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500">
        <w:r>
          <w:rPr>
            <w:rStyle w:val="Hyperlink"/>
          </w:rPr>
          <w:t xml:space="preserve">http://ismir2005.ismir.net/proceedings/2117.pdf</w:t>
        </w:r>
      </w:hyperlink>
    </w:p>
    <w:bookmarkEnd w:id="501"/>
    <w:bookmarkStart w:id="502"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502"/>
    <w:bookmarkStart w:id="504"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503">
        <w:r>
          <w:rPr>
            <w:rStyle w:val="Hyperlink"/>
          </w:rPr>
          <w:t xml:space="preserve">http://ismir2018.ircam.fr/doc/pdfs/248_Paper.pdf</w:t>
        </w:r>
      </w:hyperlink>
    </w:p>
    <w:bookmarkEnd w:id="504"/>
    <w:bookmarkStart w:id="505" w:name="ref-Mau99:Abr"/>
    <w:p>
      <w:pPr>
        <w:pStyle w:val="Bibliography"/>
      </w:pPr>
      <w:r>
        <w:t xml:space="preserve">IV JAM. 1999.</w:t>
      </w:r>
      <w:r>
        <w:t xml:space="preserve"> </w:t>
      </w:r>
      <w:r>
        <w:rPr>
          <w:i/>
        </w:rPr>
        <w:t xml:space="preserve">A Brief History of Algorithmic Composition</w:t>
      </w:r>
      <w:r>
        <w:t xml:space="preserve">. Online. ed.</w:t>
      </w:r>
    </w:p>
    <w:bookmarkEnd w:id="505"/>
    <w:bookmarkStart w:id="506"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506"/>
    <w:bookmarkStart w:id="507"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507"/>
    <w:bookmarkStart w:id="508"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508"/>
    <w:bookmarkStart w:id="510"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509">
        <w:r>
          <w:rPr>
            <w:rStyle w:val="Hyperlink"/>
          </w:rPr>
          <w:t xml:space="preserve">http://ismir2008.ismir.net/papers/ISMIR2008_106.pdf</w:t>
        </w:r>
      </w:hyperlink>
    </w:p>
    <w:bookmarkEnd w:id="510"/>
    <w:bookmarkStart w:id="511"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511"/>
    <w:bookmarkStart w:id="512"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512"/>
    <w:bookmarkStart w:id="513"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513"/>
    <w:bookmarkStart w:id="514"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514"/>
    <w:bookmarkStart w:id="516"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515">
        <w:r>
          <w:rPr>
            <w:rStyle w:val="Hyperlink"/>
          </w:rPr>
          <w:t xml:space="preserve">http://www.terasoft.com.tw/conf/ismir2014/proceedings/T039_344_Paper.pdf</w:t>
        </w:r>
      </w:hyperlink>
    </w:p>
    <w:bookmarkEnd w:id="516"/>
    <w:bookmarkStart w:id="517" w:name="ref-Kle98:The"/>
    <w:p>
      <w:pPr>
        <w:pStyle w:val="Bibliography"/>
      </w:pPr>
      <w:r>
        <w:t xml:space="preserve">Klein J. 1998. The wolves of bays mountain</w:t>
      </w:r>
    </w:p>
    <w:bookmarkEnd w:id="517"/>
    <w:bookmarkStart w:id="518" w:name="ref-Kle17:Lec"/>
    <w:p>
      <w:pPr>
        <w:pStyle w:val="Bibliography"/>
      </w:pPr>
      <w:r>
        <w:t xml:space="preserve">Klein J. 2017.</w:t>
      </w:r>
      <w:r>
        <w:t xml:space="preserve"> </w:t>
      </w:r>
      <w:r>
        <w:rPr>
          <w:i/>
        </w:rPr>
        <w:t xml:space="preserve">On my compositional approach</w:t>
      </w:r>
      <w:r>
        <w:t xml:space="preserve">. Work. Pap.</w:t>
      </w:r>
    </w:p>
    <w:bookmarkEnd w:id="518"/>
    <w:bookmarkStart w:id="519"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519"/>
    <w:bookmarkStart w:id="521"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520">
        <w:r>
          <w:rPr>
            <w:rStyle w:val="Hyperlink"/>
          </w:rPr>
          <w:t xml:space="preserve">http://ismir2015.uma.es/articles/246_Paper.pdf</w:t>
        </w:r>
      </w:hyperlink>
    </w:p>
    <w:bookmarkEnd w:id="521"/>
    <w:bookmarkStart w:id="522"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522"/>
    <w:bookmarkStart w:id="523"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23"/>
    <w:bookmarkStart w:id="524"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24"/>
    <w:bookmarkStart w:id="525"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25"/>
    <w:bookmarkStart w:id="526"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26"/>
    <w:bookmarkStart w:id="527"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27"/>
    <w:bookmarkStart w:id="528"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28"/>
    <w:bookmarkStart w:id="529"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29"/>
    <w:bookmarkStart w:id="530"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30"/>
    <w:bookmarkStart w:id="531"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31"/>
    <w:bookmarkStart w:id="532"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32"/>
    <w:bookmarkStart w:id="533" w:name="ref-Lod98:MUS"/>
    <w:p>
      <w:pPr>
        <w:pStyle w:val="Bibliography"/>
      </w:pPr>
      <w:r>
        <w:t xml:space="preserve">Lodha S, Beahan J, Joseph A, Zane-ulman B. 1998. MUSE: A musical data sonification toolkit</w:t>
      </w:r>
    </w:p>
    <w:bookmarkEnd w:id="533"/>
    <w:bookmarkStart w:id="534"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34"/>
    <w:bookmarkStart w:id="536"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35">
        <w:r>
          <w:rPr>
            <w:rStyle w:val="Hyperlink"/>
          </w:rPr>
          <w:t xml:space="preserve">http://www.nime.org/proceedings/2008/nime2008_221.pdf</w:t>
        </w:r>
      </w:hyperlink>
    </w:p>
    <w:bookmarkEnd w:id="536"/>
    <w:bookmarkStart w:id="537"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37"/>
    <w:bookmarkStart w:id="538" w:name="ref-Luc70:Iam"/>
    <w:p>
      <w:pPr>
        <w:pStyle w:val="Bibliography"/>
      </w:pPr>
      <w:r>
        <w:t xml:space="preserve">Lucier A. 1970. I am sitting in a room</w:t>
      </w:r>
    </w:p>
    <w:bookmarkEnd w:id="538"/>
    <w:bookmarkStart w:id="539" w:name="ref-Man01:The"/>
    <w:p>
      <w:pPr>
        <w:pStyle w:val="Bibliography"/>
      </w:pPr>
      <w:r>
        <w:t xml:space="preserve">Manovich L. 2001.</w:t>
      </w:r>
      <w:r>
        <w:t xml:space="preserve"> </w:t>
      </w:r>
      <w:r>
        <w:rPr>
          <w:i/>
        </w:rPr>
        <w:t xml:space="preserve">The Language of New Media</w:t>
      </w:r>
      <w:r>
        <w:t xml:space="preserve">. MIT Press. ed.</w:t>
      </w:r>
    </w:p>
    <w:bookmarkEnd w:id="539"/>
    <w:bookmarkStart w:id="540" w:name="ref-Man02:Old"/>
    <w:p>
      <w:pPr>
        <w:pStyle w:val="Bibliography"/>
      </w:pPr>
      <w:r>
        <w:t xml:space="preserve">Manovich L. 2002. Old media as new media: Cinema.</w:t>
      </w:r>
      <w:r>
        <w:t xml:space="preserve"> </w:t>
      </w:r>
      <w:r>
        <w:rPr>
          <w:i/>
        </w:rPr>
        <w:t xml:space="preserve">The New Media Book</w:t>
      </w:r>
    </w:p>
    <w:bookmarkEnd w:id="540"/>
    <w:bookmarkStart w:id="541" w:name="ref-Mat63:The"/>
    <w:p>
      <w:pPr>
        <w:pStyle w:val="Bibliography"/>
      </w:pPr>
      <w:r>
        <w:t xml:space="preserve">Mathews MV. 1963. The digital computer as a musical instrument.</w:t>
      </w:r>
      <w:r>
        <w:t xml:space="preserve"> </w:t>
      </w:r>
      <w:r>
        <w:rPr>
          <w:i/>
        </w:rPr>
        <w:t xml:space="preserve">Science</w:t>
      </w:r>
      <w:r>
        <w:t xml:space="preserve">. 142(3592):553–57</w:t>
      </w:r>
    </w:p>
    <w:bookmarkEnd w:id="541"/>
    <w:bookmarkStart w:id="543"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42">
        <w:r>
          <w:rPr>
            <w:rStyle w:val="Hyperlink"/>
          </w:rPr>
          <w:t xml:space="preserve">http://ismir2008.ismir.net/papers/ISMIR2008_158.pdf</w:t>
        </w:r>
      </w:hyperlink>
    </w:p>
    <w:bookmarkEnd w:id="543"/>
    <w:bookmarkStart w:id="544"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44"/>
    <w:bookmarkStart w:id="545"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45"/>
    <w:bookmarkStart w:id="546"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46"/>
    <w:bookmarkStart w:id="547" w:name="ref-csoundMethods"/>
    <w:p>
      <w:pPr>
        <w:pStyle w:val="Bibliography"/>
      </w:pPr>
      <w:r>
        <w:t xml:space="preserve">McCurdy I, Heintz J, Joaquin J, Knevel M. 2015. Methods of writing csound scores.</w:t>
      </w:r>
      <w:r>
        <w:t xml:space="preserve"> </w:t>
      </w:r>
      <w:r>
        <w:rPr>
          <w:i/>
        </w:rPr>
        <w:t xml:space="preserve">FLOSS Manuals</w:t>
      </w:r>
    </w:p>
    <w:bookmarkEnd w:id="547"/>
    <w:bookmarkStart w:id="548"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48"/>
    <w:bookmarkStart w:id="550"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49">
        <w:r>
          <w:rPr>
            <w:rStyle w:val="Hyperlink"/>
          </w:rPr>
          <w:t xml:space="preserve">http://ismir2018.ircam.fr/doc/pdfs/35_Paper.pdf</w:t>
        </w:r>
      </w:hyperlink>
    </w:p>
    <w:bookmarkEnd w:id="550"/>
    <w:bookmarkStart w:id="551"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51"/>
    <w:bookmarkStart w:id="552"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52"/>
    <w:bookmarkStart w:id="553"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53"/>
    <w:bookmarkStart w:id="554"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54"/>
    <w:bookmarkStart w:id="555" w:name="ref-ods-cpp"/>
    <w:p>
      <w:pPr>
        <w:pStyle w:val="Bibliography"/>
      </w:pPr>
      <w:r>
        <w:t xml:space="preserve">Morin P. 2019.</w:t>
      </w:r>
      <w:r>
        <w:t xml:space="preserve"> </w:t>
      </w:r>
      <w:r>
        <w:rPr>
          <w:i/>
        </w:rPr>
        <w:t xml:space="preserve">Open Data Structures</w:t>
      </w:r>
      <w:r>
        <w:t xml:space="preserve">. Creative Commons. ed.</w:t>
      </w:r>
    </w:p>
    <w:bookmarkEnd w:id="555"/>
    <w:bookmarkStart w:id="556"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56"/>
    <w:bookmarkStart w:id="557"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57"/>
    <w:bookmarkStart w:id="558"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58"/>
    <w:bookmarkStart w:id="560"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59">
        <w:r>
          <w:rPr>
            <w:rStyle w:val="Hyperlink"/>
          </w:rPr>
          <w:t xml:space="preserve">http://www.nime.org/proceedings/2007/nime2007_409.pdf</w:t>
        </w:r>
      </w:hyperlink>
    </w:p>
    <w:bookmarkEnd w:id="560"/>
    <w:bookmarkStart w:id="561"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61"/>
    <w:bookmarkStart w:id="562" w:name="ref-Nan07:Lis"/>
    <w:p>
      <w:pPr>
        <w:pStyle w:val="Bibliography"/>
      </w:pPr>
      <w:r>
        <w:t xml:space="preserve">Nancy J-L. 2007.</w:t>
      </w:r>
      <w:r>
        <w:t xml:space="preserve"> </w:t>
      </w:r>
      <w:r>
        <w:rPr>
          <w:i/>
        </w:rPr>
        <w:t xml:space="preserve">Listening</w:t>
      </w:r>
      <w:r>
        <w:t xml:space="preserve">. Fordham University Place. ed.</w:t>
      </w:r>
    </w:p>
    <w:bookmarkEnd w:id="562"/>
    <w:bookmarkStart w:id="563"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63"/>
    <w:bookmarkStart w:id="565"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64">
        <w:r>
          <w:rPr>
            <w:rStyle w:val="Hyperlink"/>
          </w:rPr>
          <w:t xml:space="preserve">http://www.nime.org/proceedings/2007/nime2007_112.pdf</w:t>
        </w:r>
      </w:hyperlink>
    </w:p>
    <w:bookmarkEnd w:id="565"/>
    <w:bookmarkStart w:id="566"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66"/>
    <w:bookmarkStart w:id="567"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67"/>
    <w:bookmarkStart w:id="568"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68"/>
    <w:bookmarkStart w:id="569"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69"/>
    <w:bookmarkStart w:id="570"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70"/>
    <w:bookmarkStart w:id="571"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71"/>
    <w:bookmarkStart w:id="572"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72"/>
    <w:bookmarkStart w:id="573"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73"/>
    <w:bookmarkStart w:id="574"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74"/>
    <w:bookmarkStart w:id="575" w:name="ref-Wil96:Lis"/>
    <w:p>
      <w:pPr>
        <w:pStyle w:val="Bibliography"/>
      </w:pPr>
      <w:r>
        <w:t xml:space="preserve">Pauletto S, Hunt A. 2004a. A toolkit for interactive sonification.</w:t>
      </w:r>
      <w:r>
        <w:t xml:space="preserve"> </w:t>
      </w:r>
      <w:r>
        <w:rPr>
          <w:i/>
        </w:rPr>
        <w:t xml:space="preserve">ICAD</w:t>
      </w:r>
      <w:r>
        <w:t xml:space="preserve">. Georgia Institute of Technology</w:t>
      </w:r>
    </w:p>
    <w:bookmarkEnd w:id="575"/>
    <w:bookmarkStart w:id="576" w:name="ref-pauletto04"/>
    <w:p>
      <w:pPr>
        <w:pStyle w:val="Bibliography"/>
      </w:pPr>
      <w:r>
        <w:t xml:space="preserve">Pauletto S, Hunt A. 2004b.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p>
    <w:bookmarkEnd w:id="576"/>
    <w:bookmarkStart w:id="577"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77"/>
    <w:bookmarkStart w:id="579"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78">
        <w:r>
          <w:rPr>
            <w:rStyle w:val="Hyperlink"/>
          </w:rPr>
          <w:t xml:space="preserve">http://www.terasoft.com.tw/conf/ismir2014/proceedings/T064_307_Paper.pdf</w:t>
        </w:r>
      </w:hyperlink>
    </w:p>
    <w:bookmarkEnd w:id="579"/>
    <w:bookmarkStart w:id="580"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80"/>
    <w:bookmarkStart w:id="581" w:name="ref-Pos11:Int"/>
    <w:p>
      <w:pPr>
        <w:pStyle w:val="Bibliography"/>
      </w:pPr>
      <w:r>
        <w:t xml:space="preserve">Poster M. 2011. Introduction.</w:t>
      </w:r>
      <w:r>
        <w:t xml:space="preserve"> </w:t>
      </w:r>
      <w:r>
        <w:rPr>
          <w:i/>
        </w:rPr>
        <w:t xml:space="preserve">Into the Universe of Technical Images</w:t>
      </w:r>
    </w:p>
    <w:bookmarkEnd w:id="581"/>
    <w:bookmarkStart w:id="583"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82">
        <w:r>
          <w:rPr>
            <w:rStyle w:val="Hyperlink"/>
          </w:rPr>
          <w:t xml:space="preserve">http://www.nime.org/proceedings/2008/nime2008_311.pdf</w:t>
        </w:r>
      </w:hyperlink>
    </w:p>
    <w:bookmarkEnd w:id="583"/>
    <w:bookmarkStart w:id="584"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584"/>
    <w:bookmarkStart w:id="585"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585"/>
    <w:bookmarkStart w:id="586" w:name="ref-Puc91:Som"/>
    <w:p>
      <w:pPr>
        <w:pStyle w:val="Bibliography"/>
      </w:pPr>
      <w:r>
        <w:t xml:space="preserve">Puckette M. 1991. Something digital.</w:t>
      </w:r>
      <w:r>
        <w:t xml:space="preserve"> </w:t>
      </w:r>
      <w:r>
        <w:rPr>
          <w:i/>
        </w:rPr>
        <w:t xml:space="preserve">Computer Music Journal</w:t>
      </w:r>
      <w:r>
        <w:t xml:space="preserve">. 15(4):65–69</w:t>
      </w:r>
    </w:p>
    <w:bookmarkEnd w:id="586"/>
    <w:bookmarkStart w:id="587"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587"/>
    <w:bookmarkStart w:id="588"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588"/>
    <w:bookmarkStart w:id="589"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589"/>
    <w:bookmarkStart w:id="590"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590"/>
    <w:bookmarkStart w:id="591"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591"/>
    <w:bookmarkStart w:id="592"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592"/>
    <w:bookmarkStart w:id="593" w:name="ref-Roa04:Mic"/>
    <w:p>
      <w:pPr>
        <w:pStyle w:val="Bibliography"/>
      </w:pPr>
      <w:r>
        <w:t xml:space="preserve">Roads C. 2001.</w:t>
      </w:r>
      <w:r>
        <w:t xml:space="preserve"> </w:t>
      </w:r>
      <w:r>
        <w:rPr>
          <w:i/>
        </w:rPr>
        <w:t xml:space="preserve">Microsound</w:t>
      </w:r>
      <w:r>
        <w:t xml:space="preserve">. MIT Press. ed.</w:t>
      </w:r>
    </w:p>
    <w:bookmarkEnd w:id="593"/>
    <w:bookmarkStart w:id="594" w:name="ref-Roa80:Int"/>
    <w:p>
      <w:pPr>
        <w:pStyle w:val="Bibliography"/>
      </w:pPr>
      <w:r>
        <w:t xml:space="preserve">Roads C, Mathews M. 1980. Interview with max mathews.</w:t>
      </w:r>
      <w:r>
        <w:t xml:space="preserve"> </w:t>
      </w:r>
      <w:r>
        <w:rPr>
          <w:i/>
        </w:rPr>
        <w:t xml:space="preserve">Computer Music Journal</w:t>
      </w:r>
      <w:r>
        <w:t xml:space="preserve">. 4(4):15–22</w:t>
      </w:r>
    </w:p>
    <w:bookmarkEnd w:id="594"/>
    <w:bookmarkStart w:id="595"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595"/>
    <w:bookmarkStart w:id="596"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596"/>
    <w:bookmarkStart w:id="597"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597"/>
    <w:bookmarkStart w:id="598"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598"/>
    <w:bookmarkStart w:id="599"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599"/>
    <w:bookmarkStart w:id="600"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600"/>
    <w:bookmarkStart w:id="601"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601"/>
    <w:bookmarkStart w:id="602"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602"/>
    <w:bookmarkStart w:id="603"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603"/>
    <w:bookmarkStart w:id="604"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604"/>
    <w:bookmarkStart w:id="606"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605">
        <w:r>
          <w:rPr>
            <w:rStyle w:val="Hyperlink"/>
          </w:rPr>
          <w:t xml:space="preserve">http://ismir2005.ismir.net/proceedings/3123.pdf</w:t>
        </w:r>
      </w:hyperlink>
    </w:p>
    <w:bookmarkEnd w:id="606"/>
    <w:bookmarkStart w:id="607"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607"/>
    <w:bookmarkStart w:id="608"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608"/>
    <w:bookmarkStart w:id="609"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609"/>
    <w:bookmarkStart w:id="610"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610"/>
    <w:bookmarkStart w:id="611"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611"/>
    <w:bookmarkStart w:id="612"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612"/>
    <w:bookmarkStart w:id="613"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613"/>
    <w:bookmarkStart w:id="614"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614"/>
    <w:bookmarkStart w:id="615" w:name="ref-Sch06:Rea"/>
    <w:p>
      <w:pPr>
        <w:pStyle w:val="Bibliography"/>
      </w:pPr>
      <w:r>
        <w:t xml:space="preserve">Schwarz D. 2006b. Real-time corpus-based concatenative synthesis with catart., pp. 18–21</w:t>
      </w:r>
    </w:p>
    <w:bookmarkEnd w:id="615"/>
    <w:bookmarkStart w:id="616"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616"/>
    <w:bookmarkStart w:id="617"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617"/>
    <w:bookmarkStart w:id="618"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618"/>
    <w:bookmarkStart w:id="619" w:name="ref-scoremus"/>
    <w:p>
      <w:pPr>
        <w:pStyle w:val="Bibliography"/>
      </w:pPr>
      <w:r>
        <w:t xml:space="preserve">Selfridge-Field E. 1997. The score music publishing system.</w:t>
      </w:r>
      <w:r>
        <w:t xml:space="preserve"> </w:t>
      </w:r>
      <w:r>
        <w:rPr>
          <w:i/>
        </w:rPr>
        <w:t xml:space="preserve">SCORE</w:t>
      </w:r>
    </w:p>
    <w:bookmarkEnd w:id="619"/>
    <w:bookmarkStart w:id="620"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620"/>
    <w:bookmarkStart w:id="622"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621">
        <w:r>
          <w:rPr>
            <w:rStyle w:val="Hyperlink"/>
          </w:rPr>
          <w:t xml:space="preserve">https://hal.archives-ouvertes.fr/hal-01393959</w:t>
        </w:r>
      </w:hyperlink>
    </w:p>
    <w:bookmarkEnd w:id="622"/>
    <w:bookmarkStart w:id="623"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23"/>
    <w:bookmarkStart w:id="624"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24"/>
    <w:bookmarkStart w:id="625" w:name="ref-fdch/installation/spectral"/>
    <w:p>
      <w:pPr>
        <w:pStyle w:val="Bibliography"/>
      </w:pPr>
      <w:r>
        <w:t xml:space="preserve">Simonelli L, Delgadino M, Cámara Halac F. 2017.</w:t>
      </w:r>
      <w:r>
        <w:t xml:space="preserve"> </w:t>
      </w:r>
      <w:r>
        <w:rPr>
          <w:i/>
        </w:rPr>
        <w:t xml:space="preserve">Hearing the Self: A Spectral Experience</w:t>
      </w:r>
      <w:r>
        <w:t xml:space="preserve">. Xuhui Art Museum, Shanghai, China: International Computer Music Conference. ed.</w:t>
      </w:r>
    </w:p>
    <w:bookmarkEnd w:id="625"/>
    <w:bookmarkStart w:id="626" w:name="ref-10.2307/941442"/>
    <w:p>
      <w:pPr>
        <w:pStyle w:val="Bibliography"/>
      </w:pPr>
      <w:r>
        <w:t xml:space="preserve">Skinner R. 1990a. Music software.</w:t>
      </w:r>
      <w:r>
        <w:t xml:space="preserve"> </w:t>
      </w:r>
      <w:r>
        <w:rPr>
          <w:i/>
        </w:rPr>
        <w:t xml:space="preserve">Notes</w:t>
      </w:r>
      <w:r>
        <w:t xml:space="preserve">. 46(3):660–84</w:t>
      </w:r>
    </w:p>
    <w:bookmarkEnd w:id="626"/>
    <w:bookmarkStart w:id="627" w:name="ref-10.2307/940555"/>
    <w:p>
      <w:pPr>
        <w:pStyle w:val="Bibliography"/>
      </w:pPr>
      <w:r>
        <w:t xml:space="preserve">Skinner R. 1990b. Music software.</w:t>
      </w:r>
      <w:r>
        <w:t xml:space="preserve"> </w:t>
      </w:r>
      <w:r>
        <w:rPr>
          <w:i/>
        </w:rPr>
        <w:t xml:space="preserve">Notes</w:t>
      </w:r>
      <w:r>
        <w:t xml:space="preserve">. 47(1):91–101</w:t>
      </w:r>
    </w:p>
    <w:bookmarkEnd w:id="627"/>
    <w:bookmarkStart w:id="628"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28"/>
    <w:bookmarkStart w:id="629"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29"/>
    <w:bookmarkStart w:id="630"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30"/>
    <w:bookmarkStart w:id="631" w:name="ref-Ste12:MP3"/>
    <w:p>
      <w:pPr>
        <w:pStyle w:val="Bibliography"/>
      </w:pPr>
      <w:r>
        <w:t xml:space="preserve">Sterne J. 2012.</w:t>
      </w:r>
      <w:r>
        <w:t xml:space="preserve"> </w:t>
      </w:r>
      <w:r>
        <w:rPr>
          <w:i/>
        </w:rPr>
        <w:t xml:space="preserve">MP3: The Meaning of a Format</w:t>
      </w:r>
      <w:r>
        <w:t xml:space="preserve">. Duke University Press. ed.</w:t>
      </w:r>
    </w:p>
    <w:bookmarkEnd w:id="631"/>
    <w:bookmarkStart w:id="632"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32"/>
    <w:bookmarkStart w:id="633" w:name="ref-Stu04:Mat"/>
    <w:p>
      <w:pPr>
        <w:pStyle w:val="Bibliography"/>
      </w:pPr>
      <w:r>
        <w:t xml:space="preserve">Sturm B. 2004. MATConcat: An application for exploring concatenative sound synthesis using matlab</w:t>
      </w:r>
    </w:p>
    <w:bookmarkEnd w:id="633"/>
    <w:bookmarkStart w:id="634"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34"/>
    <w:bookmarkStart w:id="635" w:name="ref-Sze08:Lis"/>
    <w:p>
      <w:pPr>
        <w:pStyle w:val="Bibliography"/>
      </w:pPr>
      <w:r>
        <w:t xml:space="preserve">Szendy P. 2008.</w:t>
      </w:r>
      <w:r>
        <w:t xml:space="preserve"> </w:t>
      </w:r>
      <w:r>
        <w:rPr>
          <w:i/>
        </w:rPr>
        <w:t xml:space="preserve">Listen: A History of Our Ears</w:t>
      </w:r>
      <w:r>
        <w:t xml:space="preserve">. Fordham University. ed.</w:t>
      </w:r>
    </w:p>
    <w:bookmarkEnd w:id="635"/>
    <w:bookmarkStart w:id="636"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36"/>
    <w:bookmarkStart w:id="637" w:name="ref-Sch07:How"/>
    <w:p>
      <w:pPr>
        <w:pStyle w:val="Bibliography"/>
      </w:pPr>
      <w:r>
        <w:t xml:space="preserve">Thiebaut J-B, Bello J, Schwarz D. 2007. How musical are images? From sound representation to image sonification: An eco systemic approach</w:t>
      </w:r>
    </w:p>
    <w:bookmarkEnd w:id="637"/>
    <w:bookmarkStart w:id="638"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38"/>
    <w:bookmarkStart w:id="639"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39"/>
    <w:bookmarkStart w:id="640"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40"/>
    <w:bookmarkStart w:id="641"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41"/>
    <w:bookmarkStart w:id="642"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42"/>
    <w:bookmarkStart w:id="643"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43"/>
    <w:bookmarkStart w:id="644"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44"/>
    <w:bookmarkStart w:id="646"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45">
        <w:r>
          <w:rPr>
            <w:rStyle w:val="Hyperlink"/>
          </w:rPr>
          <w:t xml:space="preserve">https://quod.lib.umich.edu/i/icmc/bbp2372.2012.006</w:t>
        </w:r>
      </w:hyperlink>
    </w:p>
    <w:bookmarkEnd w:id="646"/>
    <w:bookmarkStart w:id="647" w:name="ref-Var04:The"/>
    <w:p>
      <w:pPr>
        <w:pStyle w:val="Bibliography"/>
      </w:pPr>
      <w:r>
        <w:t xml:space="preserve">Varese E. 2004. The liberation of sound.</w:t>
      </w:r>
      <w:r>
        <w:t xml:space="preserve"> </w:t>
      </w:r>
      <w:r>
        <w:rPr>
          <w:i/>
        </w:rPr>
        <w:t xml:space="preserve">Audio Culture: Readings in Modern Music</w:t>
      </w:r>
    </w:p>
    <w:bookmarkEnd w:id="647"/>
    <w:bookmarkStart w:id="648" w:name="ref-Ver84:The"/>
    <w:p>
      <w:pPr>
        <w:pStyle w:val="Bibliography"/>
      </w:pPr>
      <w:r>
        <w:t xml:space="preserve">Vercoe B. 1984. The synthetic performer in the context of live performance</w:t>
      </w:r>
    </w:p>
    <w:bookmarkEnd w:id="648"/>
    <w:bookmarkStart w:id="649" w:name="ref-Ves07:Dat"/>
    <w:p>
      <w:pPr>
        <w:pStyle w:val="Bibliography"/>
      </w:pPr>
      <w:r>
        <w:t xml:space="preserve">Vesna V. 2007a.</w:t>
      </w:r>
      <w:r>
        <w:t xml:space="preserve"> </w:t>
      </w:r>
      <w:r>
        <w:rPr>
          <w:i/>
        </w:rPr>
        <w:t xml:space="preserve">Database Aesthetics: Art in the Age of Information Overflow</w:t>
      </w:r>
      <w:r>
        <w:t xml:space="preserve">. University of Minnesotta Press. ed.</w:t>
      </w:r>
    </w:p>
    <w:bookmarkEnd w:id="649"/>
    <w:bookmarkStart w:id="650" w:name="ref-Ves07:See"/>
    <w:p>
      <w:pPr>
        <w:pStyle w:val="Bibliography"/>
      </w:pPr>
      <w:r>
        <w:t xml:space="preserve">Vesna V. 2007b. Seeing the world in a grain of sand: The database aesthetics of everything.</w:t>
      </w:r>
      <w:r>
        <w:t xml:space="preserve"> </w:t>
      </w:r>
      <w:r>
        <w:rPr>
          <w:i/>
        </w:rPr>
        <w:t xml:space="preserve">Database Aesthetics: Art in the Age of Information Overflow</w:t>
      </w:r>
    </w:p>
    <w:bookmarkEnd w:id="650"/>
    <w:bookmarkStart w:id="651"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51"/>
    <w:bookmarkStart w:id="653"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52">
        <w:r>
          <w:rPr>
            <w:rStyle w:val="Hyperlink"/>
          </w:rPr>
          <w:t xml:space="preserve">https://ismir2017.smcnus.org/wp-content/uploads/2017/10/180_Paper.pdf</w:t>
        </w:r>
      </w:hyperlink>
    </w:p>
    <w:bookmarkEnd w:id="653"/>
    <w:bookmarkStart w:id="654"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54"/>
    <w:bookmarkStart w:id="656"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55">
        <w:r>
          <w:rPr>
            <w:rStyle w:val="Hyperlink"/>
          </w:rPr>
          <w:t xml:space="preserve">http://ismir2002.ismir.net/proceedings/02-FP06-3.pdf</w:t>
        </w:r>
      </w:hyperlink>
    </w:p>
    <w:bookmarkEnd w:id="656"/>
    <w:bookmarkStart w:id="657"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57"/>
    <w:bookmarkStart w:id="658"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58"/>
    <w:bookmarkStart w:id="659"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59"/>
    <w:bookmarkStart w:id="660"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60"/>
    <w:bookmarkStart w:id="661"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61"/>
    <w:bookmarkStart w:id="662"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62"/>
    <w:bookmarkStart w:id="663"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63"/>
    <w:bookmarkStart w:id="664"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64"/>
    <w:bookmarkStart w:id="665"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65"/>
    <w:bookmarkStart w:id="666" w:name="ref-Wei07:Oce"/>
    <w:p>
      <w:pPr>
        <w:pStyle w:val="Bibliography"/>
      </w:pPr>
      <w:r>
        <w:t xml:space="preserve">Weinbren G. 2007. Ocean, database, recut.</w:t>
      </w:r>
      <w:r>
        <w:t xml:space="preserve"> </w:t>
      </w:r>
      <w:r>
        <w:rPr>
          <w:i/>
        </w:rPr>
        <w:t xml:space="preserve">Database Aesthetics: Art in the Age of Information Overflow</w:t>
      </w:r>
    </w:p>
    <w:bookmarkEnd w:id="666"/>
    <w:bookmarkStart w:id="667" w:name="ref-Wes08:How"/>
    <w:p>
      <w:pPr>
        <w:pStyle w:val="Bibliography"/>
      </w:pPr>
      <w:r>
        <w:t xml:space="preserve">Wessel I, Moulds ML. 2008. How many types of forgetting? Comments on connerton (2008).</w:t>
      </w:r>
      <w:r>
        <w:t xml:space="preserve"> </w:t>
      </w:r>
      <w:r>
        <w:rPr>
          <w:i/>
        </w:rPr>
        <w:t xml:space="preserve">Memory Studies</w:t>
      </w:r>
      <w:r>
        <w:t xml:space="preserve">. 1(3):</w:t>
      </w:r>
    </w:p>
    <w:bookmarkEnd w:id="667"/>
    <w:bookmarkStart w:id="668"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68"/>
    <w:bookmarkStart w:id="670"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69">
        <w:r>
          <w:rPr>
            <w:rStyle w:val="Hyperlink"/>
          </w:rPr>
          <w:t xml:space="preserve">http://ismir2018.ircam.fr/doc/pdfs/114_Paper.pdf</w:t>
        </w:r>
      </w:hyperlink>
    </w:p>
    <w:bookmarkEnd w:id="670"/>
    <w:bookmarkStart w:id="671"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71"/>
    <w:bookmarkStart w:id="673"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72">
        <w:r>
          <w:rPr>
            <w:rStyle w:val="Hyperlink"/>
          </w:rPr>
          <w:t xml:space="preserve">http://ismir2004.ismir.net/proceedings/p010-page-48-paper227.pdf</w:t>
        </w:r>
      </w:hyperlink>
    </w:p>
    <w:bookmarkEnd w:id="673"/>
    <w:bookmarkStart w:id="674"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74"/>
    <w:bookmarkStart w:id="675"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75"/>
    <w:bookmarkStart w:id="676"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76"/>
    <w:bookmarkStart w:id="678"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77">
        <w:r>
          <w:rPr>
            <w:rStyle w:val="Hyperlink"/>
          </w:rPr>
          <w:t xml:space="preserve">http://ismir2018.ircam.fr/doc/pdfs/188_Paper.pdf</w:t>
        </w:r>
      </w:hyperlink>
    </w:p>
    <w:bookmarkEnd w:id="678"/>
    <w:bookmarkStart w:id="679"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79"/>
    <w:bookmarkStart w:id="680"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80"/>
    <w:bookmarkStart w:id="681"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81"/>
    <w:bookmarkStart w:id="682"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82"/>
    <w:bookmarkStart w:id="683"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683"/>
    <w:bookmarkStart w:id="684"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684"/>
    <w:bookmarkStart w:id="686"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685">
        <w:r>
          <w:rPr>
            <w:rStyle w:val="Hyperlink"/>
          </w:rPr>
          <w:t xml:space="preserve">http://www.nime.org/proceedings/2007/nime2007_352.pdf</w:t>
        </w:r>
      </w:hyperlink>
    </w:p>
    <w:bookmarkEnd w:id="686"/>
    <w:bookmarkStart w:id="687"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687"/>
    <w:bookmarkStart w:id="688" w:name="ref-Zmo15:Liv"/>
    <w:p>
      <w:pPr>
        <w:pStyle w:val="Bibliography"/>
      </w:pPr>
      <w:r>
        <w:t xml:space="preserve">zmölnig I m, Eckel G. 2015.</w:t>
      </w:r>
      <w:r>
        <w:t xml:space="preserve"> </w:t>
      </w:r>
      <w:r>
        <w:rPr>
          <w:i/>
        </w:rPr>
        <w:t xml:space="preserve">LIVE coding: AN overview</w:t>
      </w:r>
      <w:r>
        <w:t xml:space="preserve">. Work. Pap.</w:t>
      </w:r>
    </w:p>
    <w:bookmarkEnd w:id="688"/>
    <w:bookmarkEnd w:id="6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0">
    <w:p>
      <w:pPr>
        <w:pStyle w:val="FootnoteText"/>
      </w:pPr>
      <w:r>
        <w:rPr>
          <w:rStyle w:val="FootnoteReference"/>
        </w:rPr>
        <w:footnoteRef/>
      </w:r>
      <w:r>
        <w:t xml:space="preserve"> </w:t>
      </w:r>
      <w:r>
        <w:t xml:space="preserve">Graham Weinbren 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4">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5">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86">
    <w:p>
      <w:pPr>
        <w:pStyle w:val="FootnoteText"/>
      </w:pPr>
      <w:r>
        <w:rPr>
          <w:rStyle w:val="FootnoteReference"/>
        </w:rPr>
        <w:footnoteRef/>
      </w:r>
      <w:r>
        <w:t xml:space="preserve"> </w:t>
      </w:r>
      <w:r>
        <w:t xml:space="preserve">Miller Puckette suggested this during an open discussion at</w:t>
      </w:r>
    </w:p>
  </w:footnote>
  <w:footnote w:id="93">
    <w:p>
      <w:pPr>
        <w:pStyle w:val="FootnoteText"/>
      </w:pPr>
      <w:r>
        <w:rPr>
          <w:rStyle w:val="FootnoteReference"/>
        </w:rPr>
        <w:footnoteRef/>
      </w:r>
      <w:r>
        <w:t xml:space="preserve"> </w:t>
      </w:r>
      <w:hyperlink r:id="rId94">
        <w:r>
          <w:rPr>
            <w:rStyle w:val="Hyperlink"/>
          </w:rPr>
          <w:t xml:space="preserve">http://kern.ccarh.org/</w:t>
        </w:r>
      </w:hyperlink>
    </w:p>
  </w:footnote>
  <w:footnote w:id="95">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99">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02">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16">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See</w:t>
      </w:r>
      <w:r>
        <w:t xml:space="preserve"> </w:t>
      </w:r>
      <w:hyperlink r:id="rId117">
        <w:r>
          <w:rPr>
            <w:rStyle w:val="Hyperlink"/>
          </w:rPr>
          <w:t xml:space="preserve">https://developer.apple.com/documentation/metal</w:t>
        </w:r>
      </w:hyperlink>
    </w:p>
  </w:footnote>
  <w:footnote w:id="118">
    <w:p>
      <w:pPr>
        <w:pStyle w:val="FootnoteText"/>
      </w:pPr>
      <w:r>
        <w:rPr>
          <w:rStyle w:val="FootnoteReference"/>
        </w:rPr>
        <w:footnoteRef/>
      </w:r>
      <w:r>
        <w:t xml:space="preserve"> </w:t>
      </w:r>
      <w:hyperlink r:id="rId119">
        <w:r>
          <w:rPr>
            <w:rStyle w:val="Hyperlink"/>
          </w:rPr>
          <w:t xml:space="preserve">https://vimeo.com/167646306</w:t>
        </w:r>
      </w:hyperlink>
    </w:p>
  </w:footnote>
  <w:footnote w:id="130">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and he is now a major figure in the Microsoft Research department.</w:t>
      </w:r>
    </w:p>
  </w:footnote>
  <w:footnote w:id="146">
    <w:p>
      <w:pPr>
        <w:pStyle w:val="FootnoteText"/>
      </w:pPr>
      <w:r>
        <w:rPr>
          <w:rStyle w:val="FootnoteReference"/>
        </w:rPr>
        <w:footnoteRef/>
      </w:r>
      <w:r>
        <w:t xml:space="preserve"> </w:t>
      </w:r>
      <w:r>
        <w:t xml:space="preserve">“</w:t>
      </w:r>
      <w:r>
        <w:t xml:space="preserve">The scheduler always sends the first message in the lowest-latency nonempty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48">
    <w:p>
      <w:pPr>
        <w:pStyle w:val="FootnoteText"/>
      </w:pPr>
      <w:r>
        <w:rPr>
          <w:rStyle w:val="FootnoteReference"/>
        </w:rPr>
        <w:footnoteRef/>
      </w:r>
      <w:r>
        <w:t xml:space="preserve"> </w:t>
      </w:r>
      <w:hyperlink r:id="rId149">
        <w:r>
          <w:rPr>
            <w:rStyle w:val="Hyperlink"/>
          </w:rPr>
          <w:t xml:space="preserve">https://kyma.symbolicsound.com/</w:t>
        </w:r>
      </w:hyperlink>
    </w:p>
  </w:footnote>
  <w:footnote w:id="152">
    <w:p>
      <w:pPr>
        <w:pStyle w:val="FootnoteText"/>
      </w:pPr>
      <w:r>
        <w:rPr>
          <w:rStyle w:val="FootnoteReference"/>
        </w:rPr>
        <w:footnoteRef/>
      </w:r>
      <w:r>
        <w:t xml:space="preserve"> </w:t>
      </w: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the</w:t>
      </w:r>
      <w:r>
        <w:t xml:space="preserve"> </w:t>
      </w:r>
      <w:r>
        <w:t xml:space="preserve">sssp</w:t>
      </w:r>
      <w:r>
        <w:t xml:space="preserve">’s user-defined features for graphical representations.</w:t>
      </w:r>
    </w:p>
  </w:footnote>
  <w:footnote w:id="159">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64">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65">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73">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83">
    <w:p>
      <w:pPr>
        <w:pStyle w:val="FootnoteText"/>
      </w:pPr>
      <w:r>
        <w:rPr>
          <w:rStyle w:val="FootnoteReference"/>
        </w:rPr>
        <w:footnoteRef/>
      </w:r>
      <w:r>
        <w:t xml:space="preserve"> </w:t>
      </w:r>
      <w:hyperlink r:id="rId184">
        <w:r>
          <w:rPr>
            <w:rStyle w:val="Hyperlink"/>
          </w:rPr>
          <w:t xml:space="preserve">https://www.youtube.com/watch?v=fAxHlLK3Oyk</w:t>
        </w:r>
      </w:hyperlink>
    </w:p>
  </w:footnote>
  <w:footnote w:id="208">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209">
    <w:p>
      <w:pPr>
        <w:pStyle w:val="FootnoteText"/>
      </w:pPr>
      <w:r>
        <w:rPr>
          <w:rStyle w:val="FootnoteReference"/>
        </w:rPr>
        <w:footnoteRef/>
      </w:r>
      <w:r>
        <w:t xml:space="preserve"> </w:t>
      </w:r>
      <w:r>
        <w:t xml:space="preserve">Within this fictional universe, the only way for him to sleep was to imagine the opaqueness of an unknowable future…</w:t>
      </w:r>
    </w:p>
  </w:footnote>
  <w:footnote w:id="210">
    <w:p>
      <w:pPr>
        <w:pStyle w:val="FootnoteText"/>
      </w:pPr>
      <w:r>
        <w:rPr>
          <w:rStyle w:val="FootnoteReference"/>
        </w:rPr>
        <w:footnoteRef/>
      </w:r>
      <w:r>
        <w:t xml:space="preserve"> </w:t>
      </w:r>
      <w:r>
        <w:t xml:space="preserve">In fact, the demand when it comes to computers is less its ability to erase —or even compress data— than storage space, a hardware-dependent commodity that has circulated ever since Von Neumann’s architecture came into the picture (See</w:t>
      </w:r>
      <w:r>
        <w:t xml:space="preserve"> </w:t>
      </w:r>
      <w:hyperlink w:anchor="programming">
        <w:r>
          <w:rPr>
            <w:rStyle w:val="Hyperlink"/>
          </w:rPr>
          <w:t xml:space="preserve">4.2.2</w:t>
        </w:r>
      </w:hyperlink>
      <w:r>
        <w:t xml:space="preserve">).</w:t>
      </w:r>
    </w:p>
  </w:footnote>
  <w:footnote w:id="211">
    <w:p>
      <w:pPr>
        <w:pStyle w:val="FootnoteText"/>
      </w:pPr>
      <w:r>
        <w:rPr>
          <w:rStyle w:val="FootnoteReference"/>
        </w:rPr>
        <w:footnoteRef/>
      </w:r>
      <w:r>
        <w:t xml:space="preserve"> </w:t>
      </w:r>
      <w:r>
        <w:t xml:space="preserve">For example, one of Irineo’s concerns was to reduce the amount of memories on a single day, which he downsized to about seventy thousand…</w:t>
      </w:r>
    </w:p>
  </w:footnote>
  <w:footnote w:id="212">
    <w:p>
      <w:pPr>
        <w:pStyle w:val="FootnoteText"/>
      </w:pPr>
      <w:r>
        <w:rPr>
          <w:rStyle w:val="FootnoteReference"/>
        </w:rPr>
        <w:footnoteRef/>
      </w:r>
      <w:r>
        <w:t xml:space="preserve"> </w:t>
      </w:r>
      <w:r>
        <w:t xml:space="preserve">This acousmatic quality of Funes’ voice will not be touched here, but it is indeed a good point of departure for an essay.</w:t>
      </w:r>
    </w:p>
  </w:footnote>
  <w:footnote w:id="213">
    <w:p>
      <w:pPr>
        <w:pStyle w:val="FootnoteText"/>
      </w:pPr>
      <w:r>
        <w:rPr>
          <w:rStyle w:val="FootnoteReference"/>
        </w:rPr>
        <w:footnoteRef/>
      </w:r>
      <w:r>
        <w:t xml:space="preserve"> </w:t>
      </w:r>
      <w:hyperlink r:id="rId214">
        <w:r>
          <w:rPr>
            <w:rStyle w:val="Hyperlink"/>
          </w:rPr>
          <w:t xml:space="preserve">https://en.wikipedia.org/wiki/Leo_Beranek</w:t>
        </w:r>
      </w:hyperlink>
    </w:p>
  </w:footnote>
  <w:footnote w:id="216">
    <w:p>
      <w:pPr>
        <w:pStyle w:val="FootnoteText"/>
      </w:pPr>
      <w:r>
        <w:rPr>
          <w:rStyle w:val="FootnoteReference"/>
        </w:rPr>
        <w:footnoteRef/>
      </w:r>
      <w:r>
        <w:t xml:space="preserve"> </w:t>
      </w:r>
      <w:r>
        <w:t xml:space="preserve">Anthony Kerrigan translated this fragment as:</w:t>
      </w:r>
      <w:r>
        <w:t xml:space="preserve"> </w:t>
      </w:r>
      <w:r>
        <w:t xml:space="preserve">“</w:t>
      </w:r>
      <w:r>
        <w:t xml:space="preserve">The truth is that we all live by leaving behind; no doubt we all profoundly know that we are immortal and that sooner or later every man will do all things and know everything.</w:t>
      </w:r>
      <w:r>
        <w:t xml:space="preserve">”</w:t>
      </w:r>
      <w:r>
        <w:t xml:space="preserve"> </w:t>
      </w:r>
      <w:r>
        <w:t xml:space="preserve">In a more literal translation of the first sentence, it reads:</w:t>
      </w:r>
      <w:r>
        <w:t xml:space="preserve"> </w:t>
      </w:r>
      <w:r>
        <w:t xml:space="preserve">“</w:t>
      </w:r>
      <w:r>
        <w:t xml:space="preserve">What is certain is that we live deferring all that can be deferred.</w:t>
      </w:r>
      <w:r>
        <w:t xml:space="preserve">”</w:t>
      </w:r>
    </w:p>
  </w:footnote>
  <w:footnote w:id="232">
    <w:p>
      <w:pPr>
        <w:pStyle w:val="FootnoteText"/>
      </w:pPr>
      <w:r>
        <w:rPr>
          <w:rStyle w:val="FootnoteReference"/>
        </w:rPr>
        <w:footnoteRef/>
      </w:r>
      <w:r>
        <w:t xml:space="preserve"> </w:t>
      </w:r>
      <w:hyperlink r:id="rId233">
        <w:r>
          <w:rPr>
            <w:rStyle w:val="Hyperlink"/>
          </w:rPr>
          <w:t xml:space="preserve">https://en.cppreference.com/w/cpp/language/destructor</w:t>
        </w:r>
      </w:hyperlink>
    </w:p>
  </w:footnote>
  <w:footnote w:id="239">
    <w:p>
      <w:pPr>
        <w:pStyle w:val="FootnoteText"/>
      </w:pPr>
      <w:r>
        <w:rPr>
          <w:rStyle w:val="FootnoteReference"/>
        </w:rPr>
        <w:footnoteRef/>
      </w:r>
      <w:r>
        <w:t xml:space="preserve"> </w:t>
      </w:r>
      <w:hyperlink r:id="rId240">
        <w:r>
          <w:rPr>
            <w:rStyle w:val="Hyperlink"/>
          </w:rPr>
          <w:t xml:space="preserve">https://mpc.chs.harvard.edu/</w:t>
        </w:r>
      </w:hyperlink>
    </w:p>
  </w:footnote>
  <w:footnote w:id="241">
    <w:p>
      <w:pPr>
        <w:pStyle w:val="FootnoteText"/>
      </w:pPr>
      <w:r>
        <w:rPr>
          <w:rStyle w:val="FootnoteReference"/>
        </w:rPr>
        <w:footnoteRef/>
      </w:r>
      <w:r>
        <w:t xml:space="preserve"> </w:t>
      </w:r>
      <w:r>
        <w:t xml:space="preserve">Another example Ernst provides of the anarchive is the Internet itself:</w:t>
      </w:r>
      <w:r>
        <w:t xml:space="preserve"> </w:t>
      </w:r>
      <w:r>
        <w:t xml:space="preserve">“</w:t>
      </w:r>
      <w:r>
        <w:t xml:space="preserve"> </w:t>
      </w:r>
      <w:r>
        <w:t xml:space="preserve">[The Internet] is a collection not just of unforeseen texts but of sound and images as well, an anarchive of sensory data for which no genuine archival culture has been developed so far in the occident</w:t>
      </w:r>
      <w:r>
        <w:t xml:space="preserve">”</w:t>
      </w:r>
      <w:r>
        <w:t xml:space="preserve"> </w:t>
      </w:r>
      <w:r>
        <w:t xml:space="preserve">(Ernst 2013, p. 139)</w:t>
      </w:r>
      <w:r>
        <w:t xml:space="preserve">.</w:t>
      </w:r>
    </w:p>
  </w:footnote>
  <w:footnote w:id="261">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72">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75">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76">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89">
    <w:p>
      <w:pPr>
        <w:pStyle w:val="FootnoteText"/>
      </w:pPr>
      <w:r>
        <w:rPr>
          <w:rStyle w:val="FootnoteReference"/>
        </w:rPr>
        <w:footnoteRef/>
      </w:r>
      <w:r>
        <w:t xml:space="preserve"> </w:t>
      </w:r>
      <w:r>
        <w:t xml:space="preserve">In a recent study, sound itself proven to make (tiny) gravitational fields:</w:t>
      </w:r>
      <w:r>
        <w:t xml:space="preserve"> </w:t>
      </w:r>
      <w:r>
        <w:t xml:space="preserve">“</w:t>
      </w:r>
      <w:r>
        <w:t xml:space="preserve">We show that, in fact, sound waves do carry mass —in particular, gravitational mass. This implies that a sound wave not only is affected by gravity but also generates a tiny gravitational field, an aspect not appreciated thus far</w:t>
      </w:r>
      <w:r>
        <w:t xml:space="preserve">”</w:t>
      </w:r>
      <w:r>
        <w:t xml:space="preserve"> </w:t>
      </w:r>
      <w:r>
        <w:t xml:space="preserve">(Esposito et al. 2019)</w:t>
      </w:r>
      <w:r>
        <w:t xml:space="preserve">.</w:t>
      </w:r>
    </w:p>
  </w:footnote>
  <w:footnote w:id="294">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95">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96">
        <w:r>
          <w:rPr>
            <w:rStyle w:val="Hyperlink"/>
          </w:rPr>
          <w:t xml:space="preserve">https://en.wikipedia.org/wiki/Dr._Strangelove</w:t>
        </w:r>
      </w:hyperlink>
    </w:p>
  </w:footnote>
  <w:footnote w:id="297">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98">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300">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301">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304">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312">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it makes one think back to the 1946 setting of the UNIVAC computer, in the military context of the Manhattan Project, for which the computer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18">
    <w:p>
      <w:pPr>
        <w:pStyle w:val="FootnoteText"/>
      </w:pPr>
      <w:r>
        <w:rPr>
          <w:rStyle w:val="FootnoteReference"/>
        </w:rPr>
        <w:footnoteRef/>
      </w:r>
      <w:r>
        <w:t xml:space="preserve"> </w:t>
      </w:r>
      <w:r>
        <w:t xml:space="preserve">Since, the notion of a</w:t>
      </w:r>
      <w:r>
        <w:t xml:space="preserve"> </w:t>
      </w:r>
      <w:r>
        <w:t xml:space="preserve">‘</w:t>
      </w:r>
      <w:r>
        <w:t xml:space="preserve">piece</w:t>
      </w:r>
      <w:r>
        <w:t xml:space="preserve">’</w:t>
      </w:r>
      <w:r>
        <w:t xml:space="preserve"> </w:t>
      </w:r>
      <w:r>
        <w:t xml:space="preserve">presupposes that of the whole to which it belongs.</w:t>
      </w:r>
    </w:p>
  </w:footnote>
  <w:footnote w:id="322">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6" Target="media/rId126.png" /><Relationship Type="http://schemas.openxmlformats.org/officeDocument/2006/relationships/image" Id="rId20" Target="media/rId20.png" /><Relationship Type="http://schemas.openxmlformats.org/officeDocument/2006/relationships/image" Id="rId68" Target="media/rId68.png" /><Relationship Type="http://schemas.openxmlformats.org/officeDocument/2006/relationships/image" Id="rId178" Target="media/rId178.png" /><Relationship Type="http://schemas.openxmlformats.org/officeDocument/2006/relationships/image" Id="rId264" Target="media/rId264.png" /><Relationship Type="http://schemas.openxmlformats.org/officeDocument/2006/relationships/image" Id="rId91" Target="media/rId91.png" /><Relationship Type="http://schemas.openxmlformats.org/officeDocument/2006/relationships/image" Id="rId88" Target="media/rId88.png" /><Relationship Type="http://schemas.openxmlformats.org/officeDocument/2006/relationships/image" Id="rId71" Target="media/rId71.png" /><Relationship Type="http://schemas.openxmlformats.org/officeDocument/2006/relationships/image" Id="rId80" Target="media/rId80.png" /><Relationship Type="http://schemas.openxmlformats.org/officeDocument/2006/relationships/image" Id="rId32" Target="media/rId32.png" /><Relationship Type="http://schemas.openxmlformats.org/officeDocument/2006/relationships/image" Id="rId143" Target="media/rId143.png" /><Relationship Type="http://schemas.openxmlformats.org/officeDocument/2006/relationships/image" Id="rId75" Target="media/rId75.png" /><Relationship Type="http://schemas.openxmlformats.org/officeDocument/2006/relationships/image" Id="rId83" Target="media/rId83.png" /><Relationship Type="http://schemas.openxmlformats.org/officeDocument/2006/relationships/image" Id="rId97" Target="media/rId97.png" /><Relationship Type="http://schemas.openxmlformats.org/officeDocument/2006/relationships/image" Id="rId136" Target="media/rId136.png" /><Relationship Type="http://schemas.openxmlformats.org/officeDocument/2006/relationships/image" Id="rId203" Target="media/rId203.png" /><Relationship Type="http://schemas.openxmlformats.org/officeDocument/2006/relationships/image" Id="rId200" Target="media/rId200.png" /><Relationship Type="http://schemas.openxmlformats.org/officeDocument/2006/relationships/hyperlink" Id="rId451" Target="http://ismir2000.ismir.net/papers/invites/dunn_invite.pdf" TargetMode="External" /><Relationship Type="http://schemas.openxmlformats.org/officeDocument/2006/relationships/hyperlink" Id="rId474" Target="http://ismir2000.ismir.net/posters/good.pdf" TargetMode="External" /><Relationship Type="http://schemas.openxmlformats.org/officeDocument/2006/relationships/hyperlink" Id="rId655" Target="http://ismir2002.ismir.net/proceedings/02-FP06-3.pdf" TargetMode="External" /><Relationship Type="http://schemas.openxmlformats.org/officeDocument/2006/relationships/hyperlink" Id="rId476" Target="http://ismir2002.ismir.net/proceedings/03-SP04-1.pdf" TargetMode="External" /><Relationship Type="http://schemas.openxmlformats.org/officeDocument/2006/relationships/hyperlink" Id="rId478" Target="http://ismir2003.ismir.net/papers/Goto1.PDF" TargetMode="External" /><Relationship Type="http://schemas.openxmlformats.org/officeDocument/2006/relationships/hyperlink" Id="rId672" Target="http://ismir2004.ismir.net/proceedings/p010-page-48-paper227.pdf" TargetMode="External" /><Relationship Type="http://schemas.openxmlformats.org/officeDocument/2006/relationships/hyperlink" Id="rId500" Target="http://ismir2005.ismir.net/proceedings/2117.pdf" TargetMode="External" /><Relationship Type="http://schemas.openxmlformats.org/officeDocument/2006/relationships/hyperlink" Id="rId605" Target="http://ismir2005.ismir.net/proceedings/3123.pdf" TargetMode="External" /><Relationship Type="http://schemas.openxmlformats.org/officeDocument/2006/relationships/hyperlink" Id="rId509" Target="http://ismir2008.ismir.net/papers/ISMIR2008_106.pdf" TargetMode="External" /><Relationship Type="http://schemas.openxmlformats.org/officeDocument/2006/relationships/hyperlink" Id="rId542" Target="http://ismir2008.ismir.net/papers/ISMIR2008_158.pdf" TargetMode="External" /><Relationship Type="http://schemas.openxmlformats.org/officeDocument/2006/relationships/hyperlink" Id="rId487" Target="http://ismir2008.ismir.net/papers/ISMIR2008_173.pdf" TargetMode="External" /><Relationship Type="http://schemas.openxmlformats.org/officeDocument/2006/relationships/hyperlink" Id="rId520" Target="http://ismir2015.uma.es/articles/246_Paper.pdf" TargetMode="External" /><Relationship Type="http://schemas.openxmlformats.org/officeDocument/2006/relationships/hyperlink" Id="rId440" Target="http://ismir2015.uma.es/articles/261_Paper.pdf" TargetMode="External" /><Relationship Type="http://schemas.openxmlformats.org/officeDocument/2006/relationships/hyperlink" Id="rId669" Target="http://ismir2018.ircam.fr/doc/pdfs/114_Paper.pdf" TargetMode="External" /><Relationship Type="http://schemas.openxmlformats.org/officeDocument/2006/relationships/hyperlink" Id="rId677" Target="http://ismir2018.ircam.fr/doc/pdfs/188_Paper.pdf" TargetMode="External" /><Relationship Type="http://schemas.openxmlformats.org/officeDocument/2006/relationships/hyperlink" Id="rId457" Target="http://ismir2018.ircam.fr/doc/pdfs/206_Paper.pdf" TargetMode="External" /><Relationship Type="http://schemas.openxmlformats.org/officeDocument/2006/relationships/hyperlink" Id="rId503" Target="http://ismir2018.ircam.fr/doc/pdfs/248_Paper.pdf" TargetMode="External" /><Relationship Type="http://schemas.openxmlformats.org/officeDocument/2006/relationships/hyperlink" Id="rId448" Target="http://ismir2018.ircam.fr/doc/pdfs/265_Paper.pdf" TargetMode="External" /><Relationship Type="http://schemas.openxmlformats.org/officeDocument/2006/relationships/hyperlink" Id="rId549" Target="http://ismir2018.ircam.fr/doc/pdfs/35_Paper.pdf" TargetMode="External" /><Relationship Type="http://schemas.openxmlformats.org/officeDocument/2006/relationships/hyperlink" Id="rId94" Target="http://kern.ccarh.org/" TargetMode="External" /><Relationship Type="http://schemas.openxmlformats.org/officeDocument/2006/relationships/hyperlink" Id="rId564" Target="http://www.nime.org/proceedings/2007/nime2007_112.pdf" TargetMode="External" /><Relationship Type="http://schemas.openxmlformats.org/officeDocument/2006/relationships/hyperlink" Id="rId685" Target="http://www.nime.org/proceedings/2007/nime2007_352.pdf" TargetMode="External" /><Relationship Type="http://schemas.openxmlformats.org/officeDocument/2006/relationships/hyperlink" Id="rId559" Target="http://www.nime.org/proceedings/2007/nime2007_409.pdf" TargetMode="External" /><Relationship Type="http://schemas.openxmlformats.org/officeDocument/2006/relationships/hyperlink" Id="rId535" Target="http://www.nime.org/proceedings/2008/nime2008_221.pdf" TargetMode="External" /><Relationship Type="http://schemas.openxmlformats.org/officeDocument/2006/relationships/hyperlink" Id="rId582" Target="http://www.nime.org/proceedings/2008/nime2008_311.pdf" TargetMode="External" /><Relationship Type="http://schemas.openxmlformats.org/officeDocument/2006/relationships/hyperlink" Id="rId386" Target="http://www.nime.org/proceedings/2009/nime2009_266.pdf" TargetMode="External" /><Relationship Type="http://schemas.openxmlformats.org/officeDocument/2006/relationships/hyperlink" Id="rId498" Target="http://www.nime.org/proceedings/2010/nime2010_233.pdf" TargetMode="External" /><Relationship Type="http://schemas.openxmlformats.org/officeDocument/2006/relationships/hyperlink" Id="rId471" Target="http://www.nime.org/proceedings/2011/nime2011_124.pdf" TargetMode="External" /><Relationship Type="http://schemas.openxmlformats.org/officeDocument/2006/relationships/hyperlink" Id="rId397" Target="http://www.nime.org/proceedings/2011/nime2011_329.pdf" TargetMode="External" /><Relationship Type="http://schemas.openxmlformats.org/officeDocument/2006/relationships/hyperlink" Id="rId384" Target="http://www.nime.org/proceedings/2011/nime2011_387.pdf" TargetMode="External" /><Relationship Type="http://schemas.openxmlformats.org/officeDocument/2006/relationships/hyperlink" Id="rId369" Target="http://www.ppgia.pucpr.br/ismir2013/wp-content/uploads/2013/09/177\_Paper.pdf" TargetMode="External" /><Relationship Type="http://schemas.openxmlformats.org/officeDocument/2006/relationships/hyperlink" Id="rId491" Target="http://www.ppgia.pucpr.br/ismir2013/wp-content/uploads/2013/09/85_Paper.pdf" TargetMode="External" /><Relationship Type="http://schemas.openxmlformats.org/officeDocument/2006/relationships/hyperlink" Id="rId349" Target="http://www.terasoft.com.tw/conf/ismir2014/proceedings/T014_162_Paper.pdf" TargetMode="External" /><Relationship Type="http://schemas.openxmlformats.org/officeDocument/2006/relationships/hyperlink" Id="rId366" Target="http://www.terasoft.com.tw/conf/ismir2014/proceedings/T028_322_Paper.pdf" TargetMode="External" /><Relationship Type="http://schemas.openxmlformats.org/officeDocument/2006/relationships/hyperlink" Id="rId515" Target="http://www.terasoft.com.tw/conf/ismir2014/proceedings/T039_344_Paper.pdf" TargetMode="External" /><Relationship Type="http://schemas.openxmlformats.org/officeDocument/2006/relationships/hyperlink" Id="rId482" Target="http://www.terasoft.com.tw/conf/ismir2014/proceedings/T059_257_Paper.pdf" TargetMode="External" /><Relationship Type="http://schemas.openxmlformats.org/officeDocument/2006/relationships/hyperlink" Id="rId578" Target="http://www.terasoft.com.tw/conf/ismir2014/proceedings/T064_307_Paper.pdf" TargetMode="External" /><Relationship Type="http://schemas.openxmlformats.org/officeDocument/2006/relationships/hyperlink" Id="rId117" Target="https://developer.apple.com/documentation/metal" TargetMode="External" /><Relationship Type="http://schemas.openxmlformats.org/officeDocument/2006/relationships/hyperlink" Id="rId233" Target="https://en.cppreference.com/w/cpp/language/destructor" TargetMode="External" /><Relationship Type="http://schemas.openxmlformats.org/officeDocument/2006/relationships/hyperlink" Id="rId296" Target="https://en.wikipedia.org/wiki/Dr._Strangelove" TargetMode="External" /><Relationship Type="http://schemas.openxmlformats.org/officeDocument/2006/relationships/hyperlink" Id="rId214" Target="https://en.wikipedia.org/wiki/Leo_Beranek" TargetMode="External" /><Relationship Type="http://schemas.openxmlformats.org/officeDocument/2006/relationships/hyperlink" Id="rId341" Target="https://fdch.github.io/abby" TargetMode="External" /><Relationship Type="http://schemas.openxmlformats.org/officeDocument/2006/relationships/hyperlink" Id="rId342" Target="https://github.com/fdch/litrev" TargetMode="External" /><Relationship Type="http://schemas.openxmlformats.org/officeDocument/2006/relationships/hyperlink" Id="rId621" Target="https://hal.archives-ouvertes.fr/hal-01393959" TargetMode="External" /><Relationship Type="http://schemas.openxmlformats.org/officeDocument/2006/relationships/hyperlink" Id="rId463" Target="https://ismir2017.smcnus.org/wp-content/uploads/2017/10/161_Paper.pdf" TargetMode="External" /><Relationship Type="http://schemas.openxmlformats.org/officeDocument/2006/relationships/hyperlink" Id="rId652" Target="https://ismir2017.smcnus.org/wp-content/uploads/2017/10/180_Paper.pdf" TargetMode="External" /><Relationship Type="http://schemas.openxmlformats.org/officeDocument/2006/relationships/hyperlink" Id="rId427" Target="https://ismir2017.smcnus.org/wp-content/uploads/2017/10/235_Paper.pdf" TargetMode="External" /><Relationship Type="http://schemas.openxmlformats.org/officeDocument/2006/relationships/hyperlink" Id="rId432" Target="https://ismir2017.smcnus.org/wp-content/uploads/2017/10/75_Paper.pdf" TargetMode="External" /><Relationship Type="http://schemas.openxmlformats.org/officeDocument/2006/relationships/hyperlink" Id="rId149" Target="https://kyma.symbolicsound.com/" TargetMode="External" /><Relationship Type="http://schemas.openxmlformats.org/officeDocument/2006/relationships/hyperlink" Id="rId240" Target="https://mpc.chs.harvard.edu/" TargetMode="External" /><Relationship Type="http://schemas.openxmlformats.org/officeDocument/2006/relationships/hyperlink" Id="rId645" Target="https://quod.lib.umich.edu/i/icmc/bbp2372.2012.006" TargetMode="External" /><Relationship Type="http://schemas.openxmlformats.org/officeDocument/2006/relationships/hyperlink" Id="rId119" Target="https://vimeo.com/167646306" TargetMode="External" /><Relationship Type="http://schemas.openxmlformats.org/officeDocument/2006/relationships/hyperlink" Id="rId429" Target="https://www.cs.unm.edu/~crowley/papers/sds.pdf" TargetMode="External" /><Relationship Type="http://schemas.openxmlformats.org/officeDocument/2006/relationships/hyperlink" Id="rId295" Target="https://www.mersenne.org/primes/" TargetMode="External" /><Relationship Type="http://schemas.openxmlformats.org/officeDocument/2006/relationships/hyperlink" Id="rId301" Target="https://www.youtube.com/channel/UCEzSaoPnxCJVzXxA9obuRWg/videos" TargetMode="External" /><Relationship Type="http://schemas.openxmlformats.org/officeDocument/2006/relationships/hyperlink" Id="rId184"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451" Target="http://ismir2000.ismir.net/papers/invites/dunn_invite.pdf" TargetMode="External" /><Relationship Type="http://schemas.openxmlformats.org/officeDocument/2006/relationships/hyperlink" Id="rId474" Target="http://ismir2000.ismir.net/posters/good.pdf" TargetMode="External" /><Relationship Type="http://schemas.openxmlformats.org/officeDocument/2006/relationships/hyperlink" Id="rId655" Target="http://ismir2002.ismir.net/proceedings/02-FP06-3.pdf" TargetMode="External" /><Relationship Type="http://schemas.openxmlformats.org/officeDocument/2006/relationships/hyperlink" Id="rId476" Target="http://ismir2002.ismir.net/proceedings/03-SP04-1.pdf" TargetMode="External" /><Relationship Type="http://schemas.openxmlformats.org/officeDocument/2006/relationships/hyperlink" Id="rId478" Target="http://ismir2003.ismir.net/papers/Goto1.PDF" TargetMode="External" /><Relationship Type="http://schemas.openxmlformats.org/officeDocument/2006/relationships/hyperlink" Id="rId672" Target="http://ismir2004.ismir.net/proceedings/p010-page-48-paper227.pdf" TargetMode="External" /><Relationship Type="http://schemas.openxmlformats.org/officeDocument/2006/relationships/hyperlink" Id="rId500" Target="http://ismir2005.ismir.net/proceedings/2117.pdf" TargetMode="External" /><Relationship Type="http://schemas.openxmlformats.org/officeDocument/2006/relationships/hyperlink" Id="rId605" Target="http://ismir2005.ismir.net/proceedings/3123.pdf" TargetMode="External" /><Relationship Type="http://schemas.openxmlformats.org/officeDocument/2006/relationships/hyperlink" Id="rId509" Target="http://ismir2008.ismir.net/papers/ISMIR2008_106.pdf" TargetMode="External" /><Relationship Type="http://schemas.openxmlformats.org/officeDocument/2006/relationships/hyperlink" Id="rId542" Target="http://ismir2008.ismir.net/papers/ISMIR2008_158.pdf" TargetMode="External" /><Relationship Type="http://schemas.openxmlformats.org/officeDocument/2006/relationships/hyperlink" Id="rId487" Target="http://ismir2008.ismir.net/papers/ISMIR2008_173.pdf" TargetMode="External" /><Relationship Type="http://schemas.openxmlformats.org/officeDocument/2006/relationships/hyperlink" Id="rId520" Target="http://ismir2015.uma.es/articles/246_Paper.pdf" TargetMode="External" /><Relationship Type="http://schemas.openxmlformats.org/officeDocument/2006/relationships/hyperlink" Id="rId440" Target="http://ismir2015.uma.es/articles/261_Paper.pdf" TargetMode="External" /><Relationship Type="http://schemas.openxmlformats.org/officeDocument/2006/relationships/hyperlink" Id="rId669" Target="http://ismir2018.ircam.fr/doc/pdfs/114_Paper.pdf" TargetMode="External" /><Relationship Type="http://schemas.openxmlformats.org/officeDocument/2006/relationships/hyperlink" Id="rId677" Target="http://ismir2018.ircam.fr/doc/pdfs/188_Paper.pdf" TargetMode="External" /><Relationship Type="http://schemas.openxmlformats.org/officeDocument/2006/relationships/hyperlink" Id="rId457" Target="http://ismir2018.ircam.fr/doc/pdfs/206_Paper.pdf" TargetMode="External" /><Relationship Type="http://schemas.openxmlformats.org/officeDocument/2006/relationships/hyperlink" Id="rId503" Target="http://ismir2018.ircam.fr/doc/pdfs/248_Paper.pdf" TargetMode="External" /><Relationship Type="http://schemas.openxmlformats.org/officeDocument/2006/relationships/hyperlink" Id="rId448" Target="http://ismir2018.ircam.fr/doc/pdfs/265_Paper.pdf" TargetMode="External" /><Relationship Type="http://schemas.openxmlformats.org/officeDocument/2006/relationships/hyperlink" Id="rId549" Target="http://ismir2018.ircam.fr/doc/pdfs/35_Paper.pdf" TargetMode="External" /><Relationship Type="http://schemas.openxmlformats.org/officeDocument/2006/relationships/hyperlink" Id="rId94" Target="http://kern.ccarh.org/" TargetMode="External" /><Relationship Type="http://schemas.openxmlformats.org/officeDocument/2006/relationships/hyperlink" Id="rId564" Target="http://www.nime.org/proceedings/2007/nime2007_112.pdf" TargetMode="External" /><Relationship Type="http://schemas.openxmlformats.org/officeDocument/2006/relationships/hyperlink" Id="rId685" Target="http://www.nime.org/proceedings/2007/nime2007_352.pdf" TargetMode="External" /><Relationship Type="http://schemas.openxmlformats.org/officeDocument/2006/relationships/hyperlink" Id="rId559" Target="http://www.nime.org/proceedings/2007/nime2007_409.pdf" TargetMode="External" /><Relationship Type="http://schemas.openxmlformats.org/officeDocument/2006/relationships/hyperlink" Id="rId535" Target="http://www.nime.org/proceedings/2008/nime2008_221.pdf" TargetMode="External" /><Relationship Type="http://schemas.openxmlformats.org/officeDocument/2006/relationships/hyperlink" Id="rId582" Target="http://www.nime.org/proceedings/2008/nime2008_311.pdf" TargetMode="External" /><Relationship Type="http://schemas.openxmlformats.org/officeDocument/2006/relationships/hyperlink" Id="rId386" Target="http://www.nime.org/proceedings/2009/nime2009_266.pdf" TargetMode="External" /><Relationship Type="http://schemas.openxmlformats.org/officeDocument/2006/relationships/hyperlink" Id="rId498" Target="http://www.nime.org/proceedings/2010/nime2010_233.pdf" TargetMode="External" /><Relationship Type="http://schemas.openxmlformats.org/officeDocument/2006/relationships/hyperlink" Id="rId471" Target="http://www.nime.org/proceedings/2011/nime2011_124.pdf" TargetMode="External" /><Relationship Type="http://schemas.openxmlformats.org/officeDocument/2006/relationships/hyperlink" Id="rId397" Target="http://www.nime.org/proceedings/2011/nime2011_329.pdf" TargetMode="External" /><Relationship Type="http://schemas.openxmlformats.org/officeDocument/2006/relationships/hyperlink" Id="rId384" Target="http://www.nime.org/proceedings/2011/nime2011_387.pdf" TargetMode="External" /><Relationship Type="http://schemas.openxmlformats.org/officeDocument/2006/relationships/hyperlink" Id="rId369" Target="http://www.ppgia.pucpr.br/ismir2013/wp-content/uploads/2013/09/177\_Paper.pdf" TargetMode="External" /><Relationship Type="http://schemas.openxmlformats.org/officeDocument/2006/relationships/hyperlink" Id="rId491" Target="http://www.ppgia.pucpr.br/ismir2013/wp-content/uploads/2013/09/85_Paper.pdf" TargetMode="External" /><Relationship Type="http://schemas.openxmlformats.org/officeDocument/2006/relationships/hyperlink" Id="rId349" Target="http://www.terasoft.com.tw/conf/ismir2014/proceedings/T014_162_Paper.pdf" TargetMode="External" /><Relationship Type="http://schemas.openxmlformats.org/officeDocument/2006/relationships/hyperlink" Id="rId366" Target="http://www.terasoft.com.tw/conf/ismir2014/proceedings/T028_322_Paper.pdf" TargetMode="External" /><Relationship Type="http://schemas.openxmlformats.org/officeDocument/2006/relationships/hyperlink" Id="rId515" Target="http://www.terasoft.com.tw/conf/ismir2014/proceedings/T039_344_Paper.pdf" TargetMode="External" /><Relationship Type="http://schemas.openxmlformats.org/officeDocument/2006/relationships/hyperlink" Id="rId482" Target="http://www.terasoft.com.tw/conf/ismir2014/proceedings/T059_257_Paper.pdf" TargetMode="External" /><Relationship Type="http://schemas.openxmlformats.org/officeDocument/2006/relationships/hyperlink" Id="rId578" Target="http://www.terasoft.com.tw/conf/ismir2014/proceedings/T064_307_Paper.pdf" TargetMode="External" /><Relationship Type="http://schemas.openxmlformats.org/officeDocument/2006/relationships/hyperlink" Id="rId117" Target="https://developer.apple.com/documentation/metal" TargetMode="External" /><Relationship Type="http://schemas.openxmlformats.org/officeDocument/2006/relationships/hyperlink" Id="rId233" Target="https://en.cppreference.com/w/cpp/language/destructor" TargetMode="External" /><Relationship Type="http://schemas.openxmlformats.org/officeDocument/2006/relationships/hyperlink" Id="rId296" Target="https://en.wikipedia.org/wiki/Dr._Strangelove" TargetMode="External" /><Relationship Type="http://schemas.openxmlformats.org/officeDocument/2006/relationships/hyperlink" Id="rId214" Target="https://en.wikipedia.org/wiki/Leo_Beranek" TargetMode="External" /><Relationship Type="http://schemas.openxmlformats.org/officeDocument/2006/relationships/hyperlink" Id="rId341" Target="https://fdch.github.io/abby" TargetMode="External" /><Relationship Type="http://schemas.openxmlformats.org/officeDocument/2006/relationships/hyperlink" Id="rId342" Target="https://github.com/fdch/litrev" TargetMode="External" /><Relationship Type="http://schemas.openxmlformats.org/officeDocument/2006/relationships/hyperlink" Id="rId621" Target="https://hal.archives-ouvertes.fr/hal-01393959" TargetMode="External" /><Relationship Type="http://schemas.openxmlformats.org/officeDocument/2006/relationships/hyperlink" Id="rId463" Target="https://ismir2017.smcnus.org/wp-content/uploads/2017/10/161_Paper.pdf" TargetMode="External" /><Relationship Type="http://schemas.openxmlformats.org/officeDocument/2006/relationships/hyperlink" Id="rId652" Target="https://ismir2017.smcnus.org/wp-content/uploads/2017/10/180_Paper.pdf" TargetMode="External" /><Relationship Type="http://schemas.openxmlformats.org/officeDocument/2006/relationships/hyperlink" Id="rId427" Target="https://ismir2017.smcnus.org/wp-content/uploads/2017/10/235_Paper.pdf" TargetMode="External" /><Relationship Type="http://schemas.openxmlformats.org/officeDocument/2006/relationships/hyperlink" Id="rId432" Target="https://ismir2017.smcnus.org/wp-content/uploads/2017/10/75_Paper.pdf" TargetMode="External" /><Relationship Type="http://schemas.openxmlformats.org/officeDocument/2006/relationships/hyperlink" Id="rId149" Target="https://kyma.symbolicsound.com/" TargetMode="External" /><Relationship Type="http://schemas.openxmlformats.org/officeDocument/2006/relationships/hyperlink" Id="rId240" Target="https://mpc.chs.harvard.edu/" TargetMode="External" /><Relationship Type="http://schemas.openxmlformats.org/officeDocument/2006/relationships/hyperlink" Id="rId645" Target="https://quod.lib.umich.edu/i/icmc/bbp2372.2012.006" TargetMode="External" /><Relationship Type="http://schemas.openxmlformats.org/officeDocument/2006/relationships/hyperlink" Id="rId119" Target="https://vimeo.com/167646306" TargetMode="External" /><Relationship Type="http://schemas.openxmlformats.org/officeDocument/2006/relationships/hyperlink" Id="rId429" Target="https://www.cs.unm.edu/~crowley/papers/sds.pdf" TargetMode="External" /><Relationship Type="http://schemas.openxmlformats.org/officeDocument/2006/relationships/hyperlink" Id="rId295" Target="https://www.mersenne.org/primes/" TargetMode="External" /><Relationship Type="http://schemas.openxmlformats.org/officeDocument/2006/relationships/hyperlink" Id="rId301" Target="https://www.youtube.com/channel/UCEzSaoPnxCJVzXxA9obuRWg/videos" TargetMode="External" /><Relationship Type="http://schemas.openxmlformats.org/officeDocument/2006/relationships/hyperlink" Id="rId184"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2019-04-09T20:08:55Z</dcterms:created>
  <dcterms:modified xsi:type="dcterms:W3CDTF">2019-04-09T20:08:55Z</dcterms:modified>
</cp:coreProperties>
</file>

<file path=docProps/custom.xml><?xml version="1.0" encoding="utf-8"?>
<Properties xmlns="http://schemas.openxmlformats.org/officeDocument/2006/custom-properties" xmlns:vt="http://schemas.openxmlformats.org/officeDocument/2006/docPropsVTypes"/>
</file>