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68.png" ContentType="image/png"/>
  <Override PartName="/word/media/rId178.png" ContentType="image/png"/>
  <Override PartName="/word/media/rId264.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I begin this dissertation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This door refers to the next part of the subtitle</w:t>
      </w:r>
      <w:r>
        <w:t xml:space="preserve"> </w:t>
      </w:r>
      <w:r>
        <w:t xml:space="preserve">“</w:t>
      </w:r>
      <w:r>
        <w:t xml:space="preserve">…aesthetics of the database…</w:t>
      </w:r>
      <w:r>
        <w:t xml:space="preserve">”</w:t>
      </w:r>
      <w:r>
        <w:t xml:space="preserve"> </w:t>
      </w:r>
      <w:r>
        <w:t xml:space="preserve">and opens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is precisely the point. The sound of databases that I begin to delineate through the first two doors now reaches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resonating networks. With this move, the database begins to appear as a resonant nonhuman agent</w:t>
      </w:r>
      <w:r>
        <w:t xml:space="preserve"> </w:t>
      </w:r>
      <w:r>
        <w:t xml:space="preserve">(Latour 1990)</w:t>
      </w:r>
      <w:r>
        <w:t xml:space="preserve"> </w:t>
      </w:r>
      <w:r>
        <w:t xml:space="preserve">that reconfigures the way we think communities</w:t>
      </w:r>
      <w:r>
        <w:t xml:space="preserve"> </w:t>
      </w:r>
      <w:r>
        <w:t xml:space="preserve">(Nancy 1991)</w:t>
      </w:r>
      <w:r>
        <w:t xml:space="preserve">. I then distinguish databases from memory and archives, and find within it a spectral authority</w:t>
      </w:r>
      <w:r>
        <w:t xml:space="preserve"> </w:t>
      </w:r>
      <w:r>
        <w:t xml:space="preserve">(Derrida 1978, Derrida &amp; Prenowitz 1995)</w:t>
      </w:r>
      <w:r>
        <w:t xml:space="preserve">. The final move brings the activity of the body</w:t>
      </w:r>
      <w:r>
        <w:t xml:space="preserve"> </w:t>
      </w:r>
      <w:r>
        <w:t xml:space="preserve">(Butler 1988)</w:t>
      </w:r>
      <w:r>
        <w:t xml:space="preserve">, and the relationship between database, gender, and performance. These three stages (resonance, spectrality, and performance) address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performatic activity of the database into what I call databasing (chapter 2); I review the existing literature with emphasis on sound practice (chapter 3); I conceptualize sound in terms of resonance, networks, and community (chapter 4); I delineate the differences between database, memory, and archive, in order to present the spectrality of databases (chapter 5); I develop databasing in terms of the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it has proper questions. I consider it an attempt to incite, if anything, a provocation before the question. I have already warned the reader of the clumsiness of a composer in the midst of writing, but that should not discourage neither academic rigor, nor literary thirst. I have thus included an exhaustive bibliography, two interludes and a poslude (work in progress), together with graphs, tables, and some snippets of pseudocode and sometimes working code. In the hope that you will continue reading these pages, I will</w:t>
      </w:r>
      <w:r>
        <w:t xml:space="preserve"> </w:t>
      </w:r>
      <w:r>
        <w:t xml:space="preserve">draft</w:t>
      </w:r>
      <w:r>
        <w:t xml:space="preserve"> </w:t>
      </w:r>
      <w:r>
        <w:t xml:space="preserve">an end to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hybrid-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inspire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inspire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inspire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inspire</w:t>
      </w:r>
      <w:r>
        <w:t xml:space="preserve"> </w:t>
      </w:r>
      <w:r>
        <w:t xml:space="preserve">(short)</w:t>
      </w:r>
    </w:p>
    <w:p>
      <w:pPr>
        <w:pStyle w:val="BlockText"/>
      </w:pPr>
      <w:r>
        <w:t xml:space="preserve">reinfor</w:t>
      </w:r>
      <w:r>
        <w:t xml:space="preserve">$\cancelto{sss}{s}\xcancel{e}$</w:t>
      </w:r>
      <w:r>
        <w:t xml:space="preserve"> </w:t>
      </w:r>
      <w:r>
        <w:t xml:space="preserve">them</w:t>
      </w:r>
      <w:r>
        <w:t xml:space="preserve">$\cancelto{ss}{s}$</w:t>
      </w:r>
      <w:r>
        <w:t xml:space="preserve">elve</w:t>
      </w:r>
      <w:r>
        <w:t xml:space="preserve">$\cancelto{sss}{s}$</w:t>
      </w:r>
    </w:p>
    <w:p>
      <w:pPr>
        <w:pStyle w:val="BlockText"/>
      </w:pPr>
      <w:r>
        <w:rPr>
          <w:i/>
        </w:rPr>
        <w:t xml:space="preserve">inspire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inspire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inspire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inspire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inspire</w:t>
      </w:r>
      <w:r>
        <w:t xml:space="preserve"> </w:t>
      </w:r>
      <w:r>
        <w:t xml:space="preserve">(short)</w:t>
      </w:r>
    </w:p>
    <w:p>
      <w:pPr>
        <w:pStyle w:val="BlockText"/>
      </w:pPr>
      <w:r>
        <w:rPr>
          <w:i/>
        </w:rPr>
        <w:t xml:space="preserve">m</w:t>
      </w:r>
      <w:r>
        <w:t xml:space="preserve">but more</w:t>
      </w:r>
    </w:p>
    <w:p>
      <w:pPr>
        <w:pStyle w:val="BlockText"/>
      </w:pPr>
      <w:r>
        <w:rPr>
          <w:i/>
        </w:rPr>
        <w:t xml:space="preserve">inspire</w:t>
      </w:r>
      <w:r>
        <w:t xml:space="preserve"> </w:t>
      </w:r>
      <w:r>
        <w:t xml:space="preserve">(short)</w:t>
      </w:r>
    </w:p>
    <w:p>
      <w:pPr>
        <w:pStyle w:val="Block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lockText"/>
      </w:pPr>
      <w:r>
        <w:t xml:space="preserve">any irregularities</w:t>
      </w:r>
      <w:r>
        <w:t xml:space="preserve">$\rightarrowmy$</w:t>
      </w:r>
      <w:r>
        <w:t xml:space="preserve"> </w:t>
      </w:r>
      <w:r>
        <w:rPr>
          <w:i/>
        </w:rPr>
        <w:t xml:space="preserve">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Being part of sound, bodies change sound even before listening. Sound, in its most basic and general form makes listeners vibrate as listeners become part of sound. On a mechanical level, the body is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n-sampler"/>
      <w:r>
        <w:t xml:space="preserve">An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resonating linkage between the human and the nonhuman: a network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 texture, 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separated temporally. On the other, these same points are marks that indicate the extent to which they differ or ressemble each other, thus they can be understood distributed spatially.</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context,</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or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for Nancy,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 ontological condition of these bodies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thinking the complex ways in which things —understood as every singular</w:t>
      </w:r>
      <w:r>
        <w:t xml:space="preserve"> </w:t>
      </w:r>
      <w:r>
        <w:rPr>
          <w:i/>
        </w:rPr>
        <w:t xml:space="preserve">thing</w:t>
      </w:r>
      <w:r>
        <w:t xml:space="preserve"> </w:t>
      </w:r>
      <w:r>
        <w:t xml:space="preserve">within the world— are connected between and associated to each other. This theory can be understood as an image of the world made out of nodes on a decentralized web of meaning. As I have mentioned earlier with the network model (See</w:t>
      </w:r>
      <w:r>
        <w:t xml:space="preserve"> </w:t>
      </w:r>
      <w:hyperlink w:anchor="model:network">
        <w:r>
          <w:rPr>
            <w:rStyle w:val="Hyperlink"/>
          </w:rPr>
          <w:t xml:space="preserve">4.2.4.2</w:t>
        </w:r>
      </w:hyperlink>
      <w:r>
        <w:t xml:space="preserve">), navigating through networks implies traversing from node to node. However, for Latour, navigating through the network means building frames of references. He refers to these frames as both</w:t>
      </w:r>
      <w:r>
        <w:t xml:space="preserve"> </w:t>
      </w:r>
      <w:r>
        <w:t xml:space="preserve">‘</w:t>
      </w:r>
      <w:r>
        <w:t xml:space="preserve">semiotic actors</w:t>
      </w:r>
      <w:r>
        <w:t xml:space="preserve">’</w:t>
      </w:r>
      <w:r>
        <w:t xml:space="preserve"> </w:t>
      </w:r>
      <w:r>
        <w:t xml:space="preserve">—or</w:t>
      </w:r>
      <w:r>
        <w:t xml:space="preserve"> </w:t>
      </w:r>
      <w:r>
        <w:t xml:space="preserve">‘</w:t>
      </w:r>
      <w:r>
        <w:t xml:space="preserve">agents</w:t>
      </w:r>
      <w:r>
        <w:t xml:space="preserve">’</w:t>
      </w:r>
      <w:r>
        <w:t xml:space="preserve">— and as the interconnected accounts that these semiotic actors have of each other. The motion of these interconnected accounts can thus be understood as a mode of navigation. This is when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might limit the understanding of its activity. Nodes and edges collapse into one another. Therefore, since semiotic actors are themselves frames of reference, the</w:t>
      </w:r>
      <w:r>
        <w:t xml:space="preserve"> </w:t>
      </w:r>
      <w:r>
        <w:t xml:space="preserve">‘</w:t>
      </w:r>
      <w:r>
        <w:t xml:space="preserve">surface</w:t>
      </w:r>
      <w:r>
        <w:t xml:space="preserve">’</w:t>
      </w:r>
      <w:r>
        <w:t xml:space="preserve"> </w:t>
      </w:r>
      <w:r>
        <w:t xml:space="preserve">of the network folds over itself. In this sense, the network 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 Furthermore, this work (</w:t>
      </w:r>
      <w:r>
        <w:rPr>
          <w:i/>
        </w:rPr>
        <w:t xml:space="preserve">net</w:t>
      </w:r>
      <w:r>
        <w:t xml:space="preserve">-work), what Latour calls</w:t>
      </w:r>
      <w:r>
        <w:t xml:space="preserve"> </w:t>
      </w:r>
      <w:r>
        <w:t xml:space="preserve">“</w:t>
      </w:r>
      <w:r>
        <w:t xml:space="preserve">tracing,</w:t>
      </w:r>
      <w:r>
        <w:t xml:space="preserve">”</w:t>
      </w:r>
      <w:r>
        <w:t xml:space="preserve"> </w:t>
      </w:r>
      <w:r>
        <w:t xml:space="preserve">is the movement of associations and connections:</w:t>
      </w:r>
      <w:r>
        <w:t xml:space="preserve"> </w:t>
      </w:r>
      <w:r>
        <w:t xml:space="preserve">“</w:t>
      </w:r>
      <w:r>
        <w:rPr>
          <w:i/>
        </w:rPr>
        <w:t xml:space="preserve">A network is not a thing but the recorded movement of a thing</w:t>
      </w:r>
      <w:r>
        <w:t xml:space="preserve">”</w:t>
      </w:r>
      <w:r>
        <w:t xml:space="preserve"> </w:t>
      </w:r>
      <w:r>
        <w:t xml:space="preserve">[emphasis added]</w:t>
      </w:r>
      <w:r>
        <w:t xml:space="preserve"> </w:t>
      </w:r>
      <w:r>
        <w:t xml:space="preserve">(Latour 1990, p. 14)</w:t>
      </w:r>
      <w:r>
        <w:t xml:space="preserve">.</w:t>
      </w:r>
    </w:p>
    <w:p>
      <w:pPr>
        <w:pStyle w:val="Heading5"/>
      </w:pPr>
      <w:bookmarkStart w:id="195" w:name="the-work-of-actors"/>
      <w:r>
        <w:t xml:space="preserve">The Work of Actors</w:t>
      </w:r>
      <w:bookmarkEnd w:id="195"/>
    </w:p>
    <w:p>
      <w:pPr>
        <w:pStyle w:val="FirstParagraph"/>
      </w:pPr>
      <w:r>
        <w:t xml:space="preserve">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motion: the set of links that are being established by nodes are in constant reference to each other. Connection and expansion are the mode of being of networks: they exist by the constant growth of their nodes and edges. Therefore, given the self-propagating quality of networks, the notion of a network unlinking itself until extinction is utterly impossible. Although it would be rational to think this way, the case of the network would imply that upon disconnection, another new connection must refer to the unlinked status of the affected nodes. This new connection would, in turn, unfold a new set of connections into newer and yet unexpected directions, and so on. This is where a (sonic) three-dimentional metaphor of networks as a mechanical wave (sound) might also differ from its activity.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positive feedback. While a network expands in redundancy and self-reference, a sound attenuates towards imperceptible thresholds. Therefore, in undertanding networks as resonant networks, it follows that resonance would increase at every step.</w:t>
      </w:r>
    </w:p>
    <w:p>
      <w:pPr>
        <w:pStyle w:val="Heading5"/>
      </w:pPr>
      <w:bookmarkStart w:id="196" w:name="howling"/>
      <w:r>
        <w:t xml:space="preserve">Howling</w:t>
      </w:r>
      <w:bookmarkEnd w:id="196"/>
    </w:p>
    <w:p>
      <w:pPr>
        <w:pStyle w:val="FirstParagraph"/>
      </w:pPr>
      <w:r>
        <w:t xml:space="preserve">For example, consider Alvin Lucier’s</w:t>
      </w:r>
      <w:r>
        <w:t xml:space="preserve"> </w:t>
      </w:r>
      <w:r>
        <w:rPr>
          <w:i/>
        </w:rPr>
        <w:t xml:space="preserve">I am sitting in a room</w:t>
      </w:r>
      <w:r>
        <w:t xml:space="preserve">. This sound art piece is self explanatory (See</w:t>
      </w:r>
      <w:r>
        <w:t xml:space="preserve"> </w:t>
      </w:r>
      <w:hyperlink w:anchor="lucierlude">
        <w:r>
          <w:rPr>
            <w:rStyle w:val="Hyperlink"/>
          </w:rPr>
          <w:t xml:space="preserve">5.1.1</w:t>
        </w:r>
      </w:hyperlink>
      <w:r>
        <w:t xml:space="preserve">). It can be understood as a crossfade between speech and music (but also timbre and space) throught the circuitry of a closed and controlled feedback loop between a microphone, a speaker, and a room. The aesthetic considerations of this work I will leave for some other time, and I will refer to</w:t>
      </w:r>
      <w:r>
        <w:t xml:space="preserve"> </w:t>
      </w:r>
      <w:r>
        <w:t xml:space="preserve">Valle &amp; Sanfilippo (2012)</w:t>
      </w:r>
      <w:r>
        <w:t xml:space="preserve"> </w:t>
      </w:r>
      <w:r>
        <w:t xml:space="preserve">for further considerations on feedback systems. What I would like to bring here is an experimental revision of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the Larsen phenomenon</w:t>
      </w:r>
      <w:r>
        <w:t xml:space="preserve"> </w:t>
      </w:r>
      <w:r>
        <w:t xml:space="preserve">“</w:t>
      </w:r>
      <w:r>
        <w:t xml:space="preserve">stretched in time…The 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(perhaps) cease to</w:t>
      </w:r>
      <w:r>
        <w:t xml:space="preserve"> </w:t>
      </w:r>
      <w:r>
        <w:t xml:space="preserve">“</w:t>
      </w:r>
      <w:r>
        <w:t xml:space="preserve">reinforce themselves.</w:t>
      </w:r>
      <w:r>
        <w:t xml:space="preserve">”</w:t>
      </w:r>
      <w:r>
        <w:t xml:space="preserve"> </w:t>
      </w:r>
      <w:r>
        <w:t xml:space="preserve">However, (and here is the experiment) this does not mean that these resonant nodes would cease to act. In this sense, we can ask ourselves how would Lucier’s</w:t>
      </w:r>
      <w:r>
        <w:t xml:space="preserve"> </w:t>
      </w:r>
      <w:r>
        <w:rPr>
          <w:i/>
        </w:rPr>
        <w:t xml:space="preserve">I sitting in a room…</w:t>
      </w:r>
      <w:r>
        <w:t xml:space="preserve"> </w:t>
      </w:r>
      <w:r>
        <w:t xml:space="preserve">sound like?</w:t>
      </w:r>
      <w:r>
        <w:t xml:space="preserve"> </w:t>
      </w:r>
      <w:r>
        <w:rPr>
          <w:i/>
        </w:rPr>
        <w:t xml:space="preserve">Where</w:t>
      </w:r>
      <w:r>
        <w:t xml:space="preserve"> </w:t>
      </w:r>
      <w:r>
        <w:t xml:space="preserve">would he be actually</w:t>
      </w:r>
      <w:r>
        <w:t xml:space="preserve"> </w:t>
      </w:r>
      <w:r>
        <w:rPr>
          <w:i/>
        </w:rPr>
        <w:t xml:space="preserve">sitting</w:t>
      </w:r>
      <w:r>
        <w:t xml:space="preserve">?</w:t>
      </w:r>
    </w:p>
    <w:p>
      <w:pPr>
        <w:pStyle w:val="Heading5"/>
      </w:pPr>
      <w:bookmarkStart w:id="197" w:name="the-resonant-movement-of-a-thing"/>
      <w:r>
        <w:t xml:space="preserve">The Resonant Movement of a Thing</w:t>
      </w:r>
      <w:bookmarkEnd w:id="197"/>
    </w:p>
    <w:p>
      <w:pPr>
        <w:pStyle w:val="FirstParagraph"/>
      </w:pPr>
      <w:r>
        <w:t xml:space="preserve">Considering that networks are comprised on the movement of meaning, it is possible to think about this movement with Nancy’s ontology of sound. That is to say, given that we can understand sound as an experience within an interconnected web-like texture that I described earlier as a</w:t>
      </w:r>
      <w:r>
        <w:t xml:space="preserve"> </w:t>
      </w:r>
      <w:r>
        <w:t xml:space="preserve">fdn</w:t>
      </w:r>
      <w:r>
        <w:t xml:space="preserve">, with</w:t>
      </w:r>
      <w:r>
        <w:t xml:space="preserve"> </w:t>
      </w:r>
      <w:r>
        <w:t xml:space="preserve">ant</w:t>
      </w:r>
      <w:r>
        <w:t xml:space="preserve">, all delay lines can be understood in continuous expansion. As a result, 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it would also spread in space. Instead of the room becoming a filter, it would also become a spatializer. The differences in time would be distributed along the expansion of the network. In this sense, Latour’s phrase can be reformulated as follows:</w:t>
      </w:r>
      <w:r>
        <w:t xml:space="preserve"> </w:t>
      </w:r>
      <w:r>
        <w:rPr>
          <w:i/>
        </w:rPr>
        <w:t xml:space="preserve">the network is not a thing, but the resonant movement of a thing</w:t>
      </w:r>
      <w:r>
        <w:t xml:space="preserv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Furthemore, this listening is happening in the delayed moments of each expansive turn of the network in time and space. Listening actors as resonant subjects in Nancy’s sense described above. This is the crucial leap that comes out of the idea of a resonant network: the moment the nonhuman in the network is comprehended as resonating, it is the moment that they engage with an approach to self. Following this logical thread, the database can be considered as a semiotic actor as well as a resonating subject.</w:t>
      </w:r>
    </w:p>
    <w:p>
      <w:pPr>
        <w:pStyle w:val="Heading5"/>
      </w:pPr>
      <w:bookmarkStart w:id="198" w:name="i-am-sitting-in-a-database"/>
      <w:r>
        <w:t xml:space="preserve">I am sitting in a database…</w:t>
      </w:r>
      <w:bookmarkEnd w:id="198"/>
    </w:p>
    <w:p>
      <w:pPr>
        <w:pStyle w:val="Heading3"/>
      </w:pPr>
      <w:bookmarkStart w:id="199" w:name="inoperativity"/>
      <w:r>
        <w:t xml:space="preserve">The Unworking Network</w:t>
      </w:r>
      <w:bookmarkEnd w:id="199"/>
    </w:p>
    <w:p>
      <w:pPr>
        <w:pStyle w:val="BlockText"/>
      </w:pPr>
      <w:r>
        <w:t xml:space="preserve">Community necessarily takes place in what Blanchot has called</w:t>
      </w:r>
      <w:r>
        <w:t xml:space="preserve"> </w:t>
      </w:r>
      <w:r>
        <w:t xml:space="preserve">‘</w:t>
      </w:r>
      <w:r>
        <w:t xml:space="preserve">unworking,</w:t>
      </w:r>
      <w:r>
        <w:t xml:space="preserve">’</w:t>
      </w:r>
      <w:r>
        <w:t xml:space="preserve"> </w:t>
      </w:r>
      <w:r>
        <w:t xml:space="preserve">referring to that which, before or beyond the work, withdraws from the work, and which, no longer having to do either with production or with completion, encounters interruption, fragmentation, suspension. Community is made of the interruption of singularities, or of the suspension that singular beings are. Community is not the work of singular beings, nor can it claim them as its works, just as communication is not a work or even an operation of singular beings, for community is simply their being —their being suspended upon its limit.</w:t>
      </w:r>
      <w:r>
        <w:t xml:space="preserve"> </w:t>
      </w:r>
      <w:r>
        <w:rPr>
          <w:i/>
        </w:rPr>
        <w:t xml:space="preserve">Communication is the unworking of work that is social, economic, technical, and institutional</w:t>
      </w:r>
      <w:r>
        <w:t xml:space="preserve">. [emphasis added]</w:t>
      </w:r>
      <w:r>
        <w:t xml:space="preserve"> </w:t>
      </w:r>
      <w:r>
        <w:t xml:space="preserve">(Nancy 1991, p. 31)</w:t>
      </w:r>
    </w:p>
    <w:p>
      <w:pPr>
        <w:pStyle w:val="Heading5"/>
      </w:pPr>
      <w:bookmarkStart w:id="200" w:name="community-as-unwork"/>
      <w:r>
        <w:t xml:space="preserve">Community as unwork</w:t>
      </w:r>
      <w:bookmarkEnd w:id="200"/>
    </w:p>
    <w:p>
      <w:pPr>
        <w:pStyle w:val="FirstParagraph"/>
      </w:pPr>
      <w:r>
        <w:t xml:space="preserve">Referring to Maurice Blanchot’s concept of</w:t>
      </w:r>
      <w:r>
        <w:t xml:space="preserve"> </w:t>
      </w:r>
      <w:r>
        <w:rPr>
          <w:i/>
        </w:rPr>
        <w:t xml:space="preserve">desoevrement</w:t>
      </w:r>
      <w:r>
        <w:t xml:space="preserve">,</w:t>
      </w:r>
      <w:r>
        <w:t xml:space="preserve"> </w:t>
      </w:r>
      <w:r>
        <w:t xml:space="preserve">Nancy (1991)</w:t>
      </w:r>
      <w:r>
        <w:t xml:space="preserve"> </w:t>
      </w:r>
      <w:r>
        <w:t xml:space="preserve">proposed</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the grounds for a theory of</w:t>
      </w:r>
      <w:r>
        <w:t xml:space="preserve"> </w:t>
      </w:r>
      <w:r>
        <w:t xml:space="preserve">‘</w:t>
      </w:r>
      <w:r>
        <w:t xml:space="preserve">community.</w:t>
      </w:r>
      <w:r>
        <w:t xml:space="preserve">’</w:t>
      </w:r>
      <w:r>
        <w:t xml:space="preserve"> </w:t>
      </w:r>
      <w:r>
        <w:t xml:space="preserve">He claims that community and the possibility of community to occur, needs to be liberated from the concept of</w:t>
      </w:r>
      <w:r>
        <w:t xml:space="preserve"> </w:t>
      </w:r>
      <w:r>
        <w:t xml:space="preserve">‘</w:t>
      </w:r>
      <w:r>
        <w:t xml:space="preserve">work.</w:t>
      </w:r>
      <w:r>
        <w:t xml:space="preserve">’</w:t>
      </w:r>
      <w:r>
        <w:t xml:space="preserve"> </w:t>
      </w:r>
      <w:r>
        <w:t xml:space="preserve">Work within a community, understood by Nancy, comes to be a form of withdrawal. That is to say, in a community, withdrawal is a form of interruption and suspension of both production and product. Therefore, if work is understood as the means by which a community arrives at the production of any given product, then withdrawal comes to place this system of production into a halt. If the process of production was thus interrupted, the system of production leading to completion is truncated and never achieved. Therefore, within this logic of production, if community itself is thought of as product, that is, as the objective of the community itself (the process which composes itself as process), then the concept of community is dismantled and broken. In other words, when community is thought of as work, the work of community can never be achieved, and community as its product can never exist. The reasons for this I will show in a moment. Nancy’s conclusion is that community can never result out of a work, but it is only something that unfolds as unworking. In this sense, the system of production is rendered unviable for a relation to exist between selves, and only an inoperative force can arrive at the common exposure of selves.</w:t>
      </w:r>
    </w:p>
    <w:p>
      <w:pPr>
        <w:pStyle w:val="Heading5"/>
      </w:pPr>
      <w:bookmarkStart w:id="201" w:name="resonant-inoperativity"/>
      <w:r>
        <w:t xml:space="preserve">Resonant Inoperativity</w:t>
      </w:r>
      <w:bookmarkEnd w:id="201"/>
    </w:p>
    <w:p>
      <w:pPr>
        <w:pStyle w:val="FirstParagraph"/>
      </w:pPr>
      <w:r>
        <w:t xml:space="preserve">Given that Nancy thinks of community as an exposure of selves towards one another, we can understand this movement of unworking as the movement of resonant networks. The exposure that occurs in listening allows a comparison between resonance and inoperativity. In this sense, the distance between the resonant subject and the sonorous presence becomes a limit upon which community is suspended. Nancy’s concept of resonance, as I described earlier, has two dimensions, one relating the body sensing itself and the other to the structure of infinite referrals and deferrals. Listeners are exposed to one another and in contact with themselves through these dimensions. Resonance exposes thus a liminality: the listening subject exposing itself at a limit.</w:t>
      </w:r>
    </w:p>
    <w:p>
      <w:pPr>
        <w:pStyle w:val="Heading5"/>
      </w:pPr>
      <w:bookmarkStart w:id="202" w:name="space-of-community"/>
      <w:r>
        <w:t xml:space="preserve">Space of Community</w:t>
      </w:r>
      <w:bookmarkEnd w:id="202"/>
    </w:p>
    <w:p>
      <w:pPr>
        <w:pStyle w:val="FirstParagraph"/>
      </w:pPr>
      <w:r>
        <w:t xml:space="preserve">This limit is also an exposure to fragmentation. Fragmentation, in this sense, means the inability for a thing to complete itself. The opening of a wound that precludes the unity. As the fragile, liminal state of fracture that this fragmentation points to, however, the limit maintains itself in suspension. That is to say, the contact that exists between selves does not conclude. Therefore, if this touch, in the sense that touching permits being in common with the other, is the mark of community, it follows that it is impossible to arrive at it by means of a work. Since, the concept of work comes from the necessity to finish things, to close objects, to sever a beginning and an ending out of a temporal and spatial continuum. The activity of work is aimed at effectively arriving at a result, applying certain effort for the purpose of a given task. Labor itself is both related to the application of forces and to creation itself, to giving birth. Art traditionally comes in the form of work. Community, on the other hand, comes from the form of unwork.</w:t>
      </w:r>
    </w:p>
    <w:p>
      <w:pPr>
        <w:pStyle w:val="Heading5"/>
      </w:pPr>
      <w:bookmarkStart w:id="203" w:name="at-the-limit"/>
      <w:r>
        <w:t xml:space="preserve">At the Limit</w:t>
      </w:r>
      <w:bookmarkEnd w:id="203"/>
    </w:p>
    <w:p>
      <w:pPr>
        <w:pStyle w:val="FirstParagraph"/>
      </w:pPr>
      <w:r>
        <w:t xml:space="preserve">Nancy’s concept of community can be recognized within</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the limit. A limit, in the sense that it constitutes an edge between two objects (actors). Using Nancy’s conceptualization of community, this limit exposes selves to themselves and to one another. Therefore, by understanding resonant networks in terms of community, the result is a resonant self-exposure of the human and nonhuman at the limit. Thus, the instance of inoperativity: because of this (resonant) suspension, there is no possibility for completion, only expansion. Within this quality of incompleteness, which relates to suspension, but also to fracture, fragility, instability, and unpredictability, is how the notion of community as product can never be realized.</w:t>
      </w:r>
    </w:p>
    <w:p>
      <w:pPr>
        <w:pStyle w:val="Heading5"/>
      </w:pPr>
      <w:bookmarkStart w:id="204" w:name="reticulated-skin"/>
      <w:r>
        <w:t xml:space="preserve">Reticulated Skin</w:t>
      </w:r>
      <w:bookmarkEnd w:id="204"/>
    </w:p>
    <w:p>
      <w:pPr>
        <w:pStyle w:val="FirstParagraph"/>
      </w:pPr>
      <w:r>
        <w:t xml:space="preserve">Since there is nothing outside of community, and, since there is only exposure, propagation, repetition, and expansion, there is room for thinking of the resonant network as an inoperative agent of community itself. What this amounts to is that the human and the nonhuman resonate as community. The human and the nonhuman unfold their relations towards each other, suspending themselves in between one another. This in-between-ness is not to mean a gap between selves, but their connectedness and the same network of associations and referrals that exists between them. To put this differently, this liminality can be thought of as a skin, not in the sense of a layer that separates the interior form the exterior of a body, or, for that matter, as a surface under which or over which two selves can connect. This skin is not a surface, but a texture; it is not a layer, but an interweaving of minuscular threads that, in their own locality are fragile, but in their state of being reticulated, expand into a redundancy of fragilities that prevent concepts such as unity, concentration, or purity, to enter into the picture. This constitutes Latour’s</w:t>
      </w:r>
      <w:r>
        <w:t xml:space="preserve"> </w:t>
      </w:r>
      <w:r>
        <w:t xml:space="preserve">“</w:t>
      </w:r>
      <w:r>
        <w:t xml:space="preserve">material resistance argument,</w:t>
      </w:r>
      <w:r>
        <w:t xml:space="preserve">”</w:t>
      </w:r>
      <w:r>
        <w:t xml:space="preserve"> </w:t>
      </w:r>
      <w:r>
        <w:t xml:space="preserve">for example, one that refers to the heterogeneous, disseminated, and careful</w:t>
      </w:r>
      <w:r>
        <w:t xml:space="preserve"> </w:t>
      </w:r>
      <w:r>
        <w:t xml:space="preserve">“</w:t>
      </w:r>
      <w:r>
        <w:t xml:space="preserve">plaiting of weak ties</w:t>
      </w:r>
      <w:r>
        <w:t xml:space="preserve">”</w:t>
      </w:r>
      <w:r>
        <w:t xml:space="preserve"> </w:t>
      </w:r>
      <w:r>
        <w:t xml:space="preserve">(Latour 1990, p. 3)</w:t>
      </w:r>
      <w:r>
        <w:t xml:space="preserve">.</w:t>
      </w:r>
    </w:p>
    <w:p>
      <w:pPr>
        <w:pStyle w:val="Heading5"/>
      </w:pPr>
      <w:bookmarkStart w:id="205" w:name="database-community"/>
      <w:r>
        <w:t xml:space="preserve">Database Community</w:t>
      </w:r>
      <w:bookmarkEnd w:id="205"/>
    </w:p>
    <w:p>
      <w:pPr>
        <w:pStyle w:val="FirstParagraph"/>
      </w:pPr>
      <w:r>
        <w:t xml:space="preserve">The resistance of the skin represents, thus, the resistance of connectivity itself, that is, the resistance of a community. Therefore, by substituting, on one hand, the human with the database performer (databaser) and, on the other, the nonhuman with the database, the resonant network, as an instantiation of a process of unworking, enables the thought of a</w:t>
      </w:r>
      <w:r>
        <w:t xml:space="preserve"> </w:t>
      </w:r>
      <w:r>
        <w:rPr>
          <w:i/>
        </w:rPr>
        <w:t xml:space="preserve">database community</w:t>
      </w:r>
      <w:r>
        <w:t xml:space="preserve"> </w:t>
      </w:r>
      <w:r>
        <w:t xml:space="preserve">to emerge. With this concept of database community, the notion of database music can be further understood as a hybridly social and communicative event. This is to say that, following Latour’s hybridity of objects in his understanding of society</w:t>
      </w:r>
      <w:r>
        <w:t xml:space="preserve"> </w:t>
      </w:r>
      <w:r>
        <w:t xml:space="preserve">(Latour 1990, p. 2)</w:t>
      </w:r>
      <w:r>
        <w:t xml:space="preserve">, database music is a social practice that comes as a result of databasers and databases in resonance with each other. Furthermore, database music is an instance of community, in the sense that it is an event of communication, understanding the communicative as</w:t>
      </w:r>
      <w:r>
        <w:t xml:space="preserve"> </w:t>
      </w:r>
      <w:r>
        <w:t xml:space="preserve">“</w:t>
      </w:r>
      <w:r>
        <w:t xml:space="preserve">the unworking of work that is social, economic, technical, and institutional</w:t>
      </w:r>
      <w:r>
        <w:t xml:space="preserve">”</w:t>
      </w:r>
      <w:r>
        <w:t xml:space="preserve"> </w:t>
      </w:r>
      <w:r>
        <w:t xml:space="preserve">(Nancy 1991, p. 31)</w:t>
      </w:r>
      <w:r>
        <w:t xml:space="preserve">. Therefore, the database community emerges as —but also, from, through, during, etc.— the unworking of databasers and databases. Database community can be considered as, precisely, the skin upon which the human and the nonhuman resonate, which amounts to —but never finalizes in— a musical event.</w:t>
      </w:r>
    </w:p>
    <w:p>
      <w:pPr>
        <w:pStyle w:val="Heading2"/>
      </w:pPr>
      <w:bookmarkStart w:id="206" w:name="section:Databases_And_Memory"/>
      <w:r>
        <w:t xml:space="preserve">Databases And Memory</w:t>
      </w:r>
      <w:bookmarkEnd w:id="206"/>
    </w:p>
    <w:p>
      <w:pPr>
        <w:pStyle w:val="Heading3"/>
      </w:pPr>
      <w:bookmarkStart w:id="207" w:name="funeslude"/>
      <w:r>
        <w:t xml:space="preserve">Interlude: Embodied Memory</w:t>
      </w:r>
      <w:bookmarkEnd w:id="207"/>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8"/>
      </w:r>
      <w:r>
        <w:t xml:space="preserve"> </w:t>
      </w:r>
      <w:r>
        <w:t xml:space="preserve">he was secluded in a dark and enclosed space so as not to perceive the world.</w:t>
      </w:r>
      <w:r>
        <w:rPr>
          <w:rStyle w:val="FootnoteReference"/>
        </w:rPr>
        <w:footnoteReference w:id="209"/>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0"/>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11"/>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2"/>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3"/>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5" w:name="human"/>
      <w:r>
        <w:t xml:space="preserve">The Effraction Of The Trace</w:t>
      </w:r>
      <w:bookmarkEnd w:id="215"/>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6"/>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7" w:name="memory-as-breaching"/>
      <w:r>
        <w:t xml:space="preserve">Memory as Breaching</w:t>
      </w:r>
      <w:bookmarkEnd w:id="217"/>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8" w:name="breaching-and-différance"/>
      <w:r>
        <w:t xml:space="preserve">Breaching and</w:t>
      </w:r>
      <w:r>
        <w:t xml:space="preserve"> </w:t>
      </w:r>
      <w:r>
        <w:rPr>
          <w:i/>
        </w:rPr>
        <w:t xml:space="preserve">différance</w:t>
      </w:r>
      <w:bookmarkEnd w:id="218"/>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9" w:name="hypomnesis-and-the-mystic-pad"/>
      <w:r>
        <w:t xml:space="preserve">Hypomnesis and the Mystic Pad</w:t>
      </w:r>
      <w:bookmarkEnd w:id="219"/>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20" w:name="nonhuman-authors"/>
      <w:r>
        <w:t xml:space="preserve">Nonhuman Authors</w:t>
      </w:r>
      <w:bookmarkEnd w:id="220"/>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resonating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resonating</w:t>
      </w:r>
      <w:r>
        <w:t xml:space="preserve"> </w:t>
      </w:r>
      <w:r>
        <w:t xml:space="preserve">“</w:t>
      </w:r>
      <w:r>
        <w:t xml:space="preserve">system of relations between strata.</w:t>
      </w:r>
      <w:r>
        <w:t xml:space="preserve">”</w:t>
      </w:r>
    </w:p>
    <w:p>
      <w:pPr>
        <w:pStyle w:val="Heading5"/>
      </w:pPr>
      <w:bookmarkStart w:id="221" w:name="database-as-agents"/>
      <w:r>
        <w:t xml:space="preserve">Database as Agents</w:t>
      </w:r>
      <w:bookmarkEnd w:id="221"/>
    </w:p>
    <w:p>
      <w:pPr>
        <w:pStyle w:val="FirstParagraph"/>
      </w:pPr>
      <w:r>
        <w:t xml:space="preserve">Therefore, if this resonating self can only emerge out of this system —or better, network— of relations, then, every resonating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resonating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resonating skin, whether it be of a human or a nonhuman, of a databaser or a database; a skin, but also an open resistance to the forces of change.</w:t>
      </w:r>
    </w:p>
    <w:p>
      <w:pPr>
        <w:pStyle w:val="Heading3"/>
      </w:pPr>
      <w:bookmarkStart w:id="222" w:name="archontic"/>
      <w:r>
        <w:t xml:space="preserve">The Archontic Principle</w:t>
      </w:r>
      <w:bookmarkEnd w:id="222"/>
    </w:p>
    <w:p>
      <w:pPr>
        <w:pStyle w:val="Heading5"/>
      </w:pPr>
      <w:bookmarkStart w:id="223" w:name="archives-and-memory"/>
      <w:r>
        <w:t xml:space="preserve">Archives and Memory</w:t>
      </w:r>
      <w:bookmarkEnd w:id="223"/>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4" w:name="hierarchies"/>
      <w:r>
        <w:t xml:space="preserve">Hierarchies</w:t>
      </w:r>
      <w:bookmarkEnd w:id="224"/>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5" w:name="archontic-principle"/>
      <w:r>
        <w:t xml:space="preserve">Archontic Principle</w:t>
      </w:r>
      <w:bookmarkEnd w:id="225"/>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6" w:name="patriarchy"/>
      <w:r>
        <w:t xml:space="preserve">Patriarchy</w:t>
      </w:r>
      <w:bookmarkEnd w:id="226"/>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7" w:name="institutional-passage"/>
      <w:r>
        <w:t xml:space="preserve">Institutional Passage</w:t>
      </w:r>
      <w:bookmarkEnd w:id="227"/>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8" w:name="authorities"/>
      <w:r>
        <w:t xml:space="preserve">Authorities</w:t>
      </w:r>
      <w:bookmarkEnd w:id="228"/>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9" w:name="anarchic-memory"/>
      <w:r>
        <w:t xml:space="preserve">Anarchic Memory</w:t>
      </w:r>
      <w:bookmarkEnd w:id="229"/>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0" w:name="collective-memory"/>
      <w:r>
        <w:t xml:space="preserve">Collective Memory</w:t>
      </w:r>
      <w:bookmarkEnd w:id="230"/>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31" w:name="writing-code"/>
      <w:r>
        <w:t xml:space="preserve">Writing Code</w:t>
      </w:r>
      <w:bookmarkEnd w:id="231"/>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2"/>
      </w:r>
    </w:p>
    <w:p>
      <w:pPr>
        <w:pStyle w:val="Heading5"/>
      </w:pPr>
      <w:bookmarkStart w:id="234" w:name="anarchic-computer-memory"/>
      <w:r>
        <w:t xml:space="preserve">Anarchic Computer Memory</w:t>
      </w:r>
      <w:bookmarkEnd w:id="234"/>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5" w:name="spectrality"/>
      <w:r>
        <w:t xml:space="preserve">The Spectral Database</w:t>
      </w:r>
      <w:bookmarkEnd w:id="235"/>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6" w:name="computer-memory-and-writing"/>
      <w:r>
        <w:t xml:space="preserve">Computer Memory and Writing</w:t>
      </w:r>
      <w:bookmarkEnd w:id="236"/>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7" w:name="memory-replacement"/>
      <w:r>
        <w:t xml:space="preserve">Memory Replacement</w:t>
      </w:r>
      <w:bookmarkEnd w:id="237"/>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8" w:name="anarchic-records"/>
      <w:r>
        <w:t xml:space="preserve">Anarchic Records</w:t>
      </w:r>
      <w:bookmarkEnd w:id="238"/>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9"/>
      </w:r>
      <w:r>
        <w:t xml:space="preserve"> </w:t>
      </w:r>
      <w:r>
        <w:t xml:space="preserve">becomes an archivization process, that is, a process by which symbolic transcription leads to an ordered archive, i.e., a score.</w:t>
      </w:r>
      <w:r>
        <w:rPr>
          <w:rStyle w:val="FootnoteReference"/>
        </w:rPr>
        <w:footnoteReference w:id="241"/>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2" w:name="memory-and-framing"/>
      <w:r>
        <w:t xml:space="preserve">Memory and Framing</w:t>
      </w:r>
      <w:bookmarkEnd w:id="242"/>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3" w:name="nonhuman-tympans"/>
      <w:r>
        <w:t xml:space="preserve">Nonhuman Tympans</w:t>
      </w:r>
      <w:bookmarkEnd w:id="243"/>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4" w:name="spectrality-of-archives"/>
      <w:r>
        <w:t xml:space="preserve">Spectrality of Archives</w:t>
      </w:r>
      <w:bookmarkEnd w:id="244"/>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5" w:name="spectrality-of-databases"/>
      <w:r>
        <w:t xml:space="preserve">Spectrality of Databases</w:t>
      </w:r>
      <w:bookmarkEnd w:id="245"/>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6" w:name="agency-of-the-uncanny"/>
      <w:r>
        <w:t xml:space="preserve">Agency of the Uncanny</w:t>
      </w:r>
      <w:bookmarkEnd w:id="246"/>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7" w:name="section:Performativity_Of_Databases"/>
      <w:r>
        <w:t xml:space="preserve">Performativity Of Databases</w:t>
      </w:r>
      <w:bookmarkEnd w:id="247"/>
    </w:p>
    <w:p>
      <w:pPr>
        <w:pStyle w:val="Heading3"/>
      </w:pPr>
      <w:bookmarkStart w:id="248" w:name="gender"/>
      <w:r>
        <w:t xml:space="preserve">Gendered Database</w:t>
      </w:r>
      <w:bookmarkEnd w:id="248"/>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9" w:name="skin-of-the-database"/>
      <w:r>
        <w:t xml:space="preserve">Skin of the Database</w:t>
      </w:r>
      <w:bookmarkEnd w:id="249"/>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50" w:name="expressing-nothing"/>
      <w:r>
        <w:t xml:space="preserve">Expressing Nothing</w:t>
      </w:r>
      <w:bookmarkEnd w:id="250"/>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1" w:name="a-historical-situation"/>
      <w:r>
        <w:t xml:space="preserve">A Historical Situation</w:t>
      </w:r>
      <w:bookmarkEnd w:id="251"/>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2" w:name="subversive-repetition"/>
      <w:r>
        <w:t xml:space="preserve">Subversive Repetition</w:t>
      </w:r>
      <w:bookmarkEnd w:id="252"/>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3" w:name="gendered-database"/>
      <w:r>
        <w:t xml:space="preserve">Gendered Database</w:t>
      </w:r>
      <w:bookmarkEnd w:id="253"/>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4" w:name="limits"/>
      <w:r>
        <w:t xml:space="preserve">Towards The Limits</w:t>
      </w:r>
      <w:bookmarkEnd w:id="254"/>
    </w:p>
    <w:p>
      <w:pPr>
        <w:pStyle w:val="Heading5"/>
      </w:pPr>
      <w:bookmarkStart w:id="255" w:name="exposure"/>
      <w:r>
        <w:t xml:space="preserve">Exposure</w:t>
      </w:r>
      <w:bookmarkEnd w:id="255"/>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6" w:name="anarchic-touch"/>
      <w:r>
        <w:t xml:space="preserve">Anarchic Touch</w:t>
      </w:r>
      <w:bookmarkEnd w:id="256"/>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7" w:name="communities-of-skin"/>
      <w:r>
        <w:t xml:space="preserve">Communities of Skin</w:t>
      </w:r>
      <w:bookmarkEnd w:id="257"/>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the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8" w:name="hybrid-pluralities"/>
      <w:r>
        <w:t xml:space="preserve">Hybrid Pluralities</w:t>
      </w:r>
      <w:bookmarkEnd w:id="258"/>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9" w:name="style"/>
      <w:r>
        <w:t xml:space="preserve">Contingencies Of Style</w:t>
      </w:r>
      <w:bookmarkEnd w:id="259"/>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60" w:name="style-and-timbre"/>
      <w:r>
        <w:t xml:space="preserve">Style and Timbre</w:t>
      </w:r>
      <w:bookmarkEnd w:id="260"/>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1"/>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2" w:name="endless-databases"/>
      <w:r>
        <w:t xml:space="preserve">Endless Databases</w:t>
      </w:r>
      <w:bookmarkEnd w:id="262"/>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3" w:name="database-and-chaos"/>
      <w:r>
        <w:t xml:space="preserve">Database and Chaos</w:t>
      </w:r>
      <w:bookmarkEnd w:id="263"/>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5" w:name="img:lorenz_plotter"/>
      <w:r>
        <w:t xml:space="preserve">[img:lorenz_plotter]</w:t>
      </w:r>
      <w:bookmarkEnd w:id="265"/>
    </w:p>
    <w:p>
      <w:pPr>
        <w:pStyle w:val="BodyText"/>
      </w:pPr>
      <w:r>
        <w:t xml:space="preserve">Plotting of the Lorenz system in Pure Data.</w:t>
      </w:r>
    </w:p>
    <w:p>
      <w:pPr>
        <w:pStyle w:val="Heading5"/>
      </w:pPr>
      <w:bookmarkStart w:id="266" w:name="fractality"/>
      <w:r>
        <w:t xml:space="preserve">Fractality</w:t>
      </w:r>
      <w:bookmarkEnd w:id="26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resonating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7" w:name="a-music-work-as-a-singularity"/>
      <w:r>
        <w:t xml:space="preserve">A Music Work as a Singularity</w:t>
      </w:r>
      <w:bookmarkEnd w:id="267"/>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8" w:name="arbitrariness"/>
      <w:r>
        <w:t xml:space="preserve">Arbitrariness</w:t>
      </w:r>
      <w:bookmarkEnd w:id="268"/>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9" w:name="inoperative-style"/>
      <w:r>
        <w:t xml:space="preserve">Inoperative Style</w:t>
      </w:r>
      <w:bookmarkEnd w:id="269"/>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70" w:name="authority"/>
      <w:r>
        <w:t xml:space="preserve">A Specter Of Authority</w:t>
      </w:r>
      <w:bookmarkEnd w:id="27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1" w:name="the-name"/>
      <w:r>
        <w:t xml:space="preserve">The Name</w:t>
      </w:r>
      <w:bookmarkEnd w:id="27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3" w:name="dictionaries"/>
      <w:r>
        <w:t xml:space="preserve">Dictionaries</w:t>
      </w:r>
      <w:bookmarkEnd w:id="273"/>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4" w:name="artistry"/>
      <w:r>
        <w:t xml:space="preserve">Artistry</w:t>
      </w:r>
      <w:bookmarkEnd w:id="27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6"/>
      </w:r>
    </w:p>
    <w:p>
      <w:pPr>
        <w:pStyle w:val="Heading5"/>
      </w:pPr>
      <w:bookmarkStart w:id="277" w:name="the-work-of-mice"/>
      <w:r>
        <w:t xml:space="preserve">The Work of Mice</w:t>
      </w:r>
      <w:bookmarkEnd w:id="277"/>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8" w:name="section:Rethinking_Composition"/>
      <w:r>
        <w:t xml:space="preserve">Rethinking Composition</w:t>
      </w:r>
      <w:bookmarkEnd w:id="278"/>
    </w:p>
    <w:p>
      <w:pPr>
        <w:pStyle w:val="Heading3"/>
      </w:pPr>
      <w:bookmarkStart w:id="279" w:name="performance"/>
      <w:r>
        <w:t xml:space="preserve">Interlude: Hyperbolic Reactions</w:t>
      </w:r>
      <w:bookmarkEnd w:id="279"/>
    </w:p>
    <w:p>
      <w:pPr>
        <w:pStyle w:val="Heading5"/>
      </w:pPr>
      <w:bookmarkStart w:id="280" w:name="imagining-composers"/>
      <w:r>
        <w:t xml:space="preserve">Imagining Composers</w:t>
      </w:r>
      <w:bookmarkEnd w:id="28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1" w:name="composers-and-technology"/>
      <w:r>
        <w:t xml:space="preserve">Composers and Technology</w:t>
      </w:r>
      <w:bookmarkEnd w:id="281"/>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2" w:name="playing-with-shadows"/>
      <w:r>
        <w:t xml:space="preserve">Playing with Shadows</w:t>
      </w:r>
      <w:bookmarkEnd w:id="282"/>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3" w:name="composers-without-computers"/>
      <w:r>
        <w:t xml:space="preserve">Composers Without Computers</w:t>
      </w:r>
      <w:bookmarkEnd w:id="283"/>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4" w:name="databasing-without-computers"/>
      <w:r>
        <w:t xml:space="preserve">Databasing Without Computers</w:t>
      </w:r>
      <w:bookmarkEnd w:id="284"/>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5" w:name="organic"/>
      <w:r>
        <w:t xml:space="preserve">Working Composition</w:t>
      </w:r>
      <w:bookmarkEnd w:id="285"/>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6" w:name="the-work-problem"/>
      <w:r>
        <w:t xml:space="preserve">The Work Problem</w:t>
      </w:r>
      <w:bookmarkEnd w:id="286"/>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7" w:name="working-rules"/>
      <w:r>
        <w:t xml:space="preserve">Working Rules</w:t>
      </w:r>
      <w:bookmarkEnd w:id="287"/>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8" w:name="a-space-of-difference"/>
      <w:r>
        <w:t xml:space="preserve">A Space of Difference</w:t>
      </w:r>
      <w:bookmarkEnd w:id="288"/>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resonating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9"/>
      </w:r>
      <w:r>
        <w:t xml:space="preserve"> </w:t>
      </w:r>
      <w:r>
        <w:t xml:space="preserve">One would be tempted, equally, to place this inoperativity outside temporality itself, but then one would forget forgetfulness itself. Inoperativity is within the resonating space of an always.</w:t>
      </w:r>
    </w:p>
    <w:p>
      <w:pPr>
        <w:pStyle w:val="Heading5"/>
      </w:pPr>
      <w:bookmarkStart w:id="290" w:name="a-severed-work"/>
      <w:r>
        <w:t xml:space="preserve">A Severed Work</w:t>
      </w:r>
      <w:bookmarkEnd w:id="290"/>
    </w:p>
    <w:p>
      <w:pPr>
        <w:pStyle w:val="FirstParagraph"/>
      </w:pPr>
      <w:r>
        <w:t xml:space="preserve">What constitutes, then, that moment when the music work becomes a work? How is it possible for the work to become a thing, for the object to become the ruler, for the regime to be built on the first place, if the resonating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1" w:name="absorbption"/>
      <w:r>
        <w:t xml:space="preserve">Absorbption</w:t>
      </w:r>
      <w:bookmarkEnd w:id="291"/>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2" w:name="practice"/>
      <w:r>
        <w:t xml:space="preserve">The Composer As Navigator</w:t>
      </w:r>
      <w:bookmarkEnd w:id="292"/>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3" w:name="querying-the-sieves"/>
      <w:r>
        <w:t xml:space="preserve">Querying the Sieves</w:t>
      </w:r>
      <w:bookmarkEnd w:id="293"/>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4"/>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7"/>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8"/>
      </w:r>
    </w:p>
    <w:p>
      <w:pPr>
        <w:pStyle w:val="Heading5"/>
      </w:pPr>
      <w:bookmarkStart w:id="299" w:name="sound-synthesis-parenthesis"/>
      <w:r>
        <w:t xml:space="preserve">Sound Synthesis Parenthesis</w:t>
      </w:r>
      <w:bookmarkEnd w:id="299"/>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300"/>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2" w:name="algebraic-abstractions-for-freedom"/>
      <w:r>
        <w:t xml:space="preserve">Algebraic Abstractions for Freedom</w:t>
      </w:r>
      <w:bookmarkEnd w:id="302"/>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3" w:name="a-cosmic-vessel-and-an-armchair"/>
      <w:r>
        <w:t xml:space="preserve">A Cosmic Vessel and an Armchair</w:t>
      </w:r>
      <w:bookmarkEnd w:id="303"/>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4"/>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5" w:name="improv"/>
      <w:r>
        <w:t xml:space="preserve">The Database As Performer</w:t>
      </w:r>
      <w:bookmarkEnd w:id="305"/>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6" w:name="the-computer-as-a-musical-instrument"/>
      <w:r>
        <w:t xml:space="preserve">The Computer as a Musical Instrument</w:t>
      </w:r>
      <w:bookmarkEnd w:id="306"/>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7" w:name="a-minor-liberty"/>
      <w:r>
        <w:t xml:space="preserve">A Minor Liberty</w:t>
      </w:r>
      <w:bookmarkEnd w:id="307"/>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8" w:name="the-computer-as-a-player"/>
      <w:r>
        <w:t xml:space="preserve">The Computer as a Player</w:t>
      </w:r>
      <w:bookmarkEnd w:id="308"/>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9" w:name="programming-decisions"/>
      <w:r>
        <w:t xml:space="preserve">Programming Decisions</w:t>
      </w:r>
      <w:bookmarkEnd w:id="309"/>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10" w:name="anachronic-composers"/>
      <w:r>
        <w:t xml:space="preserve">Anachronic Composers</w:t>
      </w:r>
      <w:bookmarkEnd w:id="310"/>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1" w:name="section"/>
      <w:bookmarkEnd w:id="311"/>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2"/>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3" w:name="nonhuman-composers"/>
      <w:r>
        <w:t xml:space="preserve">Nonhuman composers</w:t>
      </w:r>
      <w:bookmarkEnd w:id="313"/>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4" w:name="fractured-works"/>
      <w:r>
        <w:t xml:space="preserve">Fractured Works</w:t>
      </w:r>
      <w:bookmarkEnd w:id="314"/>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5" w:name="databasing-vessel"/>
      <w:r>
        <w:t xml:space="preserve">Databasing Vessel</w:t>
      </w:r>
      <w:bookmarkEnd w:id="315"/>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resonating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6" w:name="music"/>
      <w:r>
        <w:t xml:space="preserve">The Severed Object Of Music</w:t>
      </w:r>
      <w:bookmarkEnd w:id="316"/>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7" w:name="an-incomplete-object"/>
      <w:r>
        <w:t xml:space="preserve">An Incomplete Object</w:t>
      </w:r>
      <w:bookmarkEnd w:id="317"/>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8"/>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9" w:name="remains-of-listening"/>
      <w:r>
        <w:t xml:space="preserve">Remains of Listening</w:t>
      </w:r>
      <w:bookmarkEnd w:id="319"/>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20" w:name="sources-and-sorcerers"/>
      <w:r>
        <w:t xml:space="preserve">Sources and Sorcerers</w:t>
      </w:r>
      <w:bookmarkEnd w:id="320"/>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resonating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1" w:name="naming"/>
      <w:r>
        <w:t xml:space="preserve">Naming</w:t>
      </w:r>
      <w:bookmarkEnd w:id="321"/>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resonating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2"/>
      </w:r>
    </w:p>
    <w:p>
      <w:pPr>
        <w:pStyle w:val="Heading5"/>
      </w:pPr>
      <w:bookmarkStart w:id="323" w:name="dynamics"/>
      <w:r>
        <w:t xml:space="preserve">Dynamics</w:t>
      </w:r>
      <w:bookmarkEnd w:id="323"/>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resonating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4" w:name="masterwork"/>
      <w:r>
        <w:t xml:space="preserve">Masterwork</w:t>
      </w:r>
      <w:bookmarkEnd w:id="324"/>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5" w:name="architecture-of-obedience"/>
      <w:r>
        <w:t xml:space="preserve">Architecture of Obedience</w:t>
      </w:r>
      <w:bookmarkEnd w:id="325"/>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6" w:name="anarchy"/>
      <w:r>
        <w:t xml:space="preserve">Anarchy And The Unwork</w:t>
      </w:r>
      <w:bookmarkEnd w:id="326"/>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7" w:name="place-in-common"/>
      <w:r>
        <w:t xml:space="preserve">Place in Common</w:t>
      </w:r>
      <w:bookmarkEnd w:id="327"/>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8" w:name="disintegrated-imperative"/>
      <w:r>
        <w:t xml:space="preserve">Disintegrated Imperative</w:t>
      </w:r>
      <w:bookmarkEnd w:id="328"/>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9" w:name="blind-experimentation"/>
      <w:r>
        <w:t xml:space="preserve">Blind Experimentation</w:t>
      </w:r>
      <w:bookmarkEnd w:id="329"/>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30" w:name="doctoring-the-glitch"/>
      <w:r>
        <w:t xml:space="preserve">Doctoring the Glitch</w:t>
      </w:r>
      <w:bookmarkEnd w:id="330"/>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1" w:name="unnecessary-blindfolds"/>
      <w:r>
        <w:t xml:space="preserve">Unnecessary Blindfolds</w:t>
      </w:r>
      <w:bookmarkEnd w:id="331"/>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2" w:name="spectral-remains"/>
      <w:r>
        <w:t xml:space="preserve">Spectral Remains</w:t>
      </w:r>
      <w:bookmarkEnd w:id="332"/>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3" w:name="macroforma"/>
      <w:r>
        <w:t xml:space="preserve">Macroforma</w:t>
      </w:r>
      <w:bookmarkEnd w:id="333"/>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4" w:name="overfitting"/>
      <w:r>
        <w:t xml:space="preserve">Overfitting</w:t>
      </w:r>
      <w:bookmarkEnd w:id="334"/>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5" w:name="worker"/>
      <w:r>
        <w:t xml:space="preserve">[Wip] Work In Progress</w:t>
      </w:r>
      <w:bookmarkEnd w:id="335"/>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6" w:name="chapter:Conclusion"/>
      <w:r>
        <w:t xml:space="preserve">Conclusion</w:t>
      </w:r>
      <w:bookmarkEnd w:id="336"/>
    </w:p>
    <w:p>
      <w:pPr>
        <w:pStyle w:val="FirstParagraph"/>
      </w:pPr>
      <w:r>
        <w:t xml:space="preserve">…</w:t>
      </w:r>
      <w:r>
        <w:t xml:space="preserve"> </w:t>
      </w:r>
      <w:r>
        <w:t xml:space="preserve">placeholder for conclusion abstract</w:t>
      </w:r>
      <w:r>
        <w:t xml:space="preserve"> </w:t>
      </w:r>
      <w:r>
        <w:t xml:space="preserve">…</w:t>
      </w:r>
    </w:p>
    <w:p>
      <w:pPr>
        <w:pStyle w:val="Heading1"/>
      </w:pPr>
      <w:bookmarkStart w:id="337" w:name="chapter:Appendices"/>
      <w:r>
        <w:t xml:space="preserve">Appendices</w:t>
      </w:r>
      <w:bookmarkEnd w:id="337"/>
    </w:p>
    <w:p>
      <w:pPr>
        <w:pStyle w:val="FirstParagraph"/>
      </w:pPr>
      <w:r>
        <w:t xml:space="preserve">abstract of appendices</w:t>
      </w:r>
    </w:p>
    <w:p>
      <w:pPr>
        <w:pStyle w:val="Heading2"/>
      </w:pPr>
      <w:bookmarkStart w:id="338" w:name="X9928d5a4298d9156e673c83842d96a99bfb66d7"/>
      <w:r>
        <w:t xml:space="preserve">DIANA: Database for Image and Audio Navigation</w:t>
      </w:r>
      <w:bookmarkEnd w:id="338"/>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9" w:name="dbmodel"/>
      <w:r>
        <w:t xml:space="preserve">A Database Model</w:t>
      </w:r>
      <w:bookmarkEnd w:id="339"/>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40" w:name="X7616598f194c52ee6f4c09f01c755a7090177ba"/>
      <w:r>
        <w:t xml:space="preserve">ABBY: An Online Environment for Annotated Bibliographies</w:t>
      </w:r>
      <w:bookmarkEnd w:id="340"/>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1">
        <w:r>
          <w:rPr>
            <w:rStyle w:val="Hyperlink"/>
          </w:rPr>
          <w:t xml:space="preserve">https://fdch.github.io/abby</w:t>
        </w:r>
      </w:hyperlink>
      <w:r>
        <w:t xml:space="preserve">, and the code can be accessed or cloned from</w:t>
      </w:r>
      <w:r>
        <w:t xml:space="preserve"> </w:t>
      </w:r>
      <w:hyperlink r:id="rId342">
        <w:r>
          <w:rPr>
            <w:rStyle w:val="Hyperlink"/>
          </w:rPr>
          <w:t xml:space="preserve">https://github.com/fdch/litrev</w:t>
        </w:r>
      </w:hyperlink>
      <w:r>
        <w:t xml:space="preserve">.</w:t>
      </w:r>
    </w:p>
    <w:p>
      <w:pPr>
        <w:pStyle w:val="Heading3"/>
      </w:pPr>
      <w:bookmarkStart w:id="343" w:name="texdb"/>
      <w:r>
        <w:t xml:space="preserve">A Text Database</w:t>
      </w:r>
      <w:bookmarkEnd w:id="343"/>
    </w:p>
    <w:p>
      <w:pPr>
        <w:pStyle w:val="FirstParagraph"/>
      </w:pPr>
      <w:r>
        <w:t xml:space="preserve">A detailed description of the text database model…</w:t>
      </w:r>
    </w:p>
    <w:bookmarkStart w:id="689" w:name="refs"/>
    <w:bookmarkStart w:id="344"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4"/>
    <w:bookmarkStart w:id="345"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5"/>
    <w:bookmarkStart w:id="346"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6"/>
    <w:bookmarkStart w:id="347"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7"/>
    <w:bookmarkStart w:id="348"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8"/>
    <w:bookmarkStart w:id="350"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9">
        <w:r>
          <w:rPr>
            <w:rStyle w:val="Hyperlink"/>
          </w:rPr>
          <w:t xml:space="preserve">http://www.terasoft.com.tw/conf/ismir2014/proceedings/T014_162_Paper.pdf</w:t>
        </w:r>
      </w:hyperlink>
    </w:p>
    <w:bookmarkEnd w:id="350"/>
    <w:bookmarkStart w:id="351"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1"/>
    <w:bookmarkStart w:id="352"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2"/>
    <w:bookmarkStart w:id="353"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3"/>
    <w:bookmarkStart w:id="354"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4"/>
    <w:bookmarkStart w:id="355"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5"/>
    <w:bookmarkStart w:id="356"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6"/>
    <w:bookmarkStart w:id="357"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7"/>
    <w:bookmarkStart w:id="358"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8"/>
    <w:bookmarkStart w:id="359"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9"/>
    <w:bookmarkStart w:id="360"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60"/>
    <w:bookmarkStart w:id="361" w:name="ref-Bar20:Viv"/>
    <w:p>
      <w:pPr>
        <w:pStyle w:val="Bibliography"/>
      </w:pPr>
      <w:r>
        <w:t xml:space="preserve">Barrett N. 2000b. Viva la selva</w:t>
      </w:r>
    </w:p>
    <w:bookmarkEnd w:id="361"/>
    <w:bookmarkStart w:id="362" w:name="ref-Bar68:Ele"/>
    <w:p>
      <w:pPr>
        <w:pStyle w:val="Bibliography"/>
      </w:pPr>
      <w:r>
        <w:t xml:space="preserve">Barthes R, Lavers A, Smith C. 1968.</w:t>
      </w:r>
      <w:r>
        <w:t xml:space="preserve"> </w:t>
      </w:r>
      <w:r>
        <w:rPr>
          <w:i/>
        </w:rPr>
        <w:t xml:space="preserve">Elements of Semiology</w:t>
      </w:r>
      <w:r>
        <w:t xml:space="preserve">. Hill; Wang, New York. ed.</w:t>
      </w:r>
    </w:p>
    <w:bookmarkEnd w:id="362"/>
    <w:bookmarkStart w:id="363"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3"/>
    <w:bookmarkStart w:id="364"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4"/>
    <w:bookmarkStart w:id="365"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5"/>
    <w:bookmarkStart w:id="367"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6">
        <w:r>
          <w:rPr>
            <w:rStyle w:val="Hyperlink"/>
          </w:rPr>
          <w:t xml:space="preserve">http://www.terasoft.com.tw/conf/ismir2014/proceedings/T028_322_Paper.pdf</w:t>
        </w:r>
      </w:hyperlink>
    </w:p>
    <w:bookmarkEnd w:id="367"/>
    <w:bookmarkStart w:id="368"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8"/>
    <w:bookmarkStart w:id="370"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9">
        <w:r>
          <w:rPr>
            <w:rStyle w:val="Hyperlink"/>
          </w:rPr>
          <w:t xml:space="preserve">http://www.ppgia.pucpr.br/ismir2013/wp-content/uploads/2013/09/177\_Paper.pdf</w:t>
        </w:r>
      </w:hyperlink>
    </w:p>
    <w:bookmarkEnd w:id="370"/>
    <w:bookmarkStart w:id="371"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1"/>
    <w:bookmarkStart w:id="372" w:name="ref-Bor42:Fun"/>
    <w:p>
      <w:pPr>
        <w:pStyle w:val="Bibliography"/>
      </w:pPr>
      <w:r>
        <w:t xml:space="preserve">Borges JL. 1942. Funes el memorioso.</w:t>
      </w:r>
      <w:r>
        <w:t xml:space="preserve"> </w:t>
      </w:r>
      <w:r>
        <w:rPr>
          <w:i/>
        </w:rPr>
        <w:t xml:space="preserve">Ficciones</w:t>
      </w:r>
    </w:p>
    <w:bookmarkEnd w:id="372"/>
    <w:bookmarkStart w:id="373" w:name="ref-Bor95:Rat"/>
    <w:p>
      <w:pPr>
        <w:pStyle w:val="Bibliography"/>
      </w:pPr>
      <w:r>
        <w:t xml:space="preserve">Born G. 1995.</w:t>
      </w:r>
      <w:r>
        <w:t xml:space="preserve"> </w:t>
      </w:r>
      <w:r>
        <w:rPr>
          <w:i/>
        </w:rPr>
        <w:t xml:space="preserve">Rationalizing Culture</w:t>
      </w:r>
      <w:r>
        <w:t xml:space="preserve">. University of California Press. ed.</w:t>
      </w:r>
    </w:p>
    <w:bookmarkEnd w:id="373"/>
    <w:bookmarkStart w:id="374"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4"/>
    <w:bookmarkStart w:id="375"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5"/>
    <w:bookmarkStart w:id="376"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6"/>
    <w:bookmarkStart w:id="377"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7"/>
    <w:bookmarkStart w:id="378"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8"/>
    <w:bookmarkStart w:id="379"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9"/>
    <w:bookmarkStart w:id="380" w:name="ref-score11manual"/>
    <w:p>
      <w:pPr>
        <w:pStyle w:val="Bibliography"/>
      </w:pPr>
      <w:r>
        <w:t xml:space="preserve">Brinkman AR. 1982. Original version of the score11 manual.</w:t>
      </w:r>
      <w:r>
        <w:t xml:space="preserve"> </w:t>
      </w:r>
      <w:r>
        <w:rPr>
          <w:i/>
        </w:rPr>
        <w:t xml:space="preserve">Score11 Manual</w:t>
      </w:r>
    </w:p>
    <w:bookmarkEnd w:id="380"/>
    <w:bookmarkStart w:id="381"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1"/>
    <w:bookmarkStart w:id="382"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2"/>
    <w:bookmarkStart w:id="383"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3"/>
    <w:bookmarkStart w:id="385"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4">
        <w:r>
          <w:rPr>
            <w:rStyle w:val="Hyperlink"/>
          </w:rPr>
          <w:t xml:space="preserve">http://www.nime.org/proceedings/2011/nime2011_387.pdf</w:t>
        </w:r>
      </w:hyperlink>
    </w:p>
    <w:bookmarkEnd w:id="385"/>
    <w:bookmarkStart w:id="387"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6">
        <w:r>
          <w:rPr>
            <w:rStyle w:val="Hyperlink"/>
          </w:rPr>
          <w:t xml:space="preserve">http://www.nime.org/proceedings/2009/nime2009_266.pdf</w:t>
        </w:r>
      </w:hyperlink>
    </w:p>
    <w:bookmarkEnd w:id="387"/>
    <w:bookmarkStart w:id="388"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8"/>
    <w:bookmarkStart w:id="389"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9"/>
    <w:bookmarkStart w:id="390"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90"/>
    <w:bookmarkStart w:id="391" w:name="ref-Bux77:Aco"/>
    <w:p>
      <w:pPr>
        <w:pStyle w:val="Bibliography"/>
      </w:pPr>
      <w:r>
        <w:t xml:space="preserve">Buxton W. 1977. A composer’s introduction to computer music.</w:t>
      </w:r>
      <w:r>
        <w:t xml:space="preserve"> </w:t>
      </w:r>
      <w:r>
        <w:rPr>
          <w:i/>
        </w:rPr>
        <w:t xml:space="preserve">Interface</w:t>
      </w:r>
      <w:r>
        <w:t xml:space="preserve">. 6:57–72</w:t>
      </w:r>
    </w:p>
    <w:bookmarkEnd w:id="391"/>
    <w:bookmarkStart w:id="392" w:name="ref-youtube/buxton10"/>
    <w:p>
      <w:pPr>
        <w:pStyle w:val="Bibliography"/>
      </w:pPr>
      <w:r>
        <w:t xml:space="preserve">Buxton W. 2016a. Objed: The sssp sound editing tool.</w:t>
      </w:r>
      <w:r>
        <w:t xml:space="preserve"> </w:t>
      </w:r>
      <w:r>
        <w:rPr>
          <w:i/>
        </w:rPr>
        <w:t xml:space="preserve">Youtube</w:t>
      </w:r>
    </w:p>
    <w:bookmarkEnd w:id="392"/>
    <w:bookmarkStart w:id="393"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3"/>
    <w:bookmarkStart w:id="394"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4"/>
    <w:bookmarkStart w:id="395"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5"/>
    <w:bookmarkStart w:id="396"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6"/>
    <w:bookmarkStart w:id="398"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7">
        <w:r>
          <w:rPr>
            <w:rStyle w:val="Hyperlink"/>
          </w:rPr>
          <w:t xml:space="preserve">http://www.nime.org/proceedings/2011/nime2011_329.pdf</w:t>
        </w:r>
      </w:hyperlink>
    </w:p>
    <w:bookmarkEnd w:id="398"/>
    <w:bookmarkStart w:id="399"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9"/>
    <w:bookmarkStart w:id="400"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00"/>
    <w:bookmarkStart w:id="401"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1"/>
    <w:bookmarkStart w:id="402" w:name="ref-Rya17:OnT"/>
    <w:p>
      <w:pPr>
        <w:pStyle w:val="Bibliography"/>
      </w:pPr>
      <w:r>
        <w:t xml:space="preserve">Carter R. 2017. On the expressive potential of suboptimal speakers</w:t>
      </w:r>
    </w:p>
    <w:bookmarkEnd w:id="402"/>
    <w:bookmarkStart w:id="403"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3"/>
    <w:bookmarkStart w:id="404"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4"/>
    <w:bookmarkStart w:id="405"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5"/>
    <w:bookmarkStart w:id="406"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6"/>
    <w:bookmarkStart w:id="407"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7"/>
    <w:bookmarkStart w:id="408"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8"/>
    <w:bookmarkStart w:id="409"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9"/>
    <w:bookmarkStart w:id="410"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10"/>
    <w:bookmarkStart w:id="411" w:name="ref-Cho00:Voi"/>
    <w:p>
      <w:pPr>
        <w:pStyle w:val="Bibliography"/>
      </w:pPr>
      <w:r>
        <w:t xml:space="preserve">Choi I. 2000. Voices in ruins — composition with residuals</w:t>
      </w:r>
    </w:p>
    <w:bookmarkEnd w:id="411"/>
    <w:bookmarkStart w:id="412"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2"/>
    <w:bookmarkStart w:id="413"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3"/>
    <w:bookmarkStart w:id="414"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4"/>
    <w:bookmarkStart w:id="415"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5"/>
    <w:bookmarkStart w:id="416"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6"/>
    <w:bookmarkStart w:id="417"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7"/>
    <w:bookmarkStart w:id="418"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8"/>
    <w:bookmarkStart w:id="419"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9"/>
    <w:bookmarkStart w:id="420"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20"/>
    <w:bookmarkStart w:id="421" w:name="ref-connes:shapes"/>
    <w:p>
      <w:pPr>
        <w:pStyle w:val="Bibliography"/>
      </w:pPr>
      <w:r>
        <w:t xml:space="preserve">Connes A. 2012. The music of shapes</w:t>
      </w:r>
    </w:p>
    <w:bookmarkEnd w:id="421"/>
    <w:bookmarkStart w:id="422"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2"/>
    <w:bookmarkStart w:id="423"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3"/>
    <w:bookmarkStart w:id="424"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4"/>
    <w:bookmarkStart w:id="425"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5"/>
    <w:bookmarkStart w:id="426"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6"/>
    <w:bookmarkStart w:id="428"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7">
        <w:r>
          <w:rPr>
            <w:rStyle w:val="Hyperlink"/>
          </w:rPr>
          <w:t xml:space="preserve">https://ismir2017.smcnus.org/wp-content/uploads/2017/10/235_Paper.pdf</w:t>
        </w:r>
      </w:hyperlink>
    </w:p>
    <w:bookmarkEnd w:id="428"/>
    <w:bookmarkStart w:id="430" w:name="ref-crowley98"/>
    <w:p>
      <w:pPr>
        <w:pStyle w:val="Bibliography"/>
      </w:pPr>
      <w:r>
        <w:t xml:space="preserve">Crowley C. 1998. Data structures for text sequences.</w:t>
      </w:r>
      <w:r>
        <w:t xml:space="preserve"> </w:t>
      </w:r>
      <w:hyperlink r:id="rId429">
        <w:r>
          <w:rPr>
            <w:rStyle w:val="Hyperlink"/>
          </w:rPr>
          <w:t xml:space="preserve">https://www.cs.unm.edu/~crowley/papers/sds.pdf</w:t>
        </w:r>
      </w:hyperlink>
    </w:p>
    <w:bookmarkEnd w:id="430"/>
    <w:bookmarkStart w:id="431"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1"/>
    <w:bookmarkStart w:id="433"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2">
        <w:r>
          <w:rPr>
            <w:rStyle w:val="Hyperlink"/>
          </w:rPr>
          <w:t xml:space="preserve">https://ismir2017.smcnus.org/wp-content/uploads/2017/10/75_Paper.pdf</w:t>
        </w:r>
      </w:hyperlink>
    </w:p>
    <w:bookmarkEnd w:id="433"/>
    <w:bookmarkStart w:id="434"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4"/>
    <w:bookmarkStart w:id="435"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5"/>
    <w:bookmarkStart w:id="436"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6"/>
    <w:bookmarkStart w:id="437" w:name="ref-Der78:Wri"/>
    <w:p>
      <w:pPr>
        <w:pStyle w:val="Bibliography"/>
      </w:pPr>
      <w:r>
        <w:t xml:space="preserve">Derrida J. 1978.</w:t>
      </w:r>
      <w:r>
        <w:t xml:space="preserve"> </w:t>
      </w:r>
      <w:r>
        <w:rPr>
          <w:i/>
        </w:rPr>
        <w:t xml:space="preserve">Writing and Difference</w:t>
      </w:r>
      <w:r>
        <w:t xml:space="preserve">. The University of Chicago. ed.</w:t>
      </w:r>
    </w:p>
    <w:bookmarkEnd w:id="437"/>
    <w:bookmarkStart w:id="438" w:name="ref-Der82:Mar"/>
    <w:p>
      <w:pPr>
        <w:pStyle w:val="Bibliography"/>
      </w:pPr>
      <w:r>
        <w:t xml:space="preserve">Derrida J. 1982.</w:t>
      </w:r>
      <w:r>
        <w:t xml:space="preserve"> </w:t>
      </w:r>
      <w:r>
        <w:rPr>
          <w:i/>
        </w:rPr>
        <w:t xml:space="preserve">Margins of Philosophy</w:t>
      </w:r>
      <w:r>
        <w:t xml:space="preserve">. The Harvester Press. ed.</w:t>
      </w:r>
    </w:p>
    <w:bookmarkEnd w:id="438"/>
    <w:bookmarkStart w:id="439" w:name="ref-Der95:Arc"/>
    <w:p>
      <w:pPr>
        <w:pStyle w:val="Bibliography"/>
      </w:pPr>
      <w:r>
        <w:t xml:space="preserve">Derrida J, Prenowitz E. 1995. Archive fever: A freudian impression.</w:t>
      </w:r>
      <w:r>
        <w:t xml:space="preserve"> </w:t>
      </w:r>
      <w:r>
        <w:rPr>
          <w:i/>
        </w:rPr>
        <w:t xml:space="preserve">Diacritics</w:t>
      </w:r>
      <w:r>
        <w:t xml:space="preserve">. 25(2):</w:t>
      </w:r>
    </w:p>
    <w:bookmarkEnd w:id="439"/>
    <w:bookmarkStart w:id="441"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40">
        <w:r>
          <w:rPr>
            <w:rStyle w:val="Hyperlink"/>
          </w:rPr>
          <w:t xml:space="preserve">http://ismir2015.uma.es/articles/261_Paper.pdf</w:t>
        </w:r>
      </w:hyperlink>
    </w:p>
    <w:bookmarkEnd w:id="441"/>
    <w:bookmarkStart w:id="442"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2"/>
    <w:bookmarkStart w:id="443"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3"/>
    <w:bookmarkStart w:id="444"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4"/>
    <w:bookmarkStart w:id="445"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5"/>
    <w:bookmarkStart w:id="446"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6"/>
    <w:bookmarkStart w:id="447"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7"/>
    <w:bookmarkStart w:id="449"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8">
        <w:r>
          <w:rPr>
            <w:rStyle w:val="Hyperlink"/>
          </w:rPr>
          <w:t xml:space="preserve">http://ismir2018.ircam.fr/doc/pdfs/265_Paper.pdf</w:t>
        </w:r>
      </w:hyperlink>
    </w:p>
    <w:bookmarkEnd w:id="449"/>
    <w:bookmarkStart w:id="450"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50"/>
    <w:bookmarkStart w:id="452"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1">
        <w:r>
          <w:rPr>
            <w:rStyle w:val="Hyperlink"/>
          </w:rPr>
          <w:t xml:space="preserve">http://ismir2000.ismir.net/papers/invites/dunn_invite.pdf</w:t>
        </w:r>
      </w:hyperlink>
    </w:p>
    <w:bookmarkEnd w:id="452"/>
    <w:bookmarkStart w:id="453"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3"/>
    <w:bookmarkStart w:id="454"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4"/>
    <w:bookmarkStart w:id="455" w:name="ref-Eco04:The"/>
    <w:p>
      <w:pPr>
        <w:pStyle w:val="Bibliography"/>
      </w:pPr>
      <w:r>
        <w:t xml:space="preserve">Eco U. 2004. The poetics of the open work.</w:t>
      </w:r>
      <w:r>
        <w:t xml:space="preserve"> </w:t>
      </w:r>
      <w:r>
        <w:rPr>
          <w:i/>
        </w:rPr>
        <w:t xml:space="preserve">Audio Culture: Readings in Modern Music</w:t>
      </w:r>
    </w:p>
    <w:bookmarkEnd w:id="455"/>
    <w:bookmarkStart w:id="456" w:name="ref-Emm86:The"/>
    <w:p>
      <w:pPr>
        <w:pStyle w:val="Bibliography"/>
      </w:pPr>
      <w:r>
        <w:t xml:space="preserve">Emmerson S. 1986.</w:t>
      </w:r>
      <w:r>
        <w:t xml:space="preserve"> </w:t>
      </w:r>
      <w:r>
        <w:rPr>
          <w:i/>
        </w:rPr>
        <w:t xml:space="preserve">The Language of Electroacoustic Music</w:t>
      </w:r>
      <w:r>
        <w:t xml:space="preserve">. ed.</w:t>
      </w:r>
    </w:p>
    <w:bookmarkEnd w:id="456"/>
    <w:bookmarkStart w:id="458"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7">
        <w:r>
          <w:rPr>
            <w:rStyle w:val="Hyperlink"/>
          </w:rPr>
          <w:t xml:space="preserve">http://ismir2018.ircam.fr/doc/pdfs/206_Paper.pdf</w:t>
        </w:r>
      </w:hyperlink>
    </w:p>
    <w:bookmarkEnd w:id="458"/>
    <w:bookmarkStart w:id="459"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9"/>
    <w:bookmarkStart w:id="460" w:name="ref-Ern13:Dig"/>
    <w:p>
      <w:pPr>
        <w:pStyle w:val="Bibliography"/>
      </w:pPr>
      <w:r>
        <w:t xml:space="preserve">Ernst W. 2013.</w:t>
      </w:r>
      <w:r>
        <w:t xml:space="preserve"> </w:t>
      </w:r>
      <w:r>
        <w:rPr>
          <w:i/>
        </w:rPr>
        <w:t xml:space="preserve">Digital Memory and the Archive</w:t>
      </w:r>
      <w:r>
        <w:t xml:space="preserve">. University of Minnesota Press. ed.</w:t>
      </w:r>
    </w:p>
    <w:bookmarkEnd w:id="460"/>
    <w:bookmarkStart w:id="461"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1"/>
    <w:bookmarkStart w:id="462"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2"/>
    <w:bookmarkStart w:id="464"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3">
        <w:r>
          <w:rPr>
            <w:rStyle w:val="Hyperlink"/>
          </w:rPr>
          <w:t xml:space="preserve">https://ismir2017.smcnus.org/wp-content/uploads/2017/10/161_Paper.pdf</w:t>
        </w:r>
      </w:hyperlink>
    </w:p>
    <w:bookmarkEnd w:id="464"/>
    <w:bookmarkStart w:id="465"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5"/>
    <w:bookmarkStart w:id="466"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6"/>
    <w:bookmarkStart w:id="467"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7"/>
    <w:bookmarkStart w:id="468"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8"/>
    <w:bookmarkStart w:id="469"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9"/>
    <w:bookmarkStart w:id="470"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70"/>
    <w:bookmarkStart w:id="472"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1">
        <w:r>
          <w:rPr>
            <w:rStyle w:val="Hyperlink"/>
          </w:rPr>
          <w:t xml:space="preserve">http://www.nime.org/proceedings/2011/nime2011_124.pdf</w:t>
        </w:r>
      </w:hyperlink>
    </w:p>
    <w:bookmarkEnd w:id="472"/>
    <w:bookmarkStart w:id="473"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3"/>
    <w:bookmarkStart w:id="475"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4">
        <w:r>
          <w:rPr>
            <w:rStyle w:val="Hyperlink"/>
          </w:rPr>
          <w:t xml:space="preserve">http://ismir2000.ismir.net/posters/good.pdf</w:t>
        </w:r>
      </w:hyperlink>
    </w:p>
    <w:bookmarkEnd w:id="475"/>
    <w:bookmarkStart w:id="477"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6">
        <w:r>
          <w:rPr>
            <w:rStyle w:val="Hyperlink"/>
          </w:rPr>
          <w:t xml:space="preserve">http://ismir2002.ismir.net/proceedings/03-SP04-1.pdf</w:t>
        </w:r>
      </w:hyperlink>
    </w:p>
    <w:bookmarkEnd w:id="477"/>
    <w:bookmarkStart w:id="479"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8">
        <w:r>
          <w:rPr>
            <w:rStyle w:val="Hyperlink"/>
          </w:rPr>
          <w:t xml:space="preserve">http://ismir2003.ismir.net/papers/Goto1.PDF</w:t>
        </w:r>
      </w:hyperlink>
    </w:p>
    <w:bookmarkEnd w:id="479"/>
    <w:bookmarkStart w:id="480" w:name="ref-Gra15:The"/>
    <w:p>
      <w:pPr>
        <w:pStyle w:val="Bibliography"/>
      </w:pPr>
      <w:r>
        <w:t xml:space="preserve">Gratton P, Morin M-E. 2015.</w:t>
      </w:r>
      <w:r>
        <w:t xml:space="preserve"> </w:t>
      </w:r>
      <w:r>
        <w:rPr>
          <w:i/>
        </w:rPr>
        <w:t xml:space="preserve">The Nancy Dictionary</w:t>
      </w:r>
      <w:r>
        <w:t xml:space="preserve">. Edinburgh University Press. ed.</w:t>
      </w:r>
    </w:p>
    <w:bookmarkEnd w:id="480"/>
    <w:bookmarkStart w:id="481"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1"/>
    <w:bookmarkStart w:id="483"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2">
        <w:r>
          <w:rPr>
            <w:rStyle w:val="Hyperlink"/>
          </w:rPr>
          <w:t xml:space="preserve">http://www.terasoft.com.tw/conf/ismir2014/proceedings/T059_257_Paper.pdf</w:t>
        </w:r>
      </w:hyperlink>
    </w:p>
    <w:bookmarkEnd w:id="483"/>
    <w:bookmarkStart w:id="484"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4"/>
    <w:bookmarkStart w:id="485"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5"/>
    <w:bookmarkStart w:id="486" w:name="ref-Han04:New"/>
    <w:p>
      <w:pPr>
        <w:pStyle w:val="Bibliography"/>
      </w:pPr>
      <w:r>
        <w:t xml:space="preserve">Hansen MBN. 2004.</w:t>
      </w:r>
      <w:r>
        <w:t xml:space="preserve"> </w:t>
      </w:r>
      <w:r>
        <w:rPr>
          <w:i/>
        </w:rPr>
        <w:t xml:space="preserve">New Philosophy for New Media</w:t>
      </w:r>
      <w:r>
        <w:t xml:space="preserve">. The MIT Press. ed.</w:t>
      </w:r>
    </w:p>
    <w:bookmarkEnd w:id="486"/>
    <w:bookmarkStart w:id="488"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7">
        <w:r>
          <w:rPr>
            <w:rStyle w:val="Hyperlink"/>
          </w:rPr>
          <w:t xml:space="preserve">http://ismir2008.ismir.net/papers/ISMIR2008_173.pdf</w:t>
        </w:r>
      </w:hyperlink>
    </w:p>
    <w:bookmarkEnd w:id="488"/>
    <w:bookmarkStart w:id="489"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9"/>
    <w:bookmarkStart w:id="490"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90"/>
    <w:bookmarkStart w:id="492"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1">
        <w:r>
          <w:rPr>
            <w:rStyle w:val="Hyperlink"/>
          </w:rPr>
          <w:t xml:space="preserve">http://www.ppgia.pucpr.br/ismir2013/wp-content/uploads/2013/09/85_Paper.pdf</w:t>
        </w:r>
      </w:hyperlink>
    </w:p>
    <w:bookmarkEnd w:id="492"/>
    <w:bookmarkStart w:id="493"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3"/>
    <w:bookmarkStart w:id="494" w:name="ref-Hay93:The"/>
    <w:p>
      <w:pPr>
        <w:pStyle w:val="Bibliography"/>
      </w:pPr>
      <w:r>
        <w:t xml:space="preserve">Hayles NK. 1993. The materiality of informatics.</w:t>
      </w:r>
      <w:r>
        <w:t xml:space="preserve"> </w:t>
      </w:r>
      <w:r>
        <w:rPr>
          <w:i/>
        </w:rPr>
        <w:t xml:space="preserve">Configurations</w:t>
      </w:r>
      <w:r>
        <w:t xml:space="preserve">. 1(1):</w:t>
      </w:r>
    </w:p>
    <w:bookmarkEnd w:id="494"/>
    <w:bookmarkStart w:id="495"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5"/>
    <w:bookmarkStart w:id="496"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6"/>
    <w:bookmarkStart w:id="497"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7"/>
    <w:bookmarkStart w:id="499"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8">
        <w:r>
          <w:rPr>
            <w:rStyle w:val="Hyperlink"/>
          </w:rPr>
          <w:t xml:space="preserve">http://www.nime.org/proceedings/2010/nime2010_233.pdf</w:t>
        </w:r>
      </w:hyperlink>
    </w:p>
    <w:bookmarkEnd w:id="499"/>
    <w:bookmarkStart w:id="501"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00">
        <w:r>
          <w:rPr>
            <w:rStyle w:val="Hyperlink"/>
          </w:rPr>
          <w:t xml:space="preserve">http://ismir2005.ismir.net/proceedings/2117.pdf</w:t>
        </w:r>
      </w:hyperlink>
    </w:p>
    <w:bookmarkEnd w:id="501"/>
    <w:bookmarkStart w:id="502"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2"/>
    <w:bookmarkStart w:id="504"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3">
        <w:r>
          <w:rPr>
            <w:rStyle w:val="Hyperlink"/>
          </w:rPr>
          <w:t xml:space="preserve">http://ismir2018.ircam.fr/doc/pdfs/248_Paper.pdf</w:t>
        </w:r>
      </w:hyperlink>
    </w:p>
    <w:bookmarkEnd w:id="504"/>
    <w:bookmarkStart w:id="505" w:name="ref-Mau99:Abr"/>
    <w:p>
      <w:pPr>
        <w:pStyle w:val="Bibliography"/>
      </w:pPr>
      <w:r>
        <w:t xml:space="preserve">IV JAM. 1999.</w:t>
      </w:r>
      <w:r>
        <w:t xml:space="preserve"> </w:t>
      </w:r>
      <w:r>
        <w:rPr>
          <w:i/>
        </w:rPr>
        <w:t xml:space="preserve">A Brief History of Algorithmic Composition</w:t>
      </w:r>
      <w:r>
        <w:t xml:space="preserve">. Online. ed.</w:t>
      </w:r>
    </w:p>
    <w:bookmarkEnd w:id="505"/>
    <w:bookmarkStart w:id="506"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6"/>
    <w:bookmarkStart w:id="507"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7"/>
    <w:bookmarkStart w:id="508"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8"/>
    <w:bookmarkStart w:id="510"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9">
        <w:r>
          <w:rPr>
            <w:rStyle w:val="Hyperlink"/>
          </w:rPr>
          <w:t xml:space="preserve">http://ismir2008.ismir.net/papers/ISMIR2008_106.pdf</w:t>
        </w:r>
      </w:hyperlink>
    </w:p>
    <w:bookmarkEnd w:id="510"/>
    <w:bookmarkStart w:id="511"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1"/>
    <w:bookmarkStart w:id="512"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2"/>
    <w:bookmarkStart w:id="513"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3"/>
    <w:bookmarkStart w:id="514"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4"/>
    <w:bookmarkStart w:id="516"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5">
        <w:r>
          <w:rPr>
            <w:rStyle w:val="Hyperlink"/>
          </w:rPr>
          <w:t xml:space="preserve">http://www.terasoft.com.tw/conf/ismir2014/proceedings/T039_344_Paper.pdf</w:t>
        </w:r>
      </w:hyperlink>
    </w:p>
    <w:bookmarkEnd w:id="516"/>
    <w:bookmarkStart w:id="517" w:name="ref-Kle98:The"/>
    <w:p>
      <w:pPr>
        <w:pStyle w:val="Bibliography"/>
      </w:pPr>
      <w:r>
        <w:t xml:space="preserve">Klein J. 1998. The wolves of bays mountain</w:t>
      </w:r>
    </w:p>
    <w:bookmarkEnd w:id="517"/>
    <w:bookmarkStart w:id="518" w:name="ref-Kle17:Lec"/>
    <w:p>
      <w:pPr>
        <w:pStyle w:val="Bibliography"/>
      </w:pPr>
      <w:r>
        <w:t xml:space="preserve">Klein J. 2017.</w:t>
      </w:r>
      <w:r>
        <w:t xml:space="preserve"> </w:t>
      </w:r>
      <w:r>
        <w:rPr>
          <w:i/>
        </w:rPr>
        <w:t xml:space="preserve">On my compositional approach</w:t>
      </w:r>
      <w:r>
        <w:t xml:space="preserve">. Work. Pap.</w:t>
      </w:r>
    </w:p>
    <w:bookmarkEnd w:id="518"/>
    <w:bookmarkStart w:id="519"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9"/>
    <w:bookmarkStart w:id="521"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20">
        <w:r>
          <w:rPr>
            <w:rStyle w:val="Hyperlink"/>
          </w:rPr>
          <w:t xml:space="preserve">http://ismir2015.uma.es/articles/246_Paper.pdf</w:t>
        </w:r>
      </w:hyperlink>
    </w:p>
    <w:bookmarkEnd w:id="521"/>
    <w:bookmarkStart w:id="522"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2"/>
    <w:bookmarkStart w:id="523"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3"/>
    <w:bookmarkStart w:id="524"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4"/>
    <w:bookmarkStart w:id="525"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5"/>
    <w:bookmarkStart w:id="526"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6"/>
    <w:bookmarkStart w:id="527"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7"/>
    <w:bookmarkStart w:id="528"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8"/>
    <w:bookmarkStart w:id="529"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9"/>
    <w:bookmarkStart w:id="530"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30"/>
    <w:bookmarkStart w:id="531"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1"/>
    <w:bookmarkStart w:id="532"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2"/>
    <w:bookmarkStart w:id="533" w:name="ref-Lod98:MUS"/>
    <w:p>
      <w:pPr>
        <w:pStyle w:val="Bibliography"/>
      </w:pPr>
      <w:r>
        <w:t xml:space="preserve">Lodha S, Beahan J, Joseph A, Zane-ulman B. 1998. MUSE: A musical data sonification toolkit</w:t>
      </w:r>
    </w:p>
    <w:bookmarkEnd w:id="533"/>
    <w:bookmarkStart w:id="534"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4"/>
    <w:bookmarkStart w:id="536"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5">
        <w:r>
          <w:rPr>
            <w:rStyle w:val="Hyperlink"/>
          </w:rPr>
          <w:t xml:space="preserve">http://www.nime.org/proceedings/2008/nime2008_221.pdf</w:t>
        </w:r>
      </w:hyperlink>
    </w:p>
    <w:bookmarkEnd w:id="536"/>
    <w:bookmarkStart w:id="537"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7"/>
    <w:bookmarkStart w:id="538" w:name="ref-Luc70:Iam"/>
    <w:p>
      <w:pPr>
        <w:pStyle w:val="Bibliography"/>
      </w:pPr>
      <w:r>
        <w:t xml:space="preserve">Lucier A. 1970. I am sitting in a room</w:t>
      </w:r>
    </w:p>
    <w:bookmarkEnd w:id="538"/>
    <w:bookmarkStart w:id="539" w:name="ref-Man01:The"/>
    <w:p>
      <w:pPr>
        <w:pStyle w:val="Bibliography"/>
      </w:pPr>
      <w:r>
        <w:t xml:space="preserve">Manovich L. 2001.</w:t>
      </w:r>
      <w:r>
        <w:t xml:space="preserve"> </w:t>
      </w:r>
      <w:r>
        <w:rPr>
          <w:i/>
        </w:rPr>
        <w:t xml:space="preserve">The Language of New Media</w:t>
      </w:r>
      <w:r>
        <w:t xml:space="preserve">. MIT Press. ed.</w:t>
      </w:r>
    </w:p>
    <w:bookmarkEnd w:id="539"/>
    <w:bookmarkStart w:id="540" w:name="ref-Man02:Old"/>
    <w:p>
      <w:pPr>
        <w:pStyle w:val="Bibliography"/>
      </w:pPr>
      <w:r>
        <w:t xml:space="preserve">Manovich L. 2002. Old media as new media: Cinema.</w:t>
      </w:r>
      <w:r>
        <w:t xml:space="preserve"> </w:t>
      </w:r>
      <w:r>
        <w:rPr>
          <w:i/>
        </w:rPr>
        <w:t xml:space="preserve">The New Media Book</w:t>
      </w:r>
    </w:p>
    <w:bookmarkEnd w:id="540"/>
    <w:bookmarkStart w:id="541"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1"/>
    <w:bookmarkStart w:id="543"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2">
        <w:r>
          <w:rPr>
            <w:rStyle w:val="Hyperlink"/>
          </w:rPr>
          <w:t xml:space="preserve">http://ismir2008.ismir.net/papers/ISMIR2008_158.pdf</w:t>
        </w:r>
      </w:hyperlink>
    </w:p>
    <w:bookmarkEnd w:id="543"/>
    <w:bookmarkStart w:id="544"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4"/>
    <w:bookmarkStart w:id="545"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5"/>
    <w:bookmarkStart w:id="546"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6"/>
    <w:bookmarkStart w:id="547" w:name="ref-csoundMethods"/>
    <w:p>
      <w:pPr>
        <w:pStyle w:val="Bibliography"/>
      </w:pPr>
      <w:r>
        <w:t xml:space="preserve">McCurdy I, Heintz J, Joaquin J, Knevel M. 2015. Methods of writing csound scores.</w:t>
      </w:r>
      <w:r>
        <w:t xml:space="preserve"> </w:t>
      </w:r>
      <w:r>
        <w:rPr>
          <w:i/>
        </w:rPr>
        <w:t xml:space="preserve">FLOSS Manuals</w:t>
      </w:r>
    </w:p>
    <w:bookmarkEnd w:id="547"/>
    <w:bookmarkStart w:id="548"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8"/>
    <w:bookmarkStart w:id="550"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9">
        <w:r>
          <w:rPr>
            <w:rStyle w:val="Hyperlink"/>
          </w:rPr>
          <w:t xml:space="preserve">http://ismir2018.ircam.fr/doc/pdfs/35_Paper.pdf</w:t>
        </w:r>
      </w:hyperlink>
    </w:p>
    <w:bookmarkEnd w:id="550"/>
    <w:bookmarkStart w:id="551"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1"/>
    <w:bookmarkStart w:id="552"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2"/>
    <w:bookmarkStart w:id="553"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3"/>
    <w:bookmarkStart w:id="554"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4"/>
    <w:bookmarkStart w:id="555" w:name="ref-ods-cpp"/>
    <w:p>
      <w:pPr>
        <w:pStyle w:val="Bibliography"/>
      </w:pPr>
      <w:r>
        <w:t xml:space="preserve">Morin P. 2019.</w:t>
      </w:r>
      <w:r>
        <w:t xml:space="preserve"> </w:t>
      </w:r>
      <w:r>
        <w:rPr>
          <w:i/>
        </w:rPr>
        <w:t xml:space="preserve">Open Data Structures</w:t>
      </w:r>
      <w:r>
        <w:t xml:space="preserve">. Creative Commons. ed.</w:t>
      </w:r>
    </w:p>
    <w:bookmarkEnd w:id="555"/>
    <w:bookmarkStart w:id="556"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6"/>
    <w:bookmarkStart w:id="557"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7"/>
    <w:bookmarkStart w:id="558"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8"/>
    <w:bookmarkStart w:id="560"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9">
        <w:r>
          <w:rPr>
            <w:rStyle w:val="Hyperlink"/>
          </w:rPr>
          <w:t xml:space="preserve">http://www.nime.org/proceedings/2007/nime2007_409.pdf</w:t>
        </w:r>
      </w:hyperlink>
    </w:p>
    <w:bookmarkEnd w:id="560"/>
    <w:bookmarkStart w:id="561"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1"/>
    <w:bookmarkStart w:id="562" w:name="ref-Nan07:Lis"/>
    <w:p>
      <w:pPr>
        <w:pStyle w:val="Bibliography"/>
      </w:pPr>
      <w:r>
        <w:t xml:space="preserve">Nancy J-L. 2007.</w:t>
      </w:r>
      <w:r>
        <w:t xml:space="preserve"> </w:t>
      </w:r>
      <w:r>
        <w:rPr>
          <w:i/>
        </w:rPr>
        <w:t xml:space="preserve">Listening</w:t>
      </w:r>
      <w:r>
        <w:t xml:space="preserve">. Fordham University Place. ed.</w:t>
      </w:r>
    </w:p>
    <w:bookmarkEnd w:id="562"/>
    <w:bookmarkStart w:id="563"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3"/>
    <w:bookmarkStart w:id="565"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4">
        <w:r>
          <w:rPr>
            <w:rStyle w:val="Hyperlink"/>
          </w:rPr>
          <w:t xml:space="preserve">http://www.nime.org/proceedings/2007/nime2007_112.pdf</w:t>
        </w:r>
      </w:hyperlink>
    </w:p>
    <w:bookmarkEnd w:id="565"/>
    <w:bookmarkStart w:id="566"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6"/>
    <w:bookmarkStart w:id="567"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7"/>
    <w:bookmarkStart w:id="568"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8"/>
    <w:bookmarkStart w:id="569"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9"/>
    <w:bookmarkStart w:id="570"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70"/>
    <w:bookmarkStart w:id="571"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1"/>
    <w:bookmarkStart w:id="572"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72"/>
    <w:bookmarkStart w:id="573"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3"/>
    <w:bookmarkStart w:id="574"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4"/>
    <w:bookmarkStart w:id="575"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5"/>
    <w:bookmarkStart w:id="576"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6"/>
    <w:bookmarkStart w:id="577"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7"/>
    <w:bookmarkStart w:id="579"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8">
        <w:r>
          <w:rPr>
            <w:rStyle w:val="Hyperlink"/>
          </w:rPr>
          <w:t xml:space="preserve">http://www.terasoft.com.tw/conf/ismir2014/proceedings/T064_307_Paper.pdf</w:t>
        </w:r>
      </w:hyperlink>
    </w:p>
    <w:bookmarkEnd w:id="579"/>
    <w:bookmarkStart w:id="580"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80"/>
    <w:bookmarkStart w:id="581" w:name="ref-Pos11:Int"/>
    <w:p>
      <w:pPr>
        <w:pStyle w:val="Bibliography"/>
      </w:pPr>
      <w:r>
        <w:t xml:space="preserve">Poster M. 2011. Introduction.</w:t>
      </w:r>
      <w:r>
        <w:t xml:space="preserve"> </w:t>
      </w:r>
      <w:r>
        <w:rPr>
          <w:i/>
        </w:rPr>
        <w:t xml:space="preserve">Into the Universe of Technical Images</w:t>
      </w:r>
    </w:p>
    <w:bookmarkEnd w:id="581"/>
    <w:bookmarkStart w:id="583"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82">
        <w:r>
          <w:rPr>
            <w:rStyle w:val="Hyperlink"/>
          </w:rPr>
          <w:t xml:space="preserve">http://www.nime.org/proceedings/2008/nime2008_311.pdf</w:t>
        </w:r>
      </w:hyperlink>
    </w:p>
    <w:bookmarkEnd w:id="583"/>
    <w:bookmarkStart w:id="584"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4"/>
    <w:bookmarkStart w:id="585"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5"/>
    <w:bookmarkStart w:id="586" w:name="ref-Puc91:Som"/>
    <w:p>
      <w:pPr>
        <w:pStyle w:val="Bibliography"/>
      </w:pPr>
      <w:r>
        <w:t xml:space="preserve">Puckette M. 1991. Something digital.</w:t>
      </w:r>
      <w:r>
        <w:t xml:space="preserve"> </w:t>
      </w:r>
      <w:r>
        <w:rPr>
          <w:i/>
        </w:rPr>
        <w:t xml:space="preserve">Computer Music Journal</w:t>
      </w:r>
      <w:r>
        <w:t xml:space="preserve">. 15(4):65–69</w:t>
      </w:r>
    </w:p>
    <w:bookmarkEnd w:id="586"/>
    <w:bookmarkStart w:id="587"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7"/>
    <w:bookmarkStart w:id="588"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8"/>
    <w:bookmarkStart w:id="589"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9"/>
    <w:bookmarkStart w:id="590"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90"/>
    <w:bookmarkStart w:id="591"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1"/>
    <w:bookmarkStart w:id="592"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92"/>
    <w:bookmarkStart w:id="593" w:name="ref-Roa04:Mic"/>
    <w:p>
      <w:pPr>
        <w:pStyle w:val="Bibliography"/>
      </w:pPr>
      <w:r>
        <w:t xml:space="preserve">Roads C. 2001.</w:t>
      </w:r>
      <w:r>
        <w:t xml:space="preserve"> </w:t>
      </w:r>
      <w:r>
        <w:rPr>
          <w:i/>
        </w:rPr>
        <w:t xml:space="preserve">Microsound</w:t>
      </w:r>
      <w:r>
        <w:t xml:space="preserve">. MIT Press. ed.</w:t>
      </w:r>
    </w:p>
    <w:bookmarkEnd w:id="593"/>
    <w:bookmarkStart w:id="594"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4"/>
    <w:bookmarkStart w:id="595"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5"/>
    <w:bookmarkStart w:id="596"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6"/>
    <w:bookmarkStart w:id="597"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7"/>
    <w:bookmarkStart w:id="598"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8"/>
    <w:bookmarkStart w:id="599"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9"/>
    <w:bookmarkStart w:id="600"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00"/>
    <w:bookmarkStart w:id="601"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1"/>
    <w:bookmarkStart w:id="602"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02"/>
    <w:bookmarkStart w:id="603"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3"/>
    <w:bookmarkStart w:id="604"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4"/>
    <w:bookmarkStart w:id="606"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5">
        <w:r>
          <w:rPr>
            <w:rStyle w:val="Hyperlink"/>
          </w:rPr>
          <w:t xml:space="preserve">http://ismir2005.ismir.net/proceedings/3123.pdf</w:t>
        </w:r>
      </w:hyperlink>
    </w:p>
    <w:bookmarkEnd w:id="606"/>
    <w:bookmarkStart w:id="607"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7"/>
    <w:bookmarkStart w:id="608"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8"/>
    <w:bookmarkStart w:id="609"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9"/>
    <w:bookmarkStart w:id="610"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10"/>
    <w:bookmarkStart w:id="611"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1"/>
    <w:bookmarkStart w:id="612"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12"/>
    <w:bookmarkStart w:id="613"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3"/>
    <w:bookmarkStart w:id="614"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4"/>
    <w:bookmarkStart w:id="615" w:name="ref-Sch06:Rea"/>
    <w:p>
      <w:pPr>
        <w:pStyle w:val="Bibliography"/>
      </w:pPr>
      <w:r>
        <w:t xml:space="preserve">Schwarz D. 2006b. Real-time corpus-based concatenative synthesis with catart., pp. 18–21</w:t>
      </w:r>
    </w:p>
    <w:bookmarkEnd w:id="615"/>
    <w:bookmarkStart w:id="616"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6"/>
    <w:bookmarkStart w:id="617"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7"/>
    <w:bookmarkStart w:id="618"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8"/>
    <w:bookmarkStart w:id="619" w:name="ref-scoremus"/>
    <w:p>
      <w:pPr>
        <w:pStyle w:val="Bibliography"/>
      </w:pPr>
      <w:r>
        <w:t xml:space="preserve">Selfridge-Field E. 1997. The score music publishing system.</w:t>
      </w:r>
      <w:r>
        <w:t xml:space="preserve"> </w:t>
      </w:r>
      <w:r>
        <w:rPr>
          <w:i/>
        </w:rPr>
        <w:t xml:space="preserve">SCORE</w:t>
      </w:r>
    </w:p>
    <w:bookmarkEnd w:id="619"/>
    <w:bookmarkStart w:id="620"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20"/>
    <w:bookmarkStart w:id="622"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1">
        <w:r>
          <w:rPr>
            <w:rStyle w:val="Hyperlink"/>
          </w:rPr>
          <w:t xml:space="preserve">https://hal.archives-ouvertes.fr/hal-01393959</w:t>
        </w:r>
      </w:hyperlink>
    </w:p>
    <w:bookmarkEnd w:id="622"/>
    <w:bookmarkStart w:id="623"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3"/>
    <w:bookmarkStart w:id="624"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4"/>
    <w:bookmarkStart w:id="625"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5"/>
    <w:bookmarkStart w:id="626" w:name="ref-10.2307/941442"/>
    <w:p>
      <w:pPr>
        <w:pStyle w:val="Bibliography"/>
      </w:pPr>
      <w:r>
        <w:t xml:space="preserve">Skinner R. 1990a. Music software.</w:t>
      </w:r>
      <w:r>
        <w:t xml:space="preserve"> </w:t>
      </w:r>
      <w:r>
        <w:rPr>
          <w:i/>
        </w:rPr>
        <w:t xml:space="preserve">Notes</w:t>
      </w:r>
      <w:r>
        <w:t xml:space="preserve">. 46(3):660–84</w:t>
      </w:r>
    </w:p>
    <w:bookmarkEnd w:id="626"/>
    <w:bookmarkStart w:id="627" w:name="ref-10.2307/940555"/>
    <w:p>
      <w:pPr>
        <w:pStyle w:val="Bibliography"/>
      </w:pPr>
      <w:r>
        <w:t xml:space="preserve">Skinner R. 1990b. Music software.</w:t>
      </w:r>
      <w:r>
        <w:t xml:space="preserve"> </w:t>
      </w:r>
      <w:r>
        <w:rPr>
          <w:i/>
        </w:rPr>
        <w:t xml:space="preserve">Notes</w:t>
      </w:r>
      <w:r>
        <w:t xml:space="preserve">. 47(1):91–101</w:t>
      </w:r>
    </w:p>
    <w:bookmarkEnd w:id="627"/>
    <w:bookmarkStart w:id="628"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8"/>
    <w:bookmarkStart w:id="629"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9"/>
    <w:bookmarkStart w:id="630"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30"/>
    <w:bookmarkStart w:id="631" w:name="ref-Ste12:MP3"/>
    <w:p>
      <w:pPr>
        <w:pStyle w:val="Bibliography"/>
      </w:pPr>
      <w:r>
        <w:t xml:space="preserve">Sterne J. 2012.</w:t>
      </w:r>
      <w:r>
        <w:t xml:space="preserve"> </w:t>
      </w:r>
      <w:r>
        <w:rPr>
          <w:i/>
        </w:rPr>
        <w:t xml:space="preserve">MP3: The Meaning of a Format</w:t>
      </w:r>
      <w:r>
        <w:t xml:space="preserve">. Duke University Press. ed.</w:t>
      </w:r>
    </w:p>
    <w:bookmarkEnd w:id="631"/>
    <w:bookmarkStart w:id="632"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2"/>
    <w:bookmarkStart w:id="633" w:name="ref-Stu04:Mat"/>
    <w:p>
      <w:pPr>
        <w:pStyle w:val="Bibliography"/>
      </w:pPr>
      <w:r>
        <w:t xml:space="preserve">Sturm B. 2004. MATConcat: An application for exploring concatenative sound synthesis using matlab</w:t>
      </w:r>
    </w:p>
    <w:bookmarkEnd w:id="633"/>
    <w:bookmarkStart w:id="634"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4"/>
    <w:bookmarkStart w:id="635" w:name="ref-Sze08:Lis"/>
    <w:p>
      <w:pPr>
        <w:pStyle w:val="Bibliography"/>
      </w:pPr>
      <w:r>
        <w:t xml:space="preserve">Szendy P. 2008.</w:t>
      </w:r>
      <w:r>
        <w:t xml:space="preserve"> </w:t>
      </w:r>
      <w:r>
        <w:rPr>
          <w:i/>
        </w:rPr>
        <w:t xml:space="preserve">Listen: A History of Our Ears</w:t>
      </w:r>
      <w:r>
        <w:t xml:space="preserve">. Fordham University. ed.</w:t>
      </w:r>
    </w:p>
    <w:bookmarkEnd w:id="635"/>
    <w:bookmarkStart w:id="636"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6"/>
    <w:bookmarkStart w:id="637" w:name="ref-Sch07:How"/>
    <w:p>
      <w:pPr>
        <w:pStyle w:val="Bibliography"/>
      </w:pPr>
      <w:r>
        <w:t xml:space="preserve">Thiebaut J-B, Bello J, Schwarz D. 2007. How musical are images? From sound representation to image sonification: An eco systemic approach</w:t>
      </w:r>
    </w:p>
    <w:bookmarkEnd w:id="637"/>
    <w:bookmarkStart w:id="638"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8"/>
    <w:bookmarkStart w:id="639"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9"/>
    <w:bookmarkStart w:id="640"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40"/>
    <w:bookmarkStart w:id="641"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1"/>
    <w:bookmarkStart w:id="642"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2"/>
    <w:bookmarkStart w:id="643"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3"/>
    <w:bookmarkStart w:id="644"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4"/>
    <w:bookmarkStart w:id="646"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5">
        <w:r>
          <w:rPr>
            <w:rStyle w:val="Hyperlink"/>
          </w:rPr>
          <w:t xml:space="preserve">https://quod.lib.umich.edu/i/icmc/bbp2372.2012.006</w:t>
        </w:r>
      </w:hyperlink>
    </w:p>
    <w:bookmarkEnd w:id="646"/>
    <w:bookmarkStart w:id="647" w:name="ref-Var04:The"/>
    <w:p>
      <w:pPr>
        <w:pStyle w:val="Bibliography"/>
      </w:pPr>
      <w:r>
        <w:t xml:space="preserve">Varese E. 2004. The liberation of sound.</w:t>
      </w:r>
      <w:r>
        <w:t xml:space="preserve"> </w:t>
      </w:r>
      <w:r>
        <w:rPr>
          <w:i/>
        </w:rPr>
        <w:t xml:space="preserve">Audio Culture: Readings in Modern Music</w:t>
      </w:r>
    </w:p>
    <w:bookmarkEnd w:id="647"/>
    <w:bookmarkStart w:id="648" w:name="ref-Ver84:The"/>
    <w:p>
      <w:pPr>
        <w:pStyle w:val="Bibliography"/>
      </w:pPr>
      <w:r>
        <w:t xml:space="preserve">Vercoe B. 1984. The synthetic performer in the context of live performance</w:t>
      </w:r>
    </w:p>
    <w:bookmarkEnd w:id="648"/>
    <w:bookmarkStart w:id="649"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49"/>
    <w:bookmarkStart w:id="650"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50"/>
    <w:bookmarkStart w:id="651"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1"/>
    <w:bookmarkStart w:id="653"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52">
        <w:r>
          <w:rPr>
            <w:rStyle w:val="Hyperlink"/>
          </w:rPr>
          <w:t xml:space="preserve">https://ismir2017.smcnus.org/wp-content/uploads/2017/10/180_Paper.pdf</w:t>
        </w:r>
      </w:hyperlink>
    </w:p>
    <w:bookmarkEnd w:id="653"/>
    <w:bookmarkStart w:id="654"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4"/>
    <w:bookmarkStart w:id="656"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5">
        <w:r>
          <w:rPr>
            <w:rStyle w:val="Hyperlink"/>
          </w:rPr>
          <w:t xml:space="preserve">http://ismir2002.ismir.net/proceedings/02-FP06-3.pdf</w:t>
        </w:r>
      </w:hyperlink>
    </w:p>
    <w:bookmarkEnd w:id="656"/>
    <w:bookmarkStart w:id="657"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7"/>
    <w:bookmarkStart w:id="658"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8"/>
    <w:bookmarkStart w:id="659"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9"/>
    <w:bookmarkStart w:id="660"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60"/>
    <w:bookmarkStart w:id="661"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1"/>
    <w:bookmarkStart w:id="662"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62"/>
    <w:bookmarkStart w:id="663"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3"/>
    <w:bookmarkStart w:id="664"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4"/>
    <w:bookmarkStart w:id="665"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5"/>
    <w:bookmarkStart w:id="666" w:name="ref-Wei07:Oce"/>
    <w:p>
      <w:pPr>
        <w:pStyle w:val="Bibliography"/>
      </w:pPr>
      <w:r>
        <w:t xml:space="preserve">Weinbren G. 2007. Ocean, database, recut.</w:t>
      </w:r>
      <w:r>
        <w:t xml:space="preserve"> </w:t>
      </w:r>
      <w:r>
        <w:rPr>
          <w:i/>
        </w:rPr>
        <w:t xml:space="preserve">Database Aesthetics: Art in the Age of Information Overflow</w:t>
      </w:r>
    </w:p>
    <w:bookmarkEnd w:id="666"/>
    <w:bookmarkStart w:id="667"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67"/>
    <w:bookmarkStart w:id="668"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8"/>
    <w:bookmarkStart w:id="670"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9">
        <w:r>
          <w:rPr>
            <w:rStyle w:val="Hyperlink"/>
          </w:rPr>
          <w:t xml:space="preserve">http://ismir2018.ircam.fr/doc/pdfs/114_Paper.pdf</w:t>
        </w:r>
      </w:hyperlink>
    </w:p>
    <w:bookmarkEnd w:id="670"/>
    <w:bookmarkStart w:id="671"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1"/>
    <w:bookmarkStart w:id="673"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72">
        <w:r>
          <w:rPr>
            <w:rStyle w:val="Hyperlink"/>
          </w:rPr>
          <w:t xml:space="preserve">http://ismir2004.ismir.net/proceedings/p010-page-48-paper227.pdf</w:t>
        </w:r>
      </w:hyperlink>
    </w:p>
    <w:bookmarkEnd w:id="673"/>
    <w:bookmarkStart w:id="674"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74"/>
    <w:bookmarkStart w:id="675"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5"/>
    <w:bookmarkStart w:id="676"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6"/>
    <w:bookmarkStart w:id="678"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7">
        <w:r>
          <w:rPr>
            <w:rStyle w:val="Hyperlink"/>
          </w:rPr>
          <w:t xml:space="preserve">http://ismir2018.ircam.fr/doc/pdfs/188_Paper.pdf</w:t>
        </w:r>
      </w:hyperlink>
    </w:p>
    <w:bookmarkEnd w:id="678"/>
    <w:bookmarkStart w:id="679"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9"/>
    <w:bookmarkStart w:id="680"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80"/>
    <w:bookmarkStart w:id="681"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1"/>
    <w:bookmarkStart w:id="682"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82"/>
    <w:bookmarkStart w:id="683"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3"/>
    <w:bookmarkStart w:id="684"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84"/>
    <w:bookmarkStart w:id="686"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5">
        <w:r>
          <w:rPr>
            <w:rStyle w:val="Hyperlink"/>
          </w:rPr>
          <w:t xml:space="preserve">http://www.nime.org/proceedings/2007/nime2007_352.pdf</w:t>
        </w:r>
      </w:hyperlink>
    </w:p>
    <w:bookmarkEnd w:id="686"/>
    <w:bookmarkStart w:id="687"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7"/>
    <w:bookmarkStart w:id="688" w:name="ref-Zmo15:Liv"/>
    <w:p>
      <w:pPr>
        <w:pStyle w:val="Bibliography"/>
      </w:pPr>
      <w:r>
        <w:t xml:space="preserve">zmölnig I m, Eckel G. 2015.</w:t>
      </w:r>
      <w:r>
        <w:t xml:space="preserve"> </w:t>
      </w:r>
      <w:r>
        <w:rPr>
          <w:i/>
        </w:rPr>
        <w:t xml:space="preserve">LIVE coding: AN overview</w:t>
      </w:r>
      <w:r>
        <w:t xml:space="preserve">. Work. Pap.</w:t>
      </w:r>
    </w:p>
    <w:bookmarkEnd w:id="688"/>
    <w:bookmarkEnd w:id="6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8">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9">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10">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1">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2">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3">
    <w:p>
      <w:pPr>
        <w:pStyle w:val="FootnoteText"/>
      </w:pPr>
      <w:r>
        <w:rPr>
          <w:rStyle w:val="FootnoteReference"/>
        </w:rPr>
        <w:footnoteRef/>
      </w:r>
      <w:r>
        <w:t xml:space="preserve"> </w:t>
      </w:r>
      <w:hyperlink r:id="rId214">
        <w:r>
          <w:rPr>
            <w:rStyle w:val="Hyperlink"/>
          </w:rPr>
          <w:t xml:space="preserve">https://en.wikipedia.org/wiki/Leo_Beranek</w:t>
        </w:r>
      </w:hyperlink>
    </w:p>
  </w:footnote>
  <w:footnote w:id="216">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2">
    <w:p>
      <w:pPr>
        <w:pStyle w:val="FootnoteText"/>
      </w:pPr>
      <w:r>
        <w:rPr>
          <w:rStyle w:val="FootnoteReference"/>
        </w:rPr>
        <w:footnoteRef/>
      </w:r>
      <w:r>
        <w:t xml:space="preserve"> </w:t>
      </w:r>
      <w:hyperlink r:id="rId233">
        <w:r>
          <w:rPr>
            <w:rStyle w:val="Hyperlink"/>
          </w:rPr>
          <w:t xml:space="preserve">https://en.cppreference.com/w/cpp/language/destructor</w:t>
        </w:r>
      </w:hyperlink>
    </w:p>
  </w:footnote>
  <w:footnote w:id="239">
    <w:p>
      <w:pPr>
        <w:pStyle w:val="FootnoteText"/>
      </w:pPr>
      <w:r>
        <w:rPr>
          <w:rStyle w:val="FootnoteReference"/>
        </w:rPr>
        <w:footnoteRef/>
      </w:r>
      <w:r>
        <w:t xml:space="preserve"> </w:t>
      </w:r>
      <w:hyperlink r:id="rId240">
        <w:r>
          <w:rPr>
            <w:rStyle w:val="Hyperlink"/>
          </w:rPr>
          <w:t xml:space="preserve">https://mpc.chs.harvard.edu/</w:t>
        </w:r>
      </w:hyperlink>
    </w:p>
  </w:footnote>
  <w:footnote w:id="241">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1">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9">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4">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5">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6">
        <w:r>
          <w:rPr>
            <w:rStyle w:val="Hyperlink"/>
          </w:rPr>
          <w:t xml:space="preserve">https://en.wikipedia.org/wiki/Dr._Strangelove</w:t>
        </w:r>
      </w:hyperlink>
    </w:p>
  </w:footnote>
  <w:footnote w:id="297">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8">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300">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1">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4">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2">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8">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2">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4" Target="media/rId264.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hyperlink" Id="rId451" Target="http://ismir2000.ismir.net/papers/invites/dunn_invite.pdf" TargetMode="External" /><Relationship Type="http://schemas.openxmlformats.org/officeDocument/2006/relationships/hyperlink" Id="rId474" Target="http://ismir2000.ismir.net/posters/good.pdf" TargetMode="External" /><Relationship Type="http://schemas.openxmlformats.org/officeDocument/2006/relationships/hyperlink" Id="rId655" Target="http://ismir2002.ismir.net/proceedings/02-FP06-3.pdf" TargetMode="External" /><Relationship Type="http://schemas.openxmlformats.org/officeDocument/2006/relationships/hyperlink" Id="rId476" Target="http://ismir2002.ismir.net/proceedings/03-SP04-1.pdf" TargetMode="External" /><Relationship Type="http://schemas.openxmlformats.org/officeDocument/2006/relationships/hyperlink" Id="rId478" Target="http://ismir2003.ismir.net/papers/Goto1.PDF" TargetMode="External" /><Relationship Type="http://schemas.openxmlformats.org/officeDocument/2006/relationships/hyperlink" Id="rId672" Target="http://ismir2004.ismir.net/proceedings/p010-page-48-paper227.pdf" TargetMode="External" /><Relationship Type="http://schemas.openxmlformats.org/officeDocument/2006/relationships/hyperlink" Id="rId500" Target="http://ismir2005.ismir.net/proceedings/2117.pdf" TargetMode="External" /><Relationship Type="http://schemas.openxmlformats.org/officeDocument/2006/relationships/hyperlink" Id="rId605" Target="http://ismir2005.ismir.net/proceedings/3123.pdf" TargetMode="External" /><Relationship Type="http://schemas.openxmlformats.org/officeDocument/2006/relationships/hyperlink" Id="rId509" Target="http://ismir2008.ismir.net/papers/ISMIR2008_106.pdf" TargetMode="External" /><Relationship Type="http://schemas.openxmlformats.org/officeDocument/2006/relationships/hyperlink" Id="rId542" Target="http://ismir2008.ismir.net/papers/ISMIR2008_158.pdf" TargetMode="External" /><Relationship Type="http://schemas.openxmlformats.org/officeDocument/2006/relationships/hyperlink" Id="rId487" Target="http://ismir2008.ismir.net/papers/ISMIR2008_173.pdf" TargetMode="External" /><Relationship Type="http://schemas.openxmlformats.org/officeDocument/2006/relationships/hyperlink" Id="rId520" Target="http://ismir2015.uma.es/articles/246_Paper.pdf" TargetMode="External" /><Relationship Type="http://schemas.openxmlformats.org/officeDocument/2006/relationships/hyperlink" Id="rId440" Target="http://ismir2015.uma.es/articles/261_Paper.pdf" TargetMode="External" /><Relationship Type="http://schemas.openxmlformats.org/officeDocument/2006/relationships/hyperlink" Id="rId669" Target="http://ismir2018.ircam.fr/doc/pdfs/114_Paper.pdf" TargetMode="External" /><Relationship Type="http://schemas.openxmlformats.org/officeDocument/2006/relationships/hyperlink" Id="rId677" Target="http://ismir2018.ircam.fr/doc/pdfs/188_Paper.pdf" TargetMode="External" /><Relationship Type="http://schemas.openxmlformats.org/officeDocument/2006/relationships/hyperlink" Id="rId457" Target="http://ismir2018.ircam.fr/doc/pdfs/206_Paper.pdf" TargetMode="External" /><Relationship Type="http://schemas.openxmlformats.org/officeDocument/2006/relationships/hyperlink" Id="rId503" Target="http://ismir2018.ircam.fr/doc/pdfs/248_Paper.pdf" TargetMode="External" /><Relationship Type="http://schemas.openxmlformats.org/officeDocument/2006/relationships/hyperlink" Id="rId448" Target="http://ismir2018.ircam.fr/doc/pdfs/265_Paper.pdf" TargetMode="External" /><Relationship Type="http://schemas.openxmlformats.org/officeDocument/2006/relationships/hyperlink" Id="rId549"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4" Target="http://www.nime.org/proceedings/2007/nime2007_112.pdf" TargetMode="External" /><Relationship Type="http://schemas.openxmlformats.org/officeDocument/2006/relationships/hyperlink" Id="rId685" Target="http://www.nime.org/proceedings/2007/nime2007_352.pdf" TargetMode="External" /><Relationship Type="http://schemas.openxmlformats.org/officeDocument/2006/relationships/hyperlink" Id="rId559" Target="http://www.nime.org/proceedings/2007/nime2007_409.pdf" TargetMode="External" /><Relationship Type="http://schemas.openxmlformats.org/officeDocument/2006/relationships/hyperlink" Id="rId535" Target="http://www.nime.org/proceedings/2008/nime2008_221.pdf" TargetMode="External" /><Relationship Type="http://schemas.openxmlformats.org/officeDocument/2006/relationships/hyperlink" Id="rId582"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8" Target="http://www.nime.org/proceedings/2010/nime2010_233.pdf" TargetMode="External" /><Relationship Type="http://schemas.openxmlformats.org/officeDocument/2006/relationships/hyperlink" Id="rId471"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9" Target="http://www.ppgia.pucpr.br/ismir2013/wp-content/uploads/2013/09/177\_Paper.pdf" TargetMode="External" /><Relationship Type="http://schemas.openxmlformats.org/officeDocument/2006/relationships/hyperlink" Id="rId491" Target="http://www.ppgia.pucpr.br/ismir2013/wp-content/uploads/2013/09/85_Paper.pdf" TargetMode="External" /><Relationship Type="http://schemas.openxmlformats.org/officeDocument/2006/relationships/hyperlink" Id="rId349" Target="http://www.terasoft.com.tw/conf/ismir2014/proceedings/T014_162_Paper.pdf" TargetMode="External" /><Relationship Type="http://schemas.openxmlformats.org/officeDocument/2006/relationships/hyperlink" Id="rId366" Target="http://www.terasoft.com.tw/conf/ismir2014/proceedings/T028_322_Paper.pdf" TargetMode="External" /><Relationship Type="http://schemas.openxmlformats.org/officeDocument/2006/relationships/hyperlink" Id="rId515" Target="http://www.terasoft.com.tw/conf/ismir2014/proceedings/T039_344_Paper.pdf" TargetMode="External" /><Relationship Type="http://schemas.openxmlformats.org/officeDocument/2006/relationships/hyperlink" Id="rId482" Target="http://www.terasoft.com.tw/conf/ismir2014/proceedings/T059_257_Paper.pdf" TargetMode="External" /><Relationship Type="http://schemas.openxmlformats.org/officeDocument/2006/relationships/hyperlink" Id="rId578"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3"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14" Target="https://en.wikipedia.org/wiki/Leo_Beranek" TargetMode="External" /><Relationship Type="http://schemas.openxmlformats.org/officeDocument/2006/relationships/hyperlink" Id="rId341" Target="https://fdch.github.io/abby" TargetMode="External" /><Relationship Type="http://schemas.openxmlformats.org/officeDocument/2006/relationships/hyperlink" Id="rId342" Target="https://github.com/fdch/litrev" TargetMode="External" /><Relationship Type="http://schemas.openxmlformats.org/officeDocument/2006/relationships/hyperlink" Id="rId621" Target="https://hal.archives-ouvertes.fr/hal-01393959" TargetMode="External" /><Relationship Type="http://schemas.openxmlformats.org/officeDocument/2006/relationships/hyperlink" Id="rId463" Target="https://ismir2017.smcnus.org/wp-content/uploads/2017/10/161_Paper.pdf" TargetMode="External" /><Relationship Type="http://schemas.openxmlformats.org/officeDocument/2006/relationships/hyperlink" Id="rId652"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645"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1" Target="http://ismir2000.ismir.net/papers/invites/dunn_invite.pdf" TargetMode="External" /><Relationship Type="http://schemas.openxmlformats.org/officeDocument/2006/relationships/hyperlink" Id="rId474" Target="http://ismir2000.ismir.net/posters/good.pdf" TargetMode="External" /><Relationship Type="http://schemas.openxmlformats.org/officeDocument/2006/relationships/hyperlink" Id="rId655" Target="http://ismir2002.ismir.net/proceedings/02-FP06-3.pdf" TargetMode="External" /><Relationship Type="http://schemas.openxmlformats.org/officeDocument/2006/relationships/hyperlink" Id="rId476" Target="http://ismir2002.ismir.net/proceedings/03-SP04-1.pdf" TargetMode="External" /><Relationship Type="http://schemas.openxmlformats.org/officeDocument/2006/relationships/hyperlink" Id="rId478" Target="http://ismir2003.ismir.net/papers/Goto1.PDF" TargetMode="External" /><Relationship Type="http://schemas.openxmlformats.org/officeDocument/2006/relationships/hyperlink" Id="rId672" Target="http://ismir2004.ismir.net/proceedings/p010-page-48-paper227.pdf" TargetMode="External" /><Relationship Type="http://schemas.openxmlformats.org/officeDocument/2006/relationships/hyperlink" Id="rId500" Target="http://ismir2005.ismir.net/proceedings/2117.pdf" TargetMode="External" /><Relationship Type="http://schemas.openxmlformats.org/officeDocument/2006/relationships/hyperlink" Id="rId605" Target="http://ismir2005.ismir.net/proceedings/3123.pdf" TargetMode="External" /><Relationship Type="http://schemas.openxmlformats.org/officeDocument/2006/relationships/hyperlink" Id="rId509" Target="http://ismir2008.ismir.net/papers/ISMIR2008_106.pdf" TargetMode="External" /><Relationship Type="http://schemas.openxmlformats.org/officeDocument/2006/relationships/hyperlink" Id="rId542" Target="http://ismir2008.ismir.net/papers/ISMIR2008_158.pdf" TargetMode="External" /><Relationship Type="http://schemas.openxmlformats.org/officeDocument/2006/relationships/hyperlink" Id="rId487" Target="http://ismir2008.ismir.net/papers/ISMIR2008_173.pdf" TargetMode="External" /><Relationship Type="http://schemas.openxmlformats.org/officeDocument/2006/relationships/hyperlink" Id="rId520" Target="http://ismir2015.uma.es/articles/246_Paper.pdf" TargetMode="External" /><Relationship Type="http://schemas.openxmlformats.org/officeDocument/2006/relationships/hyperlink" Id="rId440" Target="http://ismir2015.uma.es/articles/261_Paper.pdf" TargetMode="External" /><Relationship Type="http://schemas.openxmlformats.org/officeDocument/2006/relationships/hyperlink" Id="rId669" Target="http://ismir2018.ircam.fr/doc/pdfs/114_Paper.pdf" TargetMode="External" /><Relationship Type="http://schemas.openxmlformats.org/officeDocument/2006/relationships/hyperlink" Id="rId677" Target="http://ismir2018.ircam.fr/doc/pdfs/188_Paper.pdf" TargetMode="External" /><Relationship Type="http://schemas.openxmlformats.org/officeDocument/2006/relationships/hyperlink" Id="rId457" Target="http://ismir2018.ircam.fr/doc/pdfs/206_Paper.pdf" TargetMode="External" /><Relationship Type="http://schemas.openxmlformats.org/officeDocument/2006/relationships/hyperlink" Id="rId503" Target="http://ismir2018.ircam.fr/doc/pdfs/248_Paper.pdf" TargetMode="External" /><Relationship Type="http://schemas.openxmlformats.org/officeDocument/2006/relationships/hyperlink" Id="rId448" Target="http://ismir2018.ircam.fr/doc/pdfs/265_Paper.pdf" TargetMode="External" /><Relationship Type="http://schemas.openxmlformats.org/officeDocument/2006/relationships/hyperlink" Id="rId549"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4" Target="http://www.nime.org/proceedings/2007/nime2007_112.pdf" TargetMode="External" /><Relationship Type="http://schemas.openxmlformats.org/officeDocument/2006/relationships/hyperlink" Id="rId685" Target="http://www.nime.org/proceedings/2007/nime2007_352.pdf" TargetMode="External" /><Relationship Type="http://schemas.openxmlformats.org/officeDocument/2006/relationships/hyperlink" Id="rId559" Target="http://www.nime.org/proceedings/2007/nime2007_409.pdf" TargetMode="External" /><Relationship Type="http://schemas.openxmlformats.org/officeDocument/2006/relationships/hyperlink" Id="rId535" Target="http://www.nime.org/proceedings/2008/nime2008_221.pdf" TargetMode="External" /><Relationship Type="http://schemas.openxmlformats.org/officeDocument/2006/relationships/hyperlink" Id="rId582"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8" Target="http://www.nime.org/proceedings/2010/nime2010_233.pdf" TargetMode="External" /><Relationship Type="http://schemas.openxmlformats.org/officeDocument/2006/relationships/hyperlink" Id="rId471"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9" Target="http://www.ppgia.pucpr.br/ismir2013/wp-content/uploads/2013/09/177\_Paper.pdf" TargetMode="External" /><Relationship Type="http://schemas.openxmlformats.org/officeDocument/2006/relationships/hyperlink" Id="rId491" Target="http://www.ppgia.pucpr.br/ismir2013/wp-content/uploads/2013/09/85_Paper.pdf" TargetMode="External" /><Relationship Type="http://schemas.openxmlformats.org/officeDocument/2006/relationships/hyperlink" Id="rId349" Target="http://www.terasoft.com.tw/conf/ismir2014/proceedings/T014_162_Paper.pdf" TargetMode="External" /><Relationship Type="http://schemas.openxmlformats.org/officeDocument/2006/relationships/hyperlink" Id="rId366" Target="http://www.terasoft.com.tw/conf/ismir2014/proceedings/T028_322_Paper.pdf" TargetMode="External" /><Relationship Type="http://schemas.openxmlformats.org/officeDocument/2006/relationships/hyperlink" Id="rId515" Target="http://www.terasoft.com.tw/conf/ismir2014/proceedings/T039_344_Paper.pdf" TargetMode="External" /><Relationship Type="http://schemas.openxmlformats.org/officeDocument/2006/relationships/hyperlink" Id="rId482" Target="http://www.terasoft.com.tw/conf/ismir2014/proceedings/T059_257_Paper.pdf" TargetMode="External" /><Relationship Type="http://schemas.openxmlformats.org/officeDocument/2006/relationships/hyperlink" Id="rId578"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3"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14" Target="https://en.wikipedia.org/wiki/Leo_Beranek" TargetMode="External" /><Relationship Type="http://schemas.openxmlformats.org/officeDocument/2006/relationships/hyperlink" Id="rId341" Target="https://fdch.github.io/abby" TargetMode="External" /><Relationship Type="http://schemas.openxmlformats.org/officeDocument/2006/relationships/hyperlink" Id="rId342" Target="https://github.com/fdch/litrev" TargetMode="External" /><Relationship Type="http://schemas.openxmlformats.org/officeDocument/2006/relationships/hyperlink" Id="rId621" Target="https://hal.archives-ouvertes.fr/hal-01393959" TargetMode="External" /><Relationship Type="http://schemas.openxmlformats.org/officeDocument/2006/relationships/hyperlink" Id="rId463" Target="https://ismir2017.smcnus.org/wp-content/uploads/2017/10/161_Paper.pdf" TargetMode="External" /><Relationship Type="http://schemas.openxmlformats.org/officeDocument/2006/relationships/hyperlink" Id="rId652"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645"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2019-04-08T15:42:29Z</dcterms:created>
  <dcterms:modified xsi:type="dcterms:W3CDTF">2019-04-08T15:42:29Z</dcterms:modified>
</cp:coreProperties>
</file>

<file path=docProps/custom.xml><?xml version="1.0" encoding="utf-8"?>
<Properties xmlns="http://schemas.openxmlformats.org/officeDocument/2006/custom-properties" xmlns:vt="http://schemas.openxmlformats.org/officeDocument/2006/docPropsVTypes"/>
</file>