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png" ContentType="image/png"/>
  <Override PartName="/word/media/rId20.png" ContentType="image/png"/>
  <Override PartName="/word/media/rId71.png" ContentType="image/png"/>
  <Override PartName="/word/media/rId181.png" ContentType="image/png"/>
  <Override PartName="/word/media/rId260.png" ContentType="image/png"/>
  <Override PartName="/word/media/rId94.png" ContentType="image/png"/>
  <Override PartName="/word/media/rId91.png" ContentType="image/png"/>
  <Override PartName="/word/media/rId74.png" ContentType="image/png"/>
  <Override PartName="/word/media/rId83.png" ContentType="image/png"/>
  <Override PartName="/word/media/rId35.png" ContentType="image/png"/>
  <Override PartName="/word/media/rId146.png" ContentType="image/png"/>
  <Override PartName="/word/media/rId78.png" ContentType="image/png"/>
  <Override PartName="/word/media/rId86.png" ContentType="image/png"/>
  <Override PartName="/word/media/rId100.png" ContentType="image/png"/>
  <Override PartName="/word/media/rId1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without his help and continuous guidance, this would have never been possible. Finally to my loving wife, Aye, whose love and support helped me make it through the sleepless evenings.</w:t>
      </w:r>
    </w:p>
    <w:p>
      <w:pPr>
        <w:pStyle w:val="Heading1"/>
      </w:pPr>
      <w:bookmarkStart w:id="22" w:name="acknowledgements"/>
      <w:r>
        <w:t xml:space="preserve">Acknowledgements</w:t>
      </w:r>
      <w:bookmarkEnd w:id="22"/>
    </w:p>
    <w:p>
      <w:pPr>
        <w:pStyle w:val="FirstParagraph"/>
      </w:pPr>
      <w:r>
        <w:t xml:space="preserve">I would like to thank my advisor, David Ledesma, for his role in inspiring this project, as well as his commitment to introspection, and to reflecting upon and exploring meaningful issues in clinical psychology. I am also indebted to committee members John Hilaire and Michael Douglas for their ongoing guidance and support, as well as their frequent feedback (often in the</w:t>
      </w:r>
      <w:r>
        <w:t xml:space="preserve"> </w:t>
      </w:r>
      <w:r>
        <w:t xml:space="preserve">form of exceedingly prompt email responses), at every stage of this project. This dissertation could not have come to fruition without the help of Del Aware and Barney Rubble, who offered balanced yet insightful, thought-provoking input. I am also everlastingly grateful to Jill Pullman, for always being available to listen and empathize, as well as to my husband John Doe, for his endless tolerance and his helping me maintain hope that I would indeed finish this project! I would also like to thank my parents, Paul</w:t>
      </w:r>
      <w:r>
        <w:t xml:space="preserve"> </w:t>
      </w:r>
      <w:r>
        <w:t xml:space="preserve">and Mary Williamson, who inspired and nurtured my interest in observation and clinical judgement from a very young age. Finally, many thanks to all of the undergraduates who so patiently offered their time and clinical judgements.</w:t>
      </w:r>
    </w:p>
    <w:p>
      <w:pPr>
        <w:pStyle w:val="Heading1"/>
      </w:pPr>
      <w:bookmarkStart w:id="23" w:name="preface"/>
      <w:r>
        <w:t xml:space="preserve">Preface</w:t>
      </w:r>
      <w:bookmarkEnd w:id="23"/>
    </w:p>
    <w:p>
      <w:pPr>
        <w:pStyle w:val="Heading1"/>
      </w:pPr>
      <w:bookmarkStart w:id="24" w:name="abstract"/>
      <w:r>
        <w:t xml:space="preserve">Abstract</w:t>
      </w:r>
      <w:bookmarkEnd w:id="24"/>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BodyText"/>
      </w:pPr>
      <w:r>
        <w:t xml:space="preserve">As an appendix, I develop an open-source library for multimedia composition that combines computer vision and timbre analysis algorithms to generate a database of descriptors, interpreting them as nodes in a network suitable for automated navigation.</w:t>
      </w:r>
    </w:p>
    <w:p>
      <w:pPr>
        <w:pStyle w:val="Heading1"/>
      </w:pPr>
      <w:bookmarkStart w:id="25" w:name="chapter:Introduction"/>
      <w:r>
        <w:t xml:space="preserve">Introduction</w:t>
      </w:r>
      <w:bookmarkEnd w:id="25"/>
    </w:p>
    <w:p>
      <w:pPr>
        <w:pStyle w:val="BlockText"/>
      </w:pPr>
      <w:r>
        <w:rPr>
          <w:i/>
        </w:rPr>
        <w:t xml:space="preserve">I am sitting in a room different from the one you are in now. I am recording the sound of my speaking voice and I am going to play it back into the room again and again until the resonant frequencies of the room reinforce themselves so that any semblance of my speech, with perhaps the exception of rhythm, is destroyed. What you will hear, then, are the natural resonant frequencies of the room articulated by speech. I regard this activity not so much as a demonstration of a physical fact, but more as a way to smooth out any irregularities my speech might have.</w:t>
      </w:r>
      <w:r>
        <w:rPr>
          <w:rStyle w:val="FootnoteReference"/>
        </w:rPr>
        <w:footnoteReference w:id="26"/>
      </w:r>
    </w:p>
    <w:p>
      <w:pPr>
        <w:pStyle w:val="FirstParagraph"/>
      </w:pPr>
      <w:r>
        <w:t xml:space="preserve">In going below the</w:t>
      </w:r>
      <w:r>
        <w:t xml:space="preserve"> </w:t>
      </w:r>
      <w:r>
        <w:t xml:space="preserve">‘</w:t>
      </w:r>
      <w:r>
        <w:t xml:space="preserve">note</w:t>
      </w:r>
      <w:r>
        <w:t xml:space="preserve">’</w:t>
      </w:r>
      <w:r>
        <w:t xml:space="preserve"> </w:t>
      </w:r>
      <w:r>
        <w:t xml:space="preserve">level, you can also go below the</w:t>
      </w:r>
      <w:r>
        <w:t xml:space="preserve"> </w:t>
      </w:r>
      <w:r>
        <w:t xml:space="preserve">‘</w:t>
      </w:r>
      <w:r>
        <w:t xml:space="preserve">screen</w:t>
      </w:r>
      <w:r>
        <w:t xml:space="preserve">’</w:t>
      </w:r>
      <w:r>
        <w:t xml:space="preserve"> </w:t>
      </w:r>
      <w:r>
        <w:t xml:space="preserve">of the interface,</w:t>
      </w:r>
      <w:r>
        <w:t xml:space="preserve"> </w:t>
      </w:r>
      <w:r>
        <w:rPr>
          <w:i/>
        </w:rPr>
        <w:t xml:space="preserve">through</w:t>
      </w:r>
      <w:r>
        <w:t xml:space="preserve"> </w:t>
      </w:r>
      <w:r>
        <w:t xml:space="preserve">the program, into its data structures.</w:t>
      </w:r>
    </w:p>
    <w:p>
      <w:pPr>
        <w:pStyle w:val="BodyText"/>
      </w:pPr>
      <w:r>
        <w:t xml:space="preserve">Since Manovich’s</w:t>
      </w:r>
      <w:r>
        <w:t xml:space="preserve"> </w:t>
      </w:r>
      <w:r>
        <w:rPr>
          <w:i/>
        </w:rPr>
        <w:t xml:space="preserve">The Language of New Media</w:t>
      </w:r>
      <w:r>
        <w:t xml:space="preserve"> </w:t>
      </w:r>
      <w:r>
        <w:t xml:space="preserve">(2001) the database became a term related to internet and digital art, and as such it was conceptualized in relation to interface design and interactivity. However, I reconsider these assumptions from later theorizations in new media, namely Hayles’ posthumanist critique and Hansen’s embodiment approach. in Manovich a silent allegiance to Kittler’s posthumanism, I analyze this allegiance as a consequence of a confusion between data and information.</w:t>
      </w:r>
    </w:p>
    <w:p>
      <w:pPr>
        <w:pStyle w:val="BodyText"/>
      </w:pPr>
      <w:r>
        <w:t xml:space="preserve">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BodyText"/>
      </w:pPr>
      <w:r>
        <w:t xml:space="preserve">The database has been present in the music literature as the silent partner since the first computers were used to make music. For a figure representing the position of the database in relation to music practices involving computers (See</w:t>
      </w:r>
      <w:r>
        <w:t xml:space="preserve"> </w:t>
      </w:r>
      <w:hyperlink w:anchor="img:mir_comp_sonif_interaction">
        <w:r>
          <w:rPr>
            <w:rStyle w:val="Hyperlink"/>
          </w:rPr>
          <w:t xml:space="preserve">[img:mir_comp_sonif_interaction]</w:t>
        </w:r>
      </w:hyperlink>
      <w:r>
        <w:t xml:space="preserve">). Through the 1990s the use of computers —and databases— can be found in diverse music fields such as computer assisted composition (CAC), electroacoustic music, computer music, sonification, music information retrieval (MIR).</w:t>
      </w:r>
    </w:p>
    <w:p>
      <w:pPr>
        <w:pStyle w:val="BodyText"/>
      </w:pPr>
      <w:r>
        <w:t xml:space="preserve">describe different approaches to music practices —computer music, sonification, music information retrieval— and their interrelation with software design, to show how some of the major breakthroughs of these practices are related to changes in data structures.</w:t>
      </w:r>
    </w:p>
    <w:p>
      <w:pPr>
        <w:pStyle w:val="BodyText"/>
      </w:pPr>
      <w:r>
        <w:t xml:space="preserve">For now, I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I will provide a more acute definition of the database at the end of this chapter. However, the decision is not random, since the database is itself the condition of possibility of the computer. What does this lead to when we can speak of database music? Is computer music —or, better, all music made with computers— database music?</w:t>
      </w:r>
    </w:p>
    <w:p>
      <w:pPr>
        <w:pStyle w:val="BodyText"/>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In this chapter, I analyze resonant networks in order to assess the extent to which databasing can be reconfigured by listening, and vice versa. The following questions will be revised: To what extent is the listening subject present within database music? How is the notion of listening subject reconfigured by way of the database? To what extent can the database be thought of as a listening subject, and, if so, to what extent does the agency of the database as listening subject resonate aesthetically?</w:t>
      </w:r>
    </w:p>
    <w:p>
      <w:pPr>
        <w:pStyle w:val="BodyText"/>
      </w:pPr>
      <w:r>
        <w:t xml:space="preserve">In section one, I delineate Jean-Luc Nancy’s ontology of sound in order to present the database as a resonant subject in itself.</w:t>
      </w:r>
    </w:p>
    <w:p>
      <w:pPr>
        <w:pStyle w:val="BodyText"/>
      </w:pPr>
      <w:r>
        <w:t xml:space="preserve">In section two and three, given the multiplicity of factors that are in play when databases enter into the process of music listening, I focus on the links that exist between Nancy’s resonance and Bruno Latour’s actor-network theory</w:t>
      </w:r>
      <w:r>
        <w:t xml:space="preserve"> </w:t>
      </w:r>
      <w:r>
        <w:t xml:space="preserve">(Latour 1990, 1993)</w:t>
      </w:r>
      <w:r>
        <w:t xml:space="preserve">, arriving at the concept of a resonant network. Then, a distinction between sound and networks is made, and the concept of the work of actors is introduced.</w:t>
      </w:r>
    </w:p>
    <w:p>
      <w:pPr>
        <w:pStyle w:val="BodyText"/>
      </w:pPr>
      <w:r>
        <w:t xml:space="preserve">Finally, I understand resonant networks in terms of community. Since the notion of inoperativity is closely related to that of community —and the exposure of selves—, this relation of selves can also be understood as the resonating force that unfolds hand in hand with the performativity of the network. Thus, the expansion of the network, the propagation of sound, and the exposure of selves, can be connected to each other with a force of inoperativity.</w:t>
      </w:r>
    </w:p>
    <w:p>
      <w:pPr>
        <w:pStyle w:val="BodyText"/>
      </w:pPr>
      <w:r>
        <w:t xml:space="preserve">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There is yet another substitution that can be amended to Latour’s definition of the network. If the network is</w:t>
      </w:r>
      <w:r>
        <w:t xml:space="preserve"> </w:t>
      </w:r>
      <w:r>
        <w:t xml:space="preserve">‘</w:t>
      </w:r>
      <w:r>
        <w:t xml:space="preserve">recorded movement,</w:t>
      </w:r>
      <w:r>
        <w:t xml:space="preserve">’</w:t>
      </w:r>
      <w:r>
        <w:t xml:space="preserve"> </w:t>
      </w:r>
      <w:r>
        <w:t xml:space="preserve">that is, a trace, a trajectory, this means that its existence is evidenced by way of not only motion in itself, in the sense that the very same oscillatory motion of reference in between the nodes creates its defining gesture. It is also the case that the recollection of movement constitutes an structurally inseparable part of the definition of the network. Therefore, in this chapter, I understand the database in its relation with memory, understanding memory from three points of view: the human, the nonhuman, and the spectral.</w:t>
      </w:r>
    </w:p>
    <w:p>
      <w:pPr>
        <w:pStyle w:val="BodyText"/>
      </w:pPr>
      <w:r>
        <w:t xml:space="preserve">In section one, I analyze memory as process of embodiment and relate it to resonant networks.</w:t>
      </w:r>
    </w:p>
    <w:p>
      <w:pPr>
        <w:pStyle w:val="BodyText"/>
      </w:pPr>
      <w:r>
        <w:t xml:space="preserve">In section two, I analyze the concept of the archive and its relation to the database, specifically, to databasing as a collective form of memory. In this sense, the nonhuman comes as an instantiation of memory outside the human. I assess the extent to which resonant networks can be considered under the scope of the concept of the archive.</w:t>
      </w:r>
    </w:p>
    <w:p>
      <w:pPr>
        <w:pStyle w:val="BodyText"/>
      </w:pPr>
      <w:r>
        <w:t xml:space="preserve">In section three, I understand the dynamics of resonant networks spectrally, that is, as an expression of a force, or a power, that comes out of the spectrality that results out of the resonance of the human and the nonhuman. By considering the spectrality of the database, I assess the extent of its aesthetic agency in terms of a</w:t>
      </w:r>
      <w:r>
        <w:t xml:space="preserve"> </w:t>
      </w:r>
      <w:r>
        <w:rPr>
          <w:i/>
        </w:rPr>
        <w:t xml:space="preserve">haunting</w:t>
      </w:r>
      <w:r>
        <w:t xml:space="preserve"> </w:t>
      </w:r>
      <w:r>
        <w:t xml:space="preserve">force. Therefore, if database music is indeed haunted by the specter of the database, how does this affect the aesthetic result? If the ghost of the database can be understood as an image of the nonhuman, that is, an image emerging out of the plurality of memory, then, to what extent can it be considered a singularity, a self in itself? Finally, if, as databasers, we are engaged with this force in creative action, how does the music made with databases sound, and what is making it?</w:t>
      </w:r>
    </w:p>
    <w:p>
      <w:pPr>
        <w:pStyle w:val="BodyText"/>
      </w:pPr>
      <w:r>
        <w:t xml:space="preserve">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this section, I draw from performance and gender studies to analyze database practice as a performative activity. I use Judith Butler’s concept of gender</w:t>
      </w:r>
      <w:r>
        <w:t xml:space="preserve"> </w:t>
      </w:r>
      <w:r>
        <w:t xml:space="preserve">(Butler 1988)</w:t>
      </w:r>
      <w:r>
        <w:t xml:space="preserve"> </w:t>
      </w:r>
      <w:r>
        <w:t xml:space="preserve">to analyze the extent to which authority in database practices can be understood in terms of style. The databaser, which is the human subject in this case, begins resonating with the database, the nonhuman subject, in a form of feedback loop. This resonant loop is only possible through the performance of the database. I thus locate the origin of the database as listening subject the moment its performance begins. In this moment of performance, both human and nonhuman listening subjects are resounded upon their limit. I consider this limit to be a surface in between the human and the nonhuman, and I like to think of it as the</w:t>
      </w:r>
      <w:r>
        <w:t xml:space="preserve"> </w:t>
      </w:r>
      <w:r>
        <w:t xml:space="preserve">‘</w:t>
      </w:r>
      <w:r>
        <w:t xml:space="preserve">skin</w:t>
      </w:r>
      <w:r>
        <w:t xml:space="preserve">’</w:t>
      </w:r>
      <w:r>
        <w:t xml:space="preserve"> </w:t>
      </w:r>
      <w:r>
        <w:t xml:space="preserve">of the database. I argue that this skin of the database is the possibility condition for illusions of style —as in the style that is visible in one’s clothes, or in one’s decoration of the skin— and authority —as in the appearance of a subject who has some sort of power: the subject of the listening database. I thus analyze these illusions as belonging to the sphere of Agency that the Database presents, and assess the extent to which they affect the aesthetics of Database practice.</w:t>
      </w:r>
    </w:p>
    <w:p>
      <w:pPr>
        <w:pStyle w:val="BodyText"/>
      </w:pPr>
      <w:r>
        <w:t xml:space="preserve">The databaser, which is the human subject in this case, begins resonating with the database, the nonhuman subject, in a form of feedback loop. This resonant loop is only possible through the performance of the database.</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BodyText"/>
      </w:pPr>
      <w:r>
        <w:t xml:space="preserve">The concepts exposed in affect and reconfigure transversally the practices of composition and databasing. Traditionally, music composition was considered a single author practice, in which the composer’s technique or aesthetic intuition is the sole agent, romanticizing the artist as an</w:t>
      </w:r>
      <w:r>
        <w:t xml:space="preserve"> </w:t>
      </w:r>
      <w:r>
        <w:t xml:space="preserve">“</w:t>
      </w:r>
      <w:r>
        <w:t xml:space="preserve">involuntary vessel through which inspiration flows</w:t>
      </w:r>
      <w:r>
        <w:t xml:space="preserve">”</w:t>
      </w:r>
      <w:r>
        <w:t xml:space="preserve"> </w:t>
      </w:r>
      <w:r>
        <w:t xml:space="preserve">(Born 1995)</w:t>
      </w:r>
      <w:r>
        <w:t xml:space="preserve">. As I have outlined in , this is no longer the case, since understood in terms of its resonance and of its performativity, composition explodes the name of the composer, leaving as many spectral remains of its trace as can be imagined. Conversely, databasing is already embedded in a networked structure that only allows partial and temporary allocation of authors (databaser), since in the structural database tree exist multi-authored branches that renew themselves, outgrowing themselves in perpetual difference and instability. The notions of stability and authority can only be related to snapshots in the history of a software. However, the institutional quality of both databasing and composition is still at play, namely in the many cases of proprietary software and in the composer’s name, that is, in the commercial release and the objectification of music work. Less than focusing on general criticism, in this section I argue that, since the agency of the database reveals itself as aesthetic experience, then it is the dynamics of this agency need to be addressed. I claim that this agency, when contextualized within music composition, specifically composing with computers, it has the form and the politics of a music listening to itself.</w:t>
      </w:r>
    </w:p>
    <w:p>
      <w:pPr>
        <w:pStyle w:val="BodyText"/>
      </w:pPr>
      <w:r>
        <w:t xml:space="preserve">How does the concepts of inoperativity and anarchy, in their relation to database community, resonate politically in the works of database music?</w:t>
      </w:r>
    </w:p>
    <w:p>
      <w:pPr>
        <w:pStyle w:val="BodyText"/>
      </w:pPr>
      <w:r>
        <w:t xml:space="preserve">In this section, I analyze the anarchic element in database practice and bring it to music composition practice.</w:t>
      </w:r>
    </w:p>
    <w:p>
      <w:pPr>
        <w:pStyle w:val="BodyText"/>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brings together with its relation to the archive, the archontic principle that is bound to the origin and the rule. That is to say, since the database has the potential of becoming a source, databasing becomes an activity of this source, and thus embeds the databaser with a specter of authority. Therefore, given the circumstances of this authority of databasing, claiming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I have mentioned above the presence of the skin of the database, now I shall refer to the skin of the music object.</w:t>
      </w:r>
    </w:p>
    <w:p>
      <w:pPr>
        <w:pStyle w:val="BodyText"/>
      </w:pPr>
      <w:r>
        <w:t xml:space="preserve">I argue that the link between the archive, the database, and the music object is this capacity to prescribe its own origin —the commencement— and rules —the command. Finally, I analyze the extent to which this anarchic element is present in the inoperative object of music, and how this presence affects the unwork of art.</w:t>
      </w:r>
    </w:p>
    <w:p>
      <w:pPr>
        <w:pStyle w:val="BodyText"/>
      </w:pPr>
      <w:r>
        <w:t xml:space="preserve">My goal in this reflection on the consequences of the anarchic and the inoperative in database and composition practices is to understand the dynamics of community within both database and composition fields.</w:t>
      </w:r>
    </w:p>
    <w:p>
      <w:pPr>
        <w:pStyle w:val="BodyText"/>
      </w:pPr>
      <w:r>
        <w:t xml:space="preserve">My argument is that in order to understand what is in common between database and composition, from the points of view of art, aesthetics, and politics, we need to define the transversality of the underlying structures of anarchy and inoperativity.</w:t>
      </w:r>
    </w:p>
    <w:p>
      <w:pPr>
        <w:pStyle w:val="BodyText"/>
      </w:pPr>
      <w:r>
        <w:t xml:space="preserve">In an intersection between music and computers, I situate the database around the broader question of agency in art and technology.</w:t>
      </w:r>
    </w:p>
    <w:p>
      <w:pPr>
        <w:pStyle w:val="BodyText"/>
      </w:pPr>
      <w:r>
        <w:t xml:space="preserve">Finally, as an instantiation of the propositions above, I will develop an open-source library for multimedia composition that combines computer vision and timbre analysis algorithms to generate a database of descriptors, interpreting them as nodes in a network suitable for automated navigation.</w:t>
      </w:r>
    </w:p>
    <w:p>
      <w:pPr>
        <w:pStyle w:val="BodyText"/>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BodyText"/>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28">
        <w:r>
          <w:rPr>
            <w:rStyle w:val="Hyperlink"/>
          </w:rPr>
          <w:t xml:space="preserve">https://fdch.github.io/abby</w:t>
        </w:r>
      </w:hyperlink>
      <w:r>
        <w:t xml:space="preserve">, and the code can be accessed or cloned from</w:t>
      </w:r>
      <w:r>
        <w:t xml:space="preserve"> </w:t>
      </w:r>
      <w:hyperlink r:id="rId29">
        <w:r>
          <w:rPr>
            <w:rStyle w:val="Hyperlink"/>
          </w:rPr>
          <w:t xml:space="preserve">https://github.com/fdch/litrev</w:t>
        </w:r>
      </w:hyperlink>
      <w:r>
        <w:t xml:space="preserve">.</w:t>
      </w:r>
    </w:p>
    <w:p>
      <w:pPr>
        <w:pStyle w:val="BodyText"/>
      </w:pPr>
      <w:r>
        <w:t xml:space="preserve">This dissertation goes through the state of database art, the use of computers in music and art, the collaborative aspect surrounding computers, the immateriality that percolates through the arts as data, the terminological struggles in the definition of data-based media, the possibilities of new linkages between different media through data, the arbitrary world of the composer in the midst of an emergent, autopoietic, bottom-up art-world, the ubiquitous architecture enabling all of it, the resonating self in between, the non-human agency, the software communities, and the topology of the networked world.</w:t>
      </w:r>
    </w:p>
    <w:p>
      <w:pPr>
        <w:pStyle w:val="BodyText"/>
      </w:pPr>
      <w:r>
        <w:t xml:space="preserve">Chapter 1 serves to contextualize the database historically and technically. First I engage with the database from the point of view of media studies, as it as commented in the arts since the beginning of the 21st century. I then trace a history of the events which lead to the current database panorama, and refer to it as a database tree. In the end of this chapter, I trace the use of the database in relation to music, particularly in three fields based on computer-based sound: MIR, sonification, and composition. In Chapter 2, I dedicated to locate the aesthetic agency of the database from three points of departure: listening, memory, and performance. These three aspects relate sound, networks, memory and archives, in order to delineate the performativity of databasing. Thus, the agency of the database is seen at the intersection of the human and the nonhuman. The final chapter deals with the dynamics of databasing and composition. I engage with the political in database practices and question the established concepts behind music composition. Thus, I present a different conceptualization of the music work.</w:t>
      </w:r>
    </w:p>
    <w:p>
      <w:pPr>
        <w:pStyle w:val="Heading1"/>
      </w:pPr>
      <w:bookmarkStart w:id="30" w:name="chapter:Database_Art"/>
      <w:r>
        <w:t xml:space="preserve">Database Art</w:t>
      </w:r>
      <w:bookmarkEnd w:id="30"/>
    </w:p>
    <w:p>
      <w:pPr>
        <w:pStyle w:val="FirstParagraph"/>
      </w:pPr>
      <w:r>
        <w:t xml:space="preserve">In order to define and contextualize database practices, I engage with the existing literature on data-driven art. Drawing mostly from media theory, I provide a sample of a variety of authors who have studied the use of databases in art. Specifically, I emphasize certain aspects of affect theory which relate to the intersection between the database and the body, in order to link database practice with sound and performance practices.</w:t>
      </w:r>
    </w:p>
    <w:p>
      <w:pPr>
        <w:pStyle w:val="BodyText"/>
      </w:pPr>
      <w:r>
        <w:t xml:space="preserve">Therefore, in</w:t>
      </w:r>
      <w:r>
        <w:t xml:space="preserve"> </w:t>
      </w:r>
      <w:r>
        <w:t xml:space="preserve">‘</w:t>
      </w:r>
      <w:r>
        <w:t xml:space="preserve">databasing music,</w:t>
      </w:r>
      <w:r>
        <w:t xml:space="preserve">’</w:t>
      </w:r>
      <w:r>
        <w:t xml:space="preserve"> </w:t>
      </w:r>
      <w:r>
        <w:t xml:space="preserve">I describe different approaches to music practices —computer music, sonification, music information retrieval— and their interrelation with software design, to show how some of the major breakthroughs of these practices are related to changes in data structures. In the last section of the chapter, 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Heading2"/>
      </w:pPr>
      <w:bookmarkStart w:id="31" w:name="section:The_Database_In_New_Media_Theory"/>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CaptionedFigure"/>
      </w:pPr>
      <w:bookmarkStart w:id="36"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3060700" cy="34925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3" w:name="database_aesthetics"/>
      <w:r>
        <w:t xml:space="preserve">Database As Aesthetics</w:t>
      </w:r>
      <w:bookmarkEnd w:id="43"/>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4" w:name="generated"/>
      <w:r>
        <w:t xml:space="preserve">Databasing: Database As Performance</w:t>
      </w:r>
      <w:bookmarkEnd w:id="44"/>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w:t>
      </w:r>
      <w:r>
        <w:t xml:space="preserve"> </w:t>
      </w:r>
      <w:r>
        <w:t xml:space="preserve">argues that creating a memory bank is a means of testifying to our existence</w:t>
      </w:r>
      <w:r>
        <w:t xml:space="preserve"> </w:t>
      </w:r>
      <w:r>
        <w:t xml:space="preserve">(Vesna 2007, p. 25)</w:t>
      </w:r>
      <w:r>
        <w:t xml:space="preserve">.</w:t>
      </w:r>
    </w:p>
    <w:bookmarkStart w:id="45"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5"/>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6" w:name="Xdc6db904ad977d5b954cf3c9c455f3f4fa43e5b"/>
      <w:r>
        <w:t xml:space="preserve">Databasing And The History Of Databases</w:t>
      </w:r>
      <w:bookmarkEnd w:id="46"/>
    </w:p>
    <w:p>
      <w:pPr>
        <w:pStyle w:val="Heading3"/>
      </w:pPr>
      <w:bookmarkStart w:id="47" w:name="databasing"/>
      <w:r>
        <w:t xml:space="preserve">Databasing: The Performance Of The Database</w:t>
      </w:r>
      <w:bookmarkEnd w:id="47"/>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8" w:name="data-types-and-structures"/>
      <w:r>
        <w:t xml:space="preserve">Data types and structures</w:t>
      </w:r>
      <w:bookmarkEnd w:id="48"/>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9"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9"/>
    <w:p>
      <w:pPr>
        <w:pStyle w:val="Heading4"/>
      </w:pPr>
      <w:bookmarkStart w:id="50" w:name="temporality-of-databasing"/>
      <w:r>
        <w:t xml:space="preserve">Temporality of Databasing</w:t>
      </w:r>
      <w:bookmarkEnd w:id="50"/>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1" w:name="databasing-and-writing"/>
      <w:r>
        <w:t xml:space="preserve">Databasing and Writing</w:t>
      </w:r>
      <w:bookmarkEnd w:id="51"/>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2"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2"/>
    <w:p>
      <w:pPr>
        <w:pStyle w:val="Heading4"/>
      </w:pPr>
      <w:bookmarkStart w:id="53" w:name="the-von-neumann-architecture"/>
      <w:r>
        <w:t xml:space="preserve">The Von Neumann Architecture</w:t>
      </w:r>
      <w:bookmarkEnd w:id="53"/>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4" w:name="programming"/>
      <w:r>
        <w:t xml:space="preserve">A Database Tree</w:t>
      </w:r>
      <w:bookmarkEnd w:id="54"/>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5"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5"/>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6" w:name="ground"/>
      <w:r>
        <w:t xml:space="preserve">Ground</w:t>
      </w:r>
      <w:bookmarkEnd w:id="56"/>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7" w:name="roots"/>
      <w:r>
        <w:t xml:space="preserve">Roots</w:t>
      </w:r>
      <w:bookmarkEnd w:id="57"/>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8" w:name="portability"/>
      <w:r>
        <w:t xml:space="preserve">Macros</w:t>
      </w:r>
      <w:bookmarkEnd w:id="58"/>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9" w:name="trunk"/>
      <w:r>
        <w:t xml:space="preserve">Trunk</w:t>
      </w:r>
      <w:bookmarkEnd w:id="59"/>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0" w:name="branches"/>
      <w:r>
        <w:t xml:space="preserve">Branches</w:t>
      </w:r>
      <w:bookmarkEnd w:id="60"/>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1" w:name="twigs"/>
      <w:r>
        <w:t xml:space="preserve">Twigs</w:t>
      </w:r>
      <w:bookmarkEnd w:id="61"/>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2" w:name="leaves"/>
      <w:r>
        <w:t xml:space="preserve">Leaves</w:t>
      </w:r>
      <w:bookmarkEnd w:id="62"/>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3" w:name="networks"/>
      <w:r>
        <w:t xml:space="preserve">Networks</w:t>
      </w:r>
      <w:bookmarkEnd w:id="63"/>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4" w:name="clouds"/>
      <w:r>
        <w:t xml:space="preserve">Clouds</w:t>
      </w:r>
      <w:bookmarkEnd w:id="64"/>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5" w:name="models"/>
      <w:r>
        <w:t xml:space="preserve">The Realm Of Data Structures</w:t>
      </w:r>
      <w:bookmarkEnd w:id="65"/>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6" w:name="array-data-structure"/>
      <w:r>
        <w:t xml:space="preserve">Array data structure</w:t>
      </w:r>
      <w:bookmarkEnd w:id="66"/>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7" w:name="computer:linked"/>
      <w:r>
        <w:t xml:space="preserve">Linked Lists</w:t>
      </w:r>
      <w:bookmarkEnd w:id="67"/>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8" w:name="computer:audacity"/>
      <w:r>
        <w:t xml:space="preserve">Sequences</w:t>
      </w:r>
      <w:bookmarkEnd w:id="68"/>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9" w:name="descriptions"/>
      <w:r>
        <w:t xml:space="preserve">A Brief History Of Database Models</w:t>
      </w:r>
      <w:bookmarkEnd w:id="69"/>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0" w:name="model:hierarchical"/>
      <w:r>
        <w:t xml:space="preserve">Hierarchical</w:t>
      </w:r>
      <w:bookmarkEnd w:id="70"/>
    </w:p>
    <w:p>
      <w:pPr>
        <w:pStyle w:val="CaptionedFigure"/>
      </w:pPr>
      <w:bookmarkStart w:id="72"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1"/>
                    <a:stretch>
                      <a:fillRect/>
                    </a:stretch>
                  </pic:blipFill>
                  <pic:spPr bwMode="auto">
                    <a:xfrm>
                      <a:off x="0" y="0"/>
                      <a:ext cx="2692400" cy="1866900"/>
                    </a:xfrm>
                    <a:prstGeom prst="rect">
                      <a:avLst/>
                    </a:prstGeom>
                    <a:noFill/>
                    <a:ln w="9525">
                      <a:noFill/>
                      <a:headEnd/>
                      <a:tailEnd/>
                    </a:ln>
                  </pic:spPr>
                </pic:pic>
              </a:graphicData>
            </a:graphic>
          </wp:inline>
        </w:drawing>
      </w:r>
      <w:bookmarkEnd w:id="72"/>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3" w:name="model:network"/>
      <w:r>
        <w:t xml:space="preserve">Network</w:t>
      </w:r>
      <w:bookmarkEnd w:id="73"/>
    </w:p>
    <w:p>
      <w:pPr>
        <w:pStyle w:val="CaptionedFigure"/>
      </w:pPr>
      <w:bookmarkStart w:id="75"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4"/>
                    <a:stretch>
                      <a:fillRect/>
                    </a:stretch>
                  </pic:blipFill>
                  <pic:spPr bwMode="auto">
                    <a:xfrm>
                      <a:off x="0" y="0"/>
                      <a:ext cx="2298700" cy="2552700"/>
                    </a:xfrm>
                    <a:prstGeom prst="rect">
                      <a:avLst/>
                    </a:prstGeom>
                    <a:noFill/>
                    <a:ln w="9525">
                      <a:noFill/>
                      <a:headEnd/>
                      <a:tailEnd/>
                    </a:ln>
                  </pic:spPr>
                </pic:pic>
              </a:graphicData>
            </a:graphic>
          </wp:inline>
        </w:drawing>
      </w:r>
      <w:bookmarkEnd w:id="75"/>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6" w:name="navigational-paradigm"/>
      <w:r>
        <w:t xml:space="preserve">Navigational Paradigm</w:t>
      </w:r>
      <w:bookmarkEnd w:id="76"/>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7" w:name="model:relational"/>
      <w:r>
        <w:t xml:space="preserve">Relational</w:t>
      </w:r>
      <w:bookmarkEnd w:id="77"/>
    </w:p>
    <w:p>
      <w:pPr>
        <w:pStyle w:val="CaptionedFigure"/>
      </w:pPr>
      <w:bookmarkStart w:id="79"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8"/>
                    <a:stretch>
                      <a:fillRect/>
                    </a:stretch>
                  </pic:blipFill>
                  <pic:spPr bwMode="auto">
                    <a:xfrm>
                      <a:off x="0" y="0"/>
                      <a:ext cx="2540000" cy="1676400"/>
                    </a:xfrm>
                    <a:prstGeom prst="rect">
                      <a:avLst/>
                    </a:prstGeom>
                    <a:noFill/>
                    <a:ln w="9525">
                      <a:noFill/>
                      <a:headEnd/>
                      <a:tailEnd/>
                    </a:ln>
                  </pic:spPr>
                </pic:pic>
              </a:graphicData>
            </a:graphic>
          </wp:inline>
        </w:drawing>
      </w:r>
      <w:bookmarkEnd w:id="79"/>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80" w:name="model:nonrelational"/>
      <w:r>
        <w:t xml:space="preserve">Non-Relational</w:t>
      </w:r>
      <w:bookmarkEnd w:id="80"/>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1" w:name="model:graph"/>
      <w:r>
        <w:t xml:space="preserve">Graph</w:t>
      </w:r>
      <w:bookmarkEnd w:id="81"/>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2" w:name="model:object"/>
      <w:r>
        <w:t xml:space="preserve">Object</w:t>
      </w:r>
      <w:bookmarkEnd w:id="82"/>
    </w:p>
    <w:p>
      <w:pPr>
        <w:pStyle w:val="CaptionedFigure"/>
      </w:pPr>
      <w:bookmarkStart w:id="84"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3"/>
                    <a:stretch>
                      <a:fillRect/>
                    </a:stretch>
                  </pic:blipFill>
                  <pic:spPr bwMode="auto">
                    <a:xfrm>
                      <a:off x="0" y="0"/>
                      <a:ext cx="3073400" cy="3111500"/>
                    </a:xfrm>
                    <a:prstGeom prst="rect">
                      <a:avLst/>
                    </a:prstGeom>
                    <a:noFill/>
                    <a:ln w="9525">
                      <a:noFill/>
                      <a:headEnd/>
                      <a:tailEnd/>
                    </a:ln>
                  </pic:spPr>
                </pic:pic>
              </a:graphicData>
            </a:graphic>
          </wp:inline>
        </w:drawing>
      </w:r>
      <w:bookmarkEnd w:id="84"/>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5" w:name="model:semistructured"/>
      <w:r>
        <w:t xml:space="preserve">Semi-structured</w:t>
      </w:r>
      <w:bookmarkEnd w:id="85"/>
    </w:p>
    <w:p>
      <w:pPr>
        <w:pStyle w:val="CaptionedFigure"/>
      </w:pPr>
      <w:bookmarkStart w:id="87"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6"/>
                    <a:stretch>
                      <a:fillRect/>
                    </a:stretch>
                  </pic:blipFill>
                  <pic:spPr bwMode="auto">
                    <a:xfrm>
                      <a:off x="0" y="0"/>
                      <a:ext cx="5334000" cy="2873505"/>
                    </a:xfrm>
                    <a:prstGeom prst="rect">
                      <a:avLst/>
                    </a:prstGeom>
                    <a:noFill/>
                    <a:ln w="9525">
                      <a:noFill/>
                      <a:headEnd/>
                      <a:tailEnd/>
                    </a:ln>
                  </pic:spPr>
                </pic:pic>
              </a:graphicData>
            </a:graphic>
          </wp:inline>
        </w:drawing>
      </w:r>
      <w:bookmarkEnd w:id="87"/>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8" w:name="model:puredata"/>
      <w:r>
        <w:t xml:space="preserve">Pure Data as Database System</w:t>
      </w:r>
      <w:bookmarkEnd w:id="88"/>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9"/>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0" w:name="Xec68453c8cc129b4ce436d3f67f46ba702f92a5"/>
      <w:r>
        <w:t xml:space="preserve">Databasing Sound: Applications Of Databases In Sound</w:t>
      </w:r>
      <w:bookmarkEnd w:id="90"/>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1"/>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2" w:name="img:mir_comp_sonif_interaction"/>
      <w:r>
        <w:t xml:space="preserve">[img:mir_comp_sonif_interaction]</w:t>
      </w:r>
      <w:bookmarkEnd w:id="92"/>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3" w:name="mir"/>
      <w:r>
        <w:t xml:space="preserve">Music Information Retrieval</w:t>
      </w:r>
      <w:bookmarkEnd w:id="93"/>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5"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4"/>
                    <a:stretch>
                      <a:fillRect/>
                    </a:stretch>
                  </pic:blipFill>
                  <pic:spPr bwMode="auto">
                    <a:xfrm>
                      <a:off x="0" y="0"/>
                      <a:ext cx="2743200" cy="1435100"/>
                    </a:xfrm>
                    <a:prstGeom prst="rect">
                      <a:avLst/>
                    </a:prstGeom>
                    <a:noFill/>
                    <a:ln w="9525">
                      <a:noFill/>
                      <a:headEnd/>
                      <a:tailEnd/>
                    </a:ln>
                  </pic:spPr>
                </pic:pic>
              </a:graphicData>
            </a:graphic>
          </wp:inline>
        </w:drawing>
      </w:r>
      <w:bookmarkEnd w:id="95"/>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6"/>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8"/>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9" w:name="sonification"/>
      <w:r>
        <w:t xml:space="preserve">Sonification</w:t>
      </w:r>
      <w:bookmarkEnd w:id="99"/>
    </w:p>
    <w:p>
      <w:pPr>
        <w:pStyle w:val="CaptionedFigure"/>
      </w:pPr>
      <w:bookmarkStart w:id="101"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0"/>
                    <a:stretch>
                      <a:fillRect/>
                    </a:stretch>
                  </pic:blipFill>
                  <pic:spPr bwMode="auto">
                    <a:xfrm>
                      <a:off x="0" y="0"/>
                      <a:ext cx="2019300" cy="1879600"/>
                    </a:xfrm>
                    <a:prstGeom prst="rect">
                      <a:avLst/>
                    </a:prstGeom>
                    <a:noFill/>
                    <a:ln w="9525">
                      <a:noFill/>
                      <a:headEnd/>
                      <a:tailEnd/>
                    </a:ln>
                  </pic:spPr>
                </pic:pic>
              </a:graphicData>
            </a:graphic>
          </wp:inline>
        </w:drawing>
      </w:r>
      <w:bookmarkEnd w:id="101"/>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2"/>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3" w:name="sonification:parametermapping"/>
      <w:r>
        <w:t xml:space="preserve">Parameter mapping</w:t>
      </w:r>
      <w:bookmarkEnd w:id="103"/>
    </w:p>
    <w:p>
      <w:pPr>
        <w:pStyle w:val="Heading5"/>
      </w:pPr>
      <w:bookmarkStart w:id="104" w:name="dow"/>
      <w:r>
        <w:t xml:space="preserve">DOW</w:t>
      </w:r>
      <w:bookmarkEnd w:id="104"/>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5"/>
      </w:r>
    </w:p>
    <w:p>
      <w:pPr>
        <w:pStyle w:val="Heading5"/>
      </w:pPr>
      <w:bookmarkStart w:id="106" w:name="medical-images"/>
      <w:r>
        <w:t xml:space="preserve">Medical Images</w:t>
      </w:r>
      <w:bookmarkEnd w:id="106"/>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7" w:name="sonification:model"/>
      <w:r>
        <w:t xml:space="preserve">Model-based sonification</w:t>
      </w:r>
      <w:bookmarkEnd w:id="107"/>
    </w:p>
    <w:p>
      <w:pPr>
        <w:pStyle w:val="Heading5"/>
      </w:pPr>
      <w:bookmarkStart w:id="108" w:name="space"/>
      <w:r>
        <w:t xml:space="preserve">Space</w:t>
      </w:r>
      <w:bookmarkEnd w:id="108"/>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9" w:name="sonification:artistic"/>
      <w:r>
        <w:t xml:space="preserve">Artistic sonification</w:t>
      </w:r>
      <w:bookmarkEnd w:id="109"/>
    </w:p>
    <w:p>
      <w:pPr>
        <w:pStyle w:val="Heading5"/>
      </w:pPr>
      <w:bookmarkStart w:id="110" w:name="wolves"/>
      <w:r>
        <w:t xml:space="preserve">Wolves</w:t>
      </w:r>
      <w:bookmarkEnd w:id="110"/>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1" w:name="selva"/>
      <w:r>
        <w:t xml:space="preserve">Selva</w:t>
      </w:r>
      <w:bookmarkEnd w:id="111"/>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2" w:name="ocean"/>
      <w:r>
        <w:t xml:space="preserve">Ocean</w:t>
      </w:r>
      <w:bookmarkEnd w:id="112"/>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3" w:name="molecules"/>
      <w:r>
        <w:t xml:space="preserve">Molecules</w:t>
      </w:r>
      <w:bookmarkEnd w:id="113"/>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4" w:name="gender-distribution"/>
      <w:r>
        <w:t xml:space="preserve">Gender Distribution</w:t>
      </w:r>
      <w:bookmarkEnd w:id="114"/>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5" w:name="sonification:installations"/>
      <w:r>
        <w:t xml:space="preserve">Sonification Installations</w:t>
      </w:r>
      <w:bookmarkEnd w:id="115"/>
    </w:p>
    <w:p>
      <w:pPr>
        <w:pStyle w:val="Heading5"/>
      </w:pPr>
      <w:bookmarkStart w:id="116" w:name="ip-based-soundscape"/>
      <w:r>
        <w:t xml:space="preserve">IP-based soundscape</w:t>
      </w:r>
      <w:bookmarkEnd w:id="116"/>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7" w:name="earthquakes"/>
      <w:r>
        <w:t xml:space="preserve">Earthquakes</w:t>
      </w:r>
      <w:bookmarkEnd w:id="117"/>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8" w:name="gpu-based-waveforms"/>
      <w:r>
        <w:t xml:space="preserve">GPU-based waveforms</w:t>
      </w:r>
      <w:bookmarkEnd w:id="118"/>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9"/>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1"/>
      </w:r>
      <w:r>
        <w:t xml:space="preserve">, they used the generated waveforms as a database, composing each waveform together with their visual generators as a collage.</w:t>
      </w:r>
    </w:p>
    <w:p>
      <w:pPr>
        <w:pStyle w:val="Heading5"/>
      </w:pPr>
      <w:bookmarkStart w:id="123" w:name="ucanny-faces"/>
      <w:r>
        <w:t xml:space="preserve">Ucanny Faces</w:t>
      </w:r>
      <w:bookmarkEnd w:id="123"/>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4" w:name="sonification:software"/>
      <w:r>
        <w:t xml:space="preserve">Sonification Software</w:t>
      </w:r>
      <w:bookmarkEnd w:id="124"/>
    </w:p>
    <w:p>
      <w:pPr>
        <w:pStyle w:val="Heading5"/>
      </w:pPr>
      <w:bookmarkStart w:id="125" w:name="sonart"/>
      <w:r>
        <w:t xml:space="preserve">SonArt</w:t>
      </w:r>
      <w:bookmarkEnd w:id="125"/>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6" w:name="dataplayer"/>
      <w:r>
        <w:t xml:space="preserve">DataPlayer</w:t>
      </w:r>
      <w:bookmarkEnd w:id="126"/>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7" w:name="madbpm"/>
      <w:r>
        <w:t xml:space="preserve">madBPM</w:t>
      </w:r>
      <w:bookmarkEnd w:id="127"/>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8" w:name="computer_music"/>
      <w:r>
        <w:t xml:space="preserve">Computer Music</w:t>
      </w:r>
      <w:bookmarkEnd w:id="128"/>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0"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9"/>
                    <a:stretch>
                      <a:fillRect/>
                    </a:stretch>
                  </pic:blipFill>
                  <pic:spPr bwMode="auto">
                    <a:xfrm>
                      <a:off x="0" y="0"/>
                      <a:ext cx="1181100" cy="863600"/>
                    </a:xfrm>
                    <a:prstGeom prst="rect">
                      <a:avLst/>
                    </a:prstGeom>
                    <a:noFill/>
                    <a:ln w="9525">
                      <a:noFill/>
                      <a:headEnd/>
                      <a:tailEnd/>
                    </a:ln>
                  </pic:spPr>
                </pic:pic>
              </a:graphicData>
            </a:graphic>
          </wp:inline>
        </w:drawing>
      </w:r>
      <w:bookmarkEnd w:id="130"/>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1" w:name="computer:sssp"/>
      <w:r>
        <w:t xml:space="preserve">Hierarchical environments</w:t>
      </w:r>
      <w:bookmarkEnd w:id="131"/>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2" w:name="reducing-cognitive-burden"/>
      <w:r>
        <w:t xml:space="preserve">Reducing cognitive burden</w:t>
      </w:r>
      <w:bookmarkEnd w:id="132"/>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3"/>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4" w:name="a-hierarchical-representation"/>
      <w:r>
        <w:t xml:space="preserve">A Hierarchical Representation</w:t>
      </w:r>
      <w:bookmarkEnd w:id="134"/>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5" w:name="black-boxing"/>
      <w:r>
        <w:t xml:space="preserve">Black-boxing</w:t>
      </w:r>
      <w:bookmarkEnd w:id="135"/>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6" w:name="computer:free"/>
      <w:r>
        <w:t xml:space="preserve">Generality and Portability</w:t>
      </w:r>
      <w:bookmarkEnd w:id="136"/>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7" w:name="computer:vanilla"/>
      <w:r>
        <w:t xml:space="preserve">Simplification</w:t>
      </w:r>
      <w:bookmarkEnd w:id="137"/>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8" w:name="computer:balance"/>
      <w:r>
        <w:t xml:space="preserve">Balance</w:t>
      </w:r>
      <w:bookmarkEnd w:id="138"/>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9"/>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0" w:name="img:truax_generality_b"/>
      <w:r>
        <w:t xml:space="preserve">[img:truax_generality_b]</w:t>
      </w:r>
      <w:bookmarkEnd w:id="140"/>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1" w:name="applications:notation"/>
      <w:r>
        <w:t xml:space="preserve">Music Notation Software</w:t>
      </w:r>
      <w:bookmarkEnd w:id="141"/>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2" w:name="darms-and-score"/>
      <w:r>
        <w:t xml:space="preserve">DARMS and SCORE</w:t>
      </w:r>
      <w:bookmarkEnd w:id="142"/>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3" w:name="from-staves-to-speakers"/>
      <w:r>
        <w:t xml:space="preserve">From Staves to Speakers</w:t>
      </w:r>
      <w:bookmarkEnd w:id="143"/>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4" w:name="theoretical-performance"/>
      <w:r>
        <w:t xml:space="preserve">Theoretical Performance</w:t>
      </w:r>
      <w:bookmarkEnd w:id="144"/>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5" w:name="enter-objects"/>
      <w:r>
        <w:t xml:space="preserve">Enter Objects</w:t>
      </w:r>
      <w:bookmarkEnd w:id="145"/>
    </w:p>
    <w:p>
      <w:pPr>
        <w:pStyle w:val="CaptionedFigure"/>
      </w:pPr>
      <w:bookmarkStart w:id="147"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6"/>
                    <a:stretch>
                      <a:fillRect/>
                    </a:stretch>
                  </pic:blipFill>
                  <pic:spPr bwMode="auto">
                    <a:xfrm>
                      <a:off x="0" y="0"/>
                      <a:ext cx="5334000" cy="1616153"/>
                    </a:xfrm>
                    <a:prstGeom prst="rect">
                      <a:avLst/>
                    </a:prstGeom>
                    <a:noFill/>
                    <a:ln w="9525">
                      <a:noFill/>
                      <a:headEnd/>
                      <a:tailEnd/>
                    </a:ln>
                  </pic:spPr>
                </pic:pic>
              </a:graphicData>
            </a:graphic>
          </wp:inline>
        </w:drawing>
      </w:r>
      <w:bookmarkEnd w:id="147"/>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8" w:name="computer:real-time"/>
      <w:r>
        <w:t xml:space="preserve">Max</w:t>
      </w:r>
      <w:bookmarkEnd w:id="148"/>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9"/>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0" w:name="computer:kyma"/>
      <w:r>
        <w:t xml:space="preserve">Kyma</w:t>
      </w:r>
      <w:bookmarkEnd w:id="150"/>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1"/>
      </w:r>
    </w:p>
    <w:p>
      <w:pPr>
        <w:pStyle w:val="Heading5"/>
      </w:pPr>
      <w:bookmarkStart w:id="153" w:name="computer:puredata"/>
      <w:r>
        <w:t xml:space="preserve">Pure Data</w:t>
      </w:r>
      <w:bookmarkEnd w:id="153"/>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4" w:name="graphic_scores"/>
      <w:r>
        <w:t xml:space="preserve">Graphic Scores</w:t>
      </w:r>
      <w:bookmarkEnd w:id="154"/>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5"/>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6" w:name="openmusic"/>
      <w:r>
        <w:t xml:space="preserve">OpenMusic</w:t>
      </w:r>
      <w:bookmarkEnd w:id="156"/>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7" w:name="heaps-and-nodes"/>
      <w:r>
        <w:t xml:space="preserve">Heaps and Nodes</w:t>
      </w:r>
      <w:bookmarkEnd w:id="157"/>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8" w:name="applications"/>
      <w:r>
        <w:t xml:space="preserve">Intersections</w:t>
      </w:r>
      <w:bookmarkEnd w:id="158"/>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9" w:name="corpus-based-approaches"/>
      <w:r>
        <w:t xml:space="preserve">Corpus-based Approaches</w:t>
      </w:r>
      <w:bookmarkEnd w:id="159"/>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0" w:name="concatenative-synthesis"/>
      <w:r>
        <w:t xml:space="preserve">Concatenative Synthesis</w:t>
      </w:r>
      <w:bookmarkEnd w:id="160"/>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1" w:name="other-approaches"/>
      <w:r>
        <w:t xml:space="preserve">Other approaches</w:t>
      </w:r>
      <w:bookmarkEnd w:id="161"/>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2"/>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3" w:name="software-libraries"/>
      <w:r>
        <w:t xml:space="preserve">Software Libraries</w:t>
      </w:r>
      <w:bookmarkEnd w:id="163"/>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4" w:name="querying-methods"/>
      <w:r>
        <w:t xml:space="preserve">Querying Methods</w:t>
      </w:r>
      <w:bookmarkEnd w:id="164"/>
    </w:p>
    <w:p>
      <w:pPr>
        <w:pStyle w:val="Heading5"/>
      </w:pPr>
      <w:bookmarkStart w:id="165" w:name="query-by-content"/>
      <w:r>
        <w:t xml:space="preserve">Query-by-content</w:t>
      </w:r>
      <w:bookmarkEnd w:id="165"/>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6" w:name="similarity-based"/>
      <w:r>
        <w:t xml:space="preserve">Similarity-based</w:t>
      </w:r>
      <w:bookmarkEnd w:id="166"/>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7"/>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8"/>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9" w:name="hybrid-queries"/>
      <w:r>
        <w:t xml:space="preserve">Hybrid Queries</w:t>
      </w:r>
      <w:bookmarkEnd w:id="169"/>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0" w:name="traversing-methods"/>
      <w:r>
        <w:t xml:space="preserve">Traversing Methods</w:t>
      </w:r>
      <w:bookmarkEnd w:id="170"/>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1" w:name="sensorial-networks"/>
      <w:r>
        <w:t xml:space="preserve">Sensorial Networks</w:t>
      </w:r>
      <w:bookmarkEnd w:id="171"/>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2" w:name="involuntary-navigation"/>
      <w:r>
        <w:t xml:space="preserve">Involuntary Navigation</w:t>
      </w:r>
      <w:bookmarkEnd w:id="172"/>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3" w:name="networked-collaborations"/>
      <w:r>
        <w:t xml:space="preserve">Networked Collaborations</w:t>
      </w:r>
      <w:bookmarkEnd w:id="173"/>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4" w:name="mobile-devices"/>
      <w:r>
        <w:t xml:space="preserve">Mobile Devices</w:t>
      </w:r>
      <w:bookmarkEnd w:id="174"/>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5" w:name="resource-sharing"/>
      <w:r>
        <w:t xml:space="preserve">Resource Sharing</w:t>
      </w:r>
      <w:bookmarkEnd w:id="175"/>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6"/>
      </w:r>
      <w:r>
        <w:t xml:space="preserve"> </w:t>
      </w:r>
      <w:r>
        <w:t xml:space="preserve">In any case, what is common between these forms of sharing is an entropic and endless plurality.</w:t>
      </w:r>
    </w:p>
    <w:p>
      <w:pPr>
        <w:pStyle w:val="Heading5"/>
      </w:pPr>
      <w:bookmarkStart w:id="177" w:name="multimodal-datasets"/>
      <w:r>
        <w:t xml:space="preserve">Multimodal Datasets</w:t>
      </w:r>
      <w:bookmarkEnd w:id="177"/>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8" w:name="formats"/>
      <w:r>
        <w:t xml:space="preserve">Formats</w:t>
      </w:r>
      <w:bookmarkEnd w:id="178"/>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9" w:name="live-coding"/>
      <w:r>
        <w:t xml:space="preserve">Live Coding</w:t>
      </w:r>
      <w:bookmarkEnd w:id="179"/>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0" w:name="closing-remarks"/>
      <w:r>
        <w:t xml:space="preserve">Closing Remarks</w:t>
      </w:r>
      <w:bookmarkEnd w:id="180"/>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2"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1"/>
                    <a:stretch>
                      <a:fillRect/>
                    </a:stretch>
                  </pic:blipFill>
                  <pic:spPr bwMode="auto">
                    <a:xfrm>
                      <a:off x="0" y="0"/>
                      <a:ext cx="3759200" cy="2438400"/>
                    </a:xfrm>
                    <a:prstGeom prst="rect">
                      <a:avLst/>
                    </a:prstGeom>
                    <a:noFill/>
                    <a:ln w="9525">
                      <a:noFill/>
                      <a:headEnd/>
                      <a:tailEnd/>
                    </a:ln>
                  </pic:spPr>
                </pic:pic>
              </a:graphicData>
            </a:graphic>
          </wp:inline>
        </w:drawing>
      </w:r>
      <w:bookmarkEnd w:id="182"/>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3" w:name="chapter:Database_Aesthetics"/>
      <w:r>
        <w:t xml:space="preserve">Database Aesthetics</w:t>
      </w:r>
      <w:bookmarkEnd w:id="183"/>
    </w:p>
    <w:p>
      <w:pPr>
        <w:pStyle w:val="FirstParagraph"/>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Second, 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Finally, 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Heading2"/>
      </w:pPr>
      <w:bookmarkStart w:id="184" w:name="section:Listening_Databases"/>
      <w:r>
        <w:t xml:space="preserve">Listening Databases</w:t>
      </w:r>
      <w:bookmarkEnd w:id="184"/>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feedback circuit, or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thus he refers to it as an</w:t>
      </w:r>
      <w:r>
        <w:t xml:space="preserve"> </w:t>
      </w:r>
      <w:r>
        <w:t xml:space="preserve">‘</w:t>
      </w:r>
      <w:r>
        <w:t xml:space="preserve">attack.</w:t>
      </w:r>
      <w:r>
        <w:t xml:space="preserve">’</w:t>
      </w:r>
      <w:r>
        <w:t xml:space="preserve"> </w:t>
      </w:r>
      <w:r>
        <w:t xml:space="preserve">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texture"/>
      <w:r>
        <w:t xml:space="preserve">A Texture</w:t>
      </w:r>
      <w:bookmarkEnd w:id="19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structure appears that can be understood as a feedback delay network.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referencial quality of the texture. In both cases, what is at stake in the listening experience is this interconnected web-like texture of delays and distinctions.</w:t>
      </w:r>
    </w:p>
    <w:p>
      <w:pPr>
        <w:pStyle w:val="Heading5"/>
      </w:pPr>
      <w:bookmarkStart w:id="191" w:name="a-return"/>
      <w:r>
        <w:t xml:space="preserve">A Return</w:t>
      </w:r>
      <w:bookmarkEnd w:id="19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subsecuent quotes from this passage.)</w:t>
      </w:r>
      <w:r>
        <w:t xml:space="preserve">. Neither to yourself —“not …a relationship to</w:t>
      </w:r>
      <w:r>
        <w:t xml:space="preserve"> </w:t>
      </w:r>
      <w:r>
        <w:t xml:space="preserve">‘</w:t>
      </w:r>
      <w:r>
        <w:t xml:space="preserve">me</w:t>
      </w:r>
      <w:r>
        <w:t xml:space="preserve">’</w:t>
      </w:r>
      <w:r>
        <w:t xml:space="preserve"> </w:t>
      </w:r>
      <w:r>
        <w:t xml:space="preserve">(the supposedly given subject)—,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I would like to point to, however, to one particularity of this ontology of sound. Listening is an activity of sensing bodies, and through listening their ontological condition can be accessed. In this sense, to what extent can we consider the database as a listening body? And if so, to what extent is there an ontology of the database? These are the questions that I address during the following sections.</w:t>
      </w:r>
    </w:p>
    <w:p>
      <w:pPr>
        <w:pStyle w:val="Heading3"/>
      </w:pPr>
      <w:bookmarkStart w:id="192" w:name="network"/>
      <w:r>
        <w:t xml:space="preserve">Resonant Network</w:t>
      </w:r>
      <w:bookmarkEnd w:id="192"/>
    </w:p>
    <w:p>
      <w:pPr>
        <w:pStyle w:val="Heading5"/>
      </w:pPr>
      <w:bookmarkStart w:id="193" w:name="the-recorded-movement-of-a-thing"/>
      <w:r>
        <w:t xml:space="preserve">The Recorded Movement of a Thing</w:t>
      </w:r>
      <w:bookmarkEnd w:id="193"/>
    </w:p>
    <w:p>
      <w:pPr>
        <w:pStyle w:val="FirstParagraph"/>
      </w:pPr>
      <w:r>
        <w:t xml:space="preserve">Latour (1990, 1993)</w:t>
      </w:r>
      <w:r>
        <w:t xml:space="preserve"> </w:t>
      </w:r>
      <w:r>
        <w:t xml:space="preserve">developed a theory of networks called</w:t>
      </w:r>
      <w:r>
        <w:t xml:space="preserve"> </w:t>
      </w:r>
      <w:r>
        <w:t xml:space="preserve">ant</w:t>
      </w:r>
      <w:r>
        <w:t xml:space="preserve">. It can be understood as a way of thinking the complex ways in which things —understood as every singular</w:t>
      </w:r>
      <w:r>
        <w:t xml:space="preserve"> </w:t>
      </w:r>
      <w:r>
        <w:rPr>
          <w:i/>
        </w:rPr>
        <w:t xml:space="preserve">thing</w:t>
      </w:r>
      <w:r>
        <w:t xml:space="preserve"> </w:t>
      </w:r>
      <w:r>
        <w:t xml:space="preserve">within the world— are connected between each other. In this sense, it is an image of a world made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 agents— and the interconnected acounts that these semiotic actors have of each other. The motion of these interconnected accounts can thus be understood as a mode of navigation. However,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 </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 Within this movement of actors, only meaning and connectivity is present, and there is nothing that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w:t>
      </w:r>
    </w:p>
    <w:p>
      <w:pPr>
        <w:pStyle w:val="Heading5"/>
      </w:pPr>
      <w:bookmarkStart w:id="194" w:name="the-resonant-movement-of-a-thing"/>
      <w:r>
        <w:t xml:space="preserve">The Resonant Movement of a Thing</w:t>
      </w:r>
      <w:bookmarkEnd w:id="194"/>
    </w:p>
    <w:p>
      <w:pPr>
        <w:pStyle w:val="FirstParagraph"/>
      </w:pPr>
      <w:r>
        <w:t xml:space="preserve">Considering that networks are comprised on movement, and, precisely, on the movement of meaning, there exists a possibility of thinking this movement under the scope of Nancy’s ontology of sound. That is to say, given that we can understsand sound as an experience within an interconnected web-like texture of delays and distinctions, then Latour’s phrase can be reformulated as follows:</w:t>
      </w:r>
      <w:r>
        <w:t xml:space="preserve"> </w:t>
      </w:r>
      <w:r>
        <w:rPr>
          <w:i/>
        </w:rPr>
        <w:t xml:space="preserve">the network is not a thing, but resonant movement of a thing</w:t>
      </w:r>
      <w:r>
        <w:t xml:space="preserve">. If semiotic actors in Latour’s network are in constant reference to each other, it can be argued that they are in infinite resonance with each other, in a permanent state of vibration, or simply,</w:t>
      </w:r>
      <w:r>
        <w:t xml:space="preserve"> </w:t>
      </w:r>
      <w:r>
        <w:rPr>
          <w:i/>
        </w:rPr>
        <w:t xml:space="preserve">listening</w:t>
      </w:r>
      <w:r>
        <w:t xml:space="preserve">. Therefore, these listening actors may be not only human, they are resonant subjects in Nancy’s sense described above. In this sense, semiotic actors within the network can be considered resonant agents. This is the crucial leap that comes out of the idea of a resonant network: the moment the nonhuman in the network is comprehended as resonating, it is the moment that they engage with an approach to self. The database can be considered, therefore, as a semiotic actor as well as a resonating subject.</w:t>
      </w:r>
    </w:p>
    <w:p>
      <w:pPr>
        <w:pStyle w:val="Heading3"/>
      </w:pPr>
      <w:bookmarkStart w:id="195" w:name="inoperativity"/>
      <w:r>
        <w:t xml:space="preserve">The Unworking Network</w:t>
      </w:r>
      <w:bookmarkEnd w:id="195"/>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196" w:name="community-as-unwork"/>
      <w:r>
        <w:t xml:space="preserve">Community as unwork</w:t>
      </w:r>
      <w:bookmarkEnd w:id="196"/>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inviable for a relation to exist between selves, and only an inoperative force can arrive at the common exposure of selves.</w:t>
      </w:r>
    </w:p>
    <w:p>
      <w:pPr>
        <w:pStyle w:val="Heading5"/>
      </w:pPr>
      <w:bookmarkStart w:id="197" w:name="resonant-inoperativity"/>
      <w:r>
        <w:t xml:space="preserve">Resonant Inoperativity</w:t>
      </w:r>
      <w:bookmarkEnd w:id="197"/>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198" w:name="space-of-community"/>
      <w:r>
        <w:t xml:space="preserve">Space of Community</w:t>
      </w:r>
      <w:bookmarkEnd w:id="198"/>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199" w:name="at-the-limit"/>
      <w:r>
        <w:t xml:space="preserve">At the Limit</w:t>
      </w:r>
      <w:bookmarkEnd w:id="199"/>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0" w:name="reticulated-skin"/>
      <w:r>
        <w:t xml:space="preserve">Reticulated Skin</w:t>
      </w:r>
      <w:bookmarkEnd w:id="200"/>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1" w:name="database-community"/>
      <w:r>
        <w:t xml:space="preserve">Database Community</w:t>
      </w:r>
      <w:bookmarkEnd w:id="201"/>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2" w:name="section:Databases_And_Memory"/>
      <w:r>
        <w:t xml:space="preserve">Databases And Memory</w:t>
      </w:r>
      <w:bookmarkEnd w:id="202"/>
    </w:p>
    <w:p>
      <w:pPr>
        <w:pStyle w:val="Heading3"/>
      </w:pPr>
      <w:bookmarkStart w:id="203" w:name="funeslude"/>
      <w:r>
        <w:t xml:space="preserve">Interlude: Embodied Memory</w:t>
      </w:r>
      <w:bookmarkEnd w:id="203"/>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4"/>
      </w:r>
      <w:r>
        <w:t xml:space="preserve"> </w:t>
      </w:r>
      <w:r>
        <w:t xml:space="preserve">he was secluded in a dark and enclosed space so as not to perceive the world.</w:t>
      </w:r>
      <w:r>
        <w:rPr>
          <w:rStyle w:val="FootnoteReference"/>
        </w:rPr>
        <w:footnoteReference w:id="205"/>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to the point that:</w:t>
      </w:r>
    </w:p>
    <w:p>
      <w:pPr>
        <w:pStyle w:val="BlockText"/>
      </w:pPr>
      <w:r>
        <w:t xml:space="preserve">If embodiment could be articulated separately from the body —an impossibility for several reasons, not least because articulation systematizes and normalizes experiences in the act of naming them— it would be like Funes’s numbers,</w:t>
      </w:r>
      <w:r>
        <w:t xml:space="preserve"> </w:t>
      </w:r>
      <w:r>
        <w:rPr>
          <w:i/>
        </w:rPr>
        <w:t xml:space="preserve">a froth of discrete utterances registering the continuous and infinite play of difference</w:t>
      </w:r>
      <w:r>
        <w:t xml:space="preserve">. [emphasis added]</w:t>
      </w:r>
      <w:r>
        <w:t xml:space="preserve"> </w:t>
      </w:r>
      <w:r>
        <w:t xml:space="preserve">(Hayles 1993, pp. 156–59)</w:t>
      </w:r>
    </w:p>
    <w:p>
      <w:pPr>
        <w:pStyle w:val="FirstParagraph"/>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6"/>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7"/>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08"/>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09"/>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difference is made of. The problem here —and this is evident in the story itself— is in the intersection of the finite with the infinite. While the structure of sound itself is infinite, in the sense that it is an ongoing process —i.e., circular loop— of difference,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1" w:name="human"/>
      <w:r>
        <w:t xml:space="preserve">The Effraction Of The Trace</w:t>
      </w:r>
      <w:bookmarkEnd w:id="211"/>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2"/>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3" w:name="memory-as-breaching"/>
      <w:r>
        <w:t xml:space="preserve">Memory as Breaching</w:t>
      </w:r>
      <w:bookmarkEnd w:id="213"/>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4" w:name="breaching-and-différance"/>
      <w:r>
        <w:t xml:space="preserve">Breaching and</w:t>
      </w:r>
      <w:r>
        <w:t xml:space="preserve"> </w:t>
      </w:r>
      <w:r>
        <w:rPr>
          <w:i/>
        </w:rPr>
        <w:t xml:space="preserve">différance</w:t>
      </w:r>
      <w:bookmarkEnd w:id="214"/>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5" w:name="hypomnesis-and-the-mystic-pad"/>
      <w:r>
        <w:t xml:space="preserve">Hypomnesis and the Mystic Pad</w:t>
      </w:r>
      <w:bookmarkEnd w:id="215"/>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6" w:name="nonhuman-authors"/>
      <w:r>
        <w:t xml:space="preserve">Nonhuman Authors</w:t>
      </w:r>
      <w:bookmarkEnd w:id="216"/>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7" w:name="database-as-agents"/>
      <w:r>
        <w:t xml:space="preserve">Database as Agents</w:t>
      </w:r>
      <w:bookmarkEnd w:id="217"/>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18" w:name="archontic"/>
      <w:r>
        <w:t xml:space="preserve">The Archontic Principle</w:t>
      </w:r>
      <w:bookmarkEnd w:id="218"/>
    </w:p>
    <w:p>
      <w:pPr>
        <w:pStyle w:val="Heading5"/>
      </w:pPr>
      <w:bookmarkStart w:id="219" w:name="archives-and-memory"/>
      <w:r>
        <w:t xml:space="preserve">Archives and Memory</w:t>
      </w:r>
      <w:bookmarkEnd w:id="219"/>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0" w:name="hierarchies"/>
      <w:r>
        <w:t xml:space="preserve">Hierarchies</w:t>
      </w:r>
      <w:bookmarkEnd w:id="220"/>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1" w:name="archontic-principle"/>
      <w:r>
        <w:t xml:space="preserve">Archontic Principle</w:t>
      </w:r>
      <w:bookmarkEnd w:id="221"/>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2" w:name="patriarchy"/>
      <w:r>
        <w:t xml:space="preserve">Patriarchy</w:t>
      </w:r>
      <w:bookmarkEnd w:id="222"/>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3" w:name="institutional-passage"/>
      <w:r>
        <w:t xml:space="preserve">Institutional Passage</w:t>
      </w:r>
      <w:bookmarkEnd w:id="223"/>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4" w:name="authorities"/>
      <w:r>
        <w:t xml:space="preserve">Authorities</w:t>
      </w:r>
      <w:bookmarkEnd w:id="224"/>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5" w:name="anarchic-memory"/>
      <w:r>
        <w:t xml:space="preserve">Anarchic Memory</w:t>
      </w:r>
      <w:bookmarkEnd w:id="225"/>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6" w:name="collective-memory"/>
      <w:r>
        <w:t xml:space="preserve">Collective Memory</w:t>
      </w:r>
      <w:bookmarkEnd w:id="226"/>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7" w:name="writing-code"/>
      <w:r>
        <w:t xml:space="preserve">Writing Code</w:t>
      </w:r>
      <w:bookmarkEnd w:id="227"/>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8"/>
      </w:r>
    </w:p>
    <w:p>
      <w:pPr>
        <w:pStyle w:val="Heading5"/>
      </w:pPr>
      <w:bookmarkStart w:id="230" w:name="anarchic-computer-memory"/>
      <w:r>
        <w:t xml:space="preserve">Anarchic Computer Memory</w:t>
      </w:r>
      <w:bookmarkEnd w:id="230"/>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1" w:name="spectrality"/>
      <w:r>
        <w:t xml:space="preserve">The Spectral Database</w:t>
      </w:r>
      <w:bookmarkEnd w:id="231"/>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2" w:name="computer-memory-and-writing"/>
      <w:r>
        <w:t xml:space="preserve">Computer Memory and Writing</w:t>
      </w:r>
      <w:bookmarkEnd w:id="232"/>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3" w:name="memory-replacement"/>
      <w:r>
        <w:t xml:space="preserve">Memory Replacement</w:t>
      </w:r>
      <w:bookmarkEnd w:id="233"/>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4" w:name="anarchic-records"/>
      <w:r>
        <w:t xml:space="preserve">Anarchic Records</w:t>
      </w:r>
      <w:bookmarkEnd w:id="234"/>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5"/>
      </w:r>
      <w:r>
        <w:t xml:space="preserve"> </w:t>
      </w:r>
      <w:r>
        <w:t xml:space="preserve">becomes an archivization process, that is, a process by which symbolic transcription leads to an ordered archive, i.e., a score.</w:t>
      </w:r>
      <w:r>
        <w:rPr>
          <w:rStyle w:val="FootnoteReference"/>
        </w:rPr>
        <w:footnoteReference w:id="237"/>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8" w:name="memory-and-framing"/>
      <w:r>
        <w:t xml:space="preserve">Memory and Framing</w:t>
      </w:r>
      <w:bookmarkEnd w:id="238"/>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9" w:name="nonhuman-tympans"/>
      <w:r>
        <w:t xml:space="preserve">Nonhuman Tympans</w:t>
      </w:r>
      <w:bookmarkEnd w:id="239"/>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0" w:name="spectrality-of-archives"/>
      <w:r>
        <w:t xml:space="preserve">Spectrality of Archives</w:t>
      </w:r>
      <w:bookmarkEnd w:id="240"/>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1" w:name="spectrality-of-databases"/>
      <w:r>
        <w:t xml:space="preserve">Spectrality of Databases</w:t>
      </w:r>
      <w:bookmarkEnd w:id="241"/>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2" w:name="agency-of-the-uncanny"/>
      <w:r>
        <w:t xml:space="preserve">Agency of the Uncanny</w:t>
      </w:r>
      <w:bookmarkEnd w:id="242"/>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network">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3" w:name="section:Performativity_Of_Databases"/>
      <w:r>
        <w:t xml:space="preserve">Performativity Of Databases</w:t>
      </w:r>
      <w:bookmarkEnd w:id="243"/>
    </w:p>
    <w:p>
      <w:pPr>
        <w:pStyle w:val="Heading3"/>
      </w:pPr>
      <w:bookmarkStart w:id="244" w:name="gender"/>
      <w:r>
        <w:t xml:space="preserve">Gendered Database</w:t>
      </w:r>
      <w:bookmarkEnd w:id="244"/>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5" w:name="skin-of-the-database"/>
      <w:r>
        <w:t xml:space="preserve">Skin of the Database</w:t>
      </w:r>
      <w:bookmarkEnd w:id="245"/>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6" w:name="expressing-nothing"/>
      <w:r>
        <w:t xml:space="preserve">Expressing Nothing</w:t>
      </w:r>
      <w:bookmarkEnd w:id="246"/>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7" w:name="a-historical-situation"/>
      <w:r>
        <w:t xml:space="preserve">A Historical Situation</w:t>
      </w:r>
      <w:bookmarkEnd w:id="247"/>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8" w:name="subversive-repetition"/>
      <w:r>
        <w:t xml:space="preserve">Subversive Repetition</w:t>
      </w:r>
      <w:bookmarkEnd w:id="248"/>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9" w:name="gendered-database"/>
      <w:r>
        <w:t xml:space="preserve">Gendered Database</w:t>
      </w:r>
      <w:bookmarkEnd w:id="249"/>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0" w:name="limits"/>
      <w:r>
        <w:t xml:space="preserve">Towards The Limits</w:t>
      </w:r>
      <w:bookmarkEnd w:id="250"/>
    </w:p>
    <w:p>
      <w:pPr>
        <w:pStyle w:val="Heading5"/>
      </w:pPr>
      <w:bookmarkStart w:id="251" w:name="exposure"/>
      <w:r>
        <w:t xml:space="preserve">Exposure</w:t>
      </w:r>
      <w:bookmarkEnd w:id="251"/>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5.1.3</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2" w:name="anarchic-touch"/>
      <w:r>
        <w:t xml:space="preserve">Anarchic Touch</w:t>
      </w:r>
      <w:bookmarkEnd w:id="252"/>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3" w:name="communities-of-skin"/>
      <w:r>
        <w:t xml:space="preserve">Communities of Skin</w:t>
      </w:r>
      <w:bookmarkEnd w:id="253"/>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4" w:name="hybrid-pluralities"/>
      <w:r>
        <w:t xml:space="preserve">Hybrid Pluralities</w:t>
      </w:r>
      <w:bookmarkEnd w:id="254"/>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5" w:name="style"/>
      <w:r>
        <w:t xml:space="preserve">Contingencies Of Style</w:t>
      </w:r>
      <w:bookmarkEnd w:id="255"/>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6" w:name="style-and-timbre"/>
      <w:r>
        <w:t xml:space="preserve">Style and Timbre</w:t>
      </w:r>
      <w:bookmarkEnd w:id="256"/>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7"/>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8" w:name="endless-databases"/>
      <w:r>
        <w:t xml:space="preserve">Endless Databases</w:t>
      </w:r>
      <w:bookmarkEnd w:id="258"/>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9" w:name="database-and-chaos"/>
      <w:r>
        <w:t xml:space="preserve">Database and Chaos</w:t>
      </w:r>
      <w:bookmarkEnd w:id="259"/>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1" w:name="img:lorenz_plotter"/>
      <w:r>
        <w:t xml:space="preserve">[img:lorenz_plotter]</w:t>
      </w:r>
      <w:bookmarkEnd w:id="261"/>
    </w:p>
    <w:p>
      <w:pPr>
        <w:pStyle w:val="BodyText"/>
      </w:pPr>
      <w:r>
        <w:t xml:space="preserve">Plotting of the Lorenz system in Pure Data.</w:t>
      </w:r>
    </w:p>
    <w:p>
      <w:pPr>
        <w:pStyle w:val="Heading5"/>
      </w:pPr>
      <w:bookmarkStart w:id="262" w:name="fractality"/>
      <w:r>
        <w:t xml:space="preserve">Fractality</w:t>
      </w:r>
      <w:bookmarkEnd w:id="262"/>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3" w:name="a-music-work-as-a-singularity"/>
      <w:r>
        <w:t xml:space="preserve">A Music Work as a Singularity</w:t>
      </w:r>
      <w:bookmarkEnd w:id="263"/>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4" w:name="arbitrariness"/>
      <w:r>
        <w:t xml:space="preserve">Arbitrariness</w:t>
      </w:r>
      <w:bookmarkEnd w:id="264"/>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5" w:name="inoperative-style"/>
      <w:r>
        <w:t xml:space="preserve">Inoperative Style</w:t>
      </w:r>
      <w:bookmarkEnd w:id="265"/>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6" w:name="authority"/>
      <w:r>
        <w:t xml:space="preserve">A Specter Of Authority</w:t>
      </w:r>
      <w:bookmarkEnd w:id="266"/>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5.1.2</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7" w:name="the-name"/>
      <w:r>
        <w:t xml:space="preserve">The Name</w:t>
      </w:r>
      <w:bookmarkEnd w:id="267"/>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8"/>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69" w:name="dictionaries"/>
      <w:r>
        <w:t xml:space="preserve">Dictionaries</w:t>
      </w:r>
      <w:bookmarkEnd w:id="269"/>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0" w:name="artistry"/>
      <w:r>
        <w:t xml:space="preserve">Artistry</w:t>
      </w:r>
      <w:bookmarkEnd w:id="270"/>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1"/>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2"/>
      </w:r>
    </w:p>
    <w:p>
      <w:pPr>
        <w:pStyle w:val="Heading5"/>
      </w:pPr>
      <w:bookmarkStart w:id="273" w:name="the-work-of-mice"/>
      <w:r>
        <w:t xml:space="preserve">The Work of Mice</w:t>
      </w:r>
      <w:bookmarkEnd w:id="273"/>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4" w:name="section:Rethinking_Composition"/>
      <w:r>
        <w:t xml:space="preserve">Rethinking Composition</w:t>
      </w:r>
      <w:bookmarkEnd w:id="274"/>
    </w:p>
    <w:p>
      <w:pPr>
        <w:pStyle w:val="Heading3"/>
      </w:pPr>
      <w:bookmarkStart w:id="275" w:name="performance"/>
      <w:r>
        <w:t xml:space="preserve">Interlude: Hyperbolic Reactions</w:t>
      </w:r>
      <w:bookmarkEnd w:id="275"/>
    </w:p>
    <w:p>
      <w:pPr>
        <w:pStyle w:val="Heading5"/>
      </w:pPr>
      <w:bookmarkStart w:id="276" w:name="imagining-composers"/>
      <w:r>
        <w:t xml:space="preserve">Imagining Composers</w:t>
      </w:r>
      <w:bookmarkEnd w:id="276"/>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7" w:name="composers-and-technology"/>
      <w:r>
        <w:t xml:space="preserve">Composers and Technology</w:t>
      </w:r>
      <w:bookmarkEnd w:id="277"/>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8" w:name="playing-with-shadows"/>
      <w:r>
        <w:t xml:space="preserve">Playing with Shadows</w:t>
      </w:r>
      <w:bookmarkEnd w:id="278"/>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9" w:name="composers-without-computers"/>
      <w:r>
        <w:t xml:space="preserve">Composers Without Computers</w:t>
      </w:r>
      <w:bookmarkEnd w:id="279"/>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0" w:name="databasing-without-computers"/>
      <w:r>
        <w:t xml:space="preserve">Databasing Without Computers</w:t>
      </w:r>
      <w:bookmarkEnd w:id="280"/>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1" w:name="organic"/>
      <w:r>
        <w:t xml:space="preserve">Working Composition</w:t>
      </w:r>
      <w:bookmarkEnd w:id="281"/>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2" w:name="the-work-problem"/>
      <w:r>
        <w:t xml:space="preserve">The Work Problem</w:t>
      </w:r>
      <w:bookmarkEnd w:id="282"/>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3" w:name="working-rules"/>
      <w:r>
        <w:t xml:space="preserve">Working Rules</w:t>
      </w:r>
      <w:bookmarkEnd w:id="283"/>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5.1.1</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4" w:name="a-space-of-difference"/>
      <w:r>
        <w:t xml:space="preserve">A Space of Difference</w:t>
      </w:r>
      <w:bookmarkEnd w:id="284"/>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5.1.3</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5"/>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6" w:name="a-severed-work"/>
      <w:r>
        <w:t xml:space="preserve">A Severed Work</w:t>
      </w:r>
      <w:bookmarkEnd w:id="286"/>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7" w:name="absorbption"/>
      <w:r>
        <w:t xml:space="preserve">Absorbption</w:t>
      </w:r>
      <w:bookmarkEnd w:id="287"/>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8" w:name="practice"/>
      <w:r>
        <w:t xml:space="preserve">The Composer As Navigator</w:t>
      </w:r>
      <w:bookmarkEnd w:id="288"/>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9" w:name="querying-the-sieves"/>
      <w:r>
        <w:t xml:space="preserve">Querying the Sieves</w:t>
      </w:r>
      <w:bookmarkEnd w:id="289"/>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0"/>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3"/>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4"/>
      </w:r>
    </w:p>
    <w:p>
      <w:pPr>
        <w:pStyle w:val="Heading5"/>
      </w:pPr>
      <w:bookmarkStart w:id="295" w:name="sound-synthesis-parenthesis"/>
      <w:r>
        <w:t xml:space="preserve">Sound Synthesis Parenthesis</w:t>
      </w:r>
      <w:bookmarkEnd w:id="295"/>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6"/>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8" w:name="algebraic-abstractions-for-freedom"/>
      <w:r>
        <w:t xml:space="preserve">Algebraic Abstractions for Freedom</w:t>
      </w:r>
      <w:bookmarkEnd w:id="298"/>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9" w:name="a-cosmic-vessel-and-an-armchair"/>
      <w:r>
        <w:t xml:space="preserve">A Cosmic Vessel and an Armchair</w:t>
      </w:r>
      <w:bookmarkEnd w:id="299"/>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0"/>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1" w:name="improv"/>
      <w:r>
        <w:t xml:space="preserve">The Database As Performer</w:t>
      </w:r>
      <w:bookmarkEnd w:id="301"/>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2" w:name="the-computer-as-a-musical-instrument"/>
      <w:r>
        <w:t xml:space="preserve">The Computer as a Musical Instrument</w:t>
      </w:r>
      <w:bookmarkEnd w:id="302"/>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3" w:name="a-minor-liberty"/>
      <w:r>
        <w:t xml:space="preserve">A Minor Liberty</w:t>
      </w:r>
      <w:bookmarkEnd w:id="303"/>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4" w:name="the-computer-as-a-player"/>
      <w:r>
        <w:t xml:space="preserve">The Computer as a Player</w:t>
      </w:r>
      <w:bookmarkEnd w:id="304"/>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5" w:name="programming-decisions"/>
      <w:r>
        <w:t xml:space="preserve">Programming Decisions</w:t>
      </w:r>
      <w:bookmarkEnd w:id="305"/>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6" w:name="anachronic-composers"/>
      <w:r>
        <w:t xml:space="preserve">Anachronic Composers</w:t>
      </w:r>
      <w:bookmarkEnd w:id="306"/>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7" w:name="section"/>
      <w:bookmarkEnd w:id="307"/>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8"/>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9" w:name="nonhuman-composers"/>
      <w:r>
        <w:t xml:space="preserve">Nonhuman composers</w:t>
      </w:r>
      <w:bookmarkEnd w:id="309"/>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0" w:name="fractured-works"/>
      <w:r>
        <w:t xml:space="preserve">Fractured Works</w:t>
      </w:r>
      <w:bookmarkEnd w:id="310"/>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1" w:name="databasing-vessel"/>
      <w:r>
        <w:t xml:space="preserve">Databasing Vessel</w:t>
      </w:r>
      <w:bookmarkEnd w:id="311"/>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2" w:name="music"/>
      <w:r>
        <w:t xml:space="preserve">The Severed Object Of Music</w:t>
      </w:r>
      <w:bookmarkEnd w:id="312"/>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3" w:name="an-incomplete-object"/>
      <w:r>
        <w:t xml:space="preserve">An Incomplete Object</w:t>
      </w:r>
      <w:bookmarkEnd w:id="313"/>
    </w:p>
    <w:p>
      <w:pPr>
        <w:pStyle w:val="FirstParagraph"/>
      </w:pPr>
      <w:r>
        <w:t xml:space="preserve">I would like to refer once again to Jean-Luc Nancy’s concept of inoperativity (See</w:t>
      </w:r>
      <w:r>
        <w:t xml:space="preserve"> </w:t>
      </w:r>
      <w:hyperlink w:anchor="inoperativity">
        <w:r>
          <w:rPr>
            <w:rStyle w:val="Hyperlink"/>
          </w:rPr>
          <w:t xml:space="preserve">5.1.3</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4"/>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5" w:name="remains-of-listening"/>
      <w:r>
        <w:t xml:space="preserve">Remains of Listening</w:t>
      </w:r>
      <w:bookmarkEnd w:id="315"/>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6" w:name="sources-and-sorcerers"/>
      <w:r>
        <w:t xml:space="preserve">Sources and Sorcerers</w:t>
      </w:r>
      <w:bookmarkEnd w:id="316"/>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7" w:name="naming"/>
      <w:r>
        <w:t xml:space="preserve">Naming</w:t>
      </w:r>
      <w:bookmarkEnd w:id="317"/>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8"/>
      </w:r>
    </w:p>
    <w:p>
      <w:pPr>
        <w:pStyle w:val="Heading5"/>
      </w:pPr>
      <w:bookmarkStart w:id="319" w:name="dynamics"/>
      <w:r>
        <w:t xml:space="preserve">Dynamics</w:t>
      </w:r>
      <w:bookmarkEnd w:id="319"/>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0" w:name="masterwork"/>
      <w:r>
        <w:t xml:space="preserve">Masterwork</w:t>
      </w:r>
      <w:bookmarkEnd w:id="320"/>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1" w:name="architecture-of-obedience"/>
      <w:r>
        <w:t xml:space="preserve">Architecture of Obedience</w:t>
      </w:r>
      <w:bookmarkEnd w:id="321"/>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2" w:name="anarchy"/>
      <w:r>
        <w:t xml:space="preserve">Anarchy And The Unwork</w:t>
      </w:r>
      <w:bookmarkEnd w:id="322"/>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3" w:name="place-in-common"/>
      <w:r>
        <w:t xml:space="preserve">Place in Common</w:t>
      </w:r>
      <w:bookmarkEnd w:id="323"/>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4" w:name="disintegrated-imperative"/>
      <w:r>
        <w:t xml:space="preserve">Disintegrated Imperative</w:t>
      </w:r>
      <w:bookmarkEnd w:id="324"/>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the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5" w:name="blind-experimentation"/>
      <w:r>
        <w:t xml:space="preserve">Blind Experimentation</w:t>
      </w:r>
      <w:bookmarkEnd w:id="325"/>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6" w:name="doctoring-the-glitch"/>
      <w:r>
        <w:t xml:space="preserve">Doctoring the Glitch</w:t>
      </w:r>
      <w:bookmarkEnd w:id="326"/>
    </w:p>
    <w:p>
      <w:pPr>
        <w:pStyle w:val="FirstParagraph"/>
      </w:pPr>
      <w:r>
        <w:t xml:space="preserve">It must be noted that his inclination towards bringing academic knowledge to the academy of the Internet refers not only to computer music software. Professors, generally of computer music techniques,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his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7" w:name="unnecessary-blindfolds"/>
      <w:r>
        <w:t xml:space="preserve">Unnecessary Blindfolds</w:t>
      </w:r>
      <w:bookmarkEnd w:id="327"/>
    </w:p>
    <w:p>
      <w:pPr>
        <w:pStyle w:val="FirstParagraph"/>
      </w:pPr>
      <w:r>
        <w:t xml:space="preserve">How are we to interpret this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inevitably private, a personal construction, like any other personal growth, or the overcoming of fears.</w:t>
      </w:r>
    </w:p>
    <w:p>
      <w:pPr>
        <w:pStyle w:val="Heading5"/>
      </w:pPr>
      <w:bookmarkStart w:id="328" w:name="spectral-remains"/>
      <w:r>
        <w:t xml:space="preserve">Spectral Remains</w:t>
      </w:r>
      <w:bookmarkEnd w:id="328"/>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9" w:name="macroforma"/>
      <w:r>
        <w:t xml:space="preserve">Macroforma</w:t>
      </w:r>
      <w:bookmarkEnd w:id="329"/>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0" w:name="overfitting"/>
      <w:r>
        <w:t xml:space="preserve">Overfitting</w:t>
      </w:r>
      <w:bookmarkEnd w:id="330"/>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 musical behaviors.</w:t>
      </w:r>
    </w:p>
    <w:p>
      <w:pPr>
        <w:pStyle w:val="Heading3"/>
      </w:pPr>
      <w:bookmarkStart w:id="331" w:name="worker"/>
      <w:r>
        <w:t xml:space="preserve">[Wip] Work In Progress</w:t>
      </w:r>
      <w:bookmarkEnd w:id="331"/>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2" w:name="chapter:Conclusion"/>
      <w:r>
        <w:t xml:space="preserve">Conclusion</w:t>
      </w:r>
      <w:bookmarkEnd w:id="332"/>
    </w:p>
    <w:p>
      <w:pPr>
        <w:pStyle w:val="FirstParagraph"/>
      </w:pPr>
      <w:r>
        <w:t xml:space="preserve">…</w:t>
      </w:r>
      <w:r>
        <w:t xml:space="preserve"> </w:t>
      </w:r>
      <w:r>
        <w:t xml:space="preserve">placeholder for conclusion abstract</w:t>
      </w:r>
      <w:r>
        <w:t xml:space="preserve"> </w:t>
      </w:r>
      <w:r>
        <w:t xml:space="preserve">…</w:t>
      </w:r>
    </w:p>
    <w:p>
      <w:pPr>
        <w:pStyle w:val="Heading1"/>
      </w:pPr>
      <w:bookmarkStart w:id="333" w:name="chapter:Appendices"/>
      <w:r>
        <w:t xml:space="preserve">Appendices</w:t>
      </w:r>
      <w:bookmarkEnd w:id="333"/>
    </w:p>
    <w:p>
      <w:pPr>
        <w:pStyle w:val="FirstParagraph"/>
      </w:pPr>
      <w:r>
        <w:t xml:space="preserve">abstract of appendices</w:t>
      </w:r>
    </w:p>
    <w:p>
      <w:pPr>
        <w:pStyle w:val="Heading2"/>
      </w:pPr>
      <w:bookmarkStart w:id="334" w:name="X9928d5a4298d9156e673c83842d96a99bfb66d7"/>
      <w:r>
        <w:t xml:space="preserve">DIANA: Database for Image and Audio Navigation</w:t>
      </w:r>
      <w:bookmarkEnd w:id="334"/>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5" w:name="dbmodel"/>
      <w:r>
        <w:t xml:space="preserve">A Database Model</w:t>
      </w:r>
      <w:bookmarkEnd w:id="335"/>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6" w:name="X7616598f194c52ee6f4c09f01c755a7090177ba"/>
      <w:r>
        <w:t xml:space="preserve">ABBY: An Online Environment for Annotated Bibliographies</w:t>
      </w:r>
      <w:bookmarkEnd w:id="336"/>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28">
        <w:r>
          <w:rPr>
            <w:rStyle w:val="Hyperlink"/>
          </w:rPr>
          <w:t xml:space="preserve">https://fdch.github.io/abby</w:t>
        </w:r>
      </w:hyperlink>
      <w:r>
        <w:t xml:space="preserve">, and the code can be accessed or cloned from</w:t>
      </w:r>
      <w:r>
        <w:t xml:space="preserve"> </w:t>
      </w:r>
      <w:hyperlink r:id="rId29">
        <w:r>
          <w:rPr>
            <w:rStyle w:val="Hyperlink"/>
          </w:rPr>
          <w:t xml:space="preserve">https://github.com/fdch/litrev</w:t>
        </w:r>
      </w:hyperlink>
      <w:r>
        <w:t xml:space="preserve">.</w:t>
      </w:r>
    </w:p>
    <w:p>
      <w:pPr>
        <w:pStyle w:val="Heading3"/>
      </w:pPr>
      <w:bookmarkStart w:id="337" w:name="texdb"/>
      <w:r>
        <w:t xml:space="preserve">A Text Database</w:t>
      </w:r>
      <w:bookmarkEnd w:id="337"/>
    </w:p>
    <w:p>
      <w:pPr>
        <w:pStyle w:val="FirstParagraph"/>
      </w:pPr>
      <w:r>
        <w:t xml:space="preserve">A detailed description of the text database model…</w:t>
      </w:r>
    </w:p>
    <w:bookmarkStart w:id="678" w:name="refs"/>
    <w:bookmarkStart w:id="33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8"/>
    <w:bookmarkStart w:id="33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9"/>
    <w:bookmarkStart w:id="34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0"/>
    <w:bookmarkStart w:id="34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1"/>
    <w:bookmarkStart w:id="34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2"/>
    <w:bookmarkStart w:id="34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3">
        <w:r>
          <w:rPr>
            <w:rStyle w:val="Hyperlink"/>
          </w:rPr>
          <w:t xml:space="preserve">http://www.terasoft.com.tw/conf/ismir2014/proceedings/T014_162_Paper.pdf</w:t>
        </w:r>
      </w:hyperlink>
    </w:p>
    <w:bookmarkEnd w:id="344"/>
    <w:bookmarkStart w:id="34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5"/>
    <w:bookmarkStart w:id="34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6"/>
    <w:bookmarkStart w:id="34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7"/>
    <w:bookmarkStart w:id="34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8"/>
    <w:bookmarkStart w:id="34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9"/>
    <w:bookmarkStart w:id="35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0"/>
    <w:bookmarkStart w:id="35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1"/>
    <w:bookmarkStart w:id="35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2"/>
    <w:bookmarkStart w:id="35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3"/>
    <w:bookmarkStart w:id="35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4"/>
    <w:bookmarkStart w:id="355" w:name="ref-Bar20:Viv"/>
    <w:p>
      <w:pPr>
        <w:pStyle w:val="Bibliography"/>
      </w:pPr>
      <w:r>
        <w:t xml:space="preserve">Barrett N. 2000b. Viva la selva</w:t>
      </w:r>
    </w:p>
    <w:bookmarkEnd w:id="355"/>
    <w:bookmarkStart w:id="356" w:name="ref-Bar68:Ele"/>
    <w:p>
      <w:pPr>
        <w:pStyle w:val="Bibliography"/>
      </w:pPr>
      <w:r>
        <w:t xml:space="preserve">Barthes R, Lavers A, Smith C. 1968.</w:t>
      </w:r>
      <w:r>
        <w:t xml:space="preserve"> </w:t>
      </w:r>
      <w:r>
        <w:rPr>
          <w:i/>
        </w:rPr>
        <w:t xml:space="preserve">Elements of Semiology</w:t>
      </w:r>
      <w:r>
        <w:t xml:space="preserve">. Hill; Wang, New York. ed.</w:t>
      </w:r>
    </w:p>
    <w:bookmarkEnd w:id="356"/>
    <w:bookmarkStart w:id="35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7"/>
    <w:bookmarkStart w:id="35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8"/>
    <w:bookmarkStart w:id="35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9"/>
    <w:bookmarkStart w:id="36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0">
        <w:r>
          <w:rPr>
            <w:rStyle w:val="Hyperlink"/>
          </w:rPr>
          <w:t xml:space="preserve">http://www.terasoft.com.tw/conf/ismir2014/proceedings/T028_322_Paper.pdf</w:t>
        </w:r>
      </w:hyperlink>
    </w:p>
    <w:bookmarkEnd w:id="361"/>
    <w:bookmarkStart w:id="36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2"/>
    <w:bookmarkStart w:id="36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3">
        <w:r>
          <w:rPr>
            <w:rStyle w:val="Hyperlink"/>
          </w:rPr>
          <w:t xml:space="preserve">http://www.ppgia.pucpr.br/ismir2013/wp-content/uploads/2013/09/177\_Paper.pdf</w:t>
        </w:r>
      </w:hyperlink>
    </w:p>
    <w:bookmarkEnd w:id="364"/>
    <w:bookmarkStart w:id="36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5"/>
    <w:bookmarkStart w:id="366" w:name="ref-Bor42:Fun"/>
    <w:p>
      <w:pPr>
        <w:pStyle w:val="Bibliography"/>
      </w:pPr>
      <w:r>
        <w:t xml:space="preserve">Borges JL. 1942. Funes el memorioso.</w:t>
      </w:r>
      <w:r>
        <w:t xml:space="preserve"> </w:t>
      </w:r>
      <w:r>
        <w:rPr>
          <w:i/>
        </w:rPr>
        <w:t xml:space="preserve">Ficciones</w:t>
      </w:r>
    </w:p>
    <w:bookmarkEnd w:id="366"/>
    <w:bookmarkStart w:id="367" w:name="ref-Bor95:Rat"/>
    <w:p>
      <w:pPr>
        <w:pStyle w:val="Bibliography"/>
      </w:pPr>
      <w:r>
        <w:t xml:space="preserve">Born G. 1995.</w:t>
      </w:r>
      <w:r>
        <w:t xml:space="preserve"> </w:t>
      </w:r>
      <w:r>
        <w:rPr>
          <w:i/>
        </w:rPr>
        <w:t xml:space="preserve">Rationalizing Culture</w:t>
      </w:r>
      <w:r>
        <w:t xml:space="preserve">. University of California Press. ed.</w:t>
      </w:r>
    </w:p>
    <w:bookmarkEnd w:id="367"/>
    <w:bookmarkStart w:id="36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8"/>
    <w:bookmarkStart w:id="36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9"/>
    <w:bookmarkStart w:id="37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0"/>
    <w:bookmarkStart w:id="37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1"/>
    <w:bookmarkStart w:id="37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2"/>
    <w:bookmarkStart w:id="37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3"/>
    <w:bookmarkStart w:id="374" w:name="ref-score11manual"/>
    <w:p>
      <w:pPr>
        <w:pStyle w:val="Bibliography"/>
      </w:pPr>
      <w:r>
        <w:t xml:space="preserve">Brinkman AR. 1982. Original version of the score11 manual.</w:t>
      </w:r>
      <w:r>
        <w:t xml:space="preserve"> </w:t>
      </w:r>
      <w:r>
        <w:rPr>
          <w:i/>
        </w:rPr>
        <w:t xml:space="preserve">Score11 Manual</w:t>
      </w:r>
    </w:p>
    <w:bookmarkEnd w:id="374"/>
    <w:bookmarkStart w:id="37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5"/>
    <w:bookmarkStart w:id="37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6"/>
    <w:bookmarkStart w:id="37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7"/>
    <w:bookmarkStart w:id="37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8">
        <w:r>
          <w:rPr>
            <w:rStyle w:val="Hyperlink"/>
          </w:rPr>
          <w:t xml:space="preserve">http://www.nime.org/proceedings/2011/nime2011_387.pdf</w:t>
        </w:r>
      </w:hyperlink>
    </w:p>
    <w:bookmarkEnd w:id="379"/>
    <w:bookmarkStart w:id="38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0">
        <w:r>
          <w:rPr>
            <w:rStyle w:val="Hyperlink"/>
          </w:rPr>
          <w:t xml:space="preserve">http://www.nime.org/proceedings/2009/nime2009_266.pdf</w:t>
        </w:r>
      </w:hyperlink>
    </w:p>
    <w:bookmarkEnd w:id="381"/>
    <w:bookmarkStart w:id="38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2"/>
    <w:bookmarkStart w:id="38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3"/>
    <w:bookmarkStart w:id="38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4"/>
    <w:bookmarkStart w:id="385" w:name="ref-Bux77:Aco"/>
    <w:p>
      <w:pPr>
        <w:pStyle w:val="Bibliography"/>
      </w:pPr>
      <w:r>
        <w:t xml:space="preserve">Buxton W. 1977. A composer’s introduction to computer music.</w:t>
      </w:r>
      <w:r>
        <w:t xml:space="preserve"> </w:t>
      </w:r>
      <w:r>
        <w:rPr>
          <w:i/>
        </w:rPr>
        <w:t xml:space="preserve">Interface</w:t>
      </w:r>
      <w:r>
        <w:t xml:space="preserve">. 6:57–72</w:t>
      </w:r>
    </w:p>
    <w:bookmarkEnd w:id="385"/>
    <w:bookmarkStart w:id="386" w:name="ref-youtube/buxton10"/>
    <w:p>
      <w:pPr>
        <w:pStyle w:val="Bibliography"/>
      </w:pPr>
      <w:r>
        <w:t xml:space="preserve">Buxton W. 2016a. Objed: The sssp sound editing tool.</w:t>
      </w:r>
      <w:r>
        <w:t xml:space="preserve"> </w:t>
      </w:r>
      <w:r>
        <w:rPr>
          <w:i/>
        </w:rPr>
        <w:t xml:space="preserve">Youtube</w:t>
      </w:r>
    </w:p>
    <w:bookmarkEnd w:id="386"/>
    <w:bookmarkStart w:id="38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7"/>
    <w:bookmarkStart w:id="38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8"/>
    <w:bookmarkStart w:id="38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9"/>
    <w:bookmarkStart w:id="39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0"/>
    <w:bookmarkStart w:id="39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1">
        <w:r>
          <w:rPr>
            <w:rStyle w:val="Hyperlink"/>
          </w:rPr>
          <w:t xml:space="preserve">http://www.nime.org/proceedings/2011/nime2011_329.pdf</w:t>
        </w:r>
      </w:hyperlink>
    </w:p>
    <w:bookmarkEnd w:id="392"/>
    <w:bookmarkStart w:id="39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3"/>
    <w:bookmarkStart w:id="39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4"/>
    <w:bookmarkStart w:id="39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5"/>
    <w:bookmarkStart w:id="396" w:name="ref-Rya17:OnT"/>
    <w:p>
      <w:pPr>
        <w:pStyle w:val="Bibliography"/>
      </w:pPr>
      <w:r>
        <w:t xml:space="preserve">Carter R. 2017. On the expressive potential of suboptimal speakers</w:t>
      </w:r>
    </w:p>
    <w:bookmarkEnd w:id="396"/>
    <w:bookmarkStart w:id="39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7"/>
    <w:bookmarkStart w:id="39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8"/>
    <w:bookmarkStart w:id="39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9"/>
    <w:bookmarkStart w:id="40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0"/>
    <w:bookmarkStart w:id="40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1"/>
    <w:bookmarkStart w:id="40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2"/>
    <w:bookmarkStart w:id="40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3"/>
    <w:bookmarkStart w:id="40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4"/>
    <w:bookmarkStart w:id="405" w:name="ref-Cho00:Voi"/>
    <w:p>
      <w:pPr>
        <w:pStyle w:val="Bibliography"/>
      </w:pPr>
      <w:r>
        <w:t xml:space="preserve">Choi I. 2000. Voices in ruins — composition with residuals</w:t>
      </w:r>
    </w:p>
    <w:bookmarkEnd w:id="405"/>
    <w:bookmarkStart w:id="40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6"/>
    <w:bookmarkStart w:id="40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7"/>
    <w:bookmarkStart w:id="40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8"/>
    <w:bookmarkStart w:id="40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9"/>
    <w:bookmarkStart w:id="41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0"/>
    <w:bookmarkStart w:id="41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1"/>
    <w:bookmarkStart w:id="41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2"/>
    <w:bookmarkStart w:id="41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3"/>
    <w:bookmarkStart w:id="41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4"/>
    <w:bookmarkStart w:id="415" w:name="ref-connes:shapes"/>
    <w:p>
      <w:pPr>
        <w:pStyle w:val="Bibliography"/>
      </w:pPr>
      <w:r>
        <w:t xml:space="preserve">Connes A. 2012. The music of shapes</w:t>
      </w:r>
    </w:p>
    <w:bookmarkEnd w:id="415"/>
    <w:bookmarkStart w:id="41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6"/>
    <w:bookmarkStart w:id="41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7"/>
    <w:bookmarkStart w:id="41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8"/>
    <w:bookmarkStart w:id="41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9"/>
    <w:bookmarkStart w:id="42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0"/>
    <w:bookmarkStart w:id="42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1">
        <w:r>
          <w:rPr>
            <w:rStyle w:val="Hyperlink"/>
          </w:rPr>
          <w:t xml:space="preserve">https://ismir2017.smcnus.org/wp-content/uploads/2017/10/235_Paper.pdf</w:t>
        </w:r>
      </w:hyperlink>
    </w:p>
    <w:bookmarkEnd w:id="422"/>
    <w:bookmarkStart w:id="424" w:name="ref-crowley98"/>
    <w:p>
      <w:pPr>
        <w:pStyle w:val="Bibliography"/>
      </w:pPr>
      <w:r>
        <w:t xml:space="preserve">Crowley C. 1998. Data structures for text sequences.</w:t>
      </w:r>
      <w:r>
        <w:t xml:space="preserve"> </w:t>
      </w:r>
      <w:hyperlink r:id="rId423">
        <w:r>
          <w:rPr>
            <w:rStyle w:val="Hyperlink"/>
          </w:rPr>
          <w:t xml:space="preserve">https://www.cs.unm.edu/~crowley/papers/sds.pdf</w:t>
        </w:r>
      </w:hyperlink>
    </w:p>
    <w:bookmarkEnd w:id="424"/>
    <w:bookmarkStart w:id="42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5"/>
    <w:bookmarkStart w:id="42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6">
        <w:r>
          <w:rPr>
            <w:rStyle w:val="Hyperlink"/>
          </w:rPr>
          <w:t xml:space="preserve">https://ismir2017.smcnus.org/wp-content/uploads/2017/10/75_Paper.pdf</w:t>
        </w:r>
      </w:hyperlink>
    </w:p>
    <w:bookmarkEnd w:id="427"/>
    <w:bookmarkStart w:id="42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8"/>
    <w:bookmarkStart w:id="42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9"/>
    <w:bookmarkStart w:id="43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0"/>
    <w:bookmarkStart w:id="431" w:name="ref-Der78:Wri"/>
    <w:p>
      <w:pPr>
        <w:pStyle w:val="Bibliography"/>
      </w:pPr>
      <w:r>
        <w:t xml:space="preserve">Derrida J. 1978.</w:t>
      </w:r>
      <w:r>
        <w:t xml:space="preserve"> </w:t>
      </w:r>
      <w:r>
        <w:rPr>
          <w:i/>
        </w:rPr>
        <w:t xml:space="preserve">Writing and Difference</w:t>
      </w:r>
      <w:r>
        <w:t xml:space="preserve">. The University of Chicago. ed.</w:t>
      </w:r>
    </w:p>
    <w:bookmarkEnd w:id="431"/>
    <w:bookmarkStart w:id="432" w:name="ref-Der82:Mar"/>
    <w:p>
      <w:pPr>
        <w:pStyle w:val="Bibliography"/>
      </w:pPr>
      <w:r>
        <w:t xml:space="preserve">Derrida J. 1982.</w:t>
      </w:r>
      <w:r>
        <w:t xml:space="preserve"> </w:t>
      </w:r>
      <w:r>
        <w:rPr>
          <w:i/>
        </w:rPr>
        <w:t xml:space="preserve">Margins of Philosophy</w:t>
      </w:r>
      <w:r>
        <w:t xml:space="preserve">. The Harvester Press. ed.</w:t>
      </w:r>
    </w:p>
    <w:bookmarkEnd w:id="432"/>
    <w:bookmarkStart w:id="433" w:name="ref-Der95:Arc"/>
    <w:p>
      <w:pPr>
        <w:pStyle w:val="Bibliography"/>
      </w:pPr>
      <w:r>
        <w:t xml:space="preserve">Derrida J, Prenowitz E. 1995. Archive fever: A freudian impression.</w:t>
      </w:r>
      <w:r>
        <w:t xml:space="preserve"> </w:t>
      </w:r>
      <w:r>
        <w:rPr>
          <w:i/>
        </w:rPr>
        <w:t xml:space="preserve">Diacritics</w:t>
      </w:r>
      <w:r>
        <w:t xml:space="preserve">. 25(2):</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6"/>
    <w:bookmarkStart w:id="50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7"/>
    <w:bookmarkStart w:id="50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8"/>
    <w:bookmarkStart w:id="51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9">
        <w:r>
          <w:rPr>
            <w:rStyle w:val="Hyperlink"/>
          </w:rPr>
          <w:t xml:space="preserve">http://www.terasoft.com.tw/conf/ismir2014/proceedings/T039_344_Paper.pdf</w:t>
        </w:r>
      </w:hyperlink>
    </w:p>
    <w:bookmarkEnd w:id="510"/>
    <w:bookmarkStart w:id="511" w:name="ref-Kle98:The"/>
    <w:p>
      <w:pPr>
        <w:pStyle w:val="Bibliography"/>
      </w:pPr>
      <w:r>
        <w:t xml:space="preserve">Klein J. 1998. The wolves of bays mountain</w:t>
      </w:r>
    </w:p>
    <w:bookmarkEnd w:id="511"/>
    <w:bookmarkStart w:id="512" w:name="ref-Kle17:Lec"/>
    <w:p>
      <w:pPr>
        <w:pStyle w:val="Bibliography"/>
      </w:pPr>
      <w:r>
        <w:t xml:space="preserve">Klein J. 2017.</w:t>
      </w:r>
      <w:r>
        <w:t xml:space="preserve"> </w:t>
      </w:r>
      <w:r>
        <w:rPr>
          <w:i/>
        </w:rPr>
        <w:t xml:space="preserve">On my compositional approach</w:t>
      </w:r>
      <w:r>
        <w:t xml:space="preserve">. Work. Pap.</w:t>
      </w:r>
    </w:p>
    <w:bookmarkEnd w:id="512"/>
    <w:bookmarkStart w:id="51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3"/>
    <w:bookmarkStart w:id="51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4">
        <w:r>
          <w:rPr>
            <w:rStyle w:val="Hyperlink"/>
          </w:rPr>
          <w:t xml:space="preserve">http://ismir2015.uma.es/articles/246_Paper.pdf</w:t>
        </w:r>
      </w:hyperlink>
    </w:p>
    <w:bookmarkEnd w:id="515"/>
    <w:bookmarkStart w:id="51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6"/>
    <w:bookmarkStart w:id="517"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7"/>
    <w:bookmarkStart w:id="518"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8"/>
    <w:bookmarkStart w:id="519"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9"/>
    <w:bookmarkStart w:id="520"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0"/>
    <w:bookmarkStart w:id="521"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1"/>
    <w:bookmarkStart w:id="522"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2"/>
    <w:bookmarkStart w:id="523"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3"/>
    <w:bookmarkStart w:id="524"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5"/>
    <w:bookmarkStart w:id="526" w:name="ref-Lod98:MUS"/>
    <w:p>
      <w:pPr>
        <w:pStyle w:val="Bibliography"/>
      </w:pPr>
      <w:r>
        <w:t xml:space="preserve">Lodha S, Beahan J, Joseph A, Zane-ulman B. 1998. MUSE: A musical data sonification toolkit</w:t>
      </w:r>
    </w:p>
    <w:bookmarkEnd w:id="526"/>
    <w:bookmarkStart w:id="527"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7"/>
    <w:bookmarkStart w:id="52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8">
        <w:r>
          <w:rPr>
            <w:rStyle w:val="Hyperlink"/>
          </w:rPr>
          <w:t xml:space="preserve">http://www.nime.org/proceedings/2008/nime2008_221.pdf</w:t>
        </w:r>
      </w:hyperlink>
    </w:p>
    <w:bookmarkEnd w:id="529"/>
    <w:bookmarkStart w:id="53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0"/>
    <w:bookmarkStart w:id="531" w:name="ref-Man01:The"/>
    <w:p>
      <w:pPr>
        <w:pStyle w:val="Bibliography"/>
      </w:pPr>
      <w:r>
        <w:t xml:space="preserve">Manovich L. 2001.</w:t>
      </w:r>
      <w:r>
        <w:t xml:space="preserve"> </w:t>
      </w:r>
      <w:r>
        <w:rPr>
          <w:i/>
        </w:rPr>
        <w:t xml:space="preserve">The Language of New Media</w:t>
      </w:r>
      <w:r>
        <w:t xml:space="preserve">. MIT Press. ed.</w:t>
      </w:r>
    </w:p>
    <w:bookmarkEnd w:id="531"/>
    <w:bookmarkStart w:id="532" w:name="ref-Man02:Old"/>
    <w:p>
      <w:pPr>
        <w:pStyle w:val="Bibliography"/>
      </w:pPr>
      <w:r>
        <w:t xml:space="preserve">Manovich L. 2002. Old media as new media: Cinema.</w:t>
      </w:r>
      <w:r>
        <w:t xml:space="preserve"> </w:t>
      </w:r>
      <w:r>
        <w:rPr>
          <w:i/>
        </w:rPr>
        <w:t xml:space="preserve">The New Media Book</w:t>
      </w:r>
    </w:p>
    <w:bookmarkEnd w:id="532"/>
    <w:bookmarkStart w:id="533"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3"/>
    <w:bookmarkStart w:id="53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4">
        <w:r>
          <w:rPr>
            <w:rStyle w:val="Hyperlink"/>
          </w:rPr>
          <w:t xml:space="preserve">http://ismir2008.ismir.net/papers/ISMIR2008_158.pdf</w:t>
        </w:r>
      </w:hyperlink>
    </w:p>
    <w:bookmarkEnd w:id="535"/>
    <w:bookmarkStart w:id="53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6"/>
    <w:bookmarkStart w:id="53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7"/>
    <w:bookmarkStart w:id="53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8"/>
    <w:bookmarkStart w:id="539" w:name="ref-csoundMethods"/>
    <w:p>
      <w:pPr>
        <w:pStyle w:val="Bibliography"/>
      </w:pPr>
      <w:r>
        <w:t xml:space="preserve">McCurdy I, Heintz J, Joaquin J, Knevel M. 2015. Methods of writing csound scores.</w:t>
      </w:r>
      <w:r>
        <w:t xml:space="preserve"> </w:t>
      </w:r>
      <w:r>
        <w:rPr>
          <w:i/>
        </w:rPr>
        <w:t xml:space="preserve">FLOSS Manuals</w:t>
      </w:r>
    </w:p>
    <w:bookmarkEnd w:id="539"/>
    <w:bookmarkStart w:id="54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0"/>
    <w:bookmarkStart w:id="54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1">
        <w:r>
          <w:rPr>
            <w:rStyle w:val="Hyperlink"/>
          </w:rPr>
          <w:t xml:space="preserve">http://ismir2018.ircam.fr/doc/pdfs/35_Paper.pdf</w:t>
        </w:r>
      </w:hyperlink>
    </w:p>
    <w:bookmarkEnd w:id="542"/>
    <w:bookmarkStart w:id="54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3"/>
    <w:bookmarkStart w:id="54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4"/>
    <w:bookmarkStart w:id="54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5"/>
    <w:bookmarkStart w:id="54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6"/>
    <w:bookmarkStart w:id="547" w:name="ref-ods-cpp"/>
    <w:p>
      <w:pPr>
        <w:pStyle w:val="Bibliography"/>
      </w:pPr>
      <w:r>
        <w:t xml:space="preserve">Morin P. 2019.</w:t>
      </w:r>
      <w:r>
        <w:t xml:space="preserve"> </w:t>
      </w:r>
      <w:r>
        <w:rPr>
          <w:i/>
        </w:rPr>
        <w:t xml:space="preserve">Open Data Structures</w:t>
      </w:r>
      <w:r>
        <w:t xml:space="preserve">. Creative Commons. ed.</w:t>
      </w:r>
    </w:p>
    <w:bookmarkEnd w:id="547"/>
    <w:bookmarkStart w:id="54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8"/>
    <w:bookmarkStart w:id="54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9"/>
    <w:bookmarkStart w:id="55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0"/>
    <w:bookmarkStart w:id="55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1">
        <w:r>
          <w:rPr>
            <w:rStyle w:val="Hyperlink"/>
          </w:rPr>
          <w:t xml:space="preserve">http://www.nime.org/proceedings/2007/nime2007_409.pdf</w:t>
        </w:r>
      </w:hyperlink>
    </w:p>
    <w:bookmarkEnd w:id="552"/>
    <w:bookmarkStart w:id="55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3"/>
    <w:bookmarkStart w:id="554" w:name="ref-Nan07:Lis"/>
    <w:p>
      <w:pPr>
        <w:pStyle w:val="Bibliography"/>
      </w:pPr>
      <w:r>
        <w:t xml:space="preserve">Nancy J-L. 2007.</w:t>
      </w:r>
      <w:r>
        <w:t xml:space="preserve"> </w:t>
      </w:r>
      <w:r>
        <w:rPr>
          <w:i/>
        </w:rPr>
        <w:t xml:space="preserve">Listening</w:t>
      </w:r>
      <w:r>
        <w:t xml:space="preserve">. Fordham University Place. ed.</w:t>
      </w:r>
    </w:p>
    <w:bookmarkEnd w:id="554"/>
    <w:bookmarkStart w:id="55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5"/>
    <w:bookmarkStart w:id="55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6">
        <w:r>
          <w:rPr>
            <w:rStyle w:val="Hyperlink"/>
          </w:rPr>
          <w:t xml:space="preserve">http://www.nime.org/proceedings/2007/nime2007_112.pdf</w:t>
        </w:r>
      </w:hyperlink>
    </w:p>
    <w:bookmarkEnd w:id="557"/>
    <w:bookmarkStart w:id="55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8"/>
    <w:bookmarkStart w:id="55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9"/>
    <w:bookmarkStart w:id="56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0"/>
    <w:bookmarkStart w:id="56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1"/>
    <w:bookmarkStart w:id="56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2"/>
    <w:bookmarkStart w:id="56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3"/>
    <w:bookmarkStart w:id="564"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4"/>
    <w:bookmarkStart w:id="565"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5"/>
    <w:bookmarkStart w:id="566"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6"/>
    <w:bookmarkStart w:id="567"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7"/>
    <w:bookmarkStart w:id="568"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8"/>
    <w:bookmarkStart w:id="569"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9"/>
    <w:bookmarkStart w:id="571"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0">
        <w:r>
          <w:rPr>
            <w:rStyle w:val="Hyperlink"/>
          </w:rPr>
          <w:t xml:space="preserve">http://www.terasoft.com.tw/conf/ismir2014/proceedings/T064_307_Paper.pdf</w:t>
        </w:r>
      </w:hyperlink>
    </w:p>
    <w:bookmarkEnd w:id="571"/>
    <w:bookmarkStart w:id="572"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2"/>
    <w:bookmarkStart w:id="573" w:name="ref-Pos11:Int"/>
    <w:p>
      <w:pPr>
        <w:pStyle w:val="Bibliography"/>
      </w:pPr>
      <w:r>
        <w:t xml:space="preserve">Poster M. 2011. Introduction.</w:t>
      </w:r>
      <w:r>
        <w:t xml:space="preserve"> </w:t>
      </w:r>
      <w:r>
        <w:rPr>
          <w:i/>
        </w:rPr>
        <w:t xml:space="preserve">Into the Universe of Technical Images</w:t>
      </w:r>
    </w:p>
    <w:bookmarkEnd w:id="573"/>
    <w:bookmarkStart w:id="575"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4">
        <w:r>
          <w:rPr>
            <w:rStyle w:val="Hyperlink"/>
          </w:rPr>
          <w:t xml:space="preserve">http://www.nime.org/proceedings/2008/nime2008_311.pdf</w:t>
        </w:r>
      </w:hyperlink>
    </w:p>
    <w:bookmarkEnd w:id="575"/>
    <w:bookmarkStart w:id="576"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6"/>
    <w:bookmarkStart w:id="577"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7"/>
    <w:bookmarkStart w:id="578" w:name="ref-Puc91:Som"/>
    <w:p>
      <w:pPr>
        <w:pStyle w:val="Bibliography"/>
      </w:pPr>
      <w:r>
        <w:t xml:space="preserve">Puckette M. 1991. Something digital.</w:t>
      </w:r>
      <w:r>
        <w:t xml:space="preserve"> </w:t>
      </w:r>
      <w:r>
        <w:rPr>
          <w:i/>
        </w:rPr>
        <w:t xml:space="preserve">Computer Music Journal</w:t>
      </w:r>
      <w:r>
        <w:t xml:space="preserve">. 15(4):65–69</w:t>
      </w:r>
    </w:p>
    <w:bookmarkEnd w:id="578"/>
    <w:bookmarkStart w:id="579"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9"/>
    <w:bookmarkStart w:id="580"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0"/>
    <w:bookmarkStart w:id="581"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1"/>
    <w:bookmarkStart w:id="582"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2"/>
    <w:bookmarkStart w:id="583"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3"/>
    <w:bookmarkStart w:id="584"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4"/>
    <w:bookmarkStart w:id="585" w:name="ref-Roa04:Mic"/>
    <w:p>
      <w:pPr>
        <w:pStyle w:val="Bibliography"/>
      </w:pPr>
      <w:r>
        <w:t xml:space="preserve">Roads C. 2001.</w:t>
      </w:r>
      <w:r>
        <w:t xml:space="preserve"> </w:t>
      </w:r>
      <w:r>
        <w:rPr>
          <w:i/>
        </w:rPr>
        <w:t xml:space="preserve">Microsound</w:t>
      </w:r>
      <w:r>
        <w:t xml:space="preserve">. MIT Press. ed.</w:t>
      </w:r>
    </w:p>
    <w:bookmarkEnd w:id="585"/>
    <w:bookmarkStart w:id="586"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6"/>
    <w:bookmarkStart w:id="587"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7"/>
    <w:bookmarkStart w:id="588"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8"/>
    <w:bookmarkStart w:id="589"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9"/>
    <w:bookmarkStart w:id="590"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0"/>
    <w:bookmarkStart w:id="591"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1"/>
    <w:bookmarkStart w:id="592"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2"/>
    <w:bookmarkStart w:id="593"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3"/>
    <w:bookmarkStart w:id="594"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4"/>
    <w:bookmarkStart w:id="595"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5"/>
    <w:bookmarkStart w:id="596"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6"/>
    <w:bookmarkStart w:id="598"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7">
        <w:r>
          <w:rPr>
            <w:rStyle w:val="Hyperlink"/>
          </w:rPr>
          <w:t xml:space="preserve">http://ismir2005.ismir.net/proceedings/3123.pdf</w:t>
        </w:r>
      </w:hyperlink>
    </w:p>
    <w:bookmarkEnd w:id="598"/>
    <w:bookmarkStart w:id="599"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9"/>
    <w:bookmarkStart w:id="600"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0"/>
    <w:bookmarkStart w:id="601"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1"/>
    <w:bookmarkStart w:id="602"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2"/>
    <w:bookmarkStart w:id="603"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3"/>
    <w:bookmarkStart w:id="604"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4"/>
    <w:bookmarkStart w:id="605"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5"/>
    <w:bookmarkStart w:id="606"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6"/>
    <w:bookmarkStart w:id="607" w:name="ref-Sch06:Rea"/>
    <w:p>
      <w:pPr>
        <w:pStyle w:val="Bibliography"/>
      </w:pPr>
      <w:r>
        <w:t xml:space="preserve">Schwarz D. 2006b. Real-time corpus-based concatenative synthesis with catart., pp. 18–21</w:t>
      </w:r>
    </w:p>
    <w:bookmarkEnd w:id="607"/>
    <w:bookmarkStart w:id="608"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8"/>
    <w:bookmarkStart w:id="609"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9"/>
    <w:bookmarkStart w:id="610"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0"/>
    <w:bookmarkStart w:id="611" w:name="ref-scoremus"/>
    <w:p>
      <w:pPr>
        <w:pStyle w:val="Bibliography"/>
      </w:pPr>
      <w:r>
        <w:t xml:space="preserve">Selfridge-Field E. 1997. The score music publishing system.</w:t>
      </w:r>
      <w:r>
        <w:t xml:space="preserve"> </w:t>
      </w:r>
      <w:r>
        <w:rPr>
          <w:i/>
        </w:rPr>
        <w:t xml:space="preserve">SCORE</w:t>
      </w:r>
    </w:p>
    <w:bookmarkEnd w:id="611"/>
    <w:bookmarkStart w:id="612"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2"/>
    <w:bookmarkStart w:id="614"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3">
        <w:r>
          <w:rPr>
            <w:rStyle w:val="Hyperlink"/>
          </w:rPr>
          <w:t xml:space="preserve">https://hal.archives-ouvertes.fr/hal-01393959</w:t>
        </w:r>
      </w:hyperlink>
    </w:p>
    <w:bookmarkEnd w:id="614"/>
    <w:bookmarkStart w:id="615"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5"/>
    <w:bookmarkStart w:id="616"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6"/>
    <w:bookmarkStart w:id="617"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7"/>
    <w:bookmarkStart w:id="618" w:name="ref-10.2307/941442"/>
    <w:p>
      <w:pPr>
        <w:pStyle w:val="Bibliography"/>
      </w:pPr>
      <w:r>
        <w:t xml:space="preserve">Skinner R. 1990a. Music software.</w:t>
      </w:r>
      <w:r>
        <w:t xml:space="preserve"> </w:t>
      </w:r>
      <w:r>
        <w:rPr>
          <w:i/>
        </w:rPr>
        <w:t xml:space="preserve">Notes</w:t>
      </w:r>
      <w:r>
        <w:t xml:space="preserve">. 46(3):660–84</w:t>
      </w:r>
    </w:p>
    <w:bookmarkEnd w:id="618"/>
    <w:bookmarkStart w:id="619" w:name="ref-10.2307/940555"/>
    <w:p>
      <w:pPr>
        <w:pStyle w:val="Bibliography"/>
      </w:pPr>
      <w:r>
        <w:t xml:space="preserve">Skinner R. 1990b. Music software.</w:t>
      </w:r>
      <w:r>
        <w:t xml:space="preserve"> </w:t>
      </w:r>
      <w:r>
        <w:rPr>
          <w:i/>
        </w:rPr>
        <w:t xml:space="preserve">Notes</w:t>
      </w:r>
      <w:r>
        <w:t xml:space="preserve">. 47(1):91–101</w:t>
      </w:r>
    </w:p>
    <w:bookmarkEnd w:id="619"/>
    <w:bookmarkStart w:id="620"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0"/>
    <w:bookmarkStart w:id="621"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1"/>
    <w:bookmarkStart w:id="622"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2"/>
    <w:bookmarkStart w:id="623" w:name="ref-Ste12:MP3"/>
    <w:p>
      <w:pPr>
        <w:pStyle w:val="Bibliography"/>
      </w:pPr>
      <w:r>
        <w:t xml:space="preserve">Sterne J. 2012.</w:t>
      </w:r>
      <w:r>
        <w:t xml:space="preserve"> </w:t>
      </w:r>
      <w:r>
        <w:rPr>
          <w:i/>
        </w:rPr>
        <w:t xml:space="preserve">MP3: The Meaning of a Format</w:t>
      </w:r>
      <w:r>
        <w:t xml:space="preserve">. Duke University Press. ed.</w:t>
      </w:r>
    </w:p>
    <w:bookmarkEnd w:id="623"/>
    <w:bookmarkStart w:id="624"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4"/>
    <w:bookmarkStart w:id="625" w:name="ref-Stu04:Mat"/>
    <w:p>
      <w:pPr>
        <w:pStyle w:val="Bibliography"/>
      </w:pPr>
      <w:r>
        <w:t xml:space="preserve">Sturm B. 2004. MATConcat: An application for exploring concatenative sound synthesis using matlab</w:t>
      </w:r>
    </w:p>
    <w:bookmarkEnd w:id="625"/>
    <w:bookmarkStart w:id="626"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6"/>
    <w:bookmarkStart w:id="627" w:name="ref-Sze08:Lis"/>
    <w:p>
      <w:pPr>
        <w:pStyle w:val="Bibliography"/>
      </w:pPr>
      <w:r>
        <w:t xml:space="preserve">Szendy P. 2008.</w:t>
      </w:r>
      <w:r>
        <w:t xml:space="preserve"> </w:t>
      </w:r>
      <w:r>
        <w:rPr>
          <w:i/>
        </w:rPr>
        <w:t xml:space="preserve">Listen: A History of Our Ears</w:t>
      </w:r>
      <w:r>
        <w:t xml:space="preserve">. Fordham University. ed.</w:t>
      </w:r>
    </w:p>
    <w:bookmarkEnd w:id="627"/>
    <w:bookmarkStart w:id="628"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8"/>
    <w:bookmarkStart w:id="629" w:name="ref-Sch07:How"/>
    <w:p>
      <w:pPr>
        <w:pStyle w:val="Bibliography"/>
      </w:pPr>
      <w:r>
        <w:t xml:space="preserve">Thiebaut J-B, Bello J, Schwarz D. 2007. How musical are images? From sound representation to image sonification: An eco systemic approach</w:t>
      </w:r>
    </w:p>
    <w:bookmarkEnd w:id="629"/>
    <w:bookmarkStart w:id="630"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0"/>
    <w:bookmarkStart w:id="631"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1"/>
    <w:bookmarkStart w:id="632"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2"/>
    <w:bookmarkStart w:id="633"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3"/>
    <w:bookmarkStart w:id="634"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4"/>
    <w:bookmarkStart w:id="635"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5"/>
    <w:bookmarkStart w:id="636"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6"/>
    <w:bookmarkStart w:id="637" w:name="ref-Var04:The"/>
    <w:p>
      <w:pPr>
        <w:pStyle w:val="Bibliography"/>
      </w:pPr>
      <w:r>
        <w:t xml:space="preserve">Varese E. 2004. The liberation of sound.</w:t>
      </w:r>
      <w:r>
        <w:t xml:space="preserve"> </w:t>
      </w:r>
      <w:r>
        <w:rPr>
          <w:i/>
        </w:rPr>
        <w:t xml:space="preserve">Audio Culture: Readings in Modern Music</w:t>
      </w:r>
    </w:p>
    <w:bookmarkEnd w:id="637"/>
    <w:bookmarkStart w:id="638" w:name="ref-Ver84:The"/>
    <w:p>
      <w:pPr>
        <w:pStyle w:val="Bibliography"/>
      </w:pPr>
      <w:r>
        <w:t xml:space="preserve">Vercoe B. 1984. The synthetic performer in the context of live performance</w:t>
      </w:r>
    </w:p>
    <w:bookmarkEnd w:id="638"/>
    <w:bookmarkStart w:id="639" w:name="ref-Ves07:See"/>
    <w:p>
      <w:pPr>
        <w:pStyle w:val="Bibliography"/>
      </w:pPr>
      <w:r>
        <w:t xml:space="preserve">Vesna V. 2007. Seeing the world in a grain of sand: The database aesthetics of everything.</w:t>
      </w:r>
      <w:r>
        <w:t xml:space="preserve"> </w:t>
      </w:r>
      <w:r>
        <w:rPr>
          <w:i/>
        </w:rPr>
        <w:t xml:space="preserve">Database Aesthetics: Art in the Age of Information Overflow</w:t>
      </w:r>
    </w:p>
    <w:bookmarkEnd w:id="639"/>
    <w:bookmarkStart w:id="640"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0"/>
    <w:bookmarkStart w:id="642"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1">
        <w:r>
          <w:rPr>
            <w:rStyle w:val="Hyperlink"/>
          </w:rPr>
          <w:t xml:space="preserve">https://ismir2017.smcnus.org/wp-content/uploads/2017/10/180_Paper.pdf</w:t>
        </w:r>
      </w:hyperlink>
    </w:p>
    <w:bookmarkEnd w:id="642"/>
    <w:bookmarkStart w:id="643"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3"/>
    <w:bookmarkStart w:id="645"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4">
        <w:r>
          <w:rPr>
            <w:rStyle w:val="Hyperlink"/>
          </w:rPr>
          <w:t xml:space="preserve">http://ismir2002.ismir.net/proceedings/02-FP06-3.pdf</w:t>
        </w:r>
      </w:hyperlink>
    </w:p>
    <w:bookmarkEnd w:id="645"/>
    <w:bookmarkStart w:id="646"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6"/>
    <w:bookmarkStart w:id="647"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7"/>
    <w:bookmarkStart w:id="648"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8"/>
    <w:bookmarkStart w:id="649"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9"/>
    <w:bookmarkStart w:id="650"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0"/>
    <w:bookmarkStart w:id="651"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1"/>
    <w:bookmarkStart w:id="652"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2"/>
    <w:bookmarkStart w:id="653"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3"/>
    <w:bookmarkStart w:id="654"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4"/>
    <w:bookmarkStart w:id="655" w:name="ref-Wei07:Oce"/>
    <w:p>
      <w:pPr>
        <w:pStyle w:val="Bibliography"/>
      </w:pPr>
      <w:r>
        <w:t xml:space="preserve">Weinbren G. 2007. Ocean, database, recut.</w:t>
      </w:r>
      <w:r>
        <w:t xml:space="preserve"> </w:t>
      </w:r>
      <w:r>
        <w:rPr>
          <w:i/>
        </w:rPr>
        <w:t xml:space="preserve">Database Aesthetics: Art in the Age of Information Overflow</w:t>
      </w:r>
    </w:p>
    <w:bookmarkEnd w:id="655"/>
    <w:bookmarkStart w:id="656"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56"/>
    <w:bookmarkStart w:id="657"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7"/>
    <w:bookmarkStart w:id="659"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8">
        <w:r>
          <w:rPr>
            <w:rStyle w:val="Hyperlink"/>
          </w:rPr>
          <w:t xml:space="preserve">http://ismir2018.ircam.fr/doc/pdfs/114_Paper.pdf</w:t>
        </w:r>
      </w:hyperlink>
    </w:p>
    <w:bookmarkEnd w:id="659"/>
    <w:bookmarkStart w:id="660"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0"/>
    <w:bookmarkStart w:id="662"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1">
        <w:r>
          <w:rPr>
            <w:rStyle w:val="Hyperlink"/>
          </w:rPr>
          <w:t xml:space="preserve">http://ismir2004.ismir.net/proceedings/p010-page-48-paper227.pdf</w:t>
        </w:r>
      </w:hyperlink>
    </w:p>
    <w:bookmarkEnd w:id="662"/>
    <w:bookmarkStart w:id="663"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3"/>
    <w:bookmarkStart w:id="664"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4"/>
    <w:bookmarkStart w:id="665"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5"/>
    <w:bookmarkStart w:id="667"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6">
        <w:r>
          <w:rPr>
            <w:rStyle w:val="Hyperlink"/>
          </w:rPr>
          <w:t xml:space="preserve">http://ismir2018.ircam.fr/doc/pdfs/188_Paper.pdf</w:t>
        </w:r>
      </w:hyperlink>
    </w:p>
    <w:bookmarkEnd w:id="667"/>
    <w:bookmarkStart w:id="668"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8"/>
    <w:bookmarkStart w:id="669"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9"/>
    <w:bookmarkStart w:id="670"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0"/>
    <w:bookmarkStart w:id="671"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1"/>
    <w:bookmarkStart w:id="672"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2"/>
    <w:bookmarkStart w:id="673"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3"/>
    <w:bookmarkStart w:id="675"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4">
        <w:r>
          <w:rPr>
            <w:rStyle w:val="Hyperlink"/>
          </w:rPr>
          <w:t xml:space="preserve">http://www.nime.org/proceedings/2007/nime2007_352.pdf</w:t>
        </w:r>
      </w:hyperlink>
    </w:p>
    <w:bookmarkEnd w:id="675"/>
    <w:bookmarkStart w:id="676"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6"/>
    <w:bookmarkStart w:id="677" w:name="ref-Zmo15:Liv"/>
    <w:p>
      <w:pPr>
        <w:pStyle w:val="Bibliography"/>
      </w:pPr>
      <w:r>
        <w:t xml:space="preserve">zmölnig I m, Eckel G. 2015.</w:t>
      </w:r>
      <w:r>
        <w:t xml:space="preserve"> </w:t>
      </w:r>
      <w:r>
        <w:rPr>
          <w:i/>
        </w:rPr>
        <w:t xml:space="preserve">LIVE coding: AN overview</w:t>
      </w:r>
      <w:r>
        <w:t xml:space="preserve">. Work. Pap.</w:t>
      </w:r>
    </w:p>
    <w:bookmarkEnd w:id="677"/>
    <w:bookmarkEnd w:id="6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Alvin Lucier. I Am Sitting In A Room. See:</w:t>
      </w:r>
      <w:r>
        <w:t xml:space="preserve"> </w:t>
      </w:r>
      <w:hyperlink r:id="rId27">
        <w:r>
          <w:rPr>
            <w:rStyle w:val="Hyperlink"/>
          </w:rPr>
          <w:t xml:space="preserve">https://en.wikipedia.org/wiki/I_Am_Sitting_in_a_Room</w:t>
        </w:r>
      </w:hyperlink>
    </w:p>
  </w:footnote>
  <w:footnote w:id="33">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9">
    <w:p>
      <w:pPr>
        <w:pStyle w:val="FootnoteText"/>
      </w:pPr>
      <w:r>
        <w:rPr>
          <w:rStyle w:val="FootnoteReference"/>
        </w:rPr>
        <w:footnoteRef/>
      </w:r>
      <w:r>
        <w:t xml:space="preserve"> </w:t>
      </w:r>
      <w:r>
        <w:t xml:space="preserve">Miller Puckette suggested this during an open discussion at</w:t>
      </w:r>
    </w:p>
  </w:footnote>
  <w:footnote w:id="96">
    <w:p>
      <w:pPr>
        <w:pStyle w:val="FootnoteText"/>
      </w:pPr>
      <w:r>
        <w:rPr>
          <w:rStyle w:val="FootnoteReference"/>
        </w:rPr>
        <w:footnoteRef/>
      </w:r>
      <w:r>
        <w:t xml:space="preserve"> </w:t>
      </w:r>
      <w:hyperlink r:id="rId97">
        <w:r>
          <w:rPr>
            <w:rStyle w:val="Hyperlink"/>
          </w:rPr>
          <w:t xml:space="preserve">http://kern.ccarh.org/</w:t>
        </w:r>
      </w:hyperlink>
    </w:p>
  </w:footnote>
  <w:footnote w:id="98">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2">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5">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9">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0">
        <w:r>
          <w:rPr>
            <w:rStyle w:val="Hyperlink"/>
          </w:rPr>
          <w:t xml:space="preserve">https://developer.apple.com/documentation/metal</w:t>
        </w:r>
      </w:hyperlink>
    </w:p>
  </w:footnote>
  <w:footnote w:id="121">
    <w:p>
      <w:pPr>
        <w:pStyle w:val="FootnoteText"/>
      </w:pPr>
      <w:r>
        <w:rPr>
          <w:rStyle w:val="FootnoteReference"/>
        </w:rPr>
        <w:footnoteRef/>
      </w:r>
      <w:r>
        <w:t xml:space="preserve"> </w:t>
      </w:r>
      <w:hyperlink r:id="rId122">
        <w:r>
          <w:rPr>
            <w:rStyle w:val="Hyperlink"/>
          </w:rPr>
          <w:t xml:space="preserve">https://vimeo.com/167646306</w:t>
        </w:r>
      </w:hyperlink>
    </w:p>
  </w:footnote>
  <w:footnote w:id="133">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9">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1">
    <w:p>
      <w:pPr>
        <w:pStyle w:val="FootnoteText"/>
      </w:pPr>
      <w:r>
        <w:rPr>
          <w:rStyle w:val="FootnoteReference"/>
        </w:rPr>
        <w:footnoteRef/>
      </w:r>
      <w:r>
        <w:t xml:space="preserve"> </w:t>
      </w:r>
      <w:hyperlink r:id="rId152">
        <w:r>
          <w:rPr>
            <w:rStyle w:val="Hyperlink"/>
          </w:rPr>
          <w:t xml:space="preserve">https://kyma.symbolicsound.com/</w:t>
        </w:r>
      </w:hyperlink>
    </w:p>
  </w:footnote>
  <w:footnote w:id="155">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2">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7">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8">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6">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20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5">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6">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7">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08">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09">
    <w:p>
      <w:pPr>
        <w:pStyle w:val="FootnoteText"/>
      </w:pPr>
      <w:r>
        <w:rPr>
          <w:rStyle w:val="FootnoteReference"/>
        </w:rPr>
        <w:footnoteRef/>
      </w:r>
      <w:r>
        <w:t xml:space="preserve"> </w:t>
      </w:r>
      <w:hyperlink r:id="rId210">
        <w:r>
          <w:rPr>
            <w:rStyle w:val="Hyperlink"/>
          </w:rPr>
          <w:t xml:space="preserve">https://en.wikipedia.org/wiki/Leo_Beranek</w:t>
        </w:r>
      </w:hyperlink>
    </w:p>
  </w:footnote>
  <w:footnote w:id="212">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28">
    <w:p>
      <w:pPr>
        <w:pStyle w:val="FootnoteText"/>
      </w:pPr>
      <w:r>
        <w:rPr>
          <w:rStyle w:val="FootnoteReference"/>
        </w:rPr>
        <w:footnoteRef/>
      </w:r>
      <w:r>
        <w:t xml:space="preserve"> </w:t>
      </w:r>
      <w:hyperlink r:id="rId229">
        <w:r>
          <w:rPr>
            <w:rStyle w:val="Hyperlink"/>
          </w:rPr>
          <w:t xml:space="preserve">https://en.cppreference.com/w/cpp/language/destructor</w:t>
        </w:r>
      </w:hyperlink>
    </w:p>
  </w:footnote>
  <w:footnote w:id="235">
    <w:p>
      <w:pPr>
        <w:pStyle w:val="FootnoteText"/>
      </w:pPr>
      <w:r>
        <w:rPr>
          <w:rStyle w:val="FootnoteReference"/>
        </w:rPr>
        <w:footnoteRef/>
      </w:r>
      <w:r>
        <w:t xml:space="preserve"> </w:t>
      </w:r>
      <w:hyperlink r:id="rId236">
        <w:r>
          <w:rPr>
            <w:rStyle w:val="Hyperlink"/>
          </w:rPr>
          <w:t xml:space="preserve">https://mpc.chs.harvard.edu/</w:t>
        </w:r>
      </w:hyperlink>
    </w:p>
  </w:footnote>
  <w:footnote w:id="237">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7">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8">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1">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2">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5">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0">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1">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2">
        <w:r>
          <w:rPr>
            <w:rStyle w:val="Hyperlink"/>
          </w:rPr>
          <w:t xml:space="preserve">https://en.wikipedia.org/wiki/Dr._Strangelove</w:t>
        </w:r>
      </w:hyperlink>
    </w:p>
  </w:footnote>
  <w:footnote w:id="293">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4">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6">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7">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0">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8">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4">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8">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181" Target="media/rId181.png" /><Relationship Type="http://schemas.openxmlformats.org/officeDocument/2006/relationships/image" Id="rId260" Target="media/rId260.png" /><Relationship Type="http://schemas.openxmlformats.org/officeDocument/2006/relationships/image" Id="rId94" Target="media/rId94.png" /><Relationship Type="http://schemas.openxmlformats.org/officeDocument/2006/relationships/image" Id="rId91" Target="media/rId91.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35" Target="media/rId35.png" /><Relationship Type="http://schemas.openxmlformats.org/officeDocument/2006/relationships/image" Id="rId146" Target="media/rId146.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139" Target="media/rId139.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4"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1"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8" Target="http://ismir2018.ircam.fr/doc/pdfs/114_Paper.pdf" TargetMode="External" /><Relationship Type="http://schemas.openxmlformats.org/officeDocument/2006/relationships/hyperlink" Id="rId666"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7"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4"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20" Target="https://developer.apple.com/documentation/metal" TargetMode="External" /><Relationship Type="http://schemas.openxmlformats.org/officeDocument/2006/relationships/hyperlink" Id="rId229" Target="https://en.cppreference.com/w/cpp/language/destructor" TargetMode="External" /><Relationship Type="http://schemas.openxmlformats.org/officeDocument/2006/relationships/hyperlink" Id="rId292" Target="https://en.wikipedia.org/wiki/Dr._Strangelove" TargetMode="External" /><Relationship Type="http://schemas.openxmlformats.org/officeDocument/2006/relationships/hyperlink" Id="rId27" Target="https://en.wikipedia.org/wiki/I_Am_Sitting_in_a_Room" TargetMode="External" /><Relationship Type="http://schemas.openxmlformats.org/officeDocument/2006/relationships/hyperlink" Id="rId210" Target="https://en.wikipedia.org/wiki/Leo_Beranek" TargetMode="External" /><Relationship Type="http://schemas.openxmlformats.org/officeDocument/2006/relationships/hyperlink" Id="rId28" Target="https://fdch.github.io/abby" TargetMode="External" /><Relationship Type="http://schemas.openxmlformats.org/officeDocument/2006/relationships/hyperlink" Id="rId29"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1"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52" Target="https://kyma.symbolicsound.com/" TargetMode="External" /><Relationship Type="http://schemas.openxmlformats.org/officeDocument/2006/relationships/hyperlink" Id="rId236" Target="https://mpc.chs.harvard.edu/" TargetMode="External" /><Relationship Type="http://schemas.openxmlformats.org/officeDocument/2006/relationships/hyperlink" Id="rId122"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91" Target="https://www.mersenne.org/primes/" TargetMode="External" /><Relationship Type="http://schemas.openxmlformats.org/officeDocument/2006/relationships/hyperlink" Id="rId297" Target="https://www.youtube.com/channel/UCEzSaoPnxCJVzXxA9obuRWg/videos"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4"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1"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8" Target="http://ismir2018.ircam.fr/doc/pdfs/114_Paper.pdf" TargetMode="External" /><Relationship Type="http://schemas.openxmlformats.org/officeDocument/2006/relationships/hyperlink" Id="rId666"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7"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4"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20" Target="https://developer.apple.com/documentation/metal" TargetMode="External" /><Relationship Type="http://schemas.openxmlformats.org/officeDocument/2006/relationships/hyperlink" Id="rId229" Target="https://en.cppreference.com/w/cpp/language/destructor" TargetMode="External" /><Relationship Type="http://schemas.openxmlformats.org/officeDocument/2006/relationships/hyperlink" Id="rId292" Target="https://en.wikipedia.org/wiki/Dr._Strangelove" TargetMode="External" /><Relationship Type="http://schemas.openxmlformats.org/officeDocument/2006/relationships/hyperlink" Id="rId27" Target="https://en.wikipedia.org/wiki/I_Am_Sitting_in_a_Room" TargetMode="External" /><Relationship Type="http://schemas.openxmlformats.org/officeDocument/2006/relationships/hyperlink" Id="rId210" Target="https://en.wikipedia.org/wiki/Leo_Beranek" TargetMode="External" /><Relationship Type="http://schemas.openxmlformats.org/officeDocument/2006/relationships/hyperlink" Id="rId28" Target="https://fdch.github.io/abby" TargetMode="External" /><Relationship Type="http://schemas.openxmlformats.org/officeDocument/2006/relationships/hyperlink" Id="rId29"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1"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52" Target="https://kyma.symbolicsound.com/" TargetMode="External" /><Relationship Type="http://schemas.openxmlformats.org/officeDocument/2006/relationships/hyperlink" Id="rId236" Target="https://mpc.chs.harvard.edu/" TargetMode="External" /><Relationship Type="http://schemas.openxmlformats.org/officeDocument/2006/relationships/hyperlink" Id="rId122"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91" Target="https://www.mersenne.org/primes/" TargetMode="External" /><Relationship Type="http://schemas.openxmlformats.org/officeDocument/2006/relationships/hyperlink" Id="rId297" Target="https://www.youtube.com/channel/UCEzSaoPnxCJVzXxA9obuRWg/vide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2019-04-07T13:33:20Z</dcterms:created>
  <dcterms:modified xsi:type="dcterms:W3CDTF">2019-04-07T13:33:20Z</dcterms:modified>
</cp:coreProperties>
</file>

<file path=docProps/custom.xml><?xml version="1.0" encoding="utf-8"?>
<Properties xmlns="http://schemas.openxmlformats.org/officeDocument/2006/custom-properties" xmlns:vt="http://schemas.openxmlformats.org/officeDocument/2006/docPropsVTypes"/>
</file>