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56.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 and ,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wearhouses, repositories,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accross the two nodes that compose the focus of this text:</w:t>
      </w:r>
      <w:r>
        <w:t xml:space="preserve"> </w:t>
      </w:r>
      <w:r>
        <w:rPr>
          <w:i/>
        </w:rPr>
        <w:t xml:space="preserve">database and music</w:t>
      </w:r>
      <w:r>
        <w:t xml:space="preserve">. Both nodes have their historical, technical, and aesthetical idiosyncracies.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where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theroy, and the its corresponding exploration witihin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implicatoins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throught the story, hand in hand with the accumulative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generally used in businesses for data processing and editing, for example:</w:t>
      </w:r>
      <w:r>
        <w:t xml:space="preserve"> </w:t>
      </w:r>
      <w:r>
        <w:t xml:space="preserve">mysql</w:t>
      </w:r>
      <w:r>
        <w:t xml:space="preserve">,</w:t>
      </w:r>
      <w:r>
        <w:t xml:space="preserve"> </w:t>
      </w:r>
      <w:r>
        <w:t xml:space="preserve">postgresql</w:t>
      </w:r>
      <w:r>
        <w:t xml:space="preserve">,</w:t>
      </w:r>
      <w:r>
        <w:t xml:space="preserve"> </w:t>
      </w:r>
      <w:r>
        <w:t xml:space="preserve">nosql</w:t>
      </w:r>
      <w:r>
        <w:t xml:space="preserve">,</w:t>
      </w:r>
      <w:r>
        <w:t xml:space="preserve"> </w:t>
      </w:r>
      <w:r>
        <w:t xml:space="preserve">couchdb</w:t>
      </w:r>
      <w:r>
        <w:t xml:space="preserve"> </w:t>
      </w:r>
      <w:r>
        <w:t xml:space="preserve">and</w:t>
      </w:r>
      <w:r>
        <w:t xml:space="preserve"> </w:t>
      </w:r>
      <w:r>
        <w:t xml:space="preserve">mongodb</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hiearachical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In recent years, object relational database have emerged such as</w:t>
      </w:r>
      <w:r>
        <w:t xml:space="preserve"> </w:t>
      </w:r>
      <w:r>
        <w:t xml:space="preserve">sqlobject</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w:t>
      </w:r>
      <w:r>
        <w:t xml:space="preserve"> </w:t>
      </w:r>
      <w:r>
        <w:t xml:space="preserve">yaml</w:t>
      </w:r>
      <w:r>
        <w:t xml:space="preserve">, and</w:t>
      </w:r>
      <w:r>
        <w:t xml:space="preserve"> </w:t>
      </w:r>
      <w:r>
        <w:t xml:space="preserve">json</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General Electric;</w:t>
            </w:r>
            <w:r>
              <w:t xml:space="preserve"> </w:t>
            </w:r>
            <w:r>
              <w:t xml:space="preserve">hp</w:t>
            </w:r>
            <w:r>
              <w:t xml:space="preserve">;</w:t>
            </w:r>
            <w:r>
              <w:t xml:space="preserve"> </w:t>
            </w:r>
            <w:r>
              <w:t xml:space="preserve">unisys</w:t>
            </w:r>
            <w:r>
              <w:t xml:space="preserve"> </w:t>
            </w:r>
            <w:r>
              <w:t xml:space="preserve"> </w:t>
            </w:r>
          </w:p>
        </w:tc>
        <w:tc>
          <w:p>
            <w:pPr>
              <w:pStyle w:val="Compact"/>
              <w:jc w:val="left"/>
            </w:pPr>
            <w:r>
              <w:t xml:space="preserve">ids</w:t>
            </w:r>
            <w:r>
              <w:t xml:space="preserve">;</w:t>
            </w:r>
            <w:r>
              <w:t xml:space="preserve"> </w:t>
            </w:r>
            <w:r>
              <w:t xml:space="preserve">idms</w:t>
            </w:r>
            <w:r>
              <w:t xml:space="preserve">;</w:t>
            </w:r>
            <w:r>
              <w:t xml:space="preserve"> </w:t>
            </w:r>
            <w:r>
              <w:t xml:space="preserve">rdm</w:t>
            </w:r>
            <w:r>
              <w:t xml:space="preserve">;</w:t>
            </w:r>
            <w:r>
              <w:t xml:space="preserve"> </w:t>
            </w:r>
            <w:r>
              <w:t xml:space="preserve">turboimage</w:t>
            </w:r>
            <w:r>
              <w:t xml:space="preserve">;</w:t>
            </w:r>
            <w:r>
              <w:t xml:space="preserve"> </w:t>
            </w:r>
            <w:r>
              <w:t xml:space="preserve">os_2200</w:t>
            </w:r>
            <w:r>
              <w:t xml:space="preserve">;</w:t>
            </w:r>
            <w:r>
              <w:t xml:space="preserve"> </w:t>
            </w:r>
            <w:r>
              <w:t xml:space="preserve">nosql</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w:t>
            </w:r>
            <w:r>
              <w:t xml:space="preserve"> </w:t>
            </w:r>
            <w:r>
              <w:t xml:space="preserve">sparsity</w:t>
            </w:r>
            <w:r>
              <w:t xml:space="preserve">;  </w:t>
            </w:r>
          </w:p>
        </w:tc>
        <w:tc>
          <w:p>
            <w:pPr>
              <w:pStyle w:val="Compact"/>
              <w:jc w:val="left"/>
            </w:pPr>
            <w:r>
              <w:t xml:space="preserve">mongodb</w:t>
            </w:r>
            <w:r>
              <w:t xml:space="preserve">;</w:t>
            </w:r>
            <w:r>
              <w:t xml:space="preserve"> </w:t>
            </w:r>
            <w:r>
              <w:t xml:space="preserve">redis</w:t>
            </w:r>
            <w:r>
              <w:t xml:space="preserve">;</w:t>
            </w:r>
            <w:r>
              <w:t xml:space="preserve"> </w:t>
            </w:r>
            <w:r>
              <w:t xml:space="preserve">cassandra</w:t>
            </w:r>
            <w:r>
              <w:t xml:space="preserve">;</w:t>
            </w:r>
            <w:r>
              <w:t xml:space="preserve"> </w:t>
            </w:r>
            <w:r>
              <w:t xml:space="preserve">sparksee</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w:t>
            </w:r>
            <w:r>
              <w:t xml:space="preserve"> </w:t>
            </w:r>
            <w:r>
              <w:t xml:space="preserve">oracle</w:t>
            </w:r>
            <w:r>
              <w:t xml:space="preserve">;</w:t>
            </w:r>
            <w:r>
              <w:t xml:space="preserve"> </w:t>
            </w:r>
            <w:r>
              <w:t xml:space="preserve">postgresql</w:t>
            </w:r>
            <w:r>
              <w:t xml:space="preserve">;</w:t>
            </w:r>
            <w:r>
              <w:t xml:space="preserve"> </w:t>
            </w:r>
            <w:r>
              <w:t xml:space="preserve">access</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w:t>
            </w:r>
            <w:r>
              <w:t xml:space="preserve"> </w:t>
            </w:r>
            <w:r>
              <w:t xml:space="preserve">apache</w:t>
            </w:r>
            <w:r>
              <w:t xml:space="preserve">; Amazon  </w:t>
            </w:r>
          </w:p>
        </w:tc>
        <w:tc>
          <w:p>
            <w:pPr>
              <w:pStyle w:val="Compact"/>
              <w:jc w:val="left"/>
            </w:pPr>
            <w:r>
              <w:t xml:space="preserve">neo4j</w:t>
            </w:r>
            <w:r>
              <w:t xml:space="preserve">; Oracle Spatial and Graph;</w:t>
            </w:r>
            <w:r>
              <w:t xml:space="preserve"> </w:t>
            </w:r>
            <w:r>
              <w:t xml:space="preserve">arangodb</w:t>
            </w:r>
            <w:r>
              <w:t xml:space="preserve">; Amazon Neptune;</w:t>
            </w:r>
            <w:r>
              <w:t xml:space="preserve"> </w:t>
            </w:r>
            <w:r>
              <w:t xml:space="preserve">boost</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smalltalk</w:t>
            </w:r>
            <w:r>
              <w:t xml:space="preserve">); Gbase (</w:t>
            </w:r>
            <w:r>
              <w:t xml:space="preserve">lisp</w:t>
            </w:r>
            <w:r>
              <w:t xml:space="preserve">);</w:t>
            </w:r>
            <w:r>
              <w:t xml:space="preserve"> </w:t>
            </w:r>
            <w:r>
              <w:t xml:space="preserve">couchdb</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w:t>
            </w:r>
            <w:r>
              <w:t xml:space="preserve"> </w:t>
            </w:r>
            <w:r>
              <w:t xml:space="preserve">sap_hana</w:t>
            </w:r>
            <w:r>
              <w:t xml:space="preserve">; EXASolution; WebDNA</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’s</w:t>
      </w:r>
      <w:r>
        <w:t xml:space="preserve"> </w:t>
      </w:r>
      <w:r>
        <w:t xml:space="preserve">telemeta</w:t>
      </w:r>
      <w:r>
        <w:t xml:space="preserve">, both collaborative database systems: the first two for general sound file sharing and classification, the latter for ethno-musicological pursposes.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w:t>
      </w:r>
      <w:r>
        <w:t xml:space="preserve"> </w:t>
      </w:r>
      <w:r>
        <w:t xml:space="preserve">nime</w:t>
      </w:r>
      <w:r>
        <w:t xml:space="preserve">, and</w:t>
      </w:r>
      <w:r>
        <w:t xml:space="preserve"> </w:t>
      </w:r>
      <w:r>
        <w:t xml:space="preserve">smc</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ip</w:t>
      </w:r>
      <w:r>
        <w:t xml:space="preserve"> </w:t>
      </w:r>
      <w:r>
        <w:t xml:space="preserve">to frequency) to the more abstract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canny-faces"/>
      <w:r>
        <w:t xml:space="preserve">Ucanny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Free’s programming philosophy called for generality, portability, and simplicity. Due to</w:t>
      </w:r>
      <w:r>
        <w:t xml:space="preserve"> </w:t>
      </w:r>
      <w:r>
        <w:t xml:space="preserve">sssp</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w:t>
      </w:r>
      <w:r>
        <w:t xml:space="preserve"> </w:t>
      </w:r>
      <w:r>
        <w:t xml:space="preserve">sssp</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w:t>
      </w:r>
      <w:r>
        <w:t xml:space="preserve"> </w:t>
      </w:r>
      <w:r>
        <w:t xml:space="preserve">musicxml</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w:t>
      </w:r>
    </w:p>
    <w:p>
      <w:pPr>
        <w:pStyle w:val="BodyText"/>
      </w:pPr>
      <w:r>
        <w:t xml:space="preserve">A bodyless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William Brent’s research on timbre analysis developed into a timbre description library for Pure Data called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 , and later moved on to ,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r>
        <w:t xml:space="preserve"> </w:t>
      </w:r>
      <w:r>
        <w:t xml:space="preserve">dbms</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w:t>
      </w:r>
      <w:r>
        <w:t xml:space="preserve"> </w:t>
      </w:r>
      <w:r>
        <w:t xml:space="preserve">yaml</w:t>
      </w:r>
      <w:r>
        <w:t xml:space="preserve">, or</w:t>
      </w:r>
      <w:r>
        <w:t xml:space="preserve"> </w:t>
      </w:r>
      <w:r>
        <w:rPr>
          <w:rStyle w:val="VerbatimChar"/>
        </w:rPr>
        <w:t xml:space="preserve">.bib</w:t>
      </w:r>
      <w:r>
        <w:t xml:space="preserve"> </w:t>
      </w:r>
      <w:r>
        <w:t xml:space="preserve">(LaTeXbibliography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learninc.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The following transcription was made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indicate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$\cancelto{kh}{c}$</w:t>
      </w:r>
      <w:r>
        <w:t xml:space="preserve">ording the</w:t>
      </w:r>
      <w:r>
        <w:t xml:space="preserve"> </w:t>
      </w:r>
      <w:r>
        <w:t xml:space="preserve">$\cancelto{ss}{s}$</w:t>
      </w:r>
      <w:r>
        <w:t xml:space="preserve">ound of my</w:t>
      </w:r>
      <w:r>
        <w:rPr>
          <w:i/>
        </w:rPr>
        <w:t xml:space="preserve">hh</w:t>
      </w:r>
      <w:r>
        <w:t xml:space="preserve"> </w:t>
      </w:r>
      <w:r>
        <w:t xml:space="preserve">speaking</w:t>
      </w:r>
      <w:r>
        <w:t xml:space="preserve"> </w:t>
      </w:r>
      <w:r>
        <w:t xml:space="preserve">$\cancelto{voisss}{voice}$</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$\cancelto{an}{and}$</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$\cancelto{tx!}{t}$</w:t>
      </w:r>
      <w:r>
        <w:t xml:space="preserve">il the</w:t>
      </w:r>
    </w:p>
    <w:p>
      <w:pPr>
        <w:pStyle w:val="BlockText"/>
      </w:pPr>
      <w:r>
        <w:t xml:space="preserve">re</w:t>
      </w:r>
      <w:r>
        <w:t xml:space="preserve">$\cancelto{ss}{s}$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$\cancelto{sss}{c}\xcancel{e}$</w:t>
      </w:r>
      <w:r>
        <w:t xml:space="preserve"> </w:t>
      </w:r>
      <w:r>
        <w:t xml:space="preserve">them</w:t>
      </w:r>
      <w:r>
        <w:t xml:space="preserve">$\cancelto{ss}{s}$</w:t>
      </w:r>
      <w:r>
        <w:t xml:space="preserve">elve</w:t>
      </w:r>
      <w:r>
        <w:t xml:space="preserve">$\cancelto{sss}{s}$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$\cancelto{sss}{s}$</w:t>
      </w:r>
      <w:r>
        <w:t xml:space="preserve">pee</w:t>
      </w:r>
      <w:r>
        <w:t xml:space="preserve">$\cancelto{ch\rightarrow shwh}{ch}$</w:t>
      </w:r>
    </w:p>
    <w:p>
      <w:pPr>
        <w:pStyle w:val="BlockText"/>
      </w:pPr>
      <w:r>
        <w:rPr>
          <w:i/>
        </w:rPr>
        <w:t xml:space="preserve">inhale</w:t>
      </w:r>
      <w:r>
        <w:t xml:space="preserve"> </w:t>
      </w:r>
      <w:r>
        <w:t xml:space="preserve">(long)</w:t>
      </w:r>
    </w:p>
    <w:p>
      <w:pPr>
        <w:pStyle w:val="BlockText"/>
      </w:pPr>
      <w:r>
        <w:t xml:space="preserve">with per</w:t>
      </w:r>
      <w:r>
        <w:t xml:space="preserve">$\cancelto{hhhh}{h}$</w:t>
      </w:r>
      <w:r>
        <w:t xml:space="preserve">ap</w:t>
      </w:r>
      <w:r>
        <w:t xml:space="preserve">$\cancelto{s!}{s}$</w:t>
      </w:r>
      <w:r>
        <w:t xml:space="preserve"> </w:t>
      </w:r>
      <w:r>
        <w:t xml:space="preserve">the excep</w:t>
      </w:r>
      <w:r>
        <w:t xml:space="preserve">$\cancelto{shh}{t}$</w:t>
      </w:r>
      <w:r>
        <w:t xml:space="preserve">ion of</w:t>
      </w:r>
    </w:p>
    <w:p>
      <w:pPr>
        <w:pStyle w:val="BlockText"/>
      </w:pPr>
      <w:r>
        <w:t xml:space="preserve">$\cancelto{rhythm}{\texttt{rwh\_\_$\cdot\cdot$.$\cdot$-ythm}}$</w:t>
      </w:r>
    </w:p>
    <w:p>
      <w:pPr>
        <w:pStyle w:val="BlockText"/>
      </w:pPr>
      <w:r>
        <w:t xml:space="preserve">is</w:t>
      </w:r>
      <w:r>
        <w:rPr>
          <w:i/>
        </w:rPr>
        <w:t xml:space="preserve">s</w:t>
      </w:r>
      <w:r>
        <w:t xml:space="preserve"> </w:t>
      </w:r>
      <w:r>
        <w:t xml:space="preserve">de</w:t>
      </w:r>
      <w:r>
        <w:t xml:space="preserve">$\cancelto{ss}{s}$</w:t>
      </w:r>
      <w:r>
        <w:t xml:space="preserve">troye</w:t>
      </w:r>
      <w:r>
        <w:t xml:space="preserve">$\cancelto{dh}{d}$</w:t>
      </w:r>
    </w:p>
    <w:p>
      <w:pPr>
        <w:pStyle w:val="BlockText"/>
      </w:pPr>
      <w:r>
        <w:t xml:space="preserve">$\cancelto{ou}{Wh}$</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$\cancelto{tzsh!}{t}$</w:t>
      </w:r>
      <w:r>
        <w:t xml:space="preserve">iculated by</w:t>
      </w:r>
      <w:r>
        <w:rPr>
          <w:i/>
        </w:rPr>
        <w:t xml:space="preserve">sss</w:t>
      </w:r>
      <w:r>
        <w:t xml:space="preserve">speech</w:t>
      </w:r>
      <w:r>
        <w:rPr>
          <w:i/>
        </w:rPr>
        <w:t xml:space="preserve">hhh</w:t>
      </w:r>
    </w:p>
    <w:p>
      <w:pPr>
        <w:pStyle w:val="BlockText"/>
      </w:pPr>
      <w:r>
        <w:t xml:space="preserve">I regard … this-</w:t>
      </w:r>
      <w:r>
        <w:t xml:space="preserve">$\cancelto{a!}{a}$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$\cancelto{ss}{s}$</w:t>
      </w:r>
      <w:r>
        <w:t xml:space="preserve">tra</w:t>
      </w:r>
      <w:r>
        <w:t xml:space="preserve">$\cancelto{shh}{t}$</w:t>
      </w:r>
      <w:r>
        <w:t xml:space="preserve">ion of a physical f</w:t>
      </w:r>
      <w:r>
        <w:t xml:space="preserve">$\cancelto{aa}{a}$</w:t>
      </w:r>
      <w:r>
        <w:t xml:space="preserve">c</w:t>
      </w:r>
      <w:r>
        <w:t xml:space="preserve">$\cancelto{t\rightarrow h}{t}$</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$\cancelto{z}{s}$</w:t>
      </w:r>
      <w:r>
        <w:t xml:space="preserve">a way to</w:t>
      </w:r>
      <w:r>
        <w:t xml:space="preserve">$\rightarrow\cancelto{smooth}{\textit{{ \normal S }{ \large S }{ \normal SS }{ \small SSss }{ \normal s }{ \footnotesize sss  }{ \scriptsize s  }{ \tiny s }}}$</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$\cancelto{f}{e}$</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fiercefully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nonhumam?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understsand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Furhtermore,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(humands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Slient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strenghth of connectivity itself:</w:t>
      </w:r>
      <w:r>
        <w:t xml:space="preserve"> </w:t>
      </w:r>
      <w:r>
        <w:t xml:space="preserve">“</w:t>
      </w:r>
      <w:r>
        <w:t xml:space="preserve">strenght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differed-deffered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archivization of a private place with the Sigmund Freud Museum, which is located in the same house where Freud lived.</w:t>
      </w:r>
      <w:r>
        <w:rPr>
          <w:rStyle w:val="FootnoteReference"/>
        </w:rPr>
        <w:footnoteReference w:id="225"/>
      </w:r>
      <w:r>
        <w:t xml:space="preserve"> </w:t>
      </w:r>
      <w:r>
        <w:t xml:space="preserve">Derrida delineated an economy of archives into he calls the</w:t>
      </w:r>
      <w:r>
        <w:t xml:space="preserve"> </w:t>
      </w:r>
      <w:r>
        <w:rPr>
          <w:i/>
        </w:rPr>
        <w:t xml:space="preserve">archontic</w:t>
      </w:r>
      <w:r>
        <w:t xml:space="preserve"> </w:t>
      </w:r>
      <w:r>
        <w:t xml:space="preserve">principle.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The archive condenses this economy within the confines of a public place. The word</w:t>
      </w:r>
      <w:r>
        <w:t xml:space="preserve"> </w:t>
      </w:r>
      <w:r>
        <w:t xml:space="preserve">‘</w:t>
      </w:r>
      <w:r>
        <w:t xml:space="preserve">archive</w:t>
      </w:r>
      <w:r>
        <w:t xml:space="preserve">’</w:t>
      </w:r>
      <w:r>
        <w:t xml:space="preserve"> </w:t>
      </w:r>
      <w:r>
        <w:t xml:space="preserve">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a powerful dictating rule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(as a technical agent in Freud’s structure of the psychich apparatus), 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psychoanalisis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the other lifting (erasing). Writting in 1995, Derrida poses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w:t>
      </w:r>
      <w:r>
        <w:t xml:space="preserve">Is the psychic apparatus better represented or is it affected differently?</w:t>
      </w:r>
      <w:r>
        <w:t xml:space="preserve">”</w:t>
      </w:r>
      <w:r>
        <w:t xml:space="preserve"> </w:t>
      </w: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Heading3"/>
      </w:pPr>
      <w:bookmarkStart w:id="227" w:name="spectrality"/>
      <w:r>
        <w:t xml:space="preserve">The Spectral Database</w:t>
      </w:r>
      <w:bookmarkEnd w:id="227"/>
    </w:p>
    <w:p>
      <w:pPr>
        <w:pStyle w:val="BlockText"/>
      </w:pP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 </w:t>
      </w:r>
      <w:r>
        <w:t xml:space="preserve">(Derrida &amp; Prenowitz 1995, p. 54)</w:t>
      </w:r>
    </w:p>
    <w:p>
      <w:pPr>
        <w:pStyle w:val="Heading5"/>
      </w:pPr>
      <w:bookmarkStart w:id="228" w:name="computer-memory-and-writing"/>
      <w:r>
        <w:t xml:space="preserve">Computer Memory and Writing</w:t>
      </w:r>
      <w:bookmarkEnd w:id="228"/>
    </w:p>
    <w:p>
      <w:pPr>
        <w:pStyle w:val="FirstParagraph"/>
      </w:pPr>
      <w:r>
        <w:t xml:space="preserve">Despite the multiplicity of elements that constitute software programming, such as compiler instructions, hardware stipulations, collaboration platforms, etc., the concepts of inscription and erasure (writing) are still in place. Because of this, the concept of the Derridean trace applies to programming. This fact can be linked further back to the conception of the computer itself, as it was previously discussed (See</w:t>
      </w:r>
      <w:r>
        <w:t xml:space="preserve"> </w:t>
      </w:r>
      <w:hyperlink w:anchor="databasing">
        <w:r>
          <w:rPr>
            <w:rStyle w:val="Hyperlink"/>
          </w:rPr>
          <w:t xml:space="preserve">4.2.1</w:t>
        </w:r>
      </w:hyperlink>
      <w:r>
        <w:t xml:space="preserve">). In his architecture, Von Neumann proposed that the storage unit of the computer would allow for data to be written and erased in different locations and times. In fact,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w:t>
      </w:r>
    </w:p>
    <w:p>
      <w:pPr>
        <w:pStyle w:val="Heading5"/>
      </w:pPr>
      <w:bookmarkStart w:id="229" w:name="memory-replacement"/>
      <w:r>
        <w:t xml:space="preserve">Memory Replacement</w:t>
      </w:r>
      <w:bookmarkEnd w:id="229"/>
    </w:p>
    <w:p>
      <w:pPr>
        <w:pStyle w:val="FirstParagraph"/>
      </w:pPr>
      <w:r>
        <w:t xml:space="preserve">However, an important distinction needs to be made here. While I am arguing for the similarities that exist between memory and database, Ernst proposes that databases —i.e., what he refers to as digital an-archives— enter as a form of replacement. This is to say that, given the convergence of all media into digital media,</w:t>
      </w:r>
      <w:r>
        <w:t xml:space="preserve"> </w:t>
      </w:r>
      <w:r>
        <w:t xml:space="preserve">‘</w:t>
      </w:r>
      <w:r>
        <w:t xml:space="preserve">reading</w:t>
      </w:r>
      <w:r>
        <w:t xml:space="preserve">’</w:t>
      </w:r>
      <w:r>
        <w:t xml:space="preserve"> </w:t>
      </w:r>
      <w:r>
        <w:t xml:space="preserve">is rendered null, giving way to mathematical processes that come to interpret the data. In Ernst’s words,</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is only valid within the Kittlerian, disembodied worldview (See</w:t>
      </w:r>
      <w:r>
        <w:t xml:space="preserve"> </w:t>
      </w:r>
      <w:hyperlink w:anchor="convergence">
        <w:r>
          <w:rPr>
            <w:rStyle w:val="Hyperlink"/>
          </w:rPr>
          <w:t xml:space="preserve">4.1.3</w:t>
        </w:r>
      </w:hyperlink>
      <w:r>
        <w:t xml:space="preserve">), which would also allow to convey the following: signal processing replaces</w:t>
      </w:r>
      <w:r>
        <w:t xml:space="preserve"> </w:t>
      </w:r>
      <w:r>
        <w:rPr>
          <w:i/>
        </w:rPr>
        <w:t xml:space="preserve">listening</w:t>
      </w:r>
      <w:r>
        <w:t xml:space="preserve">. Thus, in such a world where data structures and algorithms perform our own capacities to create and, by doing so, remove our bodies from ourselves, there would be no need for neither reading nor writing. Since, if the database reads itself, it also writes itself, and, in the case of music, if it listens to itself, it also sounds itself, removing listening altogether. Therefore, in order to arrive at the point of resonance that enables both the nonhuman and the human to coexist, a reconceptualization of the anarchic in relation to databases needs to be made; specifically, one that is grounded not on substitution, but on difference, and one that explains how authority enters into the sphere of databases.</w:t>
      </w:r>
    </w:p>
    <w:p>
      <w:pPr>
        <w:pStyle w:val="Heading5"/>
      </w:pPr>
      <w:bookmarkStart w:id="230" w:name="anarchic-records"/>
      <w:r>
        <w:t xml:space="preserve">Anarchic Records</w:t>
      </w:r>
      <w:bookmarkEnd w:id="230"/>
    </w:p>
    <w:p>
      <w:pPr>
        <w:pStyle w:val="FirstParagraph"/>
      </w:pPr>
      <w:r>
        <w:t xml:space="preserve">In his conceptualization of the</w:t>
      </w:r>
      <w:r>
        <w:t xml:space="preserve"> </w:t>
      </w:r>
      <w:r>
        <w:rPr>
          <w:i/>
        </w:rPr>
        <w:t xml:space="preserve">anarchoarchive</w:t>
      </w:r>
      <w:r>
        <w:t xml:space="preserve">, Ernst</w:t>
      </w:r>
      <w:r>
        <w:t xml:space="preserve"> </w:t>
      </w:r>
      <w:r>
        <w:t xml:space="preserve">(Ernst 2013)</w:t>
      </w:r>
      <w:r>
        <w:t xml:space="preserve"> </w:t>
      </w:r>
      <w:r>
        <w:t xml:space="preserve">opposes technical recording with symbolic transcription. Given the fact that a microphone captures the entire sonic environment, this involuntary memory —of</w:t>
      </w:r>
      <w:r>
        <w:t xml:space="preserve"> </w:t>
      </w:r>
      <w:r>
        <w:t xml:space="preserve">“</w:t>
      </w:r>
      <w:r>
        <w:t xml:space="preserve">past acoustic, not intended for tradition: a noisy memory</w:t>
      </w:r>
      <w:r>
        <w:t xml:space="preserve">”</w:t>
      </w:r>
      <w:r>
        <w:t xml:space="preserve"> </w:t>
      </w:r>
      <w:r>
        <w:t xml:space="preserve">(Ernst 2013, p. 174)</w:t>
      </w:r>
      <w:r>
        <w:t xml:space="preserve">— comes to be a form of anarchic archive, or</w:t>
      </w:r>
      <w:r>
        <w:t xml:space="preserve"> </w:t>
      </w:r>
      <w:r>
        <w:rPr>
          <w:i/>
        </w:rPr>
        <w:t xml:space="preserve">an-archive</w:t>
      </w:r>
      <w:r>
        <w:t xml:space="preserve">. Therefore, for example, he claims that Bela Bartok’s transcriptions to musical notation of Milman Parry’s Serbian epic song recordings</w:t>
      </w:r>
      <w:r>
        <w:rPr>
          <w:rStyle w:val="FootnoteReference"/>
        </w:rPr>
        <w:footnoteReference w:id="231"/>
      </w:r>
      <w:r>
        <w:t xml:space="preserve"> </w:t>
      </w:r>
      <w:r>
        <w:t xml:space="preserve">becomes an archivization process, that is, a process by which symbolic transcription leads to an ordered archive, i.e., a score.</w:t>
      </w:r>
      <w:r>
        <w:rPr>
          <w:rStyle w:val="FootnoteReference"/>
        </w:rPr>
        <w:footnoteReference w:id="233"/>
      </w:r>
      <w:r>
        <w:t xml:space="preserve"> </w:t>
      </w:r>
      <w:r>
        <w:t xml:space="preserve">In Ernst’s sense, a sound file storing samples of the recorded world is anarchic because of the unfiltered (</w:t>
      </w:r>
      <w:r>
        <w:t xml:space="preserve">‘</w:t>
      </w:r>
      <w:r>
        <w:t xml:space="preserve">pure</w:t>
      </w:r>
      <w:r>
        <w:t xml:space="preserve">’</w:t>
      </w:r>
      <w:r>
        <w:t xml:space="preserve">) way in which the world is inscribed by the recorder. He bases this idea on another media theorist, Sven Spieker, who claims that, following Derrida’s conceptualization of the archive, a central feature of archives is not memory,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the possibility condition of an archive is filtering, or better: framing. The problem is that, the moment Ernst deposits on the recording technology the disappearance of the body, he dislocates framing altogether, and thus is how the concept of</w:t>
      </w:r>
      <w:r>
        <w:t xml:space="preserve"> </w:t>
      </w:r>
      <w:r>
        <w:t xml:space="preserve">‘</w:t>
      </w:r>
      <w:r>
        <w:t xml:space="preserve">pure</w:t>
      </w:r>
      <w:r>
        <w:t xml:space="preserve">’</w:t>
      </w:r>
      <w:r>
        <w:t xml:space="preserve"> </w:t>
      </w:r>
      <w:r>
        <w:t xml:space="preserve">recording comes in. Therefore, if for Ernst, Parry’s audio recordings are anarchic, this is because they are constructed upon a Kittlerian idea of purity that leaves the human out of the equation.</w:t>
      </w:r>
    </w:p>
    <w:p>
      <w:pPr>
        <w:pStyle w:val="Heading5"/>
      </w:pPr>
      <w:bookmarkStart w:id="234" w:name="memory-and-framing"/>
      <w:r>
        <w:t xml:space="preserve">Memory and Framing</w:t>
      </w:r>
      <w:bookmarkEnd w:id="234"/>
    </w:p>
    <w:p>
      <w:pPr>
        <w:pStyle w:val="FirstParagraph"/>
      </w:pPr>
      <w:r>
        <w:t xml:space="preserve">If we consider the body’s capacity to create images from the world of images, then framing is also a possibility condition for human memory. In fact, we have seen with the Derridean trace that it is a resisting force what first enables the violent rupture of traces, and thus, this force can also be considered as an instance of framing itself. Resistance of the psyche as creativity taking action as the moment of framing. In the an-archic memory graph that I am conceptualizing here, framing can be thought of as the edge (the arrow) that thus connects the public to the private. Furthermore, framing can also be inversely considered as the arrow between the private and the public in the case of archives, since, for example, in the case of a contract, only a limited amount of signatures are needed, thus a frame needs to be an active part of the process of archivization.</w:t>
      </w:r>
    </w:p>
    <w:p>
      <w:pPr>
        <w:pStyle w:val="Heading5"/>
      </w:pPr>
      <w:bookmarkStart w:id="235" w:name="nonhuman-tympans"/>
      <w:r>
        <w:t xml:space="preserve">Nonhuman Tympans</w:t>
      </w:r>
      <w:bookmarkEnd w:id="235"/>
    </w:p>
    <w:p>
      <w:pPr>
        <w:pStyle w:val="FirstParagraph"/>
      </w:pPr>
      <w:r>
        <w:t xml:space="preserve">Therefore, given that framing is in between the public and the private, in order to consider the case of audio recording as either memory or archive, these two categories, privacy and publicness need to be taken into account in relation to nonhumans. In other words, given that the world can be considered public, because it is in a constant state of availability at any time, then, a microphone can be considered an actor of privacy, since it deprives some sounds from being recorded —e.g., because it has not been designed for certain frequency bands— while recording other sounds. Therefore, if transducers have a filtering capacity, they engage with the passage from the public to the private —and vice versa, since both speakers and microphones are transducers. Consider, for example, Jonathan Sterne’s definition of the</w:t>
      </w:r>
      <w:r>
        <w:t xml:space="preserve"> </w:t>
      </w:r>
      <w:r>
        <w:t xml:space="preserve">‘</w:t>
      </w:r>
      <w:r>
        <w:t xml:space="preserve">tympanic</w:t>
      </w:r>
      <w:r>
        <w:t xml:space="preserve">’</w:t>
      </w:r>
      <w:r>
        <w:t xml:space="preserve"> </w:t>
      </w:r>
      <w:r>
        <w:t xml:space="preserve">function of transducers, as quoted by Cathy Van Eyck in her PhD dissertation on microphones and loudspeakers:</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(Eck 2013, p. 107)</w:t>
      </w:r>
      <w:r>
        <w:t xml:space="preserve">. Therefore, considering these nonhuman tympans as actors of privacy and publicness, audio reproduction technology can be compared to the structure of memory and archives. For example, audio recording can be conceived as a form of memory, only to the extent that its inscription is singular yet reproducible. This is because a magnetic tape or a hard drive cannot be considered in the same (plural) way as Derridean traces, since once data is stored, it exists only once in discrete, limited space, unless copied to another location, in which case it becomes a duplicate, an identical (in-different) clone of itself. Furthermore, the case of audio playback can be a form of archive, since it consists of the passage from the private —the stored air pressure waves— to the public —the reproduced air pressure waves in space—, only to the extent that the latter is not considered space as such, but resonance within space. In this sense, Ernst’ consideration of the Parry’s recordings as anarchic needs to be reconfigured.</w:t>
      </w:r>
    </w:p>
    <w:p>
      <w:pPr>
        <w:pStyle w:val="Heading5"/>
      </w:pPr>
      <w:bookmarkStart w:id="236" w:name="spectrality-of-archives"/>
      <w:r>
        <w:t xml:space="preserve">Spectrality of Archives</w:t>
      </w:r>
      <w:bookmarkEnd w:id="236"/>
    </w:p>
    <w:p>
      <w:pPr>
        <w:pStyle w:val="FirstParagraph"/>
      </w:pPr>
      <w:r>
        <w:t xml:space="preserve">Given that these nonhuman tympans constitute the limit between sonic —but also tactile</w:t>
      </w:r>
      <w:r>
        <w:t xml:space="preserve"> </w:t>
      </w:r>
      <w:r>
        <w:t xml:space="preserve">(Eck 2013, p. 223)</w:t>
      </w:r>
      <w:r>
        <w:t xml:space="preserve">— world and the binary world of databases, their comparison to memory and archives renders a hybrid object: one that, on the one side, becomes a private and singular</w:t>
      </w:r>
      <w:r>
        <w:t xml:space="preserve"> </w:t>
      </w:r>
      <w:r>
        <w:t xml:space="preserve">‘</w:t>
      </w:r>
      <w:r>
        <w:t xml:space="preserve">trace</w:t>
      </w:r>
      <w:r>
        <w:t xml:space="preserve">’</w:t>
      </w:r>
      <w:r>
        <w:t xml:space="preserve">, and, on the other, becomes a public, resonant</w:t>
      </w:r>
      <w:r>
        <w:t xml:space="preserve"> </w:t>
      </w:r>
      <w:r>
        <w:t xml:space="preserve">‘</w:t>
      </w:r>
      <w:r>
        <w:t xml:space="preserve">space.</w:t>
      </w:r>
      <w:r>
        <w:t xml:space="preserve">’</w:t>
      </w:r>
      <w:r>
        <w:t xml:space="preserve"> </w:t>
      </w:r>
      <w:r>
        <w:t xml:space="preserve">Thus, databases represent neither a trace nor a space. At this point it is important to address the quote at the beginning of this section, that is, the structure of the archontic that Derrida assigned to archives: spectrality. 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—Derrida points to the greek root</w:t>
      </w:r>
      <w:r>
        <w:t xml:space="preserve"> </w:t>
      </w:r>
      <w:r>
        <w:rPr>
          <w:i/>
        </w:rPr>
        <w:t xml:space="preserve">oikos</w:t>
      </w:r>
      <w:r>
        <w:t xml:space="preserve">, meaning</w:t>
      </w:r>
      <w:r>
        <w:t xml:space="preserve"> </w:t>
      </w:r>
      <w:r>
        <w:t xml:space="preserve">‘</w:t>
      </w:r>
      <w:r>
        <w:t xml:space="preserve">house</w:t>
      </w:r>
      <w:r>
        <w:t xml:space="preserve">’</w:t>
      </w:r>
      <w:r>
        <w:t xml:space="preserve">—, that is, to the passing through (trans-action) of signs, but also de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 addressing, that is of transaction. Finally, what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To bring back our database, the hybridity that the database projects when compared to memory or archives points to a certain uncanniness, that is, precisely to the hauntedness that comes from its spectrality. 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7" w:name="spectrality-of-databases"/>
      <w:r>
        <w:t xml:space="preserve">Spectrality of Databases</w:t>
      </w:r>
      <w:bookmarkEnd w:id="237"/>
    </w:p>
    <w:p>
      <w:pPr>
        <w:pStyle w:val="FirstParagraph"/>
      </w:pPr>
      <w:r>
        <w:t xml:space="preserve">Therefore, given that Derrida considers the structure of the archive to be indeed spectral, I can bring this spectrality to the database itself, and consider it just as spectral but in a different sense. The spectrality of the database comes not from its hauntedness, that is, it is not domiciled since, as humans, we have no access to data space (address space) directly with our bodies. As humans, we cannot engage in transaction with the specter directly: we need transducers. In the case of audio playback, we need loudspeakers because we need to create, with our bodies, the image that was recorded in the first place. In consequence, while embodying stored data, we embody its specter. Therefore, the hauntedness needs to be</w:t>
      </w:r>
      <w:r>
        <w:t xml:space="preserve"> </w:t>
      </w:r>
      <w:r>
        <w:t xml:space="preserve">‘</w:t>
      </w:r>
      <w:r>
        <w:t xml:space="preserve">transduced</w:t>
      </w:r>
      <w:r>
        <w:t xml:space="preserve">’</w:t>
      </w:r>
      <w:r>
        <w:t xml:space="preserve"> </w:t>
      </w:r>
      <w:r>
        <w:t xml:space="preserve">into space, and with this transduction the agency of the database can be effectively felt. Likewise, the uncanniness of the case of audio recording can be felt as the ghost that will</w:t>
      </w:r>
      <w:r>
        <w:t xml:space="preserve"> </w:t>
      </w:r>
      <w:r>
        <w:t xml:space="preserve">‘</w:t>
      </w:r>
      <w:r>
        <w:t xml:space="preserve">remember us,</w:t>
      </w:r>
      <w:r>
        <w:t xml:space="preserve">’</w:t>
      </w:r>
      <w:r>
        <w:t xml:space="preserve"> </w:t>
      </w:r>
      <w:r>
        <w:t xml:space="preserve">because of this computer</w:t>
      </w:r>
      <w:r>
        <w:t xml:space="preserve"> </w:t>
      </w:r>
      <w:r>
        <w:t xml:space="preserve">‘</w:t>
      </w:r>
      <w:r>
        <w:t xml:space="preserve">memory</w:t>
      </w:r>
      <w:r>
        <w:t xml:space="preserve">’</w:t>
      </w:r>
      <w:r>
        <w:t xml:space="preserve"> </w:t>
      </w:r>
      <w:r>
        <w:t xml:space="preserve">that will keep (to its own privacy) the sonic environment that attests to our presence in space —because we sing, we make sounds, etc. Hence, the haunting that resides in-memory, together with the stored data and pointers.</w:t>
      </w:r>
    </w:p>
    <w:p>
      <w:pPr>
        <w:pStyle w:val="Heading5"/>
      </w:pPr>
      <w:bookmarkStart w:id="238" w:name="agency-of-the-uncanny"/>
      <w:r>
        <w:t xml:space="preserve">Agency of the Uncanny</w:t>
      </w:r>
      <w:bookmarkEnd w:id="238"/>
    </w:p>
    <w:p>
      <w:pPr>
        <w:pStyle w:val="FirstParagraph"/>
      </w:pPr>
      <w:r>
        <w:t xml:space="preserve">In recognizing this presence, which is the archontic specter of the database, comes the recognition of the agency of the database itself, and, furthermore, of the quality of the aesthetic experience that we encounter whenever there is a database in art. As Timothy Morton</w:t>
      </w:r>
      <w:r>
        <w:t xml:space="preserve"> </w:t>
      </w:r>
      <w:r>
        <w:t xml:space="preserve">(Morton 2013)</w:t>
      </w:r>
      <w:r>
        <w:t xml:space="preserve"> </w:t>
      </w:r>
      <w:r>
        <w:t xml:space="preserve">writes in relation to what he calls hyperobjects:</w:t>
      </w:r>
    </w:p>
    <w:p>
      <w:pPr>
        <w:pStyle w:val="BlockText"/>
      </w:pPr>
      <w:r>
        <w:t xml:space="preserve">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 as Adorno says, the primordial aesthetic experience is goose bumps. Yet this is precisely the aesthetic experience of the hyperobject, which can only be detected as a ghostly spectrality that comes in and out of phase with normalized human spacetime.</w:t>
      </w:r>
      <w:r>
        <w:t xml:space="preserve"> </w:t>
      </w:r>
      <w:r>
        <w:t xml:space="preserve">(Morton 2013, p. 169)</w:t>
      </w:r>
    </w:p>
    <w:p>
      <w:pPr>
        <w:pStyle w:val="FirstParagraph"/>
      </w:pPr>
      <w:r>
        <w:t xml:space="preserve">To the point that databases are spectral, they can be considered hyperobjects in Morton’s sense, and thus, agents translating through aesthetic networks. However, I will not dwell much longer on this definition in this text. If we consider the</w:t>
      </w:r>
      <w:r>
        <w:t xml:space="preserve"> </w:t>
      </w:r>
      <w:r>
        <w:t xml:space="preserve">“</w:t>
      </w:r>
      <w:r>
        <w:t xml:space="preserve">recorded movement of a thing</w:t>
      </w:r>
      <w:r>
        <w:t xml:space="preserve">”</w:t>
      </w:r>
      <w:r>
        <w:t xml:space="preserve"> </w:t>
      </w:r>
      <w:r>
        <w:t xml:space="preserve">with which Latour identified his concept of the network, databases are agents not only of recording, also of motility, and of thing-hood itself. This is to say that, in the constitution of networks, the spectrality of the database expands in multiple directions. Bringing back the illusory violin of the acousmatic concert I mentioned earlier (See</w:t>
      </w:r>
      <w:r>
        <w:t xml:space="preserve"> </w:t>
      </w:r>
      <w:hyperlink w:anchor="resonance_of_a_return">
        <w:r>
          <w:rPr>
            <w:rStyle w:val="Hyperlink"/>
          </w:rPr>
          <w:t xml:space="preserve">5.1.2</w:t>
        </w:r>
      </w:hyperlink>
      <w:r>
        <w:t xml:space="preserve">), it exemplified Hansen’s concept of the creation of images our brain’s capacity for virtuality has, that is, our imagination. The sound of a violin can be recorded —but also synthesized— into the privacy of a database. Then, it can be played back with loudspeakers located in such a way that they emulate the location of an actual violin player. As a result, the listener could very likely imagine a physically present violin in the room, that is, a ghost. This ghost comes in as the phantom of a human player; of the violin itself; of the histories and traditions that those two elements bring forth; of the presence of the nonhuman that the database implies; of the privacy that is not human but that it is still uncannily private; of the plurality that is embedded in the construction of databases;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In what follows, a crucial aspect of the database will be addressed, one that defines the condition of possibility of this hauntedness to be indeed instantiated into appearance, not only in the form of authority, as I have shown in the case of its archontic presence, but also in the form of style, and most important, gender: the performativity of the database.</w:t>
      </w:r>
    </w:p>
    <w:p>
      <w:pPr>
        <w:pStyle w:val="Heading2"/>
      </w:pPr>
      <w:bookmarkStart w:id="239" w:name="section:Performativity_Of Databases"/>
      <w:r>
        <w:t xml:space="preserve">Performativity Of Databases</w:t>
      </w:r>
      <w:bookmarkEnd w:id="239"/>
    </w:p>
    <w:p>
      <w:pPr>
        <w:pStyle w:val="Heading3"/>
      </w:pPr>
      <w:bookmarkStart w:id="240" w:name="gender"/>
      <w:r>
        <w:t xml:space="preserve">Gendered Database</w:t>
      </w:r>
      <w:bookmarkEnd w:id="240"/>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Judith Butler</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section:Listening_Databases">
        <w:r>
          <w:rPr>
            <w:rStyle w:val="Hyperlink"/>
          </w:rPr>
          <w:t xml:space="preserve">5.1</w:t>
        </w:r>
      </w:hyperlink>
      <w:r>
        <w:t xml:space="preserve">).</w:t>
      </w:r>
    </w:p>
    <w:p>
      <w:pPr>
        <w:pStyle w:val="Heading5"/>
      </w:pPr>
      <w:bookmarkStart w:id="241" w:name="skin-of-the-database"/>
      <w:r>
        <w:t xml:space="preserve">Skin of the Database</w:t>
      </w:r>
      <w:bookmarkEnd w:id="241"/>
    </w:p>
    <w:p>
      <w:pPr>
        <w:pStyle w:val="FirstParagraph"/>
      </w:pPr>
      <w:r>
        <w:t xml:space="preserve">In the performativity of databasing resides the possibility for the skin of the database to emerge. On the one hand, this skin is the spectral surface of the database’s illusory self. On the other, it is the limit towards which the human and the nonhuman engage in resonance. The skin of the database carries the mark of a style. That is to say, in defining style as a repetition of acts, it is a form of embodiment that is ascribed to databases. Because the self of the database is inscribed on its skin, we can assign yet another quality of the database: an authorial subject. This subject relates to the uncanny, not only because of its nonhuman spectrality, also because of its gendered appearance which comes to redefine our own social categories such as reality itself. Therefore, I claim that, given that databasing is the performative condition of databases, the database becomes gendered.</w:t>
      </w:r>
    </w:p>
    <w:p>
      <w:pPr>
        <w:pStyle w:val="Heading5"/>
      </w:pPr>
      <w:bookmarkStart w:id="242" w:name="expressing-nothing"/>
      <w:r>
        <w:t xml:space="preserve">Expressing Nothing</w:t>
      </w:r>
      <w:bookmarkEnd w:id="242"/>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Furthermore,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this terms of performativity, to the point that, while having the capacity to store millions of data, a database can in deed express nothing?</w:t>
      </w:r>
    </w:p>
    <w:p>
      <w:pPr>
        <w:pStyle w:val="Heading5"/>
      </w:pPr>
      <w:bookmarkStart w:id="243" w:name="a-historical-situation"/>
      <w:r>
        <w:t xml:space="preserve">A Historical Situation</w:t>
      </w:r>
      <w:bookmarkEnd w:id="243"/>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44" w:name="subversive-repetition"/>
      <w:r>
        <w:t xml:space="preserve">Subversive Repetition</w:t>
      </w:r>
      <w:bookmarkEnd w:id="244"/>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layerers that deposit themselves in time. Furthermore, within this notion of temporality there is the need for repetition, but a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 these acts are necessarily discontinuous, and it is because of this discontinuity that exists the possibility of gender transformation. In this sense, gender performance is neither linear nor nonlinear. It resides along an anarachic temporality that replaces teleology with the multiplicity of resonant nows. It is an inline iterative function with random breaks.</w:t>
      </w:r>
    </w:p>
    <w:p>
      <w:pPr>
        <w:pStyle w:val="Heading5"/>
      </w:pPr>
      <w:bookmarkStart w:id="245" w:name="gendered-database"/>
      <w:r>
        <w:t xml:space="preserve">Gendered Database</w:t>
      </w:r>
      <w:bookmarkEnd w:id="245"/>
    </w:p>
    <w:p>
      <w:pPr>
        <w:pStyle w:val="FirstParagraph"/>
      </w:pPr>
      <w:r>
        <w:t xml:space="preserve">The database is a collection of facts. It is facticity itself.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human. It is simply a nonhuman fabrication of selfhood: there, around, making its way through the rupture of the permanent condition of performativity to which we (humans and nonhumans) are phenomenologically bound. That is the how the style of the database appears. This nonhuman self, like Butler’s gendered self, is equally</w:t>
      </w:r>
      <w:r>
        <w:t xml:space="preserve"> </w:t>
      </w:r>
      <w:r>
        <w:t xml:space="preserve">‘</w:t>
      </w:r>
      <w:r>
        <w:t xml:space="preserve">outside,</w:t>
      </w:r>
      <w:r>
        <w:t xml:space="preserve">’</w:t>
      </w:r>
      <w:r>
        <w:t xml:space="preserve"> </w:t>
      </w:r>
      <w:r>
        <w:t xml:space="preserve">that is,</w:t>
      </w:r>
      <w:r>
        <w:t xml:space="preserve"> </w:t>
      </w:r>
      <w:r>
        <w:t xml:space="preserve">“</w:t>
      </w:r>
      <w:r>
        <w:t xml:space="preserve">constituted in social discourse</w:t>
      </w:r>
      <w:r>
        <w:t xml:space="preserve">”</w:t>
      </w:r>
      <w:r>
        <w:t xml:space="preserve"> </w:t>
      </w:r>
      <w:r>
        <w:t xml:space="preserve">(Butler 1988, p. 528)</w:t>
      </w:r>
      <w:r>
        <w:t xml:space="preserve">. That is to say, the skin of the database is open for perception outside of itself, and in fact, nothing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Turing himself:</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6" w:name="limits"/>
      <w:r>
        <w:t xml:space="preserve">Towards The Limits</w:t>
      </w:r>
      <w:bookmarkEnd w:id="246"/>
    </w:p>
    <w:p>
      <w:pPr>
        <w:pStyle w:val="Heading5"/>
      </w:pPr>
      <w:bookmarkStart w:id="247" w:name="exposure"/>
      <w:r>
        <w:t xml:space="preserve">Exposure</w:t>
      </w:r>
      <w:bookmarkEnd w:id="247"/>
    </w:p>
    <w:p>
      <w:pPr>
        <w:pStyle w:val="FirstParagraph"/>
      </w:pPr>
      <w:r>
        <w:t xml:space="preserve">The performativity of databasing can be understood in terms of what Nancy calls exposure</w:t>
      </w:r>
      <w:r>
        <w:t xml:space="preserve"> </w:t>
      </w:r>
      <w:r>
        <w:t xml:space="preserve">(Nancy 1991)</w:t>
      </w:r>
      <w:r>
        <w:t xml:space="preserve">. Exposure is the appearance of a limit and the finitud of a singularity. With this limit instantiated in the (public) moment of the performative act, is how communication emerges as that which is in common among singularities. That is to say, because it is itself nothing (</w:t>
      </w:r>
      <w:r>
        <w:t xml:space="preserve">“</w:t>
      </w:r>
      <w:r>
        <w:t xml:space="preserve">neither a ground, nor an essence, nor a substance</w:t>
      </w:r>
      <w:r>
        <w:t xml:space="preserve">”</w:t>
      </w:r>
      <w:r>
        <w:t xml:space="preserve"> </w:t>
      </w:r>
      <w:r>
        <w:t xml:space="preserve">(Nancy 1991, p. 31)</w:t>
      </w:r>
      <w:r>
        <w:t xml:space="preserve">) Nancy considers finitud to just appear in the form of communication:</w:t>
      </w:r>
      <w:r>
        <w:t xml:space="preserve"> </w:t>
      </w:r>
      <w:r>
        <w:t xml:space="preserve">“</w:t>
      </w:r>
      <w:r>
        <w:t xml:space="preserve">it presents itself, it exposes itself, and thus it exists as communication</w:t>
      </w:r>
      <w:r>
        <w:t xml:space="preserve">”</w:t>
      </w:r>
      <w:r>
        <w:t xml:space="preserve"> </w:t>
      </w:r>
      <w:r>
        <w:t xml:space="preserve">(Nancy 1991, p. 31)</w:t>
      </w:r>
      <w:r>
        <w:t xml:space="preserve">. His emphasis on communication as exposure marks a crucial distinction on the concept of community. For Nancy, as I have described above (See</w:t>
      </w:r>
      <w:r>
        <w:t xml:space="preserve"> </w:t>
      </w:r>
      <w:hyperlink w:anchor="inoperativity">
        <w:r>
          <w:rPr>
            <w:rStyle w:val="Hyperlink"/>
          </w:rPr>
          <w:t xml:space="preserve">5.1.4</w:t>
        </w:r>
      </w:hyperlink>
      <w:r>
        <w:t xml:space="preserve">), community cannot come from an instance of work: it emerges as an instance of the communicative action which is</w:t>
      </w:r>
      <w:r>
        <w:t xml:space="preserve"> </w:t>
      </w:r>
      <w:r>
        <w:t xml:space="preserve">“</w:t>
      </w:r>
      <w:r>
        <w:t xml:space="preserve">the unworking of a work that is social, economic, technical, and institutional</w:t>
      </w:r>
      <w:r>
        <w:t xml:space="preserve">”</w:t>
      </w:r>
      <w:r>
        <w:t xml:space="preserve"> </w:t>
      </w:r>
      <w:r>
        <w:t xml:space="preserve">(Nancy 1991, p. 31)</w:t>
      </w:r>
      <w:r>
        <w:t xml:space="preserve">. In other words, the performativity of this communicative act, the publicness and dramatic qualities with which it unfolds, result in exposure. This is why, in the case of databasing, what is exposed at the limit of its performance is the finitud of the database itself. Through this exposition of the limit is how the singularity of the database can be communicated; or, better, through this exposure is how communication expands our concept of community towards one that includes the database as an agent of community itself.</w:t>
      </w:r>
    </w:p>
    <w:p>
      <w:pPr>
        <w:pStyle w:val="Heading5"/>
      </w:pPr>
      <w:bookmarkStart w:id="248" w:name="anarchic-touch"/>
      <w:r>
        <w:t xml:space="preserve">Anarchic Touch</w:t>
      </w:r>
      <w:bookmarkEnd w:id="248"/>
    </w:p>
    <w:p>
      <w:pPr>
        <w:pStyle w:val="FirstParagraph"/>
      </w:pPr>
      <w:r>
        <w:t xml:space="preserve">As Nancy writes,</w:t>
      </w:r>
      <w:r>
        <w:t xml:space="preserve"> </w:t>
      </w:r>
      <w:r>
        <w:t xml:space="preserve">“</w:t>
      </w:r>
      <w:r>
        <w:t xml:space="preserve">a singular being does not emerge or rise up against the background of a chaotic, undifferentiated identity of beings</w:t>
      </w:r>
      <w:r>
        <w:t xml:space="preserve">”</w:t>
      </w:r>
      <w:r>
        <w:t xml:space="preserve"> </w:t>
      </w:r>
      <w:r>
        <w:t xml:space="preserve">(Nancy 1991, p. 28)</w:t>
      </w:r>
      <w:r>
        <w:t xml:space="preserve">. This is to say that, like Butler’s gendered self, there is no substance within singularity. The appearance of a database as finitud comes not from an originary</w:t>
      </w:r>
      <w:r>
        <w:t xml:space="preserve"> </w:t>
      </w:r>
      <w:r>
        <w:rPr>
          <w:i/>
        </w:rPr>
        <w:t xml:space="preserve">archē</w:t>
      </w:r>
      <w:r>
        <w:t xml:space="preserve"> </w:t>
      </w:r>
      <w:r>
        <w:t xml:space="preserve">which would impose its archontic power as is the case of archives. Further, the limit of the database is not instantiated out of the one, a</w:t>
      </w:r>
      <w:r>
        <w:t xml:space="preserve"> </w:t>
      </w:r>
      <w:r>
        <w:t xml:space="preserve">“</w:t>
      </w:r>
      <w:r>
        <w:t xml:space="preserve">unitary assumption</w:t>
      </w:r>
      <w:r>
        <w:t xml:space="preserve">”</w:t>
      </w:r>
      <w:r>
        <w:t xml:space="preserve"> </w:t>
      </w:r>
      <w:r>
        <w:t xml:space="preserve">(Nancy 1991, p. 28)</w:t>
      </w:r>
      <w:r>
        <w:t xml:space="preserve">, or the wholeness of a single one. This finitud does not come from intentionality or any essentialist notions: it simply appears, for Nancy, in the form of touch:</w:t>
      </w:r>
      <w:r>
        <w:t xml:space="preserve"> </w:t>
      </w:r>
      <w:r>
        <w:t xml:space="preserve">“</w:t>
      </w:r>
      <w:r>
        <w:t xml:space="preserve">…as finitude itself: at the end (or at the beginning), with the contact of the</w:t>
      </w:r>
      <w:r>
        <w:t xml:space="preserve"> </w:t>
      </w:r>
      <w:r>
        <w:rPr>
          <w:i/>
        </w:rPr>
        <w:t xml:space="preserve">skin</w:t>
      </w:r>
      <w:r>
        <w:t xml:space="preserve"> </w:t>
      </w:r>
      <w:r>
        <w:t xml:space="preserve">(or the heart) of another singular being, at the confines of the same singularity that is, as such, always other, always shared, always exposed…</w:t>
      </w:r>
      <w:r>
        <w:t xml:space="preserve">”</w:t>
      </w:r>
      <w:r>
        <w:t xml:space="preserve"> </w:t>
      </w:r>
      <w:r>
        <w:t xml:space="preserve">[emphasis added]</w:t>
      </w:r>
      <w:r>
        <w:t xml:space="preserve"> </w:t>
      </w:r>
      <w:r>
        <w:t xml:space="preserve">(Nancy 1991, p. 28)</w:t>
      </w:r>
      <w:r>
        <w:t xml:space="preserve">. The temporality of this touch, like that of gender, is anarchic.</w:t>
      </w:r>
    </w:p>
    <w:p>
      <w:pPr>
        <w:pStyle w:val="Heading5"/>
      </w:pPr>
      <w:bookmarkStart w:id="249" w:name="communities-of-skin"/>
      <w:r>
        <w:t xml:space="preserve">Communities of Skin</w:t>
      </w:r>
      <w:bookmarkEnd w:id="249"/>
    </w:p>
    <w:p>
      <w:pPr>
        <w:pStyle w:val="FirstParagraph"/>
      </w:pPr>
      <w:r>
        <w:t xml:space="preserve">The limit of the database, as performative, spectral skin, is the condition for community to emerges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doing so, that is, by exposing our own limits to ourselves and to each other, the database changes our definition, or, better, delimits the extent of our own singularity. However, this does not mean that it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—or, more accurately, anything that is not</w:t>
      </w:r>
      <w:r>
        <w:t xml:space="preserve"> </w:t>
      </w:r>
      <w:r>
        <w:t xml:space="preserve">‘</w:t>
      </w:r>
      <w:r>
        <w:t xml:space="preserve">man.</w:t>
      </w:r>
      <w:r>
        <w:t xml:space="preserve">’</w:t>
      </w:r>
      <w:r>
        <w:t xml:space="preserve"> </w:t>
      </w:r>
      <w:r>
        <w:t xml:space="preserve">As Nancy rightfully claims,</w:t>
      </w:r>
      <w:r>
        <w:t xml:space="preserve"> </w:t>
      </w:r>
      <w:r>
        <w:t xml:space="preserve">“</w:t>
      </w:r>
      <w:r>
        <w:t xml:space="preserve"> </w:t>
      </w:r>
      <w:r>
        <w:t xml:space="preserve">it is not obvious that the community of singularities is limited to</w:t>
      </w:r>
      <w:r>
        <w:t xml:space="preserve"> </w:t>
      </w:r>
      <w:r>
        <w:t xml:space="preserve">‘</w:t>
      </w:r>
      <w:r>
        <w:t xml:space="preserve">man</w:t>
      </w:r>
      <w:r>
        <w:t xml:space="preserve">’</w:t>
      </w:r>
      <w:r>
        <w:t xml:space="preserve">”</w:t>
      </w:r>
      <w:r>
        <w:t xml:space="preserve"> </w:t>
      </w:r>
      <w:r>
        <w:t xml:space="preserve">(Nancy 1991, p. 28)</w:t>
      </w:r>
      <w:r>
        <w:t xml:space="preserve">.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This is the community of resonance, the community of the resonant network, which has no purpose, no intentionality behind, no essence; only appearance and motility, performance and repetition: an activity that is the unworking with which community exposes itself.</w:t>
      </w:r>
    </w:p>
    <w:p>
      <w:pPr>
        <w:pStyle w:val="Heading5"/>
      </w:pPr>
      <w:bookmarkStart w:id="250" w:name="hybrid-pluralities"/>
      <w:r>
        <w:t xml:space="preserve">Hybrid Pluralities</w:t>
      </w:r>
      <w:bookmarkEnd w:id="250"/>
    </w:p>
    <w:p>
      <w:pPr>
        <w:pStyle w:val="FirstParagraph"/>
      </w:pPr>
      <w:r>
        <w:t xml:space="preserve">Database models tend to reside next to each other, either within a single database system or within an interconnected networked system. With this plurality of the model,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resonanting in such performativity, databasers approach (but do not reach) the limit of the database. This approach to the skin of the database exposes simultaneously the skin of the databaser to the database. What this exposure amounts to is not, however, an opposition of forces. It results in the fragmented state of community that resides in the different degrees of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51" w:name="style"/>
      <w:r>
        <w:t xml:space="preserve">Contingencies Of Style</w:t>
      </w:r>
      <w:bookmarkEnd w:id="251"/>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itself. Databasing projects its own style as a result of its performance, and through this projection comes the exposure of its skin. The</w:t>
      </w:r>
      <w:r>
        <w:t xml:space="preserve"> </w:t>
      </w:r>
      <w:r>
        <w:t xml:space="preserve">“</w:t>
      </w:r>
      <w:r>
        <w:t xml:space="preserve">stylistic repetition of acts</w:t>
      </w:r>
      <w:r>
        <w:t xml:space="preserve">”</w:t>
      </w:r>
      <w:r>
        <w:t xml:space="preserve"> </w:t>
      </w:r>
      <w:r>
        <w:t xml:space="preserve">in the dramatic case of the gendered database is now revealed as style itself. Like skin and voice, singularity emerges as style and timbre.</w:t>
      </w:r>
    </w:p>
    <w:p>
      <w:pPr>
        <w:pStyle w:val="Heading5"/>
      </w:pPr>
      <w:bookmarkStart w:id="252" w:name="style-and-timbre"/>
      <w:r>
        <w:t xml:space="preserve">Style and Timbre</w:t>
      </w:r>
      <w:bookmarkEnd w:id="252"/>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itself,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itself: timbre. That is to say, style and timbre can be understood equally as the presence of the singular: the signature that comes with the unique and irreproducible timbral quality:</w:t>
      </w:r>
      <w:r>
        <w:rPr>
          <w:rStyle w:val="FootnoteReference"/>
        </w:rPr>
        <w:footnoteReference w:id="253"/>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54" w:name="endless-databases"/>
      <w:r>
        <w:t xml:space="preserve">Endless Databases</w:t>
      </w:r>
      <w:bookmarkEnd w:id="254"/>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55" w:name="database-and-chaos"/>
      <w:r>
        <w:t xml:space="preserve">Database and Chaos</w:t>
      </w:r>
      <w:bookmarkEnd w:id="255"/>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Furthermore, a graph of a dynamic systems presents fractal properties. Considering, thus, databasing as a dynamic system, on the one hand, two performances can be exactly the same if given the same initial conditions and states. This is the case, for example, of the performance of fixed media (digital) works, which at least at the sample level, every bit of it is exactly the same of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7" w:name="img:lorenz_plotter"/>
      <w:r>
        <w:t xml:space="preserve">[img:lorenz_plotter]</w:t>
      </w:r>
      <w:bookmarkEnd w:id="257"/>
    </w:p>
    <w:p>
      <w:pPr>
        <w:pStyle w:val="BodyText"/>
      </w:pPr>
      <w:r>
        <w:t xml:space="preserve">Plotting of the Lorenz system in Pure Data.</w:t>
      </w:r>
    </w:p>
    <w:p>
      <w:pPr>
        <w:pStyle w:val="Heading5"/>
      </w:pPr>
      <w:bookmarkStart w:id="258" w:name="fractality"/>
      <w:r>
        <w:t xml:space="preserve">Fractality</w:t>
      </w:r>
      <w:bookmarkEnd w:id="258"/>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itself,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On the one hand, because of the fractal dimension, it expands the definition of geometric figures to the infinite. On the other, it presents an unfolding symmetry (self-similarity), which relates to their shapes being replicated nearly exactly in different scales.</w:t>
      </w:r>
    </w:p>
    <w:p>
      <w:pPr>
        <w:pStyle w:val="Heading5"/>
      </w:pPr>
      <w:bookmarkStart w:id="259" w:name="a-music-work-as-a-singularity"/>
      <w:r>
        <w:t xml:space="preserve">A Music Work as a Singularity</w:t>
      </w:r>
      <w:bookmarkEnd w:id="259"/>
    </w:p>
    <w:p>
      <w:pPr>
        <w:pStyle w:val="FirstParagraph"/>
      </w:pPr>
      <w:r>
        <w:t xml:space="preserve">This aesthetic experience, it must be noted, is of a nature that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for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60" w:name="arbitrariness"/>
      <w:r>
        <w:t xml:space="preserve">Arbitrariness</w:t>
      </w:r>
      <w:bookmarkEnd w:id="260"/>
    </w:p>
    <w:p>
      <w:pPr>
        <w:pStyle w:val="FirstParagraph"/>
      </w:pPr>
      <w:r>
        <w:t xml:space="preserve">Despite the fact that, distinguishing between rules and constraints, that is, between socially and historically established canons —as stylistic conventions—, and locally established postulates to be carried out by the composer —as constraints—, is crucial in defining style in databasing, at the same time both ends collapse into the realm of arbitrariness that composition is made of, for, if any</w:t>
      </w:r>
      <w:r>
        <w:t xml:space="preserve"> </w:t>
      </w:r>
      <w:r>
        <w:t xml:space="preserve">“</w:t>
      </w:r>
      <w:r>
        <w:t xml:space="preserve">primitive</w:t>
      </w:r>
      <w:r>
        <w:t xml:space="preserve">”</w:t>
      </w:r>
      <w:r>
        <w:t xml:space="preserve"> </w:t>
      </w:r>
      <w:r>
        <w:t xml:space="preserve">of the composition is indeed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That is to say, given that style is the contingent skin that emerges out of the performative action of databasing, if it were considered productively, that is, in terms of a targeted object towards which work is oriented, then it would only result in closure, in a closed object, and thus, it cannot be considered contingent, precisely because it is stipulated from the start as a law to which every composable element abides. This is the case of, in Vaggione’s sense, formalized processes which act as global laws, and in which —comparing it with a marching army following the one-two directive:</w:t>
      </w:r>
      <w:r>
        <w:t xml:space="preserve"> </w:t>
      </w:r>
      <w:r>
        <w:t xml:space="preserve">“</w:t>
      </w:r>
      <w:r>
        <w:t xml:space="preserve">no singularities —and hence no specific formal (relational) properties— are here allowed</w:t>
      </w:r>
      <w:r>
        <w:t xml:space="preserve">”</w:t>
      </w:r>
      <w:r>
        <w:t xml:space="preserve"> </w:t>
      </w:r>
      <w:r>
        <w:t xml:space="preserve">(Vaggione 1993, p. 101)</w:t>
      </w:r>
      <w:r>
        <w:t xml:space="preserve">.</w:t>
      </w:r>
    </w:p>
    <w:p>
      <w:pPr>
        <w:pStyle w:val="Heading5"/>
      </w:pPr>
      <w:bookmarkStart w:id="261" w:name="inoperative-style"/>
      <w:r>
        <w:t xml:space="preserve">Inoperative Style</w:t>
      </w:r>
      <w:bookmarkEnd w:id="261"/>
    </w:p>
    <w:p>
      <w:pPr>
        <w:pStyle w:val="FirstParagraph"/>
      </w:pPr>
      <w:r>
        <w:t xml:space="preserve">However, if style is understood as inoperative, that is, as the unfolding of the performative act of composition, which implies equally the</w:t>
      </w:r>
      <w:r>
        <w:t xml:space="preserve"> </w:t>
      </w:r>
      <w:r>
        <w:t xml:space="preserve">‘</w:t>
      </w:r>
      <w:r>
        <w:t xml:space="preserve">composability</w:t>
      </w:r>
      <w:r>
        <w:t xml:space="preserve">’</w:t>
      </w:r>
      <w:r>
        <w:t xml:space="preserve"> </w:t>
      </w:r>
      <w:r>
        <w:t xml:space="preserve">of all primitives, then, its contingency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Like the marks on our skin, like its wounds; like the cracks of an old house, like debris, wreckages, or any form of residual mark that is the evidence of an event; with forensic intimacy, the contingent style of a musical unwork reveals itself as communication. This is what connects aesthetic experience of style with forensic (musical) analysis as well as with an encounter with the spectral. Furthermore, this is how the spectral itself cannot be but a result of the inoperative, of that which escapes the limits of the work, and that which, by releasing itself from itself, returns to itself like the timbre of the voice. This voice of the unwork is what is</w:t>
      </w:r>
      <w:r>
        <w:t xml:space="preserve"> </w:t>
      </w:r>
      <w:r>
        <w:t xml:space="preserve">‘</w:t>
      </w:r>
      <w:r>
        <w:t xml:space="preserve">invisible</w:t>
      </w:r>
      <w:r>
        <w:t xml:space="preserve">’</w:t>
      </w:r>
      <w:r>
        <w:t xml:space="preserve"> </w:t>
      </w:r>
      <w:r>
        <w:t xml:space="preserve">to it, or better, it is what it can never listen, and in being hidden or silenced from itself is how it becomes available for listening, what begins listening at the first staging of the waves.</w:t>
      </w:r>
    </w:p>
    <w:p>
      <w:pPr>
        <w:pStyle w:val="Heading3"/>
      </w:pPr>
      <w:bookmarkStart w:id="262" w:name="authority"/>
      <w:r>
        <w:t xml:space="preserve">A Specter Of Authority</w:t>
      </w:r>
      <w:bookmarkEnd w:id="262"/>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exploded as network by the complexity of the system. However, authority is reified into the name because of the interplay among work, productivity, and product. In this section I attempt an approach to the name 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63" w:name="the-name"/>
      <w:r>
        <w:t xml:space="preserve">The Name</w:t>
      </w:r>
      <w:bookmarkEnd w:id="263"/>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4"/>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65" w:name="dictionaries"/>
      <w:r>
        <w:t xml:space="preserve">Dictionaries</w:t>
      </w:r>
      <w:bookmarkEnd w:id="265"/>
    </w:p>
    <w:p>
      <w:pPr>
        <w:pStyle w:val="FirstParagraph"/>
      </w:pPr>
      <w:r>
        <w:t xml:space="preserve">Consider how style is used in some cases of</w:t>
      </w:r>
      <w:r>
        <w:t xml:space="preserve"> </w:t>
      </w:r>
      <w:r>
        <w:t xml:space="preserve">cac</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w:t>
      </w:r>
      <w:r>
        <w:t xml:space="preserve"> </w:t>
      </w:r>
      <w:r>
        <w:t xml:space="preserve">emi</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hirearchical,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66" w:name="artistry"/>
      <w:r>
        <w:t xml:space="preserve">Artistry</w:t>
      </w:r>
      <w:bookmarkEnd w:id="266"/>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(or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7"/>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abundandy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it is a point of departure to think of a branch of Argentinian electroacoustic identity that developed in France.</w:t>
      </w:r>
      <w:r>
        <w:rPr>
          <w:rStyle w:val="FootnoteReference"/>
        </w:rPr>
        <w:footnoteReference w:id="268"/>
      </w:r>
    </w:p>
    <w:p>
      <w:pPr>
        <w:pStyle w:val="Heading5"/>
      </w:pPr>
      <w:bookmarkStart w:id="269" w:name="the-work-of-mice"/>
      <w:r>
        <w:t xml:space="preserve">The Work of Mice</w:t>
      </w:r>
      <w:bookmarkEnd w:id="269"/>
    </w:p>
    <w:p>
      <w:pPr>
        <w:pStyle w:val="FirstParagraph"/>
      </w:pPr>
      <w:r>
        <w:t xml:space="preserve">Instead of being on the rule-based programming of formalization processes alone (keyboard-based input), the artistry of the composer resides in the use of the mouse. The timeline (sequence interface) workflow depends on the pointer. If the presence of the hand of the composer is evidenced by the trajectory (the course of the cursor), it shapes together with the historial of clicks, drag-n-drop motions, etc., the spectral presence of the author. This mouse, as the point of the pointer, the writing device, the ’stilus’, becomes that with which we resonate as listeners. Therefore, we perceive the marks of an authorial skin in the database music of pointers. The Vaggionian singularity-based approach to authority embeds composers and computers in a complex system, allowing for the world of music with computers to be a hybrid one. This is how the specter of the author coexists with the specter of the database, and thus, how databasing and composition reveal themselves to be instances of a performativity that resonates aesthetically through the work of music.</w:t>
      </w:r>
    </w:p>
    <w:p>
      <w:pPr>
        <w:pStyle w:val="Heading2"/>
      </w:pPr>
      <w:bookmarkStart w:id="270" w:name="section:Rethinking_Composition"/>
      <w:r>
        <w:t xml:space="preserve">Rethinking Composition</w:t>
      </w:r>
      <w:bookmarkEnd w:id="270"/>
    </w:p>
    <w:p>
      <w:pPr>
        <w:pStyle w:val="Heading3"/>
      </w:pPr>
      <w:bookmarkStart w:id="271" w:name="performance"/>
      <w:r>
        <w:t xml:space="preserve">Interlude: Hyperbolic Reactions</w:t>
      </w:r>
      <w:bookmarkEnd w:id="271"/>
    </w:p>
    <w:p>
      <w:pPr>
        <w:pStyle w:val="Heading5"/>
      </w:pPr>
      <w:bookmarkStart w:id="272" w:name="imagining-composers"/>
      <w:r>
        <w:t xml:space="preserve">Imagining Composers</w:t>
      </w:r>
      <w:bookmarkEnd w:id="272"/>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anachronic and obtrusive; anachronic, since the romantic quality of the scene would point to the fact that personal desktop computers were not available until late in the 20th century; obtrusive, in the sense that it would attempt against this composer, by interfering with the</w:t>
      </w:r>
      <w:r>
        <w:t xml:space="preserve"> </w:t>
      </w:r>
      <w:r>
        <w:t xml:space="preserve">‘</w:t>
      </w:r>
      <w:r>
        <w:t xml:space="preserve">ethereal</w:t>
      </w:r>
      <w:r>
        <w:t xml:space="preserve">’</w:t>
      </w:r>
      <w:r>
        <w:t xml:space="preserve"> </w:t>
      </w:r>
      <w:r>
        <w:t xml:space="preserve">link between imagination and notation. This reification of the composer already precludes not only the digital, also the many technological devices that have entered music composition over the years, such as tape recorders, or electronics in general. These technological devices have redefined the composer in many ways.</w:t>
      </w:r>
    </w:p>
    <w:p>
      <w:pPr>
        <w:pStyle w:val="Heading5"/>
      </w:pPr>
      <w:bookmarkStart w:id="273" w:name="composers-and-technology"/>
      <w:r>
        <w:t xml:space="preserve">Composers and Technology</w:t>
      </w:r>
      <w:bookmarkEnd w:id="273"/>
    </w:p>
    <w:p>
      <w:pPr>
        <w:pStyle w:val="FirstParagraph"/>
      </w:pPr>
      <w:r>
        <w:t xml:space="preserve">Georgina Born’s ethnography of</w:t>
      </w:r>
      <w:r>
        <w:t xml:space="preserve"> </w:t>
      </w:r>
      <w:r>
        <w:t xml:space="preserve">ircam</w:t>
      </w:r>
      <w:r>
        <w:t xml:space="preserve"> </w:t>
      </w:r>
      <w:r>
        <w:t xml:space="preserve">(Born 1995)</w:t>
      </w:r>
      <w:r>
        <w:t xml:space="preserve">, 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describes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knowing what they were doing or even whether they were working at all</w:t>
      </w:r>
      <w:r>
        <w:t xml:space="preserve">”</w:t>
      </w:r>
      <w:r>
        <w:t xml:space="preserve"> </w:t>
      </w:r>
      <w:r>
        <w:t xml:space="preserve">(Born 1995, p. 272)</w:t>
      </w:r>
      <w:r>
        <w:t xml:space="preserve">.</w:t>
      </w:r>
    </w:p>
    <w:p>
      <w:pPr>
        <w:pStyle w:val="Heading5"/>
      </w:pPr>
      <w:bookmarkStart w:id="274" w:name="playing-with-shadows"/>
      <w:r>
        <w:t xml:space="preserve">Playing with Shadows</w:t>
      </w:r>
      <w:bookmarkEnd w:id="274"/>
    </w:p>
    <w:p>
      <w:pPr>
        <w:pStyle w:val="FirstParagraph"/>
      </w:pPr>
      <w:r>
        <w:t xml:space="preserve">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anyone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 On the other hand, this shadow might also be that of the computer itself, the structural presence of a fictional intelligence constructed upon first wave cybernetics. That is to say, precisely because the computer projects an insurmountable power that comes from its calculations, the human is inevitably bound to be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as well as the reversal of the human-computer subordination evidenced in the social strata of the institution. In any case,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75" w:name="composers-without-computers"/>
      <w:r>
        <w:t xml:space="preserve">Composers Without Computers</w:t>
      </w:r>
      <w:bookmarkEnd w:id="275"/>
    </w:p>
    <w:p>
      <w:pPr>
        <w:pStyle w:val="FirstParagraph"/>
      </w:pPr>
      <w:r>
        <w:t xml:space="preserve">Composing with or without computers cannot be seen as poles on a continuum upon which the name of the composer writes and rewrites itself. Composing cannot be separated from computers, because the human cannot be separated from the non. At the risk of drawing a straw-man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The same can be said for digitized music listening, which,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76" w:name="databasing-without-computers"/>
      <w:r>
        <w:t xml:space="preserve">Databasing Without Computers</w:t>
      </w:r>
      <w:bookmarkEnd w:id="276"/>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 Hopefully, the reader would consider this resort to hyperbolic fictions less as a means of justification of the hybrid condition of composition and databasing, and more as an absurd parenthesis that brings nothing of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of their validity, only in terms of their definition, which, for the purposes of this text, is understood as built upon organicist notions of the human: the human as the one, indivisible, complete whole. These notions are precisely those that help reify the image of the composer in its essentiality.</w:t>
      </w:r>
    </w:p>
    <w:p>
      <w:pPr>
        <w:pStyle w:val="Heading3"/>
      </w:pPr>
      <w:bookmarkStart w:id="277" w:name="organic"/>
      <w:r>
        <w:t xml:space="preserve">Working Composition</w:t>
      </w:r>
      <w:bookmarkEnd w:id="277"/>
    </w:p>
    <w:p>
      <w:pPr>
        <w:pStyle w:val="BlockText"/>
      </w:pPr>
      <w:r>
        <w:t xml:space="preserve">And the listening in question here is not that of a given listener, or of a category of listeners one has to take into account; it is rather structural listening in Adorno’s sense —or even, beyond Adorno, a</w:t>
      </w:r>
      <w:r>
        <w:t xml:space="preserve"> </w:t>
      </w:r>
      <w:r>
        <w:rPr>
          <w:i/>
        </w:rPr>
        <w:t xml:space="preserve">listening without listener in which the work listens to itself</w:t>
      </w:r>
      <w:r>
        <w:t xml:space="preserve">. …we hear an organicist concept of the work being strongly articulated [by Schoenberg] (where the work is a whole that doesn’t allow any cuts) and a regime of listening whose ultimate, ideal aim is the absorption or resorption of the listener in the work. A listener who is somewhat distracted, inattentive, who would skip over a few tracks daydreaming —</w:t>
      </w:r>
      <w:r>
        <w:rPr>
          <w:i/>
        </w:rPr>
        <w:t xml:space="preserve">such a listener could fall away like a dead limb</w:t>
      </w:r>
      <w:r>
        <w:t xml:space="preserve">.</w:t>
      </w:r>
      <w:r>
        <w:t xml:space="preserve"> </w:t>
      </w:r>
      <w:r>
        <w:rPr>
          <w:i/>
        </w:rPr>
        <w:t xml:space="preserve">Useless</w:t>
      </w:r>
      <w:r>
        <w:t xml:space="preserve">. Bringing nothing to the great corpus of the work. This organicism, in the radical (or structural) tendency that Schoenberg gives it, forms the cornerstone of the construction of a modernist regime of listening. [emphasis added]</w:t>
      </w:r>
      <w:r>
        <w:t xml:space="preserve"> </w:t>
      </w:r>
      <w:r>
        <w:t xml:space="preserve">(Szendy 2008, p. 127)</w:t>
      </w:r>
    </w:p>
    <w:p>
      <w:pPr>
        <w:pStyle w:val="FirstParagraph"/>
      </w:pPr>
      <w:r>
        <w:t xml:space="preserve">In Peter Szendy’s discussion on Schoenberg’s modern organicism and what he calls</w:t>
      </w:r>
      <w:r>
        <w:t xml:space="preserve"> </w:t>
      </w:r>
      <w:r>
        <w:t xml:space="preserve">“</w:t>
      </w:r>
      <w:r>
        <w:t xml:space="preserve">the modernist regime of listening</w:t>
      </w:r>
      <w:r>
        <w:t xml:space="preserve">”</w:t>
      </w:r>
      <w:r>
        <w:t xml:space="preserve"> </w:t>
      </w:r>
      <w:r>
        <w:t xml:space="preserve">(Szendy 2008)</w:t>
      </w:r>
      <w:r>
        <w:t xml:space="preserve">,</w:t>
      </w:r>
      <w:r>
        <w:t xml:space="preserve"> </w:t>
      </w:r>
      <w:r>
        <w:t xml:space="preserve">‘</w:t>
      </w:r>
      <w:r>
        <w:t xml:space="preserve">listening</w:t>
      </w:r>
      <w:r>
        <w:t xml:space="preserve">’</w:t>
      </w:r>
      <w:r>
        <w:t xml:space="preserve"> </w:t>
      </w:r>
      <w:r>
        <w:t xml:space="preserve">and</w:t>
      </w:r>
      <w:r>
        <w:t xml:space="preserve"> </w:t>
      </w:r>
      <w:r>
        <w:t xml:space="preserve">‘</w:t>
      </w:r>
      <w:r>
        <w:t xml:space="preserve">work</w:t>
      </w:r>
      <w:r>
        <w:t xml:space="preserve">’</w:t>
      </w:r>
      <w:r>
        <w:t xml:space="preserve"> </w:t>
      </w:r>
      <w:r>
        <w:t xml:space="preserve">collapse into each other, and the problem of the music work can be articulated. The image of the composer and the practice of composition can be understood differently, and by extension, databasing will be reconfigured as well, and the database as that which is a product (or work) of databasing will in turn be seen differently.</w:t>
      </w:r>
    </w:p>
    <w:p>
      <w:pPr>
        <w:pStyle w:val="Heading5"/>
      </w:pPr>
      <w:bookmarkStart w:id="278" w:name="the-work-problem"/>
      <w:r>
        <w:t xml:space="preserve">The Work Problem</w:t>
      </w:r>
      <w:bookmarkEnd w:id="278"/>
    </w:p>
    <w:p>
      <w:pPr>
        <w:pStyle w:val="FirstParagraph"/>
      </w:pPr>
      <w:r>
        <w:t xml:space="preserve">In what does this articulation of the problem of the music work consist of? First of all, why is it a problem? As Szendy suggests with the metaphor of the the self-amputation of the listener, we as the body of listeners (the listening body) would be severed. Put differently, listening itself would be delineated from outside itself. That is to say, with the presence of an object (music work) which, in its interest of perfecting, polishing, and thus giving itself a</w:t>
      </w:r>
      <w:r>
        <w:t xml:space="preserve"> </w:t>
      </w:r>
      <w:r>
        <w:t xml:space="preserve">‘</w:t>
      </w:r>
      <w:r>
        <w:t xml:space="preserve">finish,</w:t>
      </w:r>
      <w:r>
        <w:t xml:space="preserve">’</w:t>
      </w:r>
      <w:r>
        <w:t xml:space="preserve"> </w:t>
      </w:r>
      <w:r>
        <w:t xml:space="preserve">would shape and reshape listening until an ideal listening was achieved. The work would work out listening as work. This is the point: the moment the work of music begins to act as</w:t>
      </w:r>
      <w:r>
        <w:t xml:space="preserve"> </w:t>
      </w:r>
      <w:r>
        <w:t xml:space="preserve">‘</w:t>
      </w:r>
      <w:r>
        <w:t xml:space="preserve">work</w:t>
      </w:r>
      <w:r>
        <w:t xml:space="preserve">’</w:t>
      </w:r>
      <w:r>
        <w:t xml:space="preserve"> </w:t>
      </w:r>
      <w:r>
        <w:t xml:space="preserve">itself, its listening is worked out as well, not by the physicality of the waves in media, nor by the virtuality of perception, but by the concept of</w:t>
      </w:r>
      <w:r>
        <w:t xml:space="preserve"> </w:t>
      </w:r>
      <w:r>
        <w:t xml:space="preserve">‘</w:t>
      </w:r>
      <w:r>
        <w:t xml:space="preserve">work</w:t>
      </w:r>
      <w:r>
        <w:t xml:space="preserve">’</w:t>
      </w:r>
      <w:r>
        <w:t xml:space="preserve"> </w:t>
      </w:r>
      <w:r>
        <w:t xml:space="preserve">itself. The</w:t>
      </w:r>
      <w:r>
        <w:t xml:space="preserve"> </w:t>
      </w:r>
      <w:r>
        <w:t xml:space="preserve">“</w:t>
      </w:r>
      <w:r>
        <w:t xml:space="preserve">modern regime of listening</w:t>
      </w:r>
      <w:r>
        <w:t xml:space="preserve">”</w:t>
      </w:r>
      <w:r>
        <w:t xml:space="preserve"> </w:t>
      </w:r>
      <w:r>
        <w:t xml:space="preserve">played this through and through, shaping its listeners into an idealized listener. In this sense, this listener displays a measured listening, tailored, developed into different degrees of listening like a</w:t>
      </w:r>
      <w:r>
        <w:t xml:space="preserve"> </w:t>
      </w:r>
      <w:r>
        <w:rPr>
          <w:i/>
        </w:rPr>
        <w:t xml:space="preserve">gradus ad auscultare</w:t>
      </w:r>
      <w:r>
        <w:t xml:space="preserve">, one existing beyond any psychoacoustic measuring.</w:t>
      </w:r>
    </w:p>
    <w:p>
      <w:pPr>
        <w:pStyle w:val="Heading5"/>
      </w:pPr>
      <w:bookmarkStart w:id="279" w:name="working-rules"/>
      <w:r>
        <w:t xml:space="preserve">Working Rules</w:t>
      </w:r>
      <w:bookmarkEnd w:id="279"/>
    </w:p>
    <w:p>
      <w:pPr>
        <w:pStyle w:val="FirstParagraph"/>
      </w:pPr>
      <w:r>
        <w:t xml:space="preserve">From the shaping of listening by the work, and from the working activity that is performed by the work itself, the presence of the work as an object can be thus traced. In other words, the work of the music work can be considered as the work of an agent in the composition network: the music-work-as-object and the listening-as-object become nodes. In the modernist regime, the hierarchy priorizes the ruler (work-node), and all that can be identified with listening-node is arrived at by subordinating the relations to the work-node, and by restricting the directionality of this relation to being</w:t>
      </w:r>
      <w:r>
        <w:t xml:space="preserve"> </w:t>
      </w:r>
      <m:oMath>
        <m:r>
          <m:t>→</m:t>
        </m:r>
      </m:oMath>
      <w:r>
        <w:t xml:space="preserve"> </w:t>
      </w:r>
      <w:r>
        <w:t xml:space="preserve">. The only exception is, of course, the extremely cultivated case of composers, which revert the arrow. This exception, however, is not so much an exception, as it is the prescription of the rule and of ruling itself, since it is this reversal what enables the structure in the first place: the ruling of the exception. This is what occurs when the work begins to listen to itself. Which is radically different from the case of a</w:t>
      </w:r>
      <w:r>
        <w:t xml:space="preserve"> </w:t>
      </w:r>
      <w:r>
        <w:rPr>
          <w:i/>
        </w:rPr>
        <w:t xml:space="preserve">listening</w:t>
      </w:r>
      <w:r>
        <w:t xml:space="preserve"> </w:t>
      </w:r>
      <w:r>
        <w:t xml:space="preserve">that listens to itself. Jean-Luc Nancy, in the foreword to Szendy’s text, considers that</w:t>
      </w:r>
      <w:r>
        <w:t xml:space="preserve"> </w:t>
      </w:r>
      <w:r>
        <w:t xml:space="preserve">“</w:t>
      </w:r>
      <w:r>
        <w:t xml:space="preserve">music places us outside of ourselves,</w:t>
      </w:r>
      <w:r>
        <w:t xml:space="preserve">”</w:t>
      </w:r>
      <w:r>
        <w:t xml:space="preserve"> </w:t>
      </w:r>
      <w:r>
        <w:t xml:space="preserve">because</w:t>
      </w:r>
      <w:r>
        <w:t xml:space="preserve"> </w:t>
      </w:r>
      <w:r>
        <w:t xml:space="preserve">“</w:t>
      </w:r>
      <w:r>
        <w:t xml:space="preserve">…what listens to itself is not just what resounds in the self and what rebounds to the self: this same movement, and this very movement, places it outside of self and makes its rebound overflow.</w:t>
      </w:r>
      <w:r>
        <w:t xml:space="preserve"> </w:t>
      </w:r>
      <w:r>
        <w:t xml:space="preserve">(Szendy 2008 xii)</w:t>
      </w:r>
      <w:r>
        <w:t xml:space="preserve">”</w:t>
      </w:r>
      <w:r>
        <w:t xml:space="preserve"> </w:t>
      </w:r>
      <w:r>
        <w:t xml:space="preserve">As I have explained before using Nancy’s concept of the resonance of a return (See</w:t>
      </w:r>
      <w:r>
        <w:t xml:space="preserve"> </w:t>
      </w:r>
      <w:hyperlink w:anchor="resonance_of_a_return">
        <w:r>
          <w:rPr>
            <w:rStyle w:val="Hyperlink"/>
          </w:rPr>
          <w:t xml:space="preserve">5.1.2</w:t>
        </w:r>
      </w:hyperlink>
      <w:r>
        <w:t xml:space="preserve">), listening is an approach to the relationship in self. Implementing this relationship within the dynamics of listening and work, the previous graph can be revised as follows.</w:t>
      </w:r>
      <w:r>
        <w:t xml:space="preserve"> </w:t>
      </w:r>
      <w:r>
        <w:t xml:space="preserve">‘</w:t>
      </w:r>
      <w:r>
        <w:t xml:space="preserve">Work</w:t>
      </w:r>
      <w:r>
        <w:t xml:space="preserve">’</w:t>
      </w:r>
      <w:r>
        <w:t xml:space="preserve"> </w:t>
      </w:r>
      <w:r>
        <w:t xml:space="preserve">and</w:t>
      </w:r>
      <w:r>
        <w:t xml:space="preserve"> </w:t>
      </w:r>
      <w:r>
        <w:t xml:space="preserve">‘</w:t>
      </w:r>
      <w:r>
        <w:t xml:space="preserve">listening</w:t>
      </w:r>
      <w:r>
        <w:t xml:space="preserve">’</w:t>
      </w:r>
      <w:r>
        <w:t xml:space="preserve"> </w:t>
      </w:r>
      <w:r>
        <w:t xml:space="preserve">would exist as well in relation, with the difference now that it is a relation that exists in a permanent state of overload, redundancy, or excess:</w:t>
      </w:r>
      <w:r>
        <w:t xml:space="preserve"> </w:t>
      </w:r>
      <m:oMath>
        <m:r>
          <m:t>←</m:t>
        </m:r>
        <m:r>
          <m:t>→</m:t>
        </m:r>
      </m:oMath>
      <w:r>
        <w:t xml:space="preserve"> </w:t>
      </w:r>
      <w:r>
        <w:t xml:space="preserve">.</w:t>
      </w:r>
    </w:p>
    <w:p>
      <w:pPr>
        <w:pStyle w:val="Heading5"/>
      </w:pPr>
      <w:bookmarkStart w:id="280" w:name="a-space-of-difference"/>
      <w:r>
        <w:t xml:space="preserve">A Space of Difference</w:t>
      </w:r>
      <w:bookmarkEnd w:id="280"/>
    </w:p>
    <w:p>
      <w:pPr>
        <w:pStyle w:val="FirstParagraph"/>
      </w:pPr>
      <w:r>
        <w:t xml:space="preserve">In thinking listening this way, the concept of the work is relieved of its duties, discharged, fired, it becomes unemployed. The regime of listening becomes a listening space, but a space not of equality: a space of difference. Within this space where difference resonates, the music work no longer</w:t>
      </w:r>
      <w:r>
        <w:t xml:space="preserve"> </w:t>
      </w:r>
      <w:r>
        <w:t xml:space="preserve">‘</w:t>
      </w:r>
      <w:r>
        <w:t xml:space="preserve">works</w:t>
      </w:r>
      <w:r>
        <w:t xml:space="preserve">’</w:t>
      </w:r>
      <w:r>
        <w:t xml:space="preserve">, it</w:t>
      </w:r>
      <w:r>
        <w:t xml:space="preserve"> </w:t>
      </w:r>
      <w:r>
        <w:t xml:space="preserve">‘</w:t>
      </w:r>
      <w:r>
        <w:t xml:space="preserve">unworks</w:t>
      </w:r>
      <w:r>
        <w:t xml:space="preserve">’</w:t>
      </w:r>
      <w:r>
        <w:t xml:space="preserve"> </w:t>
      </w:r>
      <w:r>
        <w:t xml:space="preserve">(See</w:t>
      </w:r>
      <w:r>
        <w:t xml:space="preserve"> </w:t>
      </w:r>
      <w:hyperlink w:anchor="inoperativity">
        <w:r>
          <w:rPr>
            <w:rStyle w:val="Hyperlink"/>
          </w:rPr>
          <w:t xml:space="preserve">5.1.4</w:t>
        </w:r>
      </w:hyperlink>
      <w:r>
        <w:t xml:space="preserve">). That is to say, the relations between the different resonant points in the composition network expose themselves in a state of suspension, or interruption, creating space with the space of their own incompleteness by the fractality of their fracture. Thus, inoperativity is creation, it is techne, but it is a creativity that is necessarily indefinite, incomplete: the moment it becomes a thing it begins to work in the realm of the</w:t>
      </w:r>
      <w:r>
        <w:t xml:space="preserve"> </w:t>
      </w:r>
      <w:r>
        <w:t xml:space="preserve">‘</w:t>
      </w:r>
      <w:r>
        <w:t xml:space="preserve">archi</w:t>
      </w:r>
      <w:r>
        <w:t xml:space="preserve">’</w:t>
      </w:r>
      <w:r>
        <w:t xml:space="preserve">; the moment it remains suspended upon its limit, it unworks in negation of the</w:t>
      </w:r>
      <w:r>
        <w:t xml:space="preserve"> </w:t>
      </w:r>
      <w:r>
        <w:t xml:space="preserve">‘</w:t>
      </w:r>
      <w:r>
        <w:t xml:space="preserve">archi</w:t>
      </w:r>
      <w:r>
        <w:t xml:space="preserve">’</w:t>
      </w:r>
      <w:r>
        <w:t xml:space="preserve">. One is tempted to place this inoperativity in utopia, in the very instance of the non-place itself, but then one would forget what is already</w:t>
      </w:r>
      <w:r>
        <w:t xml:space="preserve"> </w:t>
      </w:r>
      <w:r>
        <w:t xml:space="preserve">‘</w:t>
      </w:r>
      <w:r>
        <w:t xml:space="preserve">there</w:t>
      </w:r>
      <w:r>
        <w:t xml:space="preserve">’</w:t>
      </w:r>
      <w:r>
        <w:t xml:space="preserve">, the fluid medium, as well as gravity itself, which was until recent studies, thought of as unrelated to sound.</w:t>
      </w:r>
      <w:r>
        <w:rPr>
          <w:rStyle w:val="FootnoteReference"/>
        </w:rPr>
        <w:footnoteReference w:id="281"/>
      </w:r>
      <w:r>
        <w:t xml:space="preserve"> </w:t>
      </w:r>
      <w:r>
        <w:t xml:space="preserve">One would be tempted, equally, to place this inoperativity outside temporality itself, but then one would forget forgetfulness itself. Inoperativity is within the resonant space of an always.</w:t>
      </w:r>
    </w:p>
    <w:p>
      <w:pPr>
        <w:pStyle w:val="Heading5"/>
      </w:pPr>
      <w:bookmarkStart w:id="282" w:name="a-severed-work"/>
      <w:r>
        <w:t xml:space="preserve">A Severed Work</w:t>
      </w:r>
      <w:bookmarkEnd w:id="28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amputated limb, and propose that it is the music work itself what is amputated, what falls off, the moment that it becomes a finished thing. Thus, just like the modern inattentive listener falls in the uselessness of its excess, sound</w:t>
      </w:r>
      <w:r>
        <w:t xml:space="preserve"> </w:t>
      </w:r>
      <w:r>
        <w:t xml:space="preserve">‘</w:t>
      </w:r>
      <w:r>
        <w:t xml:space="preserve">outside</w:t>
      </w:r>
      <w:r>
        <w:t xml:space="preserve">’</w:t>
      </w:r>
      <w:r>
        <w:t xml:space="preserve"> </w:t>
      </w:r>
      <w:r>
        <w:t xml:space="preserve">the work is cut from the work, fading out in the uselessness of its excess. Like the human in Kittler’s digitally converged apocalypse, redundancy is out of the question, it is left at the gates of the majestic concert hall, with the rest of the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83" w:name="absorbption"/>
      <w:r>
        <w:t xml:space="preserve">Absorbption</w:t>
      </w:r>
      <w:bookmarkEnd w:id="283"/>
    </w:p>
    <w:p>
      <w:pPr>
        <w:pStyle w:val="FirstParagraph"/>
      </w:pPr>
      <w:r>
        <w:t xml:space="preserve">I would like to add to this worldview another concept brought by Szendy, that of</w:t>
      </w:r>
      <w:r>
        <w:t xml:space="preserve"> </w:t>
      </w:r>
      <w:r>
        <w:t xml:space="preserve">‘</w:t>
      </w:r>
      <w:r>
        <w:t xml:space="preserve">absorption.</w:t>
      </w:r>
      <w:r>
        <w:t xml:space="preserve">’</w:t>
      </w:r>
      <w:r>
        <w:t xml:space="preserve"> </w:t>
      </w:r>
      <w:r>
        <w:t xml:space="preserve">He claims that it is the absorption of the listener in the work what is the ultimate aim of this modern regime of listening. Not surprisingly,</w:t>
      </w:r>
      <w:r>
        <w:t xml:space="preserve"> </w:t>
      </w:r>
      <w:r>
        <w:t xml:space="preserve">‘</w:t>
      </w:r>
      <w:r>
        <w:t xml:space="preserve">absorption</w:t>
      </w:r>
      <w:r>
        <w:t xml:space="preserve">’</w:t>
      </w:r>
      <w:r>
        <w:t xml:space="preserve"> </w:t>
      </w:r>
      <w:r>
        <w:t xml:space="preserve">is the key concept in Iannis Xenakis’ narrative of the fours stages of degradation of Western Music’s</w:t>
      </w:r>
      <w:r>
        <w:t xml:space="preserve"> </w:t>
      </w:r>
      <w:r>
        <w:t xml:space="preserve">“</w:t>
      </w:r>
      <w:r>
        <w:t xml:space="preserve">outside-time structures,</w:t>
      </w:r>
      <w:r>
        <w:t xml:space="preserve">”</w:t>
      </w:r>
      <w:r>
        <w:t xml:space="preserve"> </w:t>
      </w:r>
      <w:r>
        <w:t xml:space="preserve">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Further,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Therefore, considering the organicity of the work in Xenakis’s overly modern gesture towards unity, metastructure, and mechanization,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how can these notions of inoperativity be found together within architecture? How would this archi-techne be designed? Would it still be the product of the</w:t>
      </w:r>
      <w:r>
        <w:t xml:space="preserve"> </w:t>
      </w:r>
      <w:r>
        <w:t xml:space="preserve">‘</w:t>
      </w:r>
      <w:r>
        <w:t xml:space="preserve">archi</w:t>
      </w:r>
      <w:r>
        <w:t xml:space="preserve">’</w:t>
      </w:r>
      <w:r>
        <w:t xml:space="preserve">? Where is the poison that Xenakis the architect and composer, was identifying with</w:t>
      </w:r>
      <w:r>
        <w:t xml:space="preserve"> </w:t>
      </w:r>
      <w:r>
        <w:t xml:space="preserve">‘</w:t>
      </w:r>
      <w:r>
        <w:t xml:space="preserve">industrialized</w:t>
      </w:r>
      <w:r>
        <w:t xml:space="preserve">’</w:t>
      </w:r>
      <w:r>
        <w:t xml:space="preserve"> </w:t>
      </w:r>
      <w:r>
        <w:t xml:space="preserve">music? Is it not a product of modernity itself, as the working that listened to itself to the point of working out a Xenakis-listener-node to the extreme?</w:t>
      </w:r>
    </w:p>
    <w:p>
      <w:pPr>
        <w:pStyle w:val="Heading3"/>
      </w:pPr>
      <w:bookmarkStart w:id="284" w:name="practice"/>
      <w:r>
        <w:t xml:space="preserve">The Composer As Navigator</w:t>
      </w:r>
      <w:bookmarkEnd w:id="28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85" w:name="querying-the-sieves"/>
      <w:r>
        <w:t xml:space="preserve">Querying the Sieves</w:t>
      </w:r>
      <w:bookmarkEnd w:id="28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w:t>
      </w:r>
      <w:r>
        <w:rPr>
          <w:rStyle w:val="FootnoteReference"/>
        </w:rPr>
        <w:footnoteReference w:id="28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9"/>
      </w:r>
      <w:r>
        <w:t xml:space="preserve"> </w:t>
      </w:r>
      <w:r>
        <w:t xml:space="preserve">Xenakis’s work on sieves came a few years after his experiments on the</w:t>
      </w:r>
      <w:r>
        <w:t xml:space="preserve"> </w:t>
      </w:r>
      <w:r>
        <w:t xml:space="preserve">ibm-7090</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90"/>
      </w:r>
    </w:p>
    <w:p>
      <w:pPr>
        <w:pStyle w:val="Heading5"/>
      </w:pPr>
      <w:bookmarkStart w:id="291" w:name="sound-synthesis-parenthesis"/>
      <w:r>
        <w:t xml:space="preserve">Sound Synthesis Parenthesis</w:t>
      </w:r>
      <w:bookmarkEnd w:id="29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9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94" w:name="algebraic-abstractions-for-freedom"/>
      <w:r>
        <w:t xml:space="preserve">Algebraic Abstractions for Freedom</w:t>
      </w:r>
      <w:bookmarkEnd w:id="29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95" w:name="a-cosmic-vessel-and-an-armchair"/>
      <w:r>
        <w:t xml:space="preserve">A Cosmic Vessel and an Armchair</w:t>
      </w:r>
      <w:bookmarkEnd w:id="29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97" w:name="improv"/>
      <w:r>
        <w:t xml:space="preserve">The Database As Performer</w:t>
      </w:r>
      <w:bookmarkEnd w:id="29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98" w:name="the-computer-as-a-musical-instrument"/>
      <w:r>
        <w:t xml:space="preserve">The Computer as a Musical Instrument</w:t>
      </w:r>
      <w:bookmarkEnd w:id="29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ellision, the three missing human terms have collapsed into one another, forming a new hybrid definition of composer, performer, and programmer. In any case, this hybridity became evident in the music work itself, as can be read from a rethorics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99" w:name="a-minor-liberty"/>
      <w:r>
        <w:t xml:space="preserve">A Minor Liberty</w:t>
      </w:r>
      <w:bookmarkEnd w:id="29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300" w:name="the-computer-as-a-player"/>
      <w:r>
        <w:t xml:space="preserve">The Computer as a Player</w:t>
      </w:r>
      <w:bookmarkEnd w:id="300"/>
    </w:p>
    <w:p>
      <w:pPr>
        <w:pStyle w:val="FirstParagraph"/>
      </w:pPr>
      <w:r>
        <w:t xml:space="preserve">Rowe (1992)</w:t>
      </w:r>
      <w:r>
        <w:t xml:space="preserve"> </w:t>
      </w:r>
      <w:r>
        <w:t xml:space="preserve">(Rowe 1992)</w:t>
      </w:r>
      <w:r>
        <w:t xml:space="preserve"> </w:t>
      </w:r>
      <w:r>
        <w:t xml:space="preserve">identified two paradimgs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as personal computers became affordable the type of negotiations no longer depeded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301" w:name="programming-decisions"/>
      <w:r>
        <w:t xml:space="preserve">Programming Decisions</w:t>
      </w:r>
      <w:bookmarkEnd w:id="30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302" w:name="anachronic-composers"/>
      <w:r>
        <w:t xml:space="preserve">Anachronic Composers</w:t>
      </w:r>
      <w:bookmarkEnd w:id="30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303" w:name="section"/>
      <w:bookmarkEnd w:id="30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30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305" w:name="nonhuman-composers"/>
      <w:r>
        <w:t xml:space="preserve">Nonhuman composers</w:t>
      </w:r>
      <w:bookmarkEnd w:id="30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306" w:name="fractured-works"/>
      <w:r>
        <w:t xml:space="preserve">Fractured Works</w:t>
      </w:r>
      <w:bookmarkEnd w:id="30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307" w:name="databasing-vessel"/>
      <w:r>
        <w:t xml:space="preserve">Databasing Vessel</w:t>
      </w:r>
      <w:bookmarkEnd w:id="30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8" w:name="music"/>
      <w:r>
        <w:t xml:space="preserve">The Severed Object Of Music</w:t>
      </w:r>
      <w:bookmarkEnd w:id="30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309" w:name="an-incomplete-object"/>
      <w:r>
        <w:t xml:space="preserve">An Incomplete Object</w:t>
      </w:r>
      <w:bookmarkEnd w:id="30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1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11" w:name="remains-of-listening"/>
      <w:r>
        <w:t xml:space="preserve">Remains of Listening</w:t>
      </w:r>
      <w:bookmarkEnd w:id="31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12" w:name="sources-and-sorcerers"/>
      <w:r>
        <w:t xml:space="preserve">Sources and Sorcerers</w:t>
      </w:r>
      <w:bookmarkEnd w:id="31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resonanting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BlockText"/>
      </w:pPr>
      <w:r>
        <w:t xml:space="preserve">This is why for some years I have experimented with releasing music under other people’s names, so as to dilute their style, and under multiple versions of my own name, to case doubt on any claim to the future.</w:t>
      </w:r>
      <w:r>
        <w:t xml:space="preserve"> </w:t>
      </w:r>
      <w:r>
        <w:t xml:space="preserve">(Nilson 2016)</w:t>
      </w:r>
    </w:p>
    <w:p>
      <w:pPr>
        <w:pStyle w:val="Heading5"/>
      </w:pPr>
      <w:bookmarkStart w:id="313" w:name="naming"/>
      <w:r>
        <w:t xml:space="preserve">Naming</w:t>
      </w:r>
      <w:bookmarkEnd w:id="31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differet names or anagrams would it take for Click Nilson’s style to dilute or to arrive at the unclaimable work of art?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4"/>
      </w:r>
    </w:p>
    <w:p>
      <w:pPr>
        <w:pStyle w:val="Heading5"/>
      </w:pPr>
      <w:bookmarkStart w:id="315" w:name="dynamics"/>
      <w:r>
        <w:t xml:space="preserve">Dynamics</w:t>
      </w:r>
      <w:bookmarkEnd w:id="31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16" w:name="masterwork"/>
      <w:r>
        <w:t xml:space="preserve">Masterwork</w:t>
      </w:r>
      <w:bookmarkEnd w:id="31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17" w:name="architecture-of-obedience"/>
      <w:r>
        <w:t xml:space="preserve">Architecture of Obedience</w:t>
      </w:r>
      <w:bookmarkEnd w:id="31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8" w:name="anarchy"/>
      <w:r>
        <w:t xml:space="preserve">Anarchy And The Unwork</w:t>
      </w:r>
      <w:bookmarkEnd w:id="31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19" w:name="place-in-common"/>
      <w:r>
        <w:t xml:space="preserve">Place in Common</w:t>
      </w:r>
      <w:bookmarkEnd w:id="31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20" w:name="disintegrated-imperative"/>
      <w:r>
        <w:t xml:space="preserve">Disintegrated Imperative</w:t>
      </w:r>
      <w:bookmarkEnd w:id="32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21" w:name="blind-experimentation"/>
      <w:r>
        <w:t xml:space="preserve">Blind Experimentation</w:t>
      </w:r>
      <w:bookmarkEnd w:id="32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22" w:name="doctoring-the-glitch"/>
      <w:r>
        <w:t xml:space="preserve">Doctoring the Glitch</w:t>
      </w:r>
      <w:bookmarkEnd w:id="32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23" w:name="unnecessary-blindfolds"/>
      <w:r>
        <w:t xml:space="preserve">Unnecessary Blindfolds</w:t>
      </w:r>
      <w:bookmarkEnd w:id="32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24" w:name="spectral-remains"/>
      <w:r>
        <w:t xml:space="preserve">Spectral Remains</w:t>
      </w:r>
      <w:bookmarkEnd w:id="32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25" w:name="macroforma"/>
      <w:r>
        <w:t xml:space="preserve">Macroforma</w:t>
      </w:r>
      <w:bookmarkEnd w:id="32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26" w:name="overfitting"/>
      <w:r>
        <w:t xml:space="preserve">Overfitting</w:t>
      </w:r>
      <w:bookmarkEnd w:id="32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7" w:name="worker"/>
      <w:r>
        <w:t xml:space="preserve">[Wip] Work In Progress</w:t>
      </w:r>
      <w:bookmarkEnd w:id="32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8" w:name="chapter:Conclusion"/>
      <w:r>
        <w:t xml:space="preserve">Conclusion</w:t>
      </w:r>
      <w:bookmarkEnd w:id="328"/>
    </w:p>
    <w:p>
      <w:pPr>
        <w:pStyle w:val="FirstParagraph"/>
      </w:pPr>
      <w:r>
        <w:t xml:space="preserve">…</w:t>
      </w:r>
      <w:r>
        <w:t xml:space="preserve"> </w:t>
      </w:r>
      <w:r>
        <w:t xml:space="preserve">placeholder for conclusion abstract</w:t>
      </w:r>
      <w:r>
        <w:t xml:space="preserve"> </w:t>
      </w:r>
      <w:r>
        <w:t xml:space="preserve">…</w:t>
      </w:r>
    </w:p>
    <w:p>
      <w:pPr>
        <w:pStyle w:val="Heading1"/>
      </w:pPr>
      <w:bookmarkStart w:id="329" w:name="chapter:Appendices"/>
      <w:r>
        <w:t xml:space="preserve">Appendices</w:t>
      </w:r>
      <w:bookmarkEnd w:id="329"/>
    </w:p>
    <w:p>
      <w:pPr>
        <w:pStyle w:val="FirstParagraph"/>
      </w:pPr>
      <w:r>
        <w:t xml:space="preserve">abstract of appendices</w:t>
      </w:r>
    </w:p>
    <w:p>
      <w:pPr>
        <w:pStyle w:val="Heading2"/>
      </w:pPr>
      <w:bookmarkStart w:id="330" w:name="X10ee8bf4babf50c107e97e7a3ded64e4f2e7a3b"/>
      <w:r>
        <w:t xml:space="preserve">DIANA: Database for Image and Audio Navigation</w:t>
      </w:r>
      <w:bookmarkEnd w:id="330"/>
    </w:p>
    <w:p>
      <w:pPr>
        <w:pStyle w:val="FirstParagraph"/>
      </w:pPr>
      <w:r>
        <w:t xml:space="preserve">I use William Brent’s —timbre description algorithms— and Antoine Villeret’s —image descriptors using Computer Vision algorithms—, to develop a new software library for Pure Data. My model consists of a joint Database structure for Image and Audio descriptors suitable for realtime navigation. At its core, the Database is generated by calculating derivatives between both data sets, and it is performed by applying random probabilities, markov chains, or chaotic generators to this navigation. This allows for multiple paths to be traced on each navigation.</w:t>
      </w:r>
    </w:p>
    <w:p>
      <w:pPr>
        <w:pStyle w:val="Heading3"/>
      </w:pPr>
      <w:bookmarkStart w:id="331" w:name="dbmodel"/>
      <w:r>
        <w:t xml:space="preserve">A Database Model</w:t>
      </w:r>
      <w:bookmarkEnd w:id="331"/>
    </w:p>
    <w:p>
      <w:pPr>
        <w:pStyle w:val="FirstParagraph"/>
      </w:pPr>
      <w:r>
        <w:t xml:space="preserve">A detailed description of the image and audio navigation system…</w:t>
      </w:r>
    </w:p>
    <w:p>
      <w:pPr>
        <w:pStyle w:val="BlockText"/>
      </w:pPr>
      <w:r>
        <w:t xml:space="preserve">Just as a fractal has the same structure on different scales, a new media object has the same modular structure throughout. Media elements…are represented as collections of discrete samples</w:t>
      </w:r>
      <w:r>
        <w:t xml:space="preserve"> </w:t>
      </w:r>
      <w:r>
        <w:t xml:space="preserve">(Manovich 2001, p. 30)</w:t>
      </w:r>
      <w:r>
        <w:t xml:space="preserve">.</w:t>
      </w:r>
    </w:p>
    <w:p>
      <w:pPr>
        <w:pStyle w:val="BlockText"/>
      </w:pPr>
      <w:r>
        <w:t xml:space="preserve">First, data is sampled, most often at regular intervals, such as the grid of pixels used to represent a digital image. The frequency of sampling is referred to as resolution. Sampling turns continuous data into discrete data…Second, each sample is quantified, that is, it is assigned a numerical value drawn from a defined range (such as 0-255 in the case of an 8-bit greyscale image)</w:t>
      </w:r>
      <w:r>
        <w:t xml:space="preserve"> </w:t>
      </w:r>
      <w:r>
        <w:t xml:space="preserve">(Manovich 2002, p. 28)</w:t>
      </w:r>
    </w:p>
    <w:p>
      <w:pPr>
        <w:pStyle w:val="FirstParagraph"/>
      </w:pPr>
      <w:r>
        <w:t xml:space="preserve">I define the points in common between Database Practice and Music Composition. I describe the main technical concepts behind Database Navigation and provide use cases from both appendices A and B, the former relating to joint image and audio databases, and the latter to text databases. I then reflect on the quality of this navigation in relation to the type of navigation and results that they obtain.</w:t>
      </w:r>
    </w:p>
    <w:p>
      <w:pPr>
        <w:pStyle w:val="BodyText"/>
      </w:pPr>
      <w:r>
        <w:t xml:space="preserve">I use computer vision literature to briefly introduce and describe the most common visual descriptors. I focus on certain descriptors (TBD) which are suitable for live multimedia use, and which I will implement in Appendix A.</w:t>
      </w:r>
    </w:p>
    <w:p>
      <w:pPr>
        <w:pStyle w:val="BodyText"/>
      </w:pPr>
      <w:r>
        <w:t xml:space="preserve">I use Timbre Analysis literature to briefly introduce and describe the most useful audio descriptors. I take William Brent’s TimbreID library, complementing it with Tae Hong Park’s dissertation on timbre recognition, and I focus on the most useful descriptors for live multimedia use (TBD), which I will implement in Appendix A in relation to the image descriptors introduced above.</w:t>
      </w:r>
    </w:p>
    <w:p>
      <w:pPr>
        <w:pStyle w:val="Heading2"/>
      </w:pPr>
      <w:bookmarkStart w:id="332" w:name="Xbdeae474b30d0c6c153bc32937848dc3fd565e9"/>
      <w:r>
        <w:t xml:space="preserve">ABBY: An Online Environment for Annotated Bibliographies</w:t>
      </w:r>
      <w:bookmarkEnd w:id="332"/>
    </w:p>
    <w:p>
      <w:pPr>
        <w:pStyle w:val="FirstParagraph"/>
      </w:pPr>
      <w:r>
        <w:t xml:space="preserve">In order to write this dissertation, I have developed</w:t>
      </w:r>
      <w:r>
        <w:t xml:space="preserve"> </w:t>
      </w:r>
      <w:r>
        <w:t xml:space="preserve">“</w:t>
      </w:r>
      <w:r>
        <w:t xml:space="preserve">Abby</w:t>
      </w:r>
      <w:r>
        <w:t xml:space="preserve">”</w:t>
      </w:r>
      <w:r>
        <w:t xml:space="preserve"> </w:t>
      </w:r>
      <w:r>
        <w:t xml:space="preserve">an online Text Database tool namely to build an annotated bibliography. The program is mostly written in Javascript, with the data navigation and programming hosted in Github, and the datasets stored in the Google account that New York University has provided me. The annotated bibliography is available at</w:t>
      </w:r>
      <w:r>
        <w:t xml:space="preserve"> </w:t>
      </w:r>
      <w:hyperlink r:id="rId333">
        <w:r>
          <w:rPr>
            <w:rStyle w:val="Hyperlink"/>
          </w:rPr>
          <w:t xml:space="preserve">https://fdch.github.io/abby</w:t>
        </w:r>
      </w:hyperlink>
      <w:r>
        <w:t xml:space="preserve">, and the code can be accessed or cloned from</w:t>
      </w:r>
      <w:r>
        <w:t xml:space="preserve"> </w:t>
      </w:r>
      <w:hyperlink r:id="rId334">
        <w:r>
          <w:rPr>
            <w:rStyle w:val="Hyperlink"/>
          </w:rPr>
          <w:t xml:space="preserve">https://github.com/fdch/litrev</w:t>
        </w:r>
      </w:hyperlink>
      <w:r>
        <w:t xml:space="preserve">.</w:t>
      </w:r>
    </w:p>
    <w:p>
      <w:pPr>
        <w:pStyle w:val="Heading3"/>
      </w:pPr>
      <w:bookmarkStart w:id="335" w:name="texdb"/>
      <w:r>
        <w:t xml:space="preserve">A Text Database</w:t>
      </w:r>
      <w:bookmarkEnd w:id="335"/>
    </w:p>
    <w:p>
      <w:pPr>
        <w:pStyle w:val="FirstParagraph"/>
      </w:pPr>
      <w:r>
        <w:t xml:space="preserve">A detailed description of the text database model…</w:t>
      </w:r>
    </w:p>
    <w:bookmarkStart w:id="683" w:name="refs"/>
    <w:bookmarkStart w:id="336"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36"/>
    <w:bookmarkStart w:id="337"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37"/>
    <w:bookmarkStart w:id="338"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38"/>
    <w:bookmarkStart w:id="339"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39"/>
    <w:bookmarkStart w:id="340"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40"/>
    <w:bookmarkStart w:id="342"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41">
        <w:r>
          <w:rPr>
            <w:rStyle w:val="Hyperlink"/>
          </w:rPr>
          <w:t xml:space="preserve">http://www.terasoft.com.tw/conf/ismir2014/proceedings/T014_162_Paper.pdf</w:t>
        </w:r>
      </w:hyperlink>
    </w:p>
    <w:bookmarkEnd w:id="342"/>
    <w:bookmarkStart w:id="343"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43"/>
    <w:bookmarkStart w:id="344"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44"/>
    <w:bookmarkStart w:id="345"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45"/>
    <w:bookmarkStart w:id="346"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46"/>
    <w:bookmarkStart w:id="347"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47"/>
    <w:bookmarkStart w:id="348"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48"/>
    <w:bookmarkStart w:id="349"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49"/>
    <w:bookmarkStart w:id="350"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50"/>
    <w:bookmarkStart w:id="351"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51"/>
    <w:bookmarkStart w:id="352"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52"/>
    <w:bookmarkStart w:id="353" w:name="ref-Bar20:Viv"/>
    <w:p>
      <w:pPr>
        <w:pStyle w:val="Bibliography"/>
      </w:pPr>
      <w:r>
        <w:t xml:space="preserve">Barrett N. 2000b. Viva la selva</w:t>
      </w:r>
    </w:p>
    <w:bookmarkEnd w:id="353"/>
    <w:bookmarkStart w:id="354" w:name="ref-Bar68:Ele"/>
    <w:p>
      <w:pPr>
        <w:pStyle w:val="Bibliography"/>
      </w:pPr>
      <w:r>
        <w:t xml:space="preserve">Barthes R, Lavers A, Smith C. 1968.</w:t>
      </w:r>
      <w:r>
        <w:t xml:space="preserve"> </w:t>
      </w:r>
      <w:r>
        <w:rPr>
          <w:i/>
        </w:rPr>
        <w:t xml:space="preserve">Elements of Semiology</w:t>
      </w:r>
      <w:r>
        <w:t xml:space="preserve">. Hill; Wang, New York. ed.</w:t>
      </w:r>
    </w:p>
    <w:bookmarkEnd w:id="354"/>
    <w:bookmarkStart w:id="355"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55"/>
    <w:bookmarkStart w:id="356"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56"/>
    <w:bookmarkStart w:id="357"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57"/>
    <w:bookmarkStart w:id="359"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58">
        <w:r>
          <w:rPr>
            <w:rStyle w:val="Hyperlink"/>
          </w:rPr>
          <w:t xml:space="preserve">http://www.terasoft.com.tw/conf/ismir2014/proceedings/T028_322_Paper.pdf</w:t>
        </w:r>
      </w:hyperlink>
    </w:p>
    <w:bookmarkEnd w:id="359"/>
    <w:bookmarkStart w:id="360"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60"/>
    <w:bookmarkStart w:id="362"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61">
        <w:r>
          <w:rPr>
            <w:rStyle w:val="Hyperlink"/>
          </w:rPr>
          <w:t xml:space="preserve">http://www.ppgia.pucpr.br/ismir2013/wp-content/uploads/2013/09/177\_Paper.pdf</w:t>
        </w:r>
      </w:hyperlink>
    </w:p>
    <w:bookmarkEnd w:id="362"/>
    <w:bookmarkStart w:id="363"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63"/>
    <w:bookmarkStart w:id="364" w:name="ref-Bor42:Fun"/>
    <w:p>
      <w:pPr>
        <w:pStyle w:val="Bibliography"/>
      </w:pPr>
      <w:r>
        <w:t xml:space="preserve">Borges JL. 1942. Funes el memorioso.</w:t>
      </w:r>
      <w:r>
        <w:t xml:space="preserve"> </w:t>
      </w:r>
      <w:r>
        <w:rPr>
          <w:i/>
        </w:rPr>
        <w:t xml:space="preserve">Ficciones</w:t>
      </w:r>
    </w:p>
    <w:bookmarkEnd w:id="364"/>
    <w:bookmarkStart w:id="365" w:name="ref-Ker94:Fun"/>
    <w:p>
      <w:pPr>
        <w:pStyle w:val="Bibliography"/>
      </w:pPr>
      <w:r>
        <w:t xml:space="preserve">Borges JL. 1994.</w:t>
      </w:r>
      <w:r>
        <w:t xml:space="preserve"> </w:t>
      </w:r>
      <w:r>
        <w:rPr>
          <w:i/>
        </w:rPr>
        <w:t xml:space="preserve">Ficciones</w:t>
      </w:r>
      <w:r>
        <w:t xml:space="preserve">. Grove Press. ed.</w:t>
      </w:r>
    </w:p>
    <w:bookmarkEnd w:id="365"/>
    <w:bookmarkStart w:id="366" w:name="ref-Bor95:Rat"/>
    <w:p>
      <w:pPr>
        <w:pStyle w:val="Bibliography"/>
      </w:pPr>
      <w:r>
        <w:t xml:space="preserve">Born G. 1995.</w:t>
      </w:r>
      <w:r>
        <w:t xml:space="preserve"> </w:t>
      </w:r>
      <w:r>
        <w:rPr>
          <w:i/>
        </w:rPr>
        <w:t xml:space="preserve">Rationalizing Culture</w:t>
      </w:r>
      <w:r>
        <w:t xml:space="preserve">. University of California Press. ed.</w:t>
      </w:r>
    </w:p>
    <w:bookmarkEnd w:id="366"/>
    <w:bookmarkStart w:id="367"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67"/>
    <w:bookmarkStart w:id="368"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68"/>
    <w:bookmarkStart w:id="369"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69"/>
    <w:bookmarkStart w:id="370"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70"/>
    <w:bookmarkStart w:id="371"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71"/>
    <w:bookmarkStart w:id="372"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72"/>
    <w:bookmarkStart w:id="373" w:name="ref-score11manual"/>
    <w:p>
      <w:pPr>
        <w:pStyle w:val="Bibliography"/>
      </w:pPr>
      <w:r>
        <w:t xml:space="preserve">Brinkman AR. 1982. Original version of the score11 manual.</w:t>
      </w:r>
      <w:r>
        <w:t xml:space="preserve"> </w:t>
      </w:r>
      <w:r>
        <w:rPr>
          <w:i/>
        </w:rPr>
        <w:t xml:space="preserve">Score11 Manual</w:t>
      </w:r>
    </w:p>
    <w:bookmarkEnd w:id="373"/>
    <w:bookmarkStart w:id="374"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74"/>
    <w:bookmarkStart w:id="375"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75"/>
    <w:bookmarkStart w:id="376"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76"/>
    <w:bookmarkStart w:id="378"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77">
        <w:r>
          <w:rPr>
            <w:rStyle w:val="Hyperlink"/>
          </w:rPr>
          <w:t xml:space="preserve">http://www.nime.org/proceedings/2011/nime2011_387.pdf</w:t>
        </w:r>
      </w:hyperlink>
    </w:p>
    <w:bookmarkEnd w:id="378"/>
    <w:bookmarkStart w:id="380"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79">
        <w:r>
          <w:rPr>
            <w:rStyle w:val="Hyperlink"/>
          </w:rPr>
          <w:t xml:space="preserve">http://www.nime.org/proceedings/2009/nime2009_266.pdf</w:t>
        </w:r>
      </w:hyperlink>
    </w:p>
    <w:bookmarkEnd w:id="380"/>
    <w:bookmarkStart w:id="381"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81"/>
    <w:bookmarkStart w:id="382"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82"/>
    <w:bookmarkStart w:id="383"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83"/>
    <w:bookmarkStart w:id="384" w:name="ref-Bux77:Aco"/>
    <w:p>
      <w:pPr>
        <w:pStyle w:val="Bibliography"/>
      </w:pPr>
      <w:r>
        <w:t xml:space="preserve">Buxton W. 1977. A composer’s introduction to computer music.</w:t>
      </w:r>
      <w:r>
        <w:t xml:space="preserve"> </w:t>
      </w:r>
      <w:r>
        <w:rPr>
          <w:i/>
        </w:rPr>
        <w:t xml:space="preserve">Interface</w:t>
      </w:r>
      <w:r>
        <w:t xml:space="preserve">. 6:57–72</w:t>
      </w:r>
    </w:p>
    <w:bookmarkEnd w:id="384"/>
    <w:bookmarkStart w:id="385" w:name="ref-youtube/buxton10"/>
    <w:p>
      <w:pPr>
        <w:pStyle w:val="Bibliography"/>
      </w:pPr>
      <w:r>
        <w:t xml:space="preserve">Buxton W. 2016a. Objed: The sssp sound editing tool.</w:t>
      </w:r>
      <w:r>
        <w:t xml:space="preserve"> </w:t>
      </w:r>
      <w:r>
        <w:rPr>
          <w:i/>
        </w:rPr>
        <w:t xml:space="preserve">Youtube</w:t>
      </w:r>
    </w:p>
    <w:bookmarkEnd w:id="385"/>
    <w:bookmarkStart w:id="386"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86"/>
    <w:bookmarkStart w:id="387"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87"/>
    <w:bookmarkStart w:id="388"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88"/>
    <w:bookmarkStart w:id="389"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89"/>
    <w:bookmarkStart w:id="391"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90">
        <w:r>
          <w:rPr>
            <w:rStyle w:val="Hyperlink"/>
          </w:rPr>
          <w:t xml:space="preserve">http://www.nime.org/proceedings/2011/nime2011_329.pdf</w:t>
        </w:r>
      </w:hyperlink>
    </w:p>
    <w:bookmarkEnd w:id="391"/>
    <w:bookmarkStart w:id="392"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92"/>
    <w:bookmarkStart w:id="393"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93"/>
    <w:bookmarkStart w:id="394"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94"/>
    <w:bookmarkStart w:id="395" w:name="ref-Rya17:OnT"/>
    <w:p>
      <w:pPr>
        <w:pStyle w:val="Bibliography"/>
      </w:pPr>
      <w:r>
        <w:t xml:space="preserve">Carter R. 2017. On the expressive potential of suboptimal speakers</w:t>
      </w:r>
    </w:p>
    <w:bookmarkEnd w:id="395"/>
    <w:bookmarkStart w:id="396"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96"/>
    <w:bookmarkStart w:id="397"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97"/>
    <w:bookmarkStart w:id="398"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98"/>
    <w:bookmarkStart w:id="399"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99"/>
    <w:bookmarkStart w:id="400"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00"/>
    <w:bookmarkStart w:id="401"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01"/>
    <w:bookmarkStart w:id="402"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02"/>
    <w:bookmarkStart w:id="403"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03"/>
    <w:bookmarkStart w:id="404" w:name="ref-Cho00:Voi"/>
    <w:p>
      <w:pPr>
        <w:pStyle w:val="Bibliography"/>
      </w:pPr>
      <w:r>
        <w:t xml:space="preserve">Choi I. 2000. Voices in ruins — composition with residuals</w:t>
      </w:r>
    </w:p>
    <w:bookmarkEnd w:id="404"/>
    <w:bookmarkStart w:id="405"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05"/>
    <w:bookmarkStart w:id="406"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06"/>
    <w:bookmarkStart w:id="407"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07"/>
    <w:bookmarkStart w:id="408"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08"/>
    <w:bookmarkStart w:id="409"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09"/>
    <w:bookmarkStart w:id="410"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10"/>
    <w:bookmarkStart w:id="411"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11"/>
    <w:bookmarkStart w:id="412"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12"/>
    <w:bookmarkStart w:id="413"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13"/>
    <w:bookmarkStart w:id="414" w:name="ref-connes:shapes"/>
    <w:p>
      <w:pPr>
        <w:pStyle w:val="Bibliography"/>
      </w:pPr>
      <w:r>
        <w:t xml:space="preserve">Connes A. 2012. The music of shapes</w:t>
      </w:r>
    </w:p>
    <w:bookmarkEnd w:id="414"/>
    <w:bookmarkStart w:id="415"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15"/>
    <w:bookmarkStart w:id="416"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16"/>
    <w:bookmarkStart w:id="417"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17"/>
    <w:bookmarkStart w:id="418"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18"/>
    <w:bookmarkStart w:id="419"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19"/>
    <w:bookmarkStart w:id="421"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20">
        <w:r>
          <w:rPr>
            <w:rStyle w:val="Hyperlink"/>
          </w:rPr>
          <w:t xml:space="preserve">https://ismir2017.smcnus.org/wp-content/uploads/2017/10/235_Paper.pdf</w:t>
        </w:r>
      </w:hyperlink>
    </w:p>
    <w:bookmarkEnd w:id="421"/>
    <w:bookmarkStart w:id="423" w:name="ref-crowley98"/>
    <w:p>
      <w:pPr>
        <w:pStyle w:val="Bibliography"/>
      </w:pPr>
      <w:r>
        <w:t xml:space="preserve">Crowley C. 1998. Data structures for text sequences.</w:t>
      </w:r>
      <w:r>
        <w:t xml:space="preserve"> </w:t>
      </w:r>
      <w:hyperlink r:id="rId422">
        <w:r>
          <w:rPr>
            <w:rStyle w:val="Hyperlink"/>
          </w:rPr>
          <w:t xml:space="preserve">https://www.cs.unm.edu/~crowley/papers/sds.pdf</w:t>
        </w:r>
      </w:hyperlink>
    </w:p>
    <w:bookmarkEnd w:id="423"/>
    <w:bookmarkStart w:id="424"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24"/>
    <w:bookmarkStart w:id="426"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25">
        <w:r>
          <w:rPr>
            <w:rStyle w:val="Hyperlink"/>
          </w:rPr>
          <w:t xml:space="preserve">https://ismir2017.smcnus.org/wp-content/uploads/2017/10/75_Paper.pdf</w:t>
        </w:r>
      </w:hyperlink>
    </w:p>
    <w:bookmarkEnd w:id="426"/>
    <w:bookmarkStart w:id="427"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27"/>
    <w:bookmarkStart w:id="428"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28"/>
    <w:bookmarkStart w:id="429"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29"/>
    <w:bookmarkStart w:id="430" w:name="ref-Der78:Wri"/>
    <w:p>
      <w:pPr>
        <w:pStyle w:val="Bibliography"/>
      </w:pPr>
      <w:r>
        <w:t xml:space="preserve">Derrida J. 1978.</w:t>
      </w:r>
      <w:r>
        <w:t xml:space="preserve"> </w:t>
      </w:r>
      <w:r>
        <w:rPr>
          <w:i/>
        </w:rPr>
        <w:t xml:space="preserve">Writing and Difference</w:t>
      </w:r>
      <w:r>
        <w:t xml:space="preserve">. The University of Chicago. ed.</w:t>
      </w:r>
    </w:p>
    <w:bookmarkEnd w:id="430"/>
    <w:bookmarkStart w:id="431" w:name="ref-Der82:Mar"/>
    <w:p>
      <w:pPr>
        <w:pStyle w:val="Bibliography"/>
      </w:pPr>
      <w:r>
        <w:t xml:space="preserve">Derrida J. 1982.</w:t>
      </w:r>
      <w:r>
        <w:t xml:space="preserve"> </w:t>
      </w:r>
      <w:r>
        <w:rPr>
          <w:i/>
        </w:rPr>
        <w:t xml:space="preserve">Margins of Philosophy</w:t>
      </w:r>
      <w:r>
        <w:t xml:space="preserve">. The Harvester Press. ed.</w:t>
      </w:r>
    </w:p>
    <w:bookmarkEnd w:id="431"/>
    <w:bookmarkStart w:id="432" w:name="ref-Der95:Arc"/>
    <w:p>
      <w:pPr>
        <w:pStyle w:val="Bibliography"/>
      </w:pPr>
      <w:r>
        <w:t xml:space="preserve">Derrida J, Prenowitz E. 1995. Archive fever: A freudian impression.</w:t>
      </w:r>
      <w:r>
        <w:t xml:space="preserve"> </w:t>
      </w:r>
      <w:r>
        <w:rPr>
          <w:i/>
        </w:rPr>
        <w:t xml:space="preserve">Diacritics</w:t>
      </w:r>
      <w:r>
        <w:t xml:space="preserve">. 25(2):</w:t>
      </w:r>
    </w:p>
    <w:bookmarkEnd w:id="432"/>
    <w:bookmarkStart w:id="433"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33"/>
    <w:bookmarkStart w:id="435"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34">
        <w:r>
          <w:rPr>
            <w:rStyle w:val="Hyperlink"/>
          </w:rPr>
          <w:t xml:space="preserve">http://ismir2015.uma.es/articles/261_Paper.pdf</w:t>
        </w:r>
      </w:hyperlink>
    </w:p>
    <w:bookmarkEnd w:id="435"/>
    <w:bookmarkStart w:id="436"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36"/>
    <w:bookmarkStart w:id="437"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37"/>
    <w:bookmarkStart w:id="438"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38"/>
    <w:bookmarkStart w:id="439"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39"/>
    <w:bookmarkStart w:id="440"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40"/>
    <w:bookmarkStart w:id="441"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41"/>
    <w:bookmarkStart w:id="443"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42">
        <w:r>
          <w:rPr>
            <w:rStyle w:val="Hyperlink"/>
          </w:rPr>
          <w:t xml:space="preserve">http://ismir2018.ircam.fr/doc/pdfs/265_Paper.pdf</w:t>
        </w:r>
      </w:hyperlink>
    </w:p>
    <w:bookmarkEnd w:id="443"/>
    <w:bookmarkStart w:id="444"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44"/>
    <w:bookmarkStart w:id="446"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45">
        <w:r>
          <w:rPr>
            <w:rStyle w:val="Hyperlink"/>
          </w:rPr>
          <w:t xml:space="preserve">http://ismir2000.ismir.net/papers/invites/dunn_invite.pdf</w:t>
        </w:r>
      </w:hyperlink>
    </w:p>
    <w:bookmarkEnd w:id="446"/>
    <w:bookmarkStart w:id="447"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47"/>
    <w:bookmarkStart w:id="448"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48"/>
    <w:bookmarkStart w:id="449" w:name="ref-Eco04:The"/>
    <w:p>
      <w:pPr>
        <w:pStyle w:val="Bibliography"/>
      </w:pPr>
      <w:r>
        <w:t xml:space="preserve">Eco U. 2004. The poetics of the open work.</w:t>
      </w:r>
      <w:r>
        <w:t xml:space="preserve"> </w:t>
      </w:r>
      <w:r>
        <w:rPr>
          <w:i/>
        </w:rPr>
        <w:t xml:space="preserve">Audio Culture: Readings in Modern Music</w:t>
      </w:r>
    </w:p>
    <w:bookmarkEnd w:id="449"/>
    <w:bookmarkStart w:id="450" w:name="ref-Emm86:The"/>
    <w:p>
      <w:pPr>
        <w:pStyle w:val="Bibliography"/>
      </w:pPr>
      <w:r>
        <w:t xml:space="preserve">Emmerson S. 1986.</w:t>
      </w:r>
      <w:r>
        <w:t xml:space="preserve"> </w:t>
      </w:r>
      <w:r>
        <w:rPr>
          <w:i/>
        </w:rPr>
        <w:t xml:space="preserve">The Language of Electroacoustic Music</w:t>
      </w:r>
      <w:r>
        <w:t xml:space="preserve">. ed.</w:t>
      </w:r>
    </w:p>
    <w:bookmarkEnd w:id="450"/>
    <w:bookmarkStart w:id="452"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51">
        <w:r>
          <w:rPr>
            <w:rStyle w:val="Hyperlink"/>
          </w:rPr>
          <w:t xml:space="preserve">http://ismir2018.ircam.fr/doc/pdfs/206_Paper.pdf</w:t>
        </w:r>
      </w:hyperlink>
    </w:p>
    <w:bookmarkEnd w:id="452"/>
    <w:bookmarkStart w:id="453"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53"/>
    <w:bookmarkStart w:id="454" w:name="ref-Ern13:Dig"/>
    <w:p>
      <w:pPr>
        <w:pStyle w:val="Bibliography"/>
      </w:pPr>
      <w:r>
        <w:t xml:space="preserve">Ernst W. 2013.</w:t>
      </w:r>
      <w:r>
        <w:t xml:space="preserve"> </w:t>
      </w:r>
      <w:r>
        <w:rPr>
          <w:i/>
        </w:rPr>
        <w:t xml:space="preserve">Digital Memory and the Archive</w:t>
      </w:r>
      <w:r>
        <w:t xml:space="preserve">. University of Minnesota Press. ed.</w:t>
      </w:r>
    </w:p>
    <w:bookmarkEnd w:id="454"/>
    <w:bookmarkStart w:id="455" w:name="ref-PhysRevLett.122.084501"/>
    <w:p>
      <w:pPr>
        <w:pStyle w:val="Bibliography"/>
      </w:pPr>
      <w:r>
        <w:t xml:space="preserve">Esposito A, Krichevsky R, Nicolis A. 2019. Gravitational mass carried by sound waves.</w:t>
      </w:r>
      <w:r>
        <w:t xml:space="preserve"> </w:t>
      </w:r>
      <w:r>
        <w:rPr>
          <w:i/>
        </w:rPr>
        <w:t xml:space="preserve">Phys. Rev. Lett.</w:t>
      </w:r>
      <w:r>
        <w:t xml:space="preserve"> </w:t>
      </w:r>
      <w:r>
        <w:t xml:space="preserve">122(8):084501</w:t>
      </w:r>
    </w:p>
    <w:bookmarkEnd w:id="455"/>
    <w:bookmarkStart w:id="45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56"/>
    <w:bookmarkStart w:id="45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57">
        <w:r>
          <w:rPr>
            <w:rStyle w:val="Hyperlink"/>
          </w:rPr>
          <w:t xml:space="preserve">https://ismir2017.smcnus.org/wp-content/uploads/2017/10/161_Paper.pdf</w:t>
        </w:r>
      </w:hyperlink>
    </w:p>
    <w:bookmarkEnd w:id="458"/>
    <w:bookmarkStart w:id="45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59"/>
    <w:bookmarkStart w:id="46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60"/>
    <w:bookmarkStart w:id="46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61"/>
    <w:bookmarkStart w:id="46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62"/>
    <w:bookmarkStart w:id="46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63"/>
    <w:bookmarkStart w:id="46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64"/>
    <w:bookmarkStart w:id="46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65">
        <w:r>
          <w:rPr>
            <w:rStyle w:val="Hyperlink"/>
          </w:rPr>
          <w:t xml:space="preserve">http://www.nime.org/proceedings/2011/nime2011_124.pdf</w:t>
        </w:r>
      </w:hyperlink>
    </w:p>
    <w:bookmarkEnd w:id="466"/>
    <w:bookmarkStart w:id="46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67"/>
    <w:bookmarkStart w:id="46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68">
        <w:r>
          <w:rPr>
            <w:rStyle w:val="Hyperlink"/>
          </w:rPr>
          <w:t xml:space="preserve">http://ismir2000.ismir.net/posters/good.pdf</w:t>
        </w:r>
      </w:hyperlink>
    </w:p>
    <w:bookmarkEnd w:id="469"/>
    <w:bookmarkStart w:id="47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70">
        <w:r>
          <w:rPr>
            <w:rStyle w:val="Hyperlink"/>
          </w:rPr>
          <w:t xml:space="preserve">http://ismir2002.ismir.net/proceedings/03-SP04-1.pdf</w:t>
        </w:r>
      </w:hyperlink>
    </w:p>
    <w:bookmarkEnd w:id="471"/>
    <w:bookmarkStart w:id="47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72">
        <w:r>
          <w:rPr>
            <w:rStyle w:val="Hyperlink"/>
          </w:rPr>
          <w:t xml:space="preserve">http://ismir2003.ismir.net/papers/Goto1.PDF</w:t>
        </w:r>
      </w:hyperlink>
    </w:p>
    <w:bookmarkEnd w:id="473"/>
    <w:bookmarkStart w:id="474" w:name="ref-Gra15:The"/>
    <w:p>
      <w:pPr>
        <w:pStyle w:val="Bibliography"/>
      </w:pPr>
      <w:r>
        <w:t xml:space="preserve">Gratton P, Morin M-E. 2015.</w:t>
      </w:r>
      <w:r>
        <w:t xml:space="preserve"> </w:t>
      </w:r>
      <w:r>
        <w:rPr>
          <w:i/>
        </w:rPr>
        <w:t xml:space="preserve">The Nancy Dictionary</w:t>
      </w:r>
      <w:r>
        <w:t xml:space="preserve">. Edinburgh University Press. ed.</w:t>
      </w:r>
    </w:p>
    <w:bookmarkEnd w:id="474"/>
    <w:bookmarkStart w:id="47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75"/>
    <w:bookmarkStart w:id="47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76">
        <w:r>
          <w:rPr>
            <w:rStyle w:val="Hyperlink"/>
          </w:rPr>
          <w:t xml:space="preserve">http://www.terasoft.com.tw/conf/ismir2014/proceedings/T059_257_Paper.pdf</w:t>
        </w:r>
      </w:hyperlink>
    </w:p>
    <w:bookmarkEnd w:id="477"/>
    <w:bookmarkStart w:id="47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78"/>
    <w:bookmarkStart w:id="47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79"/>
    <w:bookmarkStart w:id="480" w:name="ref-Han04:New"/>
    <w:p>
      <w:pPr>
        <w:pStyle w:val="Bibliography"/>
      </w:pPr>
      <w:r>
        <w:t xml:space="preserve">Hansen MBN. 2004.</w:t>
      </w:r>
      <w:r>
        <w:t xml:space="preserve"> </w:t>
      </w:r>
      <w:r>
        <w:rPr>
          <w:i/>
        </w:rPr>
        <w:t xml:space="preserve">New Philosophy for New Media</w:t>
      </w:r>
      <w:r>
        <w:t xml:space="preserve">. The MIT Press. ed.</w:t>
      </w:r>
    </w:p>
    <w:bookmarkEnd w:id="480"/>
    <w:bookmarkStart w:id="48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81">
        <w:r>
          <w:rPr>
            <w:rStyle w:val="Hyperlink"/>
          </w:rPr>
          <w:t xml:space="preserve">http://ismir2008.ismir.net/papers/ISMIR2008_173.pdf</w:t>
        </w:r>
      </w:hyperlink>
    </w:p>
    <w:bookmarkEnd w:id="482"/>
    <w:bookmarkStart w:id="48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83"/>
    <w:bookmarkStart w:id="48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84"/>
    <w:bookmarkStart w:id="48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85">
        <w:r>
          <w:rPr>
            <w:rStyle w:val="Hyperlink"/>
          </w:rPr>
          <w:t xml:space="preserve">http://www.ppgia.pucpr.br/ismir2013/wp-content/uploads/2013/09/85_Paper.pdf</w:t>
        </w:r>
      </w:hyperlink>
    </w:p>
    <w:bookmarkEnd w:id="486"/>
    <w:bookmarkStart w:id="48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87"/>
    <w:bookmarkStart w:id="488" w:name="ref-Hay93:The"/>
    <w:p>
      <w:pPr>
        <w:pStyle w:val="Bibliography"/>
      </w:pPr>
      <w:r>
        <w:t xml:space="preserve">Hayles NK. 1993. The materiality of informatics.</w:t>
      </w:r>
      <w:r>
        <w:t xml:space="preserve"> </w:t>
      </w:r>
      <w:r>
        <w:rPr>
          <w:i/>
        </w:rPr>
        <w:t xml:space="preserve">Configurations</w:t>
      </w:r>
      <w:r>
        <w:t xml:space="preserve">. 1(1):</w:t>
      </w:r>
    </w:p>
    <w:bookmarkEnd w:id="488"/>
    <w:bookmarkStart w:id="48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89"/>
    <w:bookmarkStart w:id="49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90"/>
    <w:bookmarkStart w:id="49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91"/>
    <w:bookmarkStart w:id="49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92">
        <w:r>
          <w:rPr>
            <w:rStyle w:val="Hyperlink"/>
          </w:rPr>
          <w:t xml:space="preserve">http://www.nime.org/proceedings/2010/nime2010_233.pdf</w:t>
        </w:r>
      </w:hyperlink>
    </w:p>
    <w:bookmarkEnd w:id="493"/>
    <w:bookmarkStart w:id="49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94">
        <w:r>
          <w:rPr>
            <w:rStyle w:val="Hyperlink"/>
          </w:rPr>
          <w:t xml:space="preserve">http://ismir2005.ismir.net/proceedings/2117.pdf</w:t>
        </w:r>
      </w:hyperlink>
    </w:p>
    <w:bookmarkEnd w:id="495"/>
    <w:bookmarkStart w:id="49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96"/>
    <w:bookmarkStart w:id="49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97">
        <w:r>
          <w:rPr>
            <w:rStyle w:val="Hyperlink"/>
          </w:rPr>
          <w:t xml:space="preserve">http://ismir2018.ircam.fr/doc/pdfs/248_Paper.pdf</w:t>
        </w:r>
      </w:hyperlink>
    </w:p>
    <w:bookmarkEnd w:id="498"/>
    <w:bookmarkStart w:id="499" w:name="ref-Mau99:Abr"/>
    <w:p>
      <w:pPr>
        <w:pStyle w:val="Bibliography"/>
      </w:pPr>
      <w:r>
        <w:t xml:space="preserve">IV JAM. 1999.</w:t>
      </w:r>
      <w:r>
        <w:t xml:space="preserve"> </w:t>
      </w:r>
      <w:r>
        <w:rPr>
          <w:i/>
        </w:rPr>
        <w:t xml:space="preserve">A Brief History of Algorithmic Composition</w:t>
      </w:r>
      <w:r>
        <w:t xml:space="preserve">. Online. ed.</w:t>
      </w:r>
    </w:p>
    <w:bookmarkEnd w:id="499"/>
    <w:bookmarkStart w:id="50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00"/>
    <w:bookmarkStart w:id="50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01"/>
    <w:bookmarkStart w:id="50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02"/>
    <w:bookmarkStart w:id="50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03">
        <w:r>
          <w:rPr>
            <w:rStyle w:val="Hyperlink"/>
          </w:rPr>
          <w:t xml:space="preserve">http://ismir2008.ismir.net/papers/ISMIR2008_106.pdf</w:t>
        </w:r>
      </w:hyperlink>
    </w:p>
    <w:bookmarkEnd w:id="504"/>
    <w:bookmarkStart w:id="50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05"/>
    <w:bookmarkStart w:id="506"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06"/>
    <w:bookmarkStart w:id="507"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07"/>
    <w:bookmarkStart w:id="508"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08"/>
    <w:bookmarkStart w:id="510"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09">
        <w:r>
          <w:rPr>
            <w:rStyle w:val="Hyperlink"/>
          </w:rPr>
          <w:t xml:space="preserve">http://www.terasoft.com.tw/conf/ismir2014/proceedings/T039_344_Paper.pdf</w:t>
        </w:r>
      </w:hyperlink>
    </w:p>
    <w:bookmarkEnd w:id="510"/>
    <w:bookmarkStart w:id="511" w:name="ref-Kle98:The"/>
    <w:p>
      <w:pPr>
        <w:pStyle w:val="Bibliography"/>
      </w:pPr>
      <w:r>
        <w:t xml:space="preserve">Klein J. 1998. The wolves of bays mountain</w:t>
      </w:r>
    </w:p>
    <w:bookmarkEnd w:id="511"/>
    <w:bookmarkStart w:id="512" w:name="ref-Kle17:Lec"/>
    <w:p>
      <w:pPr>
        <w:pStyle w:val="Bibliography"/>
      </w:pPr>
      <w:r>
        <w:t xml:space="preserve">Klein J. 2017.</w:t>
      </w:r>
      <w:r>
        <w:t xml:space="preserve"> </w:t>
      </w:r>
      <w:r>
        <w:rPr>
          <w:i/>
        </w:rPr>
        <w:t xml:space="preserve">On my compositional approach</w:t>
      </w:r>
      <w:r>
        <w:t xml:space="preserve">. Work. Pap.</w:t>
      </w:r>
    </w:p>
    <w:bookmarkEnd w:id="512"/>
    <w:bookmarkStart w:id="513"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13"/>
    <w:bookmarkStart w:id="515"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14">
        <w:r>
          <w:rPr>
            <w:rStyle w:val="Hyperlink"/>
          </w:rPr>
          <w:t xml:space="preserve">http://ismir2015.uma.es/articles/246_Paper.pdf</w:t>
        </w:r>
      </w:hyperlink>
    </w:p>
    <w:bookmarkEnd w:id="515"/>
    <w:bookmarkStart w:id="516"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16"/>
    <w:bookmarkStart w:id="517"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17"/>
    <w:bookmarkStart w:id="518"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18"/>
    <w:bookmarkStart w:id="519"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19"/>
    <w:bookmarkStart w:id="520"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20"/>
    <w:bookmarkStart w:id="521"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21"/>
    <w:bookmarkStart w:id="522"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22"/>
    <w:bookmarkStart w:id="523"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23"/>
    <w:bookmarkStart w:id="524"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24"/>
    <w:bookmarkStart w:id="525"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25"/>
    <w:bookmarkStart w:id="526"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26"/>
    <w:bookmarkStart w:id="527" w:name="ref-Lod98:MUS"/>
    <w:p>
      <w:pPr>
        <w:pStyle w:val="Bibliography"/>
      </w:pPr>
      <w:r>
        <w:t xml:space="preserve">Lodha S, Beahan J, Joseph A, Zane-ulman B. 1998. MUSE: A musical data sonification toolkit</w:t>
      </w:r>
    </w:p>
    <w:bookmarkEnd w:id="527"/>
    <w:bookmarkStart w:id="528"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28"/>
    <w:bookmarkStart w:id="530"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29">
        <w:r>
          <w:rPr>
            <w:rStyle w:val="Hyperlink"/>
          </w:rPr>
          <w:t xml:space="preserve">http://www.nime.org/proceedings/2008/nime2008_221.pdf</w:t>
        </w:r>
      </w:hyperlink>
    </w:p>
    <w:bookmarkEnd w:id="530"/>
    <w:bookmarkStart w:id="531"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31"/>
    <w:bookmarkStart w:id="532" w:name="ref-Luc70:Iam"/>
    <w:p>
      <w:pPr>
        <w:pStyle w:val="Bibliography"/>
      </w:pPr>
      <w:r>
        <w:t xml:space="preserve">Lucier A. 1970. I am sitting in a room</w:t>
      </w:r>
    </w:p>
    <w:bookmarkEnd w:id="532"/>
    <w:bookmarkStart w:id="533" w:name="ref-Man01:The"/>
    <w:p>
      <w:pPr>
        <w:pStyle w:val="Bibliography"/>
      </w:pPr>
      <w:r>
        <w:t xml:space="preserve">Manovich L. 2001.</w:t>
      </w:r>
      <w:r>
        <w:t xml:space="preserve"> </w:t>
      </w:r>
      <w:r>
        <w:rPr>
          <w:i/>
        </w:rPr>
        <w:t xml:space="preserve">The Language of New Media</w:t>
      </w:r>
      <w:r>
        <w:t xml:space="preserve">. MIT Press. ed.</w:t>
      </w:r>
    </w:p>
    <w:bookmarkEnd w:id="533"/>
    <w:bookmarkStart w:id="534" w:name="ref-Man02:Old"/>
    <w:p>
      <w:pPr>
        <w:pStyle w:val="Bibliography"/>
      </w:pPr>
      <w:r>
        <w:t xml:space="preserve">Manovich L. 2002. Old media as new media: Cinema.</w:t>
      </w:r>
      <w:r>
        <w:t xml:space="preserve"> </w:t>
      </w:r>
      <w:r>
        <w:rPr>
          <w:i/>
        </w:rPr>
        <w:t xml:space="preserve">The New Media Book</w:t>
      </w:r>
    </w:p>
    <w:bookmarkEnd w:id="534"/>
    <w:bookmarkStart w:id="535"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35"/>
    <w:bookmarkStart w:id="537"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36">
        <w:r>
          <w:rPr>
            <w:rStyle w:val="Hyperlink"/>
          </w:rPr>
          <w:t xml:space="preserve">http://ismir2008.ismir.net/papers/ISMIR2008_158.pdf</w:t>
        </w:r>
      </w:hyperlink>
    </w:p>
    <w:bookmarkEnd w:id="537"/>
    <w:bookmarkStart w:id="538"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38"/>
    <w:bookmarkStart w:id="539"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39"/>
    <w:bookmarkStart w:id="540"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40"/>
    <w:bookmarkStart w:id="541" w:name="ref-csoundMethods"/>
    <w:p>
      <w:pPr>
        <w:pStyle w:val="Bibliography"/>
      </w:pPr>
      <w:r>
        <w:t xml:space="preserve">McCurdy I, Heintz J, Joaquin J, Knevel M. 2015. Methods of writing csound scores.</w:t>
      </w:r>
      <w:r>
        <w:t xml:space="preserve"> </w:t>
      </w:r>
      <w:r>
        <w:rPr>
          <w:i/>
        </w:rPr>
        <w:t xml:space="preserve">FLOSS Manuals</w:t>
      </w:r>
    </w:p>
    <w:bookmarkEnd w:id="541"/>
    <w:bookmarkStart w:id="542"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42"/>
    <w:bookmarkStart w:id="544"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43">
        <w:r>
          <w:rPr>
            <w:rStyle w:val="Hyperlink"/>
          </w:rPr>
          <w:t xml:space="preserve">http://ismir2018.ircam.fr/doc/pdfs/35_Paper.pdf</w:t>
        </w:r>
      </w:hyperlink>
    </w:p>
    <w:bookmarkEnd w:id="544"/>
    <w:bookmarkStart w:id="545"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45"/>
    <w:bookmarkStart w:id="546"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46"/>
    <w:bookmarkStart w:id="547"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47"/>
    <w:bookmarkStart w:id="548"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48"/>
    <w:bookmarkStart w:id="549" w:name="ref-ods-cpp"/>
    <w:p>
      <w:pPr>
        <w:pStyle w:val="Bibliography"/>
      </w:pPr>
      <w:r>
        <w:t xml:space="preserve">Morin P. 2019.</w:t>
      </w:r>
      <w:r>
        <w:t xml:space="preserve"> </w:t>
      </w:r>
      <w:r>
        <w:rPr>
          <w:i/>
        </w:rPr>
        <w:t xml:space="preserve">Open Data Structures</w:t>
      </w:r>
      <w:r>
        <w:t xml:space="preserve">. Creative Commons. ed.</w:t>
      </w:r>
    </w:p>
    <w:bookmarkEnd w:id="549"/>
    <w:bookmarkStart w:id="550"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50"/>
    <w:bookmarkStart w:id="551"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51"/>
    <w:bookmarkStart w:id="552"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52"/>
    <w:bookmarkStart w:id="554"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53">
        <w:r>
          <w:rPr>
            <w:rStyle w:val="Hyperlink"/>
          </w:rPr>
          <w:t xml:space="preserve">http://www.nime.org/proceedings/2007/nime2007_409.pdf</w:t>
        </w:r>
      </w:hyperlink>
    </w:p>
    <w:bookmarkEnd w:id="554"/>
    <w:bookmarkStart w:id="555"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55"/>
    <w:bookmarkStart w:id="556" w:name="ref-Nan07:Lis"/>
    <w:p>
      <w:pPr>
        <w:pStyle w:val="Bibliography"/>
      </w:pPr>
      <w:r>
        <w:t xml:space="preserve">Nancy J-L. 2007.</w:t>
      </w:r>
      <w:r>
        <w:t xml:space="preserve"> </w:t>
      </w:r>
      <w:r>
        <w:rPr>
          <w:i/>
        </w:rPr>
        <w:t xml:space="preserve">Listening</w:t>
      </w:r>
      <w:r>
        <w:t xml:space="preserve">. Fordham University Place. ed.</w:t>
      </w:r>
    </w:p>
    <w:bookmarkEnd w:id="556"/>
    <w:bookmarkStart w:id="557"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57"/>
    <w:bookmarkStart w:id="559"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58">
        <w:r>
          <w:rPr>
            <w:rStyle w:val="Hyperlink"/>
          </w:rPr>
          <w:t xml:space="preserve">http://www.nime.org/proceedings/2007/nime2007_112.pdf</w:t>
        </w:r>
      </w:hyperlink>
    </w:p>
    <w:bookmarkEnd w:id="559"/>
    <w:bookmarkStart w:id="560"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60"/>
    <w:bookmarkStart w:id="561"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61"/>
    <w:bookmarkStart w:id="562"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62"/>
    <w:bookmarkStart w:id="563"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63"/>
    <w:bookmarkStart w:id="564"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64"/>
    <w:bookmarkStart w:id="565"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65"/>
    <w:bookmarkStart w:id="566"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66"/>
    <w:bookmarkStart w:id="567"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67"/>
    <w:bookmarkStart w:id="568"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68"/>
    <w:bookmarkStart w:id="569"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69"/>
    <w:bookmarkStart w:id="570"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70"/>
    <w:bookmarkStart w:id="571"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71"/>
    <w:bookmarkStart w:id="572"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72"/>
    <w:bookmarkStart w:id="573"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73"/>
    <w:bookmarkStart w:id="575"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74">
        <w:r>
          <w:rPr>
            <w:rStyle w:val="Hyperlink"/>
          </w:rPr>
          <w:t xml:space="preserve">http://www.terasoft.com.tw/conf/ismir2014/proceedings/T064_307_Paper.pdf</w:t>
        </w:r>
      </w:hyperlink>
    </w:p>
    <w:bookmarkEnd w:id="575"/>
    <w:bookmarkStart w:id="576"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76"/>
    <w:bookmarkStart w:id="577" w:name="ref-Pos11:Int"/>
    <w:p>
      <w:pPr>
        <w:pStyle w:val="Bibliography"/>
      </w:pPr>
      <w:r>
        <w:t xml:space="preserve">Poster M. 2011. Introduction.</w:t>
      </w:r>
      <w:r>
        <w:t xml:space="preserve"> </w:t>
      </w:r>
      <w:r>
        <w:rPr>
          <w:i/>
        </w:rPr>
        <w:t xml:space="preserve">Into the Universe of Technical Images</w:t>
      </w:r>
    </w:p>
    <w:bookmarkEnd w:id="577"/>
    <w:bookmarkStart w:id="579"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78">
        <w:r>
          <w:rPr>
            <w:rStyle w:val="Hyperlink"/>
          </w:rPr>
          <w:t xml:space="preserve">http://www.nime.org/proceedings/2008/nime2008_311.pdf</w:t>
        </w:r>
      </w:hyperlink>
    </w:p>
    <w:bookmarkEnd w:id="579"/>
    <w:bookmarkStart w:id="580"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80"/>
    <w:bookmarkStart w:id="581"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81"/>
    <w:bookmarkStart w:id="582" w:name="ref-Puc91:Som"/>
    <w:p>
      <w:pPr>
        <w:pStyle w:val="Bibliography"/>
      </w:pPr>
      <w:r>
        <w:t xml:space="preserve">Puckette M. 1991. Something digital.</w:t>
      </w:r>
      <w:r>
        <w:t xml:space="preserve"> </w:t>
      </w:r>
      <w:r>
        <w:rPr>
          <w:i/>
        </w:rPr>
        <w:t xml:space="preserve">Computer Music Journal</w:t>
      </w:r>
      <w:r>
        <w:t xml:space="preserve">. 15(4):65–69</w:t>
      </w:r>
    </w:p>
    <w:bookmarkEnd w:id="582"/>
    <w:bookmarkStart w:id="583"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83"/>
    <w:bookmarkStart w:id="584"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84"/>
    <w:bookmarkStart w:id="585"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85"/>
    <w:bookmarkStart w:id="586"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86"/>
    <w:bookmarkStart w:id="587"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87"/>
    <w:bookmarkStart w:id="588"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88"/>
    <w:bookmarkStart w:id="589" w:name="ref-Roa04:Mic"/>
    <w:p>
      <w:pPr>
        <w:pStyle w:val="Bibliography"/>
      </w:pPr>
      <w:r>
        <w:t xml:space="preserve">Roads C. 2001.</w:t>
      </w:r>
      <w:r>
        <w:t xml:space="preserve"> </w:t>
      </w:r>
      <w:r>
        <w:rPr>
          <w:i/>
        </w:rPr>
        <w:t xml:space="preserve">Microsound</w:t>
      </w:r>
      <w:r>
        <w:t xml:space="preserve">. MIT Press. ed.</w:t>
      </w:r>
    </w:p>
    <w:bookmarkEnd w:id="589"/>
    <w:bookmarkStart w:id="590"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90"/>
    <w:bookmarkStart w:id="591"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91"/>
    <w:bookmarkStart w:id="592"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92"/>
    <w:bookmarkStart w:id="593"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93"/>
    <w:bookmarkStart w:id="594"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94"/>
    <w:bookmarkStart w:id="595"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95"/>
    <w:bookmarkStart w:id="596"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96"/>
    <w:bookmarkStart w:id="597"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97"/>
    <w:bookmarkStart w:id="598"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98"/>
    <w:bookmarkStart w:id="599"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99"/>
    <w:bookmarkStart w:id="600"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00"/>
    <w:bookmarkStart w:id="602"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01">
        <w:r>
          <w:rPr>
            <w:rStyle w:val="Hyperlink"/>
          </w:rPr>
          <w:t xml:space="preserve">http://ismir2005.ismir.net/proceedings/3123.pdf</w:t>
        </w:r>
      </w:hyperlink>
    </w:p>
    <w:bookmarkEnd w:id="602"/>
    <w:bookmarkStart w:id="603"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03"/>
    <w:bookmarkStart w:id="604"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04"/>
    <w:bookmarkStart w:id="605"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05"/>
    <w:bookmarkStart w:id="606"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06"/>
    <w:bookmarkStart w:id="607"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07"/>
    <w:bookmarkStart w:id="608"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08"/>
    <w:bookmarkStart w:id="609"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09"/>
    <w:bookmarkStart w:id="610"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10"/>
    <w:bookmarkStart w:id="611" w:name="ref-Sch06:Rea"/>
    <w:p>
      <w:pPr>
        <w:pStyle w:val="Bibliography"/>
      </w:pPr>
      <w:r>
        <w:t xml:space="preserve">Schwarz D. 2006b. Real-time corpus-based concatenative synthesis with catart., pp. 18–21</w:t>
      </w:r>
    </w:p>
    <w:bookmarkEnd w:id="611"/>
    <w:bookmarkStart w:id="612"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12"/>
    <w:bookmarkStart w:id="613"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13"/>
    <w:bookmarkStart w:id="614"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14"/>
    <w:bookmarkStart w:id="615" w:name="ref-scoremus"/>
    <w:p>
      <w:pPr>
        <w:pStyle w:val="Bibliography"/>
      </w:pPr>
      <w:r>
        <w:t xml:space="preserve">Selfridge-Field E. 1997. The score music publishing system.</w:t>
      </w:r>
      <w:r>
        <w:t xml:space="preserve"> </w:t>
      </w:r>
      <w:r>
        <w:rPr>
          <w:i/>
        </w:rPr>
        <w:t xml:space="preserve">SCORE</w:t>
      </w:r>
    </w:p>
    <w:bookmarkEnd w:id="615"/>
    <w:bookmarkStart w:id="616"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16"/>
    <w:bookmarkStart w:id="618"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17">
        <w:r>
          <w:rPr>
            <w:rStyle w:val="Hyperlink"/>
          </w:rPr>
          <w:t xml:space="preserve">https://hal.archives-ouvertes.fr/hal-01393959</w:t>
        </w:r>
      </w:hyperlink>
    </w:p>
    <w:bookmarkEnd w:id="618"/>
    <w:bookmarkStart w:id="619"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19"/>
    <w:bookmarkStart w:id="620"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20"/>
    <w:bookmarkStart w:id="621"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21"/>
    <w:bookmarkStart w:id="622" w:name="ref-10.2307/941442"/>
    <w:p>
      <w:pPr>
        <w:pStyle w:val="Bibliography"/>
      </w:pPr>
      <w:r>
        <w:t xml:space="preserve">Skinner R. 1990a. Music software.</w:t>
      </w:r>
      <w:r>
        <w:t xml:space="preserve"> </w:t>
      </w:r>
      <w:r>
        <w:rPr>
          <w:i/>
        </w:rPr>
        <w:t xml:space="preserve">Notes</w:t>
      </w:r>
      <w:r>
        <w:t xml:space="preserve">. 46(3):660–84</w:t>
      </w:r>
    </w:p>
    <w:bookmarkEnd w:id="622"/>
    <w:bookmarkStart w:id="623" w:name="ref-10.2307/940555"/>
    <w:p>
      <w:pPr>
        <w:pStyle w:val="Bibliography"/>
      </w:pPr>
      <w:r>
        <w:t xml:space="preserve">Skinner R. 1990b. Music software.</w:t>
      </w:r>
      <w:r>
        <w:t xml:space="preserve"> </w:t>
      </w:r>
      <w:r>
        <w:rPr>
          <w:i/>
        </w:rPr>
        <w:t xml:space="preserve">Notes</w:t>
      </w:r>
      <w:r>
        <w:t xml:space="preserve">. 47(1):91–101</w:t>
      </w:r>
    </w:p>
    <w:bookmarkEnd w:id="623"/>
    <w:bookmarkStart w:id="624"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24"/>
    <w:bookmarkStart w:id="625"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25"/>
    <w:bookmarkStart w:id="626"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26"/>
    <w:bookmarkStart w:id="627" w:name="ref-Ste12:MP3"/>
    <w:p>
      <w:pPr>
        <w:pStyle w:val="Bibliography"/>
      </w:pPr>
      <w:r>
        <w:t xml:space="preserve">Sterne J. 2012.</w:t>
      </w:r>
      <w:r>
        <w:t xml:space="preserve"> </w:t>
      </w:r>
      <w:r>
        <w:rPr>
          <w:i/>
        </w:rPr>
        <w:t xml:space="preserve">MP3: The Meaning of a Format</w:t>
      </w:r>
      <w:r>
        <w:t xml:space="preserve">. Duke University Press. ed.</w:t>
      </w:r>
    </w:p>
    <w:bookmarkEnd w:id="627"/>
    <w:bookmarkStart w:id="628"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28"/>
    <w:bookmarkStart w:id="629" w:name="ref-Stu04:Mat"/>
    <w:p>
      <w:pPr>
        <w:pStyle w:val="Bibliography"/>
      </w:pPr>
      <w:r>
        <w:t xml:space="preserve">Sturm B. 2004. MATConcat: An application for exploring concatenative sound synthesis using matlab</w:t>
      </w:r>
    </w:p>
    <w:bookmarkEnd w:id="629"/>
    <w:bookmarkStart w:id="630"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30"/>
    <w:bookmarkStart w:id="631" w:name="ref-Sze08:Lis"/>
    <w:p>
      <w:pPr>
        <w:pStyle w:val="Bibliography"/>
      </w:pPr>
      <w:r>
        <w:t xml:space="preserve">Szendy P. 2008.</w:t>
      </w:r>
      <w:r>
        <w:t xml:space="preserve"> </w:t>
      </w:r>
      <w:r>
        <w:rPr>
          <w:i/>
        </w:rPr>
        <w:t xml:space="preserve">Listen: A History of Our Ears</w:t>
      </w:r>
      <w:r>
        <w:t xml:space="preserve">. Fordham University. ed.</w:t>
      </w:r>
    </w:p>
    <w:bookmarkEnd w:id="631"/>
    <w:bookmarkStart w:id="632"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32"/>
    <w:bookmarkStart w:id="633" w:name="ref-Sch07:How"/>
    <w:p>
      <w:pPr>
        <w:pStyle w:val="Bibliography"/>
      </w:pPr>
      <w:r>
        <w:t xml:space="preserve">Thiebaut J-B, Bello J, Schwarz D. 2007. How musical are images? From sound representation to image sonification: An eco systemic approach</w:t>
      </w:r>
    </w:p>
    <w:bookmarkEnd w:id="633"/>
    <w:bookmarkStart w:id="634"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34"/>
    <w:bookmarkStart w:id="635"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35"/>
    <w:bookmarkStart w:id="636"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36"/>
    <w:bookmarkStart w:id="637"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37"/>
    <w:bookmarkStart w:id="638"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38"/>
    <w:bookmarkStart w:id="639"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39"/>
    <w:bookmarkStart w:id="640"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40"/>
    <w:bookmarkStart w:id="642"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41">
        <w:r>
          <w:rPr>
            <w:rStyle w:val="Hyperlink"/>
          </w:rPr>
          <w:t xml:space="preserve">https://quod.lib.umich.edu/i/icmc/bbp2372.2012.006</w:t>
        </w:r>
      </w:hyperlink>
    </w:p>
    <w:bookmarkEnd w:id="642"/>
    <w:bookmarkStart w:id="643" w:name="ref-Var04:The"/>
    <w:p>
      <w:pPr>
        <w:pStyle w:val="Bibliography"/>
      </w:pPr>
      <w:r>
        <w:t xml:space="preserve">Varese E. 2004. The liberation of sound.</w:t>
      </w:r>
      <w:r>
        <w:t xml:space="preserve"> </w:t>
      </w:r>
      <w:r>
        <w:rPr>
          <w:i/>
        </w:rPr>
        <w:t xml:space="preserve">Audio Culture: Readings in Modern Music</w:t>
      </w:r>
    </w:p>
    <w:bookmarkEnd w:id="643"/>
    <w:bookmarkStart w:id="644" w:name="ref-Ver84:The"/>
    <w:p>
      <w:pPr>
        <w:pStyle w:val="Bibliography"/>
      </w:pPr>
      <w:r>
        <w:t xml:space="preserve">Vercoe B. 1984. The synthetic performer in the context of live performance</w:t>
      </w:r>
    </w:p>
    <w:bookmarkEnd w:id="644"/>
    <w:bookmarkStart w:id="645"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45"/>
    <w:bookmarkStart w:id="646"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46"/>
    <w:bookmarkStart w:id="648"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47">
        <w:r>
          <w:rPr>
            <w:rStyle w:val="Hyperlink"/>
          </w:rPr>
          <w:t xml:space="preserve">https://ismir2017.smcnus.org/wp-content/uploads/2017/10/180_Paper.pdf</w:t>
        </w:r>
      </w:hyperlink>
    </w:p>
    <w:bookmarkEnd w:id="648"/>
    <w:bookmarkStart w:id="649"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49"/>
    <w:bookmarkStart w:id="651"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50">
        <w:r>
          <w:rPr>
            <w:rStyle w:val="Hyperlink"/>
          </w:rPr>
          <w:t xml:space="preserve">http://ismir2002.ismir.net/proceedings/02-FP06-3.pdf</w:t>
        </w:r>
      </w:hyperlink>
    </w:p>
    <w:bookmarkEnd w:id="651"/>
    <w:bookmarkStart w:id="652"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52"/>
    <w:bookmarkStart w:id="653"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53"/>
    <w:bookmarkStart w:id="654"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54"/>
    <w:bookmarkStart w:id="655"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55"/>
    <w:bookmarkStart w:id="656"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56"/>
    <w:bookmarkStart w:id="657"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57"/>
    <w:bookmarkStart w:id="658"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58"/>
    <w:bookmarkStart w:id="659"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59"/>
    <w:bookmarkStart w:id="660"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60"/>
    <w:bookmarkStart w:id="661" w:name="ref-Wei07:Oce"/>
    <w:p>
      <w:pPr>
        <w:pStyle w:val="Bibliography"/>
      </w:pPr>
      <w:r>
        <w:t xml:space="preserve">Weinbren G. 2007. Ocean, database, recut.</w:t>
      </w:r>
      <w:r>
        <w:t xml:space="preserve"> </w:t>
      </w:r>
      <w:r>
        <w:rPr>
          <w:i/>
        </w:rPr>
        <w:t xml:space="preserve">Database Aesthetics: Art in the Age of Information Overflow</w:t>
      </w:r>
    </w:p>
    <w:bookmarkEnd w:id="661"/>
    <w:bookmarkStart w:id="662"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62"/>
    <w:bookmarkStart w:id="664"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63">
        <w:r>
          <w:rPr>
            <w:rStyle w:val="Hyperlink"/>
          </w:rPr>
          <w:t xml:space="preserve">http://ismir2018.ircam.fr/doc/pdfs/114_Paper.pdf</w:t>
        </w:r>
      </w:hyperlink>
    </w:p>
    <w:bookmarkEnd w:id="664"/>
    <w:bookmarkStart w:id="665"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65"/>
    <w:bookmarkStart w:id="667"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66">
        <w:r>
          <w:rPr>
            <w:rStyle w:val="Hyperlink"/>
          </w:rPr>
          <w:t xml:space="preserve">http://ismir2004.ismir.net/proceedings/p010-page-48-paper227.pdf</w:t>
        </w:r>
      </w:hyperlink>
    </w:p>
    <w:bookmarkEnd w:id="667"/>
    <w:bookmarkStart w:id="668"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68"/>
    <w:bookmarkStart w:id="669"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69"/>
    <w:bookmarkStart w:id="670"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70"/>
    <w:bookmarkStart w:id="672"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71">
        <w:r>
          <w:rPr>
            <w:rStyle w:val="Hyperlink"/>
          </w:rPr>
          <w:t xml:space="preserve">http://ismir2018.ircam.fr/doc/pdfs/188_Paper.pdf</w:t>
        </w:r>
      </w:hyperlink>
    </w:p>
    <w:bookmarkEnd w:id="672"/>
    <w:bookmarkStart w:id="673"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73"/>
    <w:bookmarkStart w:id="674"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74"/>
    <w:bookmarkStart w:id="675"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75"/>
    <w:bookmarkStart w:id="676"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76"/>
    <w:bookmarkStart w:id="677"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77"/>
    <w:bookmarkStart w:id="678"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78"/>
    <w:bookmarkStart w:id="680"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79">
        <w:r>
          <w:rPr>
            <w:rStyle w:val="Hyperlink"/>
          </w:rPr>
          <w:t xml:space="preserve">http://www.nime.org/proceedings/2007/nime2007_352.pdf</w:t>
        </w:r>
      </w:hyperlink>
    </w:p>
    <w:bookmarkEnd w:id="680"/>
    <w:bookmarkStart w:id="681"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81"/>
    <w:bookmarkStart w:id="682" w:name="ref-Zmo15:Liv"/>
    <w:p>
      <w:pPr>
        <w:pStyle w:val="Bibliography"/>
      </w:pPr>
      <w:r>
        <w:t xml:space="preserve">zmölnig I m, Eckel G. 2015.</w:t>
      </w:r>
      <w:r>
        <w:t xml:space="preserve"> </w:t>
      </w:r>
      <w:r>
        <w:rPr>
          <w:i/>
        </w:rPr>
        <w:t xml:space="preserve">LIVE coding: AN overview</w:t>
      </w:r>
      <w:r>
        <w:t xml:space="preserve">. Work. Pap.</w:t>
      </w:r>
    </w:p>
    <w:bookmarkEnd w:id="682"/>
    <w:bookmarkEnd w:id="6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hyperlink r:id="rId226">
        <w:r>
          <w:rPr>
            <w:rStyle w:val="Hyperlink"/>
          </w:rPr>
          <w:t xml:space="preserve">https://www.freud-museum.at/en/</w:t>
        </w:r>
      </w:hyperlink>
    </w:p>
  </w:footnote>
  <w:footnote w:id="231">
    <w:p>
      <w:pPr>
        <w:pStyle w:val="FootnoteText"/>
      </w:pPr>
      <w:r>
        <w:rPr>
          <w:rStyle w:val="FootnoteReference"/>
        </w:rPr>
        <w:footnoteRef/>
      </w:r>
      <w:r>
        <w:t xml:space="preserve"> </w:t>
      </w:r>
      <w:hyperlink r:id="rId232">
        <w:r>
          <w:rPr>
            <w:rStyle w:val="Hyperlink"/>
          </w:rPr>
          <w:t xml:space="preserve">https://mpc.chs.harvard.edu/</w:t>
        </w:r>
      </w:hyperlink>
    </w:p>
  </w:footnote>
  <w:footnote w:id="233">
    <w:p>
      <w:pPr>
        <w:pStyle w:val="FootnoteText"/>
      </w:pPr>
      <w:r>
        <w:rPr>
          <w:rStyle w:val="FootnoteReference"/>
        </w:rPr>
        <w:footnoteRef/>
      </w:r>
      <w:r>
        <w:t xml:space="preserve"> </w:t>
      </w:r>
      <w:r>
        <w:t xml:space="preserve">Another example Ernst provides of the anarchive is the Internet itself:</w:t>
      </w:r>
      <w:r>
        <w:t xml:space="preserve"> </w:t>
      </w:r>
      <w:r>
        <w:t xml:space="preserve">“</w:t>
      </w:r>
      <w:r>
        <w:t xml:space="preserve"> </w:t>
      </w:r>
      <w:r>
        <w:t xml:space="preserve">[The Internet] is a collection not just of unforeseen texts but of sound and images as well, an anarchive of sensory data for which no genuine archival culture has been developed so far in the occident</w:t>
      </w:r>
      <w:r>
        <w:t xml:space="preserve">”</w:t>
      </w:r>
      <w:r>
        <w:t xml:space="preserve"> </w:t>
      </w:r>
      <w:r>
        <w:t xml:space="preserve">(Ernst 2013, p. 139)</w:t>
      </w:r>
      <w:r>
        <w:t xml:space="preserve">.</w:t>
      </w:r>
    </w:p>
  </w:footnote>
  <w:footnote w:id="253">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64">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7">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8">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81">
    <w:p>
      <w:pPr>
        <w:pStyle w:val="FootnoteText"/>
      </w:pPr>
      <w:r>
        <w:rPr>
          <w:rStyle w:val="FootnoteReference"/>
        </w:rPr>
        <w:footnoteRef/>
      </w:r>
      <w:r>
        <w:t xml:space="preserve"> </w:t>
      </w:r>
      <w:r>
        <w:t xml:space="preserve">In a recent study, sound itself proven to make (tiny) gravitational fields:</w:t>
      </w:r>
      <w:r>
        <w:t xml:space="preserve"> </w:t>
      </w:r>
      <w:r>
        <w:t xml:space="preserve">“</w:t>
      </w:r>
      <w:r>
        <w:t xml:space="preserve">We show that, in fact, sound waves do carry mass —in particular, gravitational mass. This implies that a sound wave not only is affected by gravity but also generates a tiny gravitational field, an aspect not appreciated thus far</w:t>
      </w:r>
      <w:r>
        <w:t xml:space="preserve">”</w:t>
      </w:r>
      <w:r>
        <w:t xml:space="preserve"> </w:t>
      </w:r>
      <w:r>
        <w:t xml:space="preserve">(Esposito et al. 2019)</w:t>
      </w:r>
      <w:r>
        <w:t xml:space="preserve">.</w:t>
      </w:r>
    </w:p>
  </w:footnote>
  <w:footnote w:id="28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8">
        <w:r>
          <w:rPr>
            <w:rStyle w:val="Hyperlink"/>
          </w:rPr>
          <w:t xml:space="preserve">https://en.wikipedia.org/wiki/Dr._Strangelove</w:t>
        </w:r>
      </w:hyperlink>
    </w:p>
  </w:footnote>
  <w:footnote w:id="28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9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9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9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1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1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56" Target="media/rId256.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6"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3" Target="http://ismir2018.ircam.fr/doc/pdfs/114_Paper.pdf" TargetMode="External" /><Relationship Type="http://schemas.openxmlformats.org/officeDocument/2006/relationships/hyperlink" Id="rId671"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79"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45" Target="http://ismir2000.ismir.net/papers/invites/dunn_invite.pdf" TargetMode="External" /><Relationship Type="http://schemas.openxmlformats.org/officeDocument/2006/relationships/hyperlink" Id="rId468" Target="http://ismir2000.ismir.net/posters/good.pdf" TargetMode="External" /><Relationship Type="http://schemas.openxmlformats.org/officeDocument/2006/relationships/hyperlink" Id="rId650" Target="http://ismir2002.ismir.net/proceedings/02-FP06-3.pdf" TargetMode="External" /><Relationship Type="http://schemas.openxmlformats.org/officeDocument/2006/relationships/hyperlink" Id="rId470" Target="http://ismir2002.ismir.net/proceedings/03-SP04-1.pdf" TargetMode="External" /><Relationship Type="http://schemas.openxmlformats.org/officeDocument/2006/relationships/hyperlink" Id="rId472" Target="http://ismir2003.ismir.net/papers/Goto1.PDF" TargetMode="External" /><Relationship Type="http://schemas.openxmlformats.org/officeDocument/2006/relationships/hyperlink" Id="rId666" Target="http://ismir2004.ismir.net/proceedings/p010-page-48-paper227.pdf" TargetMode="External" /><Relationship Type="http://schemas.openxmlformats.org/officeDocument/2006/relationships/hyperlink" Id="rId494" Target="http://ismir2005.ismir.net/proceedings/2117.pdf" TargetMode="External" /><Relationship Type="http://schemas.openxmlformats.org/officeDocument/2006/relationships/hyperlink" Id="rId601" Target="http://ismir2005.ismir.net/proceedings/3123.pdf" TargetMode="External" /><Relationship Type="http://schemas.openxmlformats.org/officeDocument/2006/relationships/hyperlink" Id="rId503" Target="http://ismir2008.ismir.net/papers/ISMIR2008_106.pdf" TargetMode="External" /><Relationship Type="http://schemas.openxmlformats.org/officeDocument/2006/relationships/hyperlink" Id="rId536" Target="http://ismir2008.ismir.net/papers/ISMIR2008_158.pdf" TargetMode="External" /><Relationship Type="http://schemas.openxmlformats.org/officeDocument/2006/relationships/hyperlink" Id="rId481" Target="http://ismir2008.ismir.net/papers/ISMIR2008_173.pdf" TargetMode="External" /><Relationship Type="http://schemas.openxmlformats.org/officeDocument/2006/relationships/hyperlink" Id="rId514" Target="http://ismir2015.uma.es/articles/246_Paper.pdf" TargetMode="External" /><Relationship Type="http://schemas.openxmlformats.org/officeDocument/2006/relationships/hyperlink" Id="rId434" Target="http://ismir2015.uma.es/articles/261_Paper.pdf" TargetMode="External" /><Relationship Type="http://schemas.openxmlformats.org/officeDocument/2006/relationships/hyperlink" Id="rId663" Target="http://ismir2018.ircam.fr/doc/pdfs/114_Paper.pdf" TargetMode="External" /><Relationship Type="http://schemas.openxmlformats.org/officeDocument/2006/relationships/hyperlink" Id="rId671" Target="http://ismir2018.ircam.fr/doc/pdfs/188_Paper.pdf" TargetMode="External" /><Relationship Type="http://schemas.openxmlformats.org/officeDocument/2006/relationships/hyperlink" Id="rId451" Target="http://ismir2018.ircam.fr/doc/pdfs/206_Paper.pdf" TargetMode="External" /><Relationship Type="http://schemas.openxmlformats.org/officeDocument/2006/relationships/hyperlink" Id="rId497" Target="http://ismir2018.ircam.fr/doc/pdfs/248_Paper.pdf" TargetMode="External" /><Relationship Type="http://schemas.openxmlformats.org/officeDocument/2006/relationships/hyperlink" Id="rId442" Target="http://ismir2018.ircam.fr/doc/pdfs/265_Paper.pdf" TargetMode="External" /><Relationship Type="http://schemas.openxmlformats.org/officeDocument/2006/relationships/hyperlink" Id="rId543"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58" Target="http://www.nime.org/proceedings/2007/nime2007_112.pdf" TargetMode="External" /><Relationship Type="http://schemas.openxmlformats.org/officeDocument/2006/relationships/hyperlink" Id="rId679" Target="http://www.nime.org/proceedings/2007/nime2007_352.pdf" TargetMode="External" /><Relationship Type="http://schemas.openxmlformats.org/officeDocument/2006/relationships/hyperlink" Id="rId553" Target="http://www.nime.org/proceedings/2007/nime2007_409.pdf" TargetMode="External" /><Relationship Type="http://schemas.openxmlformats.org/officeDocument/2006/relationships/hyperlink" Id="rId529" Target="http://www.nime.org/proceedings/2008/nime2008_221.pdf" TargetMode="External" /><Relationship Type="http://schemas.openxmlformats.org/officeDocument/2006/relationships/hyperlink" Id="rId578" Target="http://www.nime.org/proceedings/2008/nime2008_311.pdf" TargetMode="External" /><Relationship Type="http://schemas.openxmlformats.org/officeDocument/2006/relationships/hyperlink" Id="rId379" Target="http://www.nime.org/proceedings/2009/nime2009_266.pdf" TargetMode="External" /><Relationship Type="http://schemas.openxmlformats.org/officeDocument/2006/relationships/hyperlink" Id="rId492" Target="http://www.nime.org/proceedings/2010/nime2010_233.pdf" TargetMode="External" /><Relationship Type="http://schemas.openxmlformats.org/officeDocument/2006/relationships/hyperlink" Id="rId465" Target="http://www.nime.org/proceedings/2011/nime2011_124.pdf" TargetMode="External" /><Relationship Type="http://schemas.openxmlformats.org/officeDocument/2006/relationships/hyperlink" Id="rId390" Target="http://www.nime.org/proceedings/2011/nime2011_329.pdf" TargetMode="External" /><Relationship Type="http://schemas.openxmlformats.org/officeDocument/2006/relationships/hyperlink" Id="rId377" Target="http://www.nime.org/proceedings/2011/nime2011_387.pdf" TargetMode="External" /><Relationship Type="http://schemas.openxmlformats.org/officeDocument/2006/relationships/hyperlink" Id="rId361" Target="http://www.ppgia.pucpr.br/ismir2013/wp-content/uploads/2013/09/177\_Paper.pdf" TargetMode="External" /><Relationship Type="http://schemas.openxmlformats.org/officeDocument/2006/relationships/hyperlink" Id="rId485" Target="http://www.ppgia.pucpr.br/ismir2013/wp-content/uploads/2013/09/85_Paper.pdf" TargetMode="External" /><Relationship Type="http://schemas.openxmlformats.org/officeDocument/2006/relationships/hyperlink" Id="rId341" Target="http://www.terasoft.com.tw/conf/ismir2014/proceedings/T014_162_Paper.pdf" TargetMode="External" /><Relationship Type="http://schemas.openxmlformats.org/officeDocument/2006/relationships/hyperlink" Id="rId358" Target="http://www.terasoft.com.tw/conf/ismir2014/proceedings/T028_322_Paper.pdf" TargetMode="External" /><Relationship Type="http://schemas.openxmlformats.org/officeDocument/2006/relationships/hyperlink" Id="rId509" Target="http://www.terasoft.com.tw/conf/ismir2014/proceedings/T039_344_Paper.pdf" TargetMode="External" /><Relationship Type="http://schemas.openxmlformats.org/officeDocument/2006/relationships/hyperlink" Id="rId476" Target="http://www.terasoft.com.tw/conf/ismir2014/proceedings/T059_257_Paper.pdf" TargetMode="External" /><Relationship Type="http://schemas.openxmlformats.org/officeDocument/2006/relationships/hyperlink" Id="rId574"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8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333" Target="https://fdch.github.io/abby" TargetMode="External" /><Relationship Type="http://schemas.openxmlformats.org/officeDocument/2006/relationships/hyperlink" Id="rId334" Target="https://github.com/fdch/litrev" TargetMode="External" /><Relationship Type="http://schemas.openxmlformats.org/officeDocument/2006/relationships/hyperlink" Id="rId617" Target="https://hal.archives-ouvertes.fr/hal-01393959" TargetMode="External" /><Relationship Type="http://schemas.openxmlformats.org/officeDocument/2006/relationships/hyperlink" Id="rId457" Target="https://ismir2017.smcnus.org/wp-content/uploads/2017/10/161_Paper.pdf" TargetMode="External" /><Relationship Type="http://schemas.openxmlformats.org/officeDocument/2006/relationships/hyperlink" Id="rId647" Target="https://ismir2017.smcnus.org/wp-content/uploads/2017/10/180_Paper.pdf" TargetMode="External" /><Relationship Type="http://schemas.openxmlformats.org/officeDocument/2006/relationships/hyperlink" Id="rId420" Target="https://ismir2017.smcnus.org/wp-content/uploads/2017/10/235_Paper.pdf" TargetMode="External" /><Relationship Type="http://schemas.openxmlformats.org/officeDocument/2006/relationships/hyperlink" Id="rId425"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232" Target="https://mpc.chs.harvard.edu/" TargetMode="External" /><Relationship Type="http://schemas.openxmlformats.org/officeDocument/2006/relationships/hyperlink" Id="rId641"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22"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87" Target="https://www.mersenne.org/primes/" TargetMode="External" /><Relationship Type="http://schemas.openxmlformats.org/officeDocument/2006/relationships/hyperlink" Id="rId29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2019-04-13T10:35:10Z</dcterms:created>
  <dcterms:modified xsi:type="dcterms:W3CDTF">2019-04-13T10:35:10Z</dcterms:modified>
</cp:coreProperties>
</file>

<file path=docProps/custom.xml><?xml version="1.0" encoding="utf-8"?>
<Properties xmlns="http://schemas.openxmlformats.org/officeDocument/2006/custom-properties" xmlns:vt="http://schemas.openxmlformats.org/officeDocument/2006/docPropsVTypes"/>
</file>