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20.jpg" ContentType="image/jpeg"/>
  <Override PartName="/word/media/rId71.png" ContentType="image/png"/>
  <Override PartName="/word/media/rId181.png" ContentType="image/png"/>
  <Override PartName="/word/media/rId266.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46.png" ContentType="image/png"/>
  <Override PartName="/word/media/rId78.png" ContentType="image/png"/>
  <Override PartName="/word/media/rId86.png" ContentType="image/png"/>
  <Override PartName="/word/media/rId100.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chapter: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section: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Syntagm and Paradigm reversal"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Syntagm and Paradigm reversal</w:t>
      </w:r>
    </w:p>
    <w:p>
      <w:pPr>
        <w:pStyle w:val="BodyText"/>
      </w:pPr>
      <w:r>
        <w:t xml:space="preserve">Top: syntagm, paradigm, and their relation.</w:t>
      </w:r>
      <w:r>
        <w:t xml:space="preserve"> </w:t>
      </w:r>
      <w:r>
        <w:t xml:space="preserve">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dc6db904ad977d5b954cf3c9c455f3f4fa43e5b"/>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5" w:name="img:dbtree"/>
      <w:r>
        <w:t xml:space="preserve"> </w:t>
      </w:r>
      <w:r>
        <w:t xml:space="preserve">A very simple sketch of a tree representing the database tree of computer evolution</w:t>
      </w:r>
      <w:r>
        <w:t xml:space="preserve"> </w:t>
      </w:r>
      <w:bookmarkEnd w:id="55"/>
    </w:p>
    <w:p>
      <w:pPr>
        <w:pStyle w:val="ImageCaption"/>
      </w:pPr>
      <w:r>
        <w:t xml:space="preserve"> </w:t>
      </w:r>
      <w:r>
        <w:t xml:space="preserve">A very simple sketch of a tree representing the database tree of computer evolution</w:t>
      </w:r>
      <w:r>
        <w:t xml:space="preserve"> </w:t>
      </w:r>
    </w:p>
    <w:p>
      <w:pPr>
        <w:pStyle w:val="BodyText"/>
      </w:pPr>
      <w:r>
        <w:t xml:space="preserve">0.4</w:t>
      </w:r>
    </w:p>
    <w:p>
      <w:pPr>
        <w:pStyle w:val="Heading5"/>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4.3.3.1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5"/>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Hierarchical Model</w:t>
      </w:r>
    </w:p>
    <w:p>
      <w:pPr>
        <w:pStyle w:val="BodyText"/>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Network Model</w:t>
      </w:r>
    </w:p>
    <w:p>
      <w:pPr>
        <w:pStyle w:val="BodyText"/>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Relational Model</w:t>
      </w:r>
    </w:p>
    <w:p>
      <w:pPr>
        <w:pStyle w:val="BodyText"/>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Object Model</w:t>
      </w:r>
    </w:p>
    <w:p>
      <w:pPr>
        <w:pStyle w:val="BodyText"/>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Semi-structured Model</w:t>
      </w:r>
    </w:p>
    <w:p>
      <w:pPr>
        <w:pStyle w:val="BodyText"/>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ec68453c8cc129b4ce436d3f67f46ba702f92a5"/>
      <w:r>
        <w:t xml:space="preserve">Databasing Sound: Applications Of Databases In Sound</w:t>
      </w:r>
      <w:bookmarkEnd w:id="90"/>
    </w:p>
    <w:p>
      <w:pPr>
        <w:pStyle w:val="CaptionedFigure"/>
      </w:pPr>
      <w:r>
        <w:drawing>
          <wp:inline>
            <wp:extent cx="5334000" cy="1046259"/>
            <wp:effectExtent b="0" l="0" r="0" t="0"/>
            <wp:docPr descr="Database performance and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and interdisciplinary feedback.</w:t>
      </w:r>
    </w:p>
    <w:p>
      <w:pPr>
        <w:pStyle w:val="BodyText"/>
      </w:pPr>
      <w:bookmarkStart w:id="92" w:name="img:mir_comp_sonif_interaction"/>
      <w:r>
        <w:t xml:space="preserve">[img:mir_comp_sonif_interaction]</w:t>
      </w:r>
      <w:bookmarkEnd w:id="92"/>
    </w:p>
    <w:p>
      <w:pPr>
        <w:pStyle w:val="BodyText"/>
      </w:pPr>
      <w:r>
        <w:t xml:space="preserve">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Diagram of database performance in mir practices."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Diagram of database performance in</w:t>
      </w:r>
      <w:r>
        <w:t xml:space="preserve"> </w:t>
      </w:r>
      <w:r>
        <w:t xml:space="preserve">mir</w:t>
      </w:r>
      <w:r>
        <w:t xml:space="preserve"> </w:t>
      </w:r>
      <w:r>
        <w:t xml:space="preserve">practices.</w:t>
      </w:r>
    </w:p>
    <w:p>
      <w:pPr>
        <w:pStyle w:val="BodyText"/>
      </w:pPr>
      <w:r>
        <w:t xml:space="preserve">The database is visibly next to the computer, and the two bottom arrows indicate the intervention of the human operator.</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4.3.3.2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8"/>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Diagram of database performance in sonification practices."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Diagram of database performance in sonification practices.</w:t>
      </w:r>
    </w:p>
    <w:p>
      <w:pPr>
        <w:pStyle w:val="BodyText"/>
      </w:pPr>
      <w:r>
        <w:t xml:space="preserve">The database is visibly below the computer, and it feeds the computer from an external source represented by the right-most arrow.</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5"/>
      </w:pPr>
      <w:bookmarkStart w:id="104" w:name="dow"/>
      <w:r>
        <w:t xml:space="preserve">DOW</w:t>
      </w:r>
      <w:bookmarkEnd w:id="104"/>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5"/>
      </w:pPr>
      <w:bookmarkStart w:id="106" w:name="medical-images"/>
      <w:r>
        <w:t xml:space="preserve">Medical Images</w:t>
      </w:r>
      <w:bookmarkEnd w:id="106"/>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5"/>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5"/>
      </w:pPr>
      <w:bookmarkStart w:id="110" w:name="wolves"/>
      <w:r>
        <w:t xml:space="preserve">Wolves</w:t>
      </w:r>
      <w:bookmarkEnd w:id="110"/>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5"/>
      </w:pPr>
      <w:bookmarkStart w:id="111" w:name="selva"/>
      <w:r>
        <w:t xml:space="preserve">Selva</w:t>
      </w:r>
      <w:bookmarkEnd w:id="111"/>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12" w:name="ocean"/>
      <w:r>
        <w:t xml:space="preserve">Ocean</w:t>
      </w:r>
      <w:bookmarkEnd w:id="112"/>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13" w:name="molecules"/>
      <w:r>
        <w:t xml:space="preserve">Molecules</w:t>
      </w:r>
      <w:bookmarkEnd w:id="113"/>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5"/>
      </w:pPr>
      <w:bookmarkStart w:id="114" w:name="gender-distribution"/>
      <w:r>
        <w:t xml:space="preserve">Gender Distribution</w:t>
      </w:r>
      <w:bookmarkEnd w:id="114"/>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5" w:name="sonification:installations"/>
      <w:r>
        <w:t xml:space="preserve">Sonification Installations</w:t>
      </w:r>
      <w:bookmarkEnd w:id="115"/>
    </w:p>
    <w:p>
      <w:pPr>
        <w:pStyle w:val="Heading5"/>
      </w:pPr>
      <w:bookmarkStart w:id="116" w:name="ip-based-soundscape"/>
      <w:r>
        <w:t xml:space="preserve">IP-based soundscape</w:t>
      </w:r>
      <w:bookmarkEnd w:id="116"/>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17" w:name="earthquakes"/>
      <w:r>
        <w:t xml:space="preserve">Earthquakes</w:t>
      </w:r>
      <w:bookmarkEnd w:id="117"/>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5"/>
      </w:pPr>
      <w:bookmarkStart w:id="118" w:name="gpu-based-waveforms"/>
      <w:r>
        <w:t xml:space="preserve">GPU-based waveforms</w:t>
      </w:r>
      <w:bookmarkEnd w:id="118"/>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9"/>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1"/>
      </w:r>
      <w:r>
        <w:t xml:space="preserve">, they used the generated waveforms as a database, composing each waveform together with their visual generators as a collage.</w:t>
      </w:r>
    </w:p>
    <w:p>
      <w:pPr>
        <w:pStyle w:val="Heading5"/>
      </w:pPr>
      <w:bookmarkStart w:id="123" w:name="ucanny-faces"/>
      <w:r>
        <w:t xml:space="preserve">Ucanny Faces</w:t>
      </w:r>
      <w:bookmarkEnd w:id="123"/>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4" w:name="sonification:software"/>
      <w:r>
        <w:t xml:space="preserve">Sonification Software</w:t>
      </w:r>
      <w:bookmarkEnd w:id="124"/>
    </w:p>
    <w:p>
      <w:pPr>
        <w:pStyle w:val="Heading5"/>
      </w:pPr>
      <w:bookmarkStart w:id="125" w:name="sonart"/>
      <w:r>
        <w:t xml:space="preserve">SonArt</w:t>
      </w:r>
      <w:bookmarkEnd w:id="125"/>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26" w:name="dataplayer"/>
      <w:r>
        <w:t xml:space="preserve">DataPlayer</w:t>
      </w:r>
      <w:bookmarkEnd w:id="126"/>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27" w:name="madbpm"/>
      <w:r>
        <w:t xml:space="preserve">madBPM</w:t>
      </w:r>
      <w:bookmarkEnd w:id="127"/>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8" w:name="computer_music"/>
      <w:r>
        <w:t xml:space="preserve">Computer Music</w:t>
      </w:r>
      <w:bookmarkEnd w:id="128"/>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0" w:name="img:comp"/>
      <w:r>
        <w:drawing>
          <wp:inline>
            <wp:extent cx="1181100" cy="863600"/>
            <wp:effectExtent b="0" l="0" r="0" t="0"/>
            <wp:docPr descr="Diagram of database performance in computer music practices."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9"/>
                    <a:stretch>
                      <a:fillRect/>
                    </a:stretch>
                  </pic:blipFill>
                  <pic:spPr bwMode="auto">
                    <a:xfrm>
                      <a:off x="0" y="0"/>
                      <a:ext cx="1181100" cy="863600"/>
                    </a:xfrm>
                    <a:prstGeom prst="rect">
                      <a:avLst/>
                    </a:prstGeom>
                    <a:noFill/>
                    <a:ln w="9525">
                      <a:noFill/>
                      <a:headEnd/>
                      <a:tailEnd/>
                    </a:ln>
                  </pic:spPr>
                </pic:pic>
              </a:graphicData>
            </a:graphic>
          </wp:inline>
        </w:drawing>
      </w:r>
      <w:bookmarkEnd w:id="130"/>
    </w:p>
    <w:p>
      <w:pPr>
        <w:pStyle w:val="ImageCaption"/>
      </w:pPr>
      <w:r>
        <w:t xml:space="preserve">Diagram of database performance in computer music practices.</w:t>
      </w:r>
    </w:p>
    <w:p>
      <w:pPr>
        <w:pStyle w:val="BodyText"/>
      </w:pPr>
      <w:r>
        <w:t xml:space="preserve">The database is invisibly behind the computer, within the softwares used to create musical works.</w:t>
      </w:r>
    </w:p>
    <w:p>
      <w:pPr>
        <w:pStyle w:val="Heading4"/>
      </w:pPr>
      <w:bookmarkStart w:id="131" w:name="computer:sssp"/>
      <w:r>
        <w:t xml:space="preserve">Hierarchical environments</w:t>
      </w:r>
      <w:bookmarkEnd w:id="131"/>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32" w:name="reducing-cognitive-burden"/>
      <w:r>
        <w:t xml:space="preserve">Reducing cognitive burden</w:t>
      </w:r>
      <w:bookmarkEnd w:id="132"/>
    </w:p>
    <w:p>
      <w:pPr>
        <w:pStyle w:val="FirstParagraph"/>
      </w:pPr>
      <w:r>
        <w:t xml:space="preserve">In William Buxton’s survey of computer music practices</w:t>
      </w:r>
      <w:r>
        <w:t xml:space="preserve"> </w:t>
      </w:r>
      <w:r>
        <w:t xml:space="preserve">(Buxton 1977)</w:t>
      </w:r>
      <w:r>
        <w:t xml:space="preserve">icmc/bbp2372.1978.012</w:t>
      </w:r>
      <w:r>
        <w:t xml:space="preserve">DBLP:conf/icmc/BuxtonPRB80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3"/>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34" w:name="a-hierarchical-representation"/>
      <w:r>
        <w:t xml:space="preserve">A Hierarchical Representation</w:t>
      </w:r>
      <w:bookmarkEnd w:id="134"/>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5"/>
      </w:pPr>
      <w:bookmarkStart w:id="135" w:name="black-boxing"/>
      <w:r>
        <w:t xml:space="preserve">Black-boxing</w:t>
      </w:r>
      <w:bookmarkEnd w:id="135"/>
    </w:p>
    <w:p>
      <w:pPr>
        <w:pStyle w:val="FirstParagraph"/>
      </w:pPr>
      <w:r>
        <w:t xml:space="preserve">Media theorist</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5"/>
      </w:pPr>
      <w:bookmarkStart w:id="136" w:name="computer:free"/>
      <w:r>
        <w:t xml:space="preserve">Generality and Portability</w:t>
      </w:r>
      <w:bookmarkEnd w:id="13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37" w:name="computer:vanilla"/>
      <w:r>
        <w:t xml:space="preserve">Simplification</w:t>
      </w:r>
      <w:bookmarkEnd w:id="137"/>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5"/>
      </w:pPr>
      <w:bookmarkStart w:id="138" w:name="computer:balance"/>
      <w:r>
        <w:t xml:space="preserve">Balance</w:t>
      </w:r>
      <w:bookmarkEnd w:id="138"/>
    </w:p>
    <w:p>
      <w:pPr>
        <w:pStyle w:val="CaptionedFigure"/>
      </w:pPr>
      <w:r>
        <w:drawing>
          <wp:inline>
            <wp:extent cx="5334000" cy="3492272"/>
            <wp:effectExtent b="0" l="0" r="0" t="0"/>
            <wp:docPr descr="Generality vs. Strength"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Generality vs. Strength</w:t>
      </w:r>
    </w:p>
    <w:p>
      <w:pPr>
        <w:pStyle w:val="BodyText"/>
      </w:pPr>
      <w:bookmarkStart w:id="140" w:name="img:truax_generality_b"/>
      <w:r>
        <w:t xml:space="preserve">[img:truax_generality_b]</w:t>
      </w:r>
      <w:bookmarkEnd w:id="140"/>
    </w:p>
    <w:p>
      <w:pPr>
        <w:pStyle w:val="BodyText"/>
      </w:pP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1" w:name="applications:notation"/>
      <w:r>
        <w:t xml:space="preserve">Music Notation Software</w:t>
      </w:r>
      <w:bookmarkEnd w:id="141"/>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5"/>
      </w:pPr>
      <w:bookmarkStart w:id="142" w:name="darms-and-score"/>
      <w:r>
        <w:t xml:space="preserve">DARMS and SCORE</w:t>
      </w:r>
      <w:bookmarkEnd w:id="142"/>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5"/>
      </w:pPr>
      <w:bookmarkStart w:id="143" w:name="from-staves-to-speakers"/>
      <w:r>
        <w:t xml:space="preserve">From Staves to Speakers</w:t>
      </w:r>
      <w:bookmarkEnd w:id="143"/>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5"/>
      </w:pPr>
      <w:bookmarkStart w:id="144" w:name="theoretical-performance"/>
      <w:r>
        <w:t xml:space="preserve">Theoretical Performance</w:t>
      </w:r>
      <w:bookmarkEnd w:id="144"/>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5" w:name="enter-objects"/>
      <w:r>
        <w:t xml:space="preserve">Enter Objects</w:t>
      </w:r>
      <w:bookmarkEnd w:id="145"/>
    </w:p>
    <w:p>
      <w:pPr>
        <w:pStyle w:val="CaptionedFigure"/>
      </w:pPr>
      <w:bookmarkStart w:id="147" w:name="img:realtime"/>
      <w:r>
        <w:drawing>
          <wp:inline>
            <wp:extent cx="5334000" cy="1616153"/>
            <wp:effectExtent b="0" l="0" r="0" t="0"/>
            <wp:docPr descr="A real-time version of music-11."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6"/>
                    <a:stretch>
                      <a:fillRect/>
                    </a:stretch>
                  </pic:blipFill>
                  <pic:spPr bwMode="auto">
                    <a:xfrm>
                      <a:off x="0" y="0"/>
                      <a:ext cx="5334000" cy="1616153"/>
                    </a:xfrm>
                    <a:prstGeom prst="rect">
                      <a:avLst/>
                    </a:prstGeom>
                    <a:noFill/>
                    <a:ln w="9525">
                      <a:noFill/>
                      <a:headEnd/>
                      <a:tailEnd/>
                    </a:ln>
                  </pic:spPr>
                </pic:pic>
              </a:graphicData>
            </a:graphic>
          </wp:inline>
        </w:drawing>
      </w:r>
      <w:bookmarkEnd w:id="147"/>
    </w:p>
    <w:p>
      <w:pPr>
        <w:pStyle w:val="ImageCaption"/>
      </w:pPr>
      <w:r>
        <w:t xml:space="preserve">A real-time version of</w:t>
      </w:r>
      <w:r>
        <w:t xml:space="preserve"> </w:t>
      </w:r>
      <w:r>
        <w:t xml:space="preserve">music-11</w:t>
      </w:r>
      <w:r>
        <w:t xml:space="preserve">.</w:t>
      </w:r>
    </w:p>
    <w:p>
      <w:pPr>
        <w:pStyle w:val="BodyText"/>
      </w:pPr>
      <w:r>
        <w:t xml:space="preserve">A bodyless abstract published at the</w:t>
      </w:r>
      <w:r>
        <w:t xml:space="preserve"> </w:t>
      </w:r>
      <w:r>
        <w:t xml:space="preserve">icmc</w:t>
      </w:r>
      <w:r>
        <w:t xml:space="preserve"> </w:t>
      </w:r>
      <w:r>
        <w:t xml:space="preserve">(1981) stating that a real-time version of</w:t>
      </w:r>
      <w:r>
        <w:t xml:space="preserve"> </w:t>
      </w:r>
      <w:r>
        <w:t xml:space="preserve">music-11</w:t>
      </w:r>
      <w:r>
        <w:t xml:space="preserve"> </w:t>
      </w:r>
      <w:r>
        <w:t xml:space="preserve">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p>
    <w:p>
      <w:pPr>
        <w:pStyle w:val="Heading5"/>
      </w:pPr>
      <w:bookmarkStart w:id="148" w:name="computer:real-time"/>
      <w:r>
        <w:t xml:space="preserve">Max</w:t>
      </w:r>
      <w:bookmarkEnd w:id="148"/>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9"/>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5"/>
      </w:pPr>
      <w:bookmarkStart w:id="150" w:name="computer:kyma"/>
      <w:r>
        <w:t xml:space="preserve">Kyma</w:t>
      </w:r>
      <w:bookmarkEnd w:id="150"/>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1"/>
      </w:r>
    </w:p>
    <w:p>
      <w:pPr>
        <w:pStyle w:val="Heading5"/>
      </w:pPr>
      <w:bookmarkStart w:id="153" w:name="computer:puredata"/>
      <w:r>
        <w:t xml:space="preserve">Pure Data</w:t>
      </w:r>
      <w:bookmarkEnd w:id="153"/>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5"/>
      </w:pPr>
      <w:bookmarkStart w:id="154" w:name="graphic_scores"/>
      <w:r>
        <w:t xml:space="preserve">Graphic Scores</w:t>
      </w:r>
      <w:bookmarkEnd w:id="154"/>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5"/>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4.3.3.3.4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5"/>
      </w:pPr>
      <w:bookmarkStart w:id="156" w:name="openmusic"/>
      <w:r>
        <w:t xml:space="preserve">OpenMusic</w:t>
      </w:r>
      <w:bookmarkEnd w:id="156"/>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5"/>
      </w:pPr>
      <w:bookmarkStart w:id="157" w:name="heaps-and-nodes"/>
      <w:r>
        <w:t xml:space="preserve">Heaps and Nodes</w:t>
      </w:r>
      <w:bookmarkEnd w:id="157"/>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8" w:name="applications"/>
      <w:r>
        <w:t xml:space="preserve">Intersections</w:t>
      </w:r>
      <w:bookmarkEnd w:id="158"/>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9" w:name="corpus-based-approaches"/>
      <w:r>
        <w:t xml:space="preserve">Corpus-based Approaches</w:t>
      </w:r>
      <w:bookmarkEnd w:id="159"/>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5"/>
      </w:pPr>
      <w:bookmarkStart w:id="160" w:name="concatenative-synthesis"/>
      <w:r>
        <w:t xml:space="preserve">Concatenative Synthesis</w:t>
      </w:r>
      <w:bookmarkEnd w:id="160"/>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5"/>
      </w:pPr>
      <w:bookmarkStart w:id="161" w:name="other-approaches"/>
      <w:r>
        <w:t xml:space="preserve">Other approaches</w:t>
      </w:r>
      <w:bookmarkEnd w:id="161"/>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2"/>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5"/>
      </w:pPr>
      <w:bookmarkStart w:id="163" w:name="software-libraries"/>
      <w:r>
        <w:t xml:space="preserve">Software Libraries</w:t>
      </w:r>
      <w:bookmarkEnd w:id="163"/>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4" w:name="querying-methods"/>
      <w:r>
        <w:t xml:space="preserve">Querying Methods</w:t>
      </w:r>
      <w:bookmarkEnd w:id="164"/>
    </w:p>
    <w:p>
      <w:pPr>
        <w:pStyle w:val="Heading5"/>
      </w:pPr>
      <w:bookmarkStart w:id="165" w:name="query-by-content"/>
      <w:r>
        <w:t xml:space="preserve">Query-by-content</w:t>
      </w:r>
      <w:bookmarkEnd w:id="165"/>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5"/>
      </w:pPr>
      <w:bookmarkStart w:id="166" w:name="similarity-based"/>
      <w:r>
        <w:t xml:space="preserve">Similarity-based</w:t>
      </w:r>
      <w:bookmarkEnd w:id="166"/>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7"/>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8"/>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5"/>
      </w:pPr>
      <w:bookmarkStart w:id="169" w:name="hybrid-queries"/>
      <w:r>
        <w:t xml:space="preserve">Hybrid Queries</w:t>
      </w:r>
      <w:bookmarkEnd w:id="169"/>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70" w:name="traversing-methods"/>
      <w:r>
        <w:t xml:space="preserve">Traversing Methods</w:t>
      </w:r>
      <w:bookmarkEnd w:id="170"/>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5"/>
      </w:pPr>
      <w:bookmarkStart w:id="171" w:name="sensorial-networks"/>
      <w:r>
        <w:t xml:space="preserve">Sensorial Networks</w:t>
      </w:r>
      <w:bookmarkEnd w:id="171"/>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5"/>
      </w:pPr>
      <w:bookmarkStart w:id="172" w:name="involuntary-navigation"/>
      <w:r>
        <w:t xml:space="preserve">Involuntary Navigation</w:t>
      </w:r>
      <w:bookmarkEnd w:id="172"/>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5"/>
      </w:pPr>
      <w:bookmarkStart w:id="173" w:name="networked-collaborations"/>
      <w:r>
        <w:t xml:space="preserve">Networked Collaborations</w:t>
      </w:r>
      <w:bookmarkEnd w:id="173"/>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5"/>
      </w:pPr>
      <w:bookmarkStart w:id="174" w:name="mobile-devices"/>
      <w:r>
        <w:t xml:space="preserve">Mobile Devices</w:t>
      </w:r>
      <w:bookmarkEnd w:id="174"/>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5" w:name="resource-sharing"/>
      <w:r>
        <w:t xml:space="preserve">Resource Sharing</w:t>
      </w:r>
      <w:bookmarkEnd w:id="175"/>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6"/>
      </w:r>
      <w:r>
        <w:t xml:space="preserve"> </w:t>
      </w:r>
      <w:r>
        <w:t xml:space="preserve">In any case, what is common between these forms of sharing is an entropic and endless plurality.</w:t>
      </w:r>
    </w:p>
    <w:p>
      <w:pPr>
        <w:pStyle w:val="Heading5"/>
      </w:pPr>
      <w:bookmarkStart w:id="177" w:name="multimodal-datasets"/>
      <w:r>
        <w:t xml:space="preserve">Multimodal Datasets</w:t>
      </w:r>
      <w:bookmarkEnd w:id="177"/>
    </w:p>
    <w:p>
      <w:pPr>
        <w:pStyle w:val="FirstParagraph"/>
      </w:pPr>
      <w:r>
        <w:t xml:space="preserve">Among the many datasets that are available (See</w:t>
      </w:r>
      <w:r>
        <w:t xml:space="preserve"> </w:t>
      </w:r>
      <w:hyperlink w:anchor="mir">
        <w:r>
          <w:rPr>
            <w:rStyle w:val="Hyperlink"/>
          </w:rPr>
          <w:t xml:space="preserve">4.3.1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5"/>
      </w:pPr>
      <w:bookmarkStart w:id="178" w:name="formats"/>
      <w:r>
        <w:t xml:space="preserve">Formats</w:t>
      </w:r>
      <w:bookmarkEnd w:id="178"/>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5"/>
      </w:pPr>
      <w:bookmarkStart w:id="179" w:name="live-coding"/>
      <w:r>
        <w:t xml:space="preserve">Live Coding</w:t>
      </w:r>
      <w:bookmarkEnd w:id="179"/>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80" w:name="closing-remarks"/>
      <w:r>
        <w:t xml:space="preserve">Closing Remarks</w:t>
      </w:r>
      <w:bookmarkEnd w:id="180"/>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4.12</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2" w:name="img:intersections"/>
      <w:r>
        <w:drawing>
          <wp:inline>
            <wp:extent cx="3759200" cy="2438400"/>
            <wp:effectExtent b="0" l="0" r="0" t="0"/>
            <wp:docPr descr="Intersection space."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1"/>
                    <a:stretch>
                      <a:fillRect/>
                    </a:stretch>
                  </pic:blipFill>
                  <pic:spPr bwMode="auto">
                    <a:xfrm>
                      <a:off x="0" y="0"/>
                      <a:ext cx="3759200" cy="2438400"/>
                    </a:xfrm>
                    <a:prstGeom prst="rect">
                      <a:avLst/>
                    </a:prstGeom>
                    <a:noFill/>
                    <a:ln w="9525">
                      <a:noFill/>
                      <a:headEnd/>
                      <a:tailEnd/>
                    </a:ln>
                  </pic:spPr>
                </pic:pic>
              </a:graphicData>
            </a:graphic>
          </wp:inline>
        </w:drawing>
      </w:r>
      <w:bookmarkEnd w:id="182"/>
    </w:p>
    <w:p>
      <w:pPr>
        <w:pStyle w:val="ImageCaption"/>
      </w:pPr>
      <w:r>
        <w:t xml:space="preserve">Intersection space.</w:t>
      </w:r>
    </w:p>
    <w:p>
      <w:pPr>
        <w:pStyle w:val="BodyText"/>
      </w:pPr>
      <w:r>
        <w:t xml:space="preserve">Position of the database in terms of visibility among</w:t>
      </w:r>
      <w:r>
        <w:t xml:space="preserve"> </w:t>
      </w:r>
      <w:r>
        <w:t xml:space="preserve">mir</w:t>
      </w:r>
      <w:r>
        <w:t xml:space="preserve">, Sonification, and Computer Music. Positive values indicate visibility and negative indicate invisibility.</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83" w:name="chapter:Database_Aesthetics"/>
      <w:r>
        <w:t xml:space="preserve">Database Aesthetics</w:t>
      </w:r>
      <w:bookmarkEnd w:id="18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4" w:name="section:Listening_Databases"/>
      <w:r>
        <w:t xml:space="preserve">Listening Databases</w:t>
      </w:r>
      <w:bookmarkEnd w:id="184"/>
    </w:p>
    <w:p>
      <w:pPr>
        <w:pStyle w:val="Heading3"/>
      </w:pPr>
      <w:bookmarkStart w:id="185" w:name="resonance_of_a_return"/>
      <w:r>
        <w:t xml:space="preserve">The Resonance Of A Return</w:t>
      </w:r>
      <w:bookmarkEnd w:id="185"/>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5"/>
      </w:pPr>
      <w:bookmarkStart w:id="186" w:name="sonorous-presence"/>
      <w:r>
        <w:t xml:space="preserve">Sonorous presence</w:t>
      </w:r>
      <w:bookmarkEnd w:id="186"/>
    </w:p>
    <w:p>
      <w:pPr>
        <w:pStyle w:val="FirstParagraph"/>
      </w:pPr>
      <w:r>
        <w:t xml:space="preserve">Philosopher</w:t>
      </w:r>
      <w:r>
        <w:t xml:space="preserve"> </w:t>
      </w:r>
      <w:r>
        <w:t xml:space="preserve">Nancy (2007)</w:t>
      </w:r>
      <w:r>
        <w:t xml:space="preserve"> </w:t>
      </w:r>
      <w:r>
        <w:t xml:space="preserve">brings forth an ontology of sound that can be understood in terms of a performativity of listening that links an embodied theory of listening with a phenomenology of the self. Nancy’s ‘sonorous presence’ is built on the premises that the listening body is part of the medium through which sound propagates and that the body’s sense perception is immersed within that medium. Medium here refers to the matter through which sound propagates, such as a space filled with gas, liquid, or solid particles of matter including human and nonhuman bodies. Sound reaches, enters, and traverses bodies. This means that sound, in its most basic and general form makes listeners vibrate and therefore, the listening subject is always already part of the listened sound.</w:t>
      </w:r>
    </w:p>
    <w:p>
      <w:pPr>
        <w:pStyle w:val="Heading5"/>
      </w:pPr>
      <w:bookmarkStart w:id="187" w:name="an-a-priori-filter"/>
      <w:r>
        <w:t xml:space="preserve">An a priori filter</w:t>
      </w:r>
      <w:bookmarkEnd w:id="187"/>
    </w:p>
    <w:p>
      <w:pPr>
        <w:pStyle w:val="FirstParagraph"/>
      </w:pPr>
      <w:r>
        <w:t xml:space="preserve">Being part of sound, bodies change sound even before listening. On a mechanical level, the body is an a priori physical filter. Sound is filtered differently and uniquely within each body: my body changes the incoming sound for me, just as it does for others. For instance, a longitudinal wave passing through a body affects how it will arrive at other points in space. Sound propagation is conditioned by the qualities of the medium. That is to say, while the combination of density, pressure, temperature, and motion affect sound speed, a medium’s viscosity affects its attenuation rate. This means that within hot and humid climates sound will move slower, and if there is wind blowing in the same direction of a sound it will travel faster, but it also means the listening body changes how sound moves both inside and outside of itself. Waves change direction by way of reflection or refraction, and they fade out by way of attenuation. This means that waves are affected in different ways by different media, some being more (concert halls) or less reflective (anechoic chambers). Therefore, bodies filter sounds for other bodies while affecting sound waves before they reach the tympani. That is to say, since the listener’s body itself refracts, reflects, and attenuates waves, the singular filter that is the body changes wave propagation not only for itself and its own listening experience, also for the listening experience of others. This explains why empty concert halls sound more reverberant than filled concert halls. Most importantly, the filtering qualities of the listening body reveal the extent to which listening as such is a singular experience.</w:t>
      </w:r>
    </w:p>
    <w:p>
      <w:pPr>
        <w:pStyle w:val="Heading5"/>
      </w:pPr>
      <w:bookmarkStart w:id="188" w:name="sonorous-presence-in-an-attack"/>
      <w:r>
        <w:t xml:space="preserve">Sonorous presence in an attack</w:t>
      </w:r>
      <w:bookmarkEnd w:id="188"/>
    </w:p>
    <w:p>
      <w:pPr>
        <w:pStyle w:val="FirstParagraph"/>
      </w:pPr>
      <w:r>
        <w:t xml:space="preserve">The sonorous presence exposes listeners to themselves and to one another. The duration of this exposure is always an instant. Nancy refers to this instant as an</w:t>
      </w:r>
      <w:r>
        <w:t xml:space="preserve"> </w:t>
      </w:r>
      <w:r>
        <w:t xml:space="preserve">‘</w:t>
      </w:r>
      <w:r>
        <w:t xml:space="preserve">attack.</w:t>
      </w:r>
      <w:r>
        <w:t xml:space="preserve">’</w:t>
      </w:r>
      <w:r>
        <w:t xml:space="preserve"> </w:t>
      </w:r>
      <w:r>
        <w:t xml:space="preserve">All mechanical waves require an initial energy input and in the case of sound, particularly in musical contexts, this input is generally referred to as an attack. Instead, Nancy uses this term to describe the exact moment when a sound arrives and simultaneously leaves the body: the instantaneous appearance of sound within the body. An attack therefore instantiates the sonorous presence. The experience of this exposure points to the presence of sound as a sensing experience in itself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w:t>
      </w:r>
    </w:p>
    <w:p>
      <w:pPr>
        <w:pStyle w:val="BodyText"/>
      </w:pPr>
      <w:r>
        <w:t xml:space="preserve">This means that in the sonorous present, the listening body emerges as a creation of itself as sense.</w:t>
      </w:r>
    </w:p>
    <w:p>
      <w:pPr>
        <w:pStyle w:val="BodyText"/>
      </w:pPr>
      <w:r>
        <w:t xml:space="preserve">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89" w:name="referrals-and-deferrals"/>
      <w:r>
        <w:t xml:space="preserve">Referrals and Deferrals</w:t>
      </w:r>
      <w:bookmarkEnd w:id="189"/>
    </w:p>
    <w:p>
      <w:pPr>
        <w:pStyle w:val="FirstParagraph"/>
      </w:pPr>
      <w:r>
        <w:t xml:space="preserve">Kane finds Nancy’s ontology of sound as</w:t>
      </w:r>
      <w:r>
        <w:t xml:space="preserve"> </w:t>
      </w:r>
      <w:r>
        <w:t xml:space="preserve">“</w:t>
      </w:r>
      <w:r>
        <w:t xml:space="preserve">a structure of infinite referrals and deferrals</w:t>
      </w:r>
      <w:r>
        <w:t xml:space="preserve">”</w:t>
      </w:r>
      <w:r>
        <w:t xml:space="preserve"> </w:t>
      </w:r>
      <w:r>
        <w:t xml:space="preserve">(Gratton &amp; Morin 2015, p. 143)</w:t>
      </w:r>
      <w:r>
        <w:t xml:space="preserve">, that is, what Nancy refers to as</w:t>
      </w:r>
      <w:r>
        <w:t xml:space="preserve"> </w:t>
      </w:r>
      <w:r>
        <w:t xml:space="preserve">‘</w:t>
      </w:r>
      <w:r>
        <w:t xml:space="preserve">resonance.</w:t>
      </w:r>
      <w:r>
        <w:t xml:space="preserve">’</w:t>
      </w:r>
      <w:r>
        <w:t xml:space="preserve"> </w:t>
      </w:r>
      <w:r>
        <w:t xml:space="preserve">This structure comprises, for Kane, Nancy’s reading of Jacques Derrida’s concept of</w:t>
      </w:r>
      <w:r>
        <w:t xml:space="preserve"> </w:t>
      </w:r>
      <w:r>
        <w:rPr>
          <w:i/>
        </w:rPr>
        <w:t xml:space="preserve">différance</w:t>
      </w:r>
      <w:r>
        <w:t xml:space="preserve"> </w:t>
      </w:r>
      <w:r>
        <w:t xml:space="preserve">(See</w:t>
      </w:r>
      <w:r>
        <w:t xml:space="preserve"> </w:t>
      </w:r>
      <w:hyperlink w:anchor="human">
        <w:r>
          <w:rPr>
            <w:rStyle w:val="Hyperlink"/>
          </w:rPr>
          <w:t xml:space="preserve">5.2.2</w:t>
        </w:r>
      </w:hyperlink>
      <w:r>
        <w:t xml:space="preserve">).</w:t>
      </w:r>
      <w:r>
        <w:rPr>
          <w:rStyle w:val="FootnoteReference"/>
        </w:rPr>
        <w:footnoteReference w:id="190"/>
      </w:r>
      <w:r>
        <w:t xml:space="preserve"> </w:t>
      </w:r>
      <w:r>
        <w:t xml:space="preserve">Resonance, in this terms, can be understood as an activity that takes place in</w:t>
      </w:r>
    </w:p>
    <w:p>
      <w:pPr>
        <w:pStyle w:val="BodyText"/>
      </w:pPr>
      <w:r>
        <w:t xml:space="preserve">Inasmuch as the sensing body is aware of its own multiplicity of sense, this multiplicity is itself dislocated spatially and temporally.</w:t>
      </w:r>
    </w:p>
    <w:p>
      <w:pPr>
        <w:pStyle w:val="BodyText"/>
      </w:pPr>
      <w:r>
        <w:t xml:space="preserve">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91" w:name="a-loop"/>
      <w:r>
        <w:t xml:space="preserve">A Loop</w:t>
      </w:r>
      <w:bookmarkEnd w:id="191"/>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of the listening experience. For Nancy,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 listening subject is in a state of being exposed to every other listening subject, that is, in resonance or in touch with one other.</w:t>
      </w:r>
    </w:p>
    <w:p>
      <w:pPr>
        <w:pStyle w:val="Heading5"/>
      </w:pPr>
      <w:bookmarkStart w:id="192" w:name="an-approach-to-self"/>
      <w:r>
        <w:t xml:space="preserve">An Approach to Self</w:t>
      </w:r>
      <w:bookmarkEnd w:id="192"/>
    </w:p>
    <w:p>
      <w:pPr>
        <w:pStyle w:val="FirstParagraph"/>
      </w:pPr>
      <w:r>
        <w:t xml:space="preserve">In this context, the self is not an expressive substance inherent to bodies, or already in the body, as if it were some originary essence that appears out of resonance. On the contrary, for Nancy, the self comes as a result of the resonance, in the form of a return.</w:t>
      </w:r>
    </w:p>
    <w:p>
      <w:pPr>
        <w:pStyle w:val="BodyText"/>
      </w:pPr>
      <w:r>
        <w:rPr>
          <w:rStyle w:val="FootnoteReference"/>
        </w:rPr>
        <w:footnoteReference w:id="193"/>
      </w:r>
    </w:p>
    <w:p>
      <w:pPr>
        <w:pStyle w:val="Heading3"/>
      </w:pPr>
      <w:bookmarkStart w:id="194" w:name="network"/>
      <w:r>
        <w:t xml:space="preserve">Resonant Network</w:t>
      </w:r>
      <w:bookmarkEnd w:id="19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95" w:name="an-illusory-violin"/>
      <w:r>
        <w:t xml:space="preserve">An Illusory Violin</w:t>
      </w:r>
      <w:bookmarkEnd w:id="19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96" w:name="virtuality"/>
      <w:r>
        <w:t xml:space="preserve">Virtuality</w:t>
      </w:r>
      <w:bookmarkEnd w:id="19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97" w:name="performativity-of-networks"/>
      <w:r>
        <w:t xml:space="preserve">Performativity of Networks</w:t>
      </w:r>
      <w:bookmarkEnd w:id="197"/>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98" w:name="a-resonant-movement-of-a-thing"/>
      <w:r>
        <w:t xml:space="preserve">A Resonant Movement of a Thing</w:t>
      </w:r>
      <w:bookmarkEnd w:id="19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5"/>
      </w:pPr>
      <w:bookmarkStart w:id="199" w:name="positive-feedback"/>
      <w:r>
        <w:t xml:space="preserve">Positive Feedback</w:t>
      </w:r>
      <w:bookmarkEnd w:id="19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200" w:name="the-work-of-actors"/>
      <w:r>
        <w:t xml:space="preserve">The Work of Actors</w:t>
      </w:r>
      <w:bookmarkEnd w:id="200"/>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1" w:name="inoperativity"/>
      <w:r>
        <w:t xml:space="preserve">The Unworking Network</w:t>
      </w:r>
      <w:bookmarkEnd w:id="201"/>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5"/>
      </w:pPr>
      <w:bookmarkStart w:id="202" w:name="community-as-unwork"/>
      <w:r>
        <w:t xml:space="preserve">Community as unwork</w:t>
      </w:r>
      <w:bookmarkEnd w:id="20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203" w:name="resonant-inoperativity"/>
      <w:r>
        <w:t xml:space="preserve">Resonant Inoperativity</w:t>
      </w:r>
      <w:bookmarkEnd w:id="20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204" w:name="space-of-community"/>
      <w:r>
        <w:t xml:space="preserve">Space of Community</w:t>
      </w:r>
      <w:bookmarkEnd w:id="20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205" w:name="at-the-limit"/>
      <w:r>
        <w:t xml:space="preserve">At the Limit</w:t>
      </w:r>
      <w:bookmarkEnd w:id="20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206" w:name="reticulated-skin"/>
      <w:r>
        <w:t xml:space="preserve">Reticulated Skin</w:t>
      </w:r>
      <w:bookmarkEnd w:id="20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5"/>
      </w:pPr>
      <w:bookmarkStart w:id="207" w:name="resistance-in-database-music"/>
      <w:r>
        <w:t xml:space="preserve">Resistance in Database Music</w:t>
      </w:r>
      <w:bookmarkEnd w:id="20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8" w:name="section:Databases_And_Memory"/>
      <w:r>
        <w:t xml:space="preserve">Databases And Memory</w:t>
      </w:r>
      <w:bookmarkEnd w:id="208"/>
    </w:p>
    <w:p>
      <w:pPr>
        <w:pStyle w:val="Heading3"/>
      </w:pPr>
      <w:bookmarkStart w:id="209" w:name="funeslude"/>
      <w:r>
        <w:t xml:space="preserve">Interlude: Embodied Memory</w:t>
      </w:r>
      <w:bookmarkEnd w:id="20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10"/>
      </w:r>
      <w:r>
        <w:t xml:space="preserve"> </w:t>
      </w:r>
      <w:r>
        <w:t xml:space="preserve">he was secluded in a dark and enclosed space so as not to perceive the world.</w:t>
      </w:r>
      <w:r>
        <w:rPr>
          <w:rStyle w:val="FootnoteReference"/>
        </w:rPr>
        <w:footnoteReference w:id="211"/>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2"/>
      </w:r>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3"/>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4"/>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5"/>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7" w:name="human"/>
      <w:r>
        <w:t xml:space="preserve">The Effraction Of The Trace</w:t>
      </w:r>
      <w:bookmarkEnd w:id="217"/>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8"/>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219" w:name="memory-as-breaching"/>
      <w:r>
        <w:t xml:space="preserve">Memory as Breaching</w:t>
      </w:r>
      <w:bookmarkEnd w:id="219"/>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220" w:name="breaching-and-différance"/>
      <w:r>
        <w:t xml:space="preserve">Breaching and</w:t>
      </w:r>
      <w:r>
        <w:t xml:space="preserve"> </w:t>
      </w:r>
      <w:r>
        <w:rPr>
          <w:i/>
        </w:rPr>
        <w:t xml:space="preserve">différance</w:t>
      </w:r>
      <w:bookmarkEnd w:id="220"/>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221" w:name="hypomnesis-and-the-mystic-pad"/>
      <w:r>
        <w:t xml:space="preserve">Hypomnesis and the Mystic Pad</w:t>
      </w:r>
      <w:bookmarkEnd w:id="221"/>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5"/>
      </w:pPr>
      <w:bookmarkStart w:id="222" w:name="nonhuman-authors"/>
      <w:r>
        <w:t xml:space="preserve">Nonhuman Authors</w:t>
      </w:r>
      <w:bookmarkEnd w:id="222"/>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5"/>
      </w:pPr>
      <w:bookmarkStart w:id="223" w:name="database-as-agents"/>
      <w:r>
        <w:t xml:space="preserve">Database as Agents</w:t>
      </w:r>
      <w:bookmarkEnd w:id="223"/>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4" w:name="archontic"/>
      <w:r>
        <w:t xml:space="preserve">The Archontic Principle</w:t>
      </w:r>
      <w:bookmarkEnd w:id="224"/>
    </w:p>
    <w:p>
      <w:pPr>
        <w:pStyle w:val="Heading5"/>
      </w:pPr>
      <w:bookmarkStart w:id="225" w:name="archives-and-memory"/>
      <w:r>
        <w:t xml:space="preserve">Archives and Memory</w:t>
      </w:r>
      <w:bookmarkEnd w:id="225"/>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5"/>
      </w:pPr>
      <w:bookmarkStart w:id="226" w:name="hierarchies"/>
      <w:r>
        <w:t xml:space="preserve">Hierarchies</w:t>
      </w:r>
      <w:bookmarkEnd w:id="226"/>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27" w:name="archontic-principle"/>
      <w:r>
        <w:t xml:space="preserve">Archontic Principle</w:t>
      </w:r>
      <w:bookmarkEnd w:id="227"/>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5"/>
      </w:pPr>
      <w:bookmarkStart w:id="228" w:name="patriarchy"/>
      <w:r>
        <w:t xml:space="preserve">Patriarchy</w:t>
      </w:r>
      <w:bookmarkEnd w:id="228"/>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5"/>
      </w:pPr>
      <w:bookmarkStart w:id="229" w:name="institutional-passage"/>
      <w:r>
        <w:t xml:space="preserve">Institutional Passage</w:t>
      </w:r>
      <w:bookmarkEnd w:id="229"/>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30" w:name="authorities"/>
      <w:r>
        <w:t xml:space="preserve">Authorities</w:t>
      </w:r>
      <w:bookmarkEnd w:id="230"/>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31" w:name="anarchic-memory"/>
      <w:r>
        <w:t xml:space="preserve">Anarchic Memory</w:t>
      </w:r>
      <w:bookmarkEnd w:id="231"/>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32" w:name="collective-memory"/>
      <w:r>
        <w:t xml:space="preserve">Collective Memory</w:t>
      </w:r>
      <w:bookmarkEnd w:id="232"/>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33" w:name="writing-code"/>
      <w:r>
        <w:t xml:space="preserve">Writing Code</w:t>
      </w:r>
      <w:bookmarkEnd w:id="233"/>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4"/>
      </w:r>
    </w:p>
    <w:p>
      <w:pPr>
        <w:pStyle w:val="Heading5"/>
      </w:pPr>
      <w:bookmarkStart w:id="236" w:name="anarchic-computer-memory"/>
      <w:r>
        <w:t xml:space="preserve">Anarchic Computer Memory</w:t>
      </w:r>
      <w:bookmarkEnd w:id="23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7" w:name="spectrality"/>
      <w:r>
        <w:t xml:space="preserve">The Spectral Database</w:t>
      </w:r>
      <w:bookmarkEnd w:id="23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5"/>
      </w:pPr>
      <w:bookmarkStart w:id="238" w:name="computer-memory-and-writing"/>
      <w:r>
        <w:t xml:space="preserve">Computer Memory and Writing</w:t>
      </w:r>
      <w:bookmarkEnd w:id="23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39" w:name="memory-replacement"/>
      <w:r>
        <w:t xml:space="preserve">Memory Replacement</w:t>
      </w:r>
      <w:bookmarkEnd w:id="23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40" w:name="anarchic-records"/>
      <w:r>
        <w:t xml:space="preserve">Anarchic Records</w:t>
      </w:r>
      <w:bookmarkEnd w:id="24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1"/>
      </w:r>
      <w:r>
        <w:t xml:space="preserve"> </w:t>
      </w:r>
      <w:r>
        <w:t xml:space="preserve">becomes an archivization process, that is, a process by which symbolic transcription leads to an ordered archive, i.e., a score.</w:t>
      </w:r>
      <w:r>
        <w:rPr>
          <w:rStyle w:val="FootnoteReference"/>
        </w:rPr>
        <w:footnoteReference w:id="243"/>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5"/>
      </w:pPr>
      <w:bookmarkStart w:id="244" w:name="memory-and-framing"/>
      <w:r>
        <w:t xml:space="preserve">Memory and Framing</w:t>
      </w:r>
      <w:bookmarkEnd w:id="244"/>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45" w:name="nonhuman-tympans"/>
      <w:r>
        <w:t xml:space="preserve">Nonhuman Tympans</w:t>
      </w:r>
      <w:bookmarkEnd w:id="245"/>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46" w:name="spectrality-of-archives"/>
      <w:r>
        <w:t xml:space="preserve">Spectrality of Archives</w:t>
      </w:r>
      <w:bookmarkEnd w:id="246"/>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47" w:name="spectrality-of-databases"/>
      <w:r>
        <w:t xml:space="preserve">Spectrality of Databases</w:t>
      </w:r>
      <w:bookmarkEnd w:id="247"/>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5"/>
      </w:pPr>
      <w:bookmarkStart w:id="248" w:name="agency-of-the-uncanny"/>
      <w:r>
        <w:t xml:space="preserve">Agency of the Uncanny</w:t>
      </w:r>
      <w:bookmarkEnd w:id="248"/>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9" w:name="section:Performativity_Of_Databases"/>
      <w:r>
        <w:t xml:space="preserve">Performativity Of Databases</w:t>
      </w:r>
      <w:bookmarkEnd w:id="249"/>
    </w:p>
    <w:p>
      <w:pPr>
        <w:pStyle w:val="Heading3"/>
      </w:pPr>
      <w:bookmarkStart w:id="250" w:name="gender"/>
      <w:r>
        <w:t xml:space="preserve">Gendered Database</w:t>
      </w:r>
      <w:bookmarkEnd w:id="250"/>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51" w:name="skin-of-the-database"/>
      <w:r>
        <w:t xml:space="preserve">Skin of the Database</w:t>
      </w:r>
      <w:bookmarkEnd w:id="251"/>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52" w:name="expressing-nothing"/>
      <w:r>
        <w:t xml:space="preserve">Expressing Nothing</w:t>
      </w:r>
      <w:bookmarkEnd w:id="252"/>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53" w:name="a-historical-situation"/>
      <w:r>
        <w:t xml:space="preserve">A Historical Situation</w:t>
      </w:r>
      <w:bookmarkEnd w:id="253"/>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54" w:name="subversive-repetition"/>
      <w:r>
        <w:t xml:space="preserve">Subversive Repetition</w:t>
      </w:r>
      <w:bookmarkEnd w:id="254"/>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55" w:name="gendered-database"/>
      <w:r>
        <w:t xml:space="preserve">Gendered Database</w:t>
      </w:r>
      <w:bookmarkEnd w:id="255"/>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6" w:name="limits"/>
      <w:r>
        <w:t xml:space="preserve">Towards The Limits</w:t>
      </w:r>
      <w:bookmarkEnd w:id="256"/>
    </w:p>
    <w:p>
      <w:pPr>
        <w:pStyle w:val="Heading5"/>
      </w:pPr>
      <w:bookmarkStart w:id="257" w:name="exposure"/>
      <w:r>
        <w:t xml:space="preserve">Exposure</w:t>
      </w:r>
      <w:bookmarkEnd w:id="257"/>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58" w:name="anarchic-touch"/>
      <w:r>
        <w:t xml:space="preserve">Anarchic Touch</w:t>
      </w:r>
      <w:bookmarkEnd w:id="258"/>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5"/>
      </w:pPr>
      <w:bookmarkStart w:id="259" w:name="communities-of-skin"/>
      <w:r>
        <w:t xml:space="preserve">Communities of Skin</w:t>
      </w:r>
      <w:bookmarkEnd w:id="259"/>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60" w:name="hybrid-pluralities"/>
      <w:r>
        <w:t xml:space="preserve">Hybrid Pluralities</w:t>
      </w:r>
      <w:bookmarkEnd w:id="260"/>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1" w:name="style"/>
      <w:r>
        <w:t xml:space="preserve">Contingencies Of Style</w:t>
      </w:r>
      <w:bookmarkEnd w:id="26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5"/>
      </w:pPr>
      <w:bookmarkStart w:id="262" w:name="style-and-timbre"/>
      <w:r>
        <w:t xml:space="preserve">Style and Timbre</w:t>
      </w:r>
      <w:bookmarkEnd w:id="262"/>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3"/>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64" w:name="endless-databases"/>
      <w:r>
        <w:t xml:space="preserve">Endless Databases</w:t>
      </w:r>
      <w:bookmarkEnd w:id="264"/>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65" w:name="database-and-chaos"/>
      <w:r>
        <w:t xml:space="preserve">Database and Chaos</w:t>
      </w:r>
      <w:bookmarkEnd w:id="265"/>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Lorenz Attractor"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Lorenz Attractor</w:t>
      </w:r>
    </w:p>
    <w:p>
      <w:pPr>
        <w:pStyle w:val="BodyText"/>
      </w:pPr>
      <w:bookmarkStart w:id="267" w:name="img:lorenz_plotter"/>
      <w:r>
        <w:t xml:space="preserve">[img:lorenz_plotter]</w:t>
      </w:r>
      <w:bookmarkEnd w:id="267"/>
    </w:p>
    <w:p>
      <w:pPr>
        <w:pStyle w:val="BodyText"/>
      </w:pPr>
      <w:r>
        <w:t xml:space="preserve">Plotting of the Lorenz system in Pure Data.</w:t>
      </w:r>
    </w:p>
    <w:p>
      <w:pPr>
        <w:pStyle w:val="Heading5"/>
      </w:pPr>
      <w:bookmarkStart w:id="268" w:name="fractality"/>
      <w:r>
        <w:t xml:space="preserve">Fractality</w:t>
      </w:r>
      <w:bookmarkEnd w:id="268"/>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69" w:name="a-music-work-as-a-singularity"/>
      <w:r>
        <w:t xml:space="preserve">A Music Work as a Singularity</w:t>
      </w:r>
      <w:bookmarkEnd w:id="269"/>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5"/>
      </w:pPr>
      <w:bookmarkStart w:id="270" w:name="arbitrariness"/>
      <w:r>
        <w:t xml:space="preserve">Arbitrariness</w:t>
      </w:r>
      <w:bookmarkEnd w:id="270"/>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5"/>
      </w:pPr>
      <w:bookmarkStart w:id="271" w:name="inoperative-style"/>
      <w:r>
        <w:t xml:space="preserve">Inoperative Style</w:t>
      </w:r>
      <w:bookmarkEnd w:id="271"/>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2" w:name="authority"/>
      <w:r>
        <w:t xml:space="preserve">A Specter Of Authority</w:t>
      </w:r>
      <w:bookmarkEnd w:id="27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73" w:name="the-name"/>
      <w:r>
        <w:t xml:space="preserve">The Name</w:t>
      </w:r>
      <w:bookmarkEnd w:id="273"/>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4"/>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75" w:name="dictionaries"/>
      <w:r>
        <w:t xml:space="preserve">Dictionaries</w:t>
      </w:r>
      <w:bookmarkEnd w:id="275"/>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76" w:name="artistry"/>
      <w:r>
        <w:t xml:space="preserve">Artistry</w:t>
      </w:r>
      <w:bookmarkEnd w:id="27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7"/>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8"/>
      </w:r>
    </w:p>
    <w:p>
      <w:pPr>
        <w:pStyle w:val="Heading5"/>
      </w:pPr>
      <w:bookmarkStart w:id="279" w:name="the-work-of-mice"/>
      <w:r>
        <w:t xml:space="preserve">The Work of Mice</w:t>
      </w:r>
      <w:bookmarkEnd w:id="279"/>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80" w:name="section:Rethinking_Composition"/>
      <w:r>
        <w:t xml:space="preserve">Rethinking Composition</w:t>
      </w:r>
      <w:bookmarkEnd w:id="280"/>
    </w:p>
    <w:p>
      <w:pPr>
        <w:pStyle w:val="Heading3"/>
      </w:pPr>
      <w:bookmarkStart w:id="281" w:name="performance"/>
      <w:r>
        <w:t xml:space="preserve">Interlude: Hyperbolic Reactions</w:t>
      </w:r>
      <w:bookmarkEnd w:id="281"/>
    </w:p>
    <w:p>
      <w:pPr>
        <w:pStyle w:val="Heading5"/>
      </w:pPr>
      <w:bookmarkStart w:id="282" w:name="imagining-composers"/>
      <w:r>
        <w:t xml:space="preserve">Imagining Composers</w:t>
      </w:r>
      <w:bookmarkEnd w:id="282"/>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83" w:name="composers-and-technology"/>
      <w:r>
        <w:t xml:space="preserve">Composers and Technology</w:t>
      </w:r>
      <w:bookmarkEnd w:id="283"/>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5"/>
      </w:pPr>
      <w:bookmarkStart w:id="284" w:name="playing-with-shadows"/>
      <w:r>
        <w:t xml:space="preserve">Playing with Shadows</w:t>
      </w:r>
      <w:bookmarkEnd w:id="284"/>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85" w:name="composers-without-computers"/>
      <w:r>
        <w:t xml:space="preserve">Composers Without Computers</w:t>
      </w:r>
      <w:bookmarkEnd w:id="285"/>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86" w:name="databasing-without-computers"/>
      <w:r>
        <w:t xml:space="preserve">Databasing Without Computers</w:t>
      </w:r>
      <w:bookmarkEnd w:id="286"/>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7" w:name="organic"/>
      <w:r>
        <w:t xml:space="preserve">Working Composition</w:t>
      </w:r>
      <w:bookmarkEnd w:id="287"/>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88" w:name="the-work-problem"/>
      <w:r>
        <w:t xml:space="preserve">The Work Problem</w:t>
      </w:r>
      <w:bookmarkEnd w:id="288"/>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89" w:name="working-rules"/>
      <w:r>
        <w:t xml:space="preserve">Working Rules</w:t>
      </w:r>
      <w:bookmarkEnd w:id="289"/>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5"/>
      </w:pPr>
      <w:bookmarkStart w:id="290" w:name="a-space-of-difference"/>
      <w:r>
        <w:t xml:space="preserve">A Space of Difference</w:t>
      </w:r>
      <w:bookmarkEnd w:id="290"/>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1"/>
      </w:r>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92" w:name="a-severed-work"/>
      <w:r>
        <w:t xml:space="preserve">A Severed Work</w:t>
      </w:r>
      <w:bookmarkEnd w:id="292"/>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5"/>
      </w:pPr>
      <w:bookmarkStart w:id="293" w:name="absorbption"/>
      <w:r>
        <w:t xml:space="preserve">Absorbption</w:t>
      </w:r>
      <w:bookmarkEnd w:id="293"/>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4" w:name="practice"/>
      <w:r>
        <w:t xml:space="preserve">The Composer As Navigator</w:t>
      </w:r>
      <w:bookmarkEnd w:id="294"/>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95" w:name="querying-the-sieves"/>
      <w:r>
        <w:t xml:space="preserve">Querying the Sieves</w:t>
      </w:r>
      <w:bookmarkEnd w:id="295"/>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6"/>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9"/>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00"/>
      </w:r>
    </w:p>
    <w:p>
      <w:pPr>
        <w:pStyle w:val="Heading5"/>
      </w:pPr>
      <w:bookmarkStart w:id="301" w:name="sound-synthesis-parenthesis"/>
      <w:r>
        <w:t xml:space="preserve">Sound Synthesis Parenthesis</w:t>
      </w:r>
      <w:bookmarkEnd w:id="301"/>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2"/>
      </w:r>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304" w:name="algebraic-abstractions-for-freedom"/>
      <w:r>
        <w:t xml:space="preserve">Algebraic Abstractions for Freedom</w:t>
      </w:r>
      <w:bookmarkEnd w:id="304"/>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5"/>
      </w:pPr>
      <w:bookmarkStart w:id="305" w:name="a-cosmic-vessel-and-an-armchair"/>
      <w:r>
        <w:t xml:space="preserve">A Cosmic Vessel and an Armchair</w:t>
      </w:r>
      <w:bookmarkEnd w:id="305"/>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6"/>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7" w:name="improv"/>
      <w:r>
        <w:t xml:space="preserve">The Database As Performer</w:t>
      </w:r>
      <w:bookmarkEnd w:id="307"/>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308" w:name="the-computer-as-a-musical-instrument"/>
      <w:r>
        <w:t xml:space="preserve">The Computer as a Musical Instrument</w:t>
      </w:r>
      <w:bookmarkEnd w:id="308"/>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309" w:name="a-minor-liberty"/>
      <w:r>
        <w:t xml:space="preserve">A Minor Liberty</w:t>
      </w:r>
      <w:bookmarkEnd w:id="309"/>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310" w:name="the-computer-as-a-player"/>
      <w:r>
        <w:t xml:space="preserve">The Computer as a Player</w:t>
      </w:r>
      <w:bookmarkEnd w:id="310"/>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311" w:name="programming-decisions"/>
      <w:r>
        <w:t xml:space="preserve">Programming Decisions</w:t>
      </w:r>
      <w:bookmarkEnd w:id="311"/>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312" w:name="anachronic-composers"/>
      <w:r>
        <w:t xml:space="preserve">Anachronic Composers</w:t>
      </w:r>
      <w:bookmarkEnd w:id="312"/>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5"/>
      </w:pPr>
      <w:bookmarkStart w:id="313" w:name="section"/>
      <w:bookmarkEnd w:id="313"/>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4"/>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315" w:name="nonhuman-composers"/>
      <w:r>
        <w:t xml:space="preserve">Nonhuman composers</w:t>
      </w:r>
      <w:bookmarkEnd w:id="315"/>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316" w:name="fractured-works"/>
      <w:r>
        <w:t xml:space="preserve">Fractured Works</w:t>
      </w:r>
      <w:bookmarkEnd w:id="316"/>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317" w:name="databasing-vessel"/>
      <w:r>
        <w:t xml:space="preserve">Databasing Vessel</w:t>
      </w:r>
      <w:bookmarkEnd w:id="317"/>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8" w:name="music"/>
      <w:r>
        <w:t xml:space="preserve">The Severed Object Of Music</w:t>
      </w:r>
      <w:bookmarkEnd w:id="318"/>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319" w:name="an-incomplete-object"/>
      <w:r>
        <w:t xml:space="preserve">An Incomplete Object</w:t>
      </w:r>
      <w:bookmarkEnd w:id="319"/>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20"/>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321" w:name="remains-of-listening"/>
      <w:r>
        <w:t xml:space="preserve">Remains of Listening</w:t>
      </w:r>
      <w:bookmarkEnd w:id="321"/>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322" w:name="sources-and-sorcerers"/>
      <w:r>
        <w:t xml:space="preserve">Sources and Sorcerers</w:t>
      </w:r>
      <w:bookmarkEnd w:id="322"/>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5"/>
      </w:pPr>
      <w:bookmarkStart w:id="323" w:name="naming"/>
      <w:r>
        <w:t xml:space="preserve">Naming</w:t>
      </w:r>
      <w:bookmarkEnd w:id="323"/>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4"/>
      </w:r>
    </w:p>
    <w:p>
      <w:pPr>
        <w:pStyle w:val="Heading5"/>
      </w:pPr>
      <w:bookmarkStart w:id="325" w:name="dynamics"/>
      <w:r>
        <w:t xml:space="preserve">Dynamics</w:t>
      </w:r>
      <w:bookmarkEnd w:id="325"/>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326" w:name="masterwork"/>
      <w:r>
        <w:t xml:space="preserve">Masterwork</w:t>
      </w:r>
      <w:bookmarkEnd w:id="326"/>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327" w:name="architecture-of-obedience"/>
      <w:r>
        <w:t xml:space="preserve">Architecture of Obedience</w:t>
      </w:r>
      <w:bookmarkEnd w:id="327"/>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8" w:name="anarchy"/>
      <w:r>
        <w:t xml:space="preserve">Anarchy And The Unwork</w:t>
      </w:r>
      <w:bookmarkEnd w:id="328"/>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5"/>
      </w:pPr>
      <w:bookmarkStart w:id="329" w:name="place-in-common"/>
      <w:r>
        <w:t xml:space="preserve">Place in Common</w:t>
      </w:r>
      <w:bookmarkEnd w:id="329"/>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330" w:name="disintegrated-imperative"/>
      <w:r>
        <w:t xml:space="preserve">Disintegrated Imperative</w:t>
      </w:r>
      <w:bookmarkEnd w:id="330"/>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331" w:name="blind-experimentation"/>
      <w:r>
        <w:t xml:space="preserve">Blind Experimentation</w:t>
      </w:r>
      <w:bookmarkEnd w:id="331"/>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5"/>
      </w:pPr>
      <w:bookmarkStart w:id="332" w:name="doctoring-the-glitch"/>
      <w:r>
        <w:t xml:space="preserve">Doctoring the Glitch</w:t>
      </w:r>
      <w:bookmarkEnd w:id="332"/>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333" w:name="unnecessary-blindfolds"/>
      <w:r>
        <w:t xml:space="preserve">Unnecessary Blindfolds</w:t>
      </w:r>
      <w:bookmarkEnd w:id="333"/>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334" w:name="spectral-remains"/>
      <w:r>
        <w:t xml:space="preserve">Spectral Remains</w:t>
      </w:r>
      <w:bookmarkEnd w:id="334"/>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335" w:name="macroforma"/>
      <w:r>
        <w:t xml:space="preserve">Macroforma</w:t>
      </w:r>
      <w:bookmarkEnd w:id="335"/>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336" w:name="overfitting"/>
      <w:r>
        <w:t xml:space="preserve">Overfitting</w:t>
      </w:r>
      <w:bookmarkEnd w:id="336"/>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7" w:name="worker"/>
      <w:r>
        <w:t xml:space="preserve">[Wip] Work In Progress</w:t>
      </w:r>
      <w:bookmarkEnd w:id="337"/>
    </w:p>
    <w:p>
      <w:pPr>
        <w:pStyle w:val="SourceCode"/>
      </w:pPr>
      <w:r>
        <w:rPr>
          <w:rStyle w:val="CommentTok"/>
        </w:rPr>
        <w:t xml:space="preserve">// code for the "working" pd class. </w:t>
      </w:r>
      <w:r>
        <w:br w:type="textWrapping"/>
      </w:r>
      <w:r>
        <w:rPr>
          <w:rStyle w:val="CommentTok"/>
        </w:rPr>
        <w:t xml:space="preserve">// it does nothing.</w:t>
      </w:r>
      <w:r>
        <w:br w:type="textWrapping"/>
      </w:r>
      <w:r>
        <w:br w:type="textWrapping"/>
      </w:r>
      <w:r>
        <w:rPr>
          <w:rStyle w:val="PreprocessorTok"/>
        </w:rPr>
        <w:t xml:space="preserve">#include </w:t>
      </w:r>
      <w:r>
        <w:rPr>
          <w:rStyle w:val="ImportTok"/>
        </w:rPr>
        <w:t xml:space="preserve">&lt;stdio.h&gt;</w:t>
      </w:r>
      <w:r>
        <w:br w:type="textWrapping"/>
      </w:r>
      <w:r>
        <w:rPr>
          <w:rStyle w:val="PreprocessorTok"/>
        </w:rPr>
        <w:t xml:space="preserve">#include </w:t>
      </w:r>
      <w:r>
        <w:rPr>
          <w:rStyle w:val="ImportTok"/>
        </w:rPr>
        <w:t xml:space="preserve">"m_pd.h"</w:t>
      </w:r>
      <w:r>
        <w:br w:type="textWrapping"/>
      </w:r>
      <w:r>
        <w:br w:type="textWrapping"/>
      </w:r>
      <w:r>
        <w:rPr>
          <w:rStyle w:val="NormalTok"/>
        </w:rPr>
        <w:t xml:space="preserve">t_class *working_class;</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working {</w:t>
      </w:r>
      <w:r>
        <w:br w:type="textWrapping"/>
      </w:r>
      <w:r>
        <w:rPr>
          <w:rStyle w:val="NormalTok"/>
        </w:rPr>
        <w:t xml:space="preserve">    t_object    *x_obj;</w:t>
      </w:r>
      <w:r>
        <w:br w:type="textWrapping"/>
      </w:r>
      <w:r>
        <w:rPr>
          <w:rStyle w:val="NormalTok"/>
        </w:rPr>
        <w:t xml:space="preserve">    t_symbol    *work</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*product;</w:t>
      </w:r>
      <w:r>
        <w:br w:type="textWrapping"/>
      </w:r>
      <w:r>
        <w:rPr>
          <w:rStyle w:val="NormalTok"/>
        </w:rPr>
        <w:t xml:space="preserve">        t_symbol    *music_piece;</w:t>
      </w:r>
      <w:r>
        <w:br w:type="textWrapping"/>
      </w:r>
      <w:r>
        <w:rPr>
          <w:rStyle w:val="NormalTok"/>
        </w:rPr>
        <w:t xml:space="preserve">        t_symbol    *music_work;</w:t>
      </w:r>
      <w:r>
        <w:br w:type="textWrapping"/>
      </w:r>
      <w:r>
        <w:rPr>
          <w:rStyle w:val="NormalTok"/>
        </w:rPr>
        <w:t xml:space="preserve">        t_symbol    *opera;</w:t>
      </w:r>
      <w:r>
        <w:br w:type="textWrapping"/>
      </w:r>
      <w:r>
        <w:rPr>
          <w:rStyle w:val="NormalTok"/>
        </w:rPr>
        <w:t xml:space="preserve">    } music_work;</w:t>
      </w:r>
      <w:r>
        <w:br w:type="textWrapping"/>
      </w:r>
      <w:r>
        <w:rPr>
          <w:rStyle w:val="NormalTok"/>
        </w:rPr>
        <w:t xml:space="preserve">    t_symbol    *something_done;</w:t>
      </w:r>
      <w:r>
        <w:br w:type="textWrapping"/>
      </w:r>
      <w:r>
        <w:rPr>
          <w:rStyle w:val="NormalTok"/>
        </w:rPr>
        <w:t xml:space="preserve">    t_float     *physical_labor, *skill;</w:t>
      </w:r>
      <w:r>
        <w:br w:type="textWrapping"/>
      </w:r>
      <w:r>
        <w:rPr>
          <w:rStyle w:val="NormalTok"/>
        </w:rPr>
        <w:t xml:space="preserve">    t_atom      *the_work_of_an_author, *oeuvre;</w:t>
      </w:r>
      <w:r>
        <w:br w:type="textWrapping"/>
      </w:r>
      <w:r>
        <w:rPr>
          <w:rStyle w:val="NormalTok"/>
        </w:rPr>
        <w:t xml:space="preserve">    t_symbol    *the_operativity_of_the_composer;</w:t>
      </w:r>
      <w:r>
        <w:br w:type="textWrapping"/>
      </w:r>
      <w:r>
        <w:rPr>
          <w:rStyle w:val="NormalTok"/>
        </w:rPr>
        <w:t xml:space="preserve">    t_atom      *matrix_operations;</w:t>
      </w:r>
      <w:r>
        <w:br w:type="textWrapping"/>
      </w:r>
      <w:r>
        <w:rPr>
          <w:rStyle w:val="NormalTok"/>
        </w:rPr>
        <w:t xml:space="preserve">    t_symbol    *operetta, *opera_prima, *obra, *open_work;</w:t>
      </w:r>
      <w:r>
        <w:br w:type="textWrapping"/>
      </w:r>
      <w:r>
        <w:rPr>
          <w:rStyle w:val="NormalTok"/>
        </w:rPr>
        <w:t xml:space="preserve">    t_symbol    *a_work_of_art;</w:t>
      </w:r>
      <w:r>
        <w:br w:type="textWrapping"/>
      </w:r>
      <w:r>
        <w:rPr>
          <w:rStyle w:val="NormalTok"/>
        </w:rPr>
        <w:t xml:space="preserve">    t_symbol    *artistic_creation, *techne;</w:t>
      </w:r>
      <w:r>
        <w:br w:type="textWrapping"/>
      </w:r>
      <w:r>
        <w:rPr>
          <w:rStyle w:val="NormalTok"/>
        </w:rPr>
        <w:t xml:space="preserve">    t_float     *fullTime, *partTime;</w:t>
      </w:r>
      <w:r>
        <w:br w:type="textWrapping"/>
      </w:r>
      <w:r>
        <w:rPr>
          <w:rStyle w:val="NormalTok"/>
        </w:rPr>
        <w:t xml:space="preserve">    t_symbol    *clockwork, *officiate, *office, *act;</w:t>
      </w:r>
      <w:r>
        <w:br w:type="textWrapping"/>
      </w:r>
      <w:r>
        <w:rPr>
          <w:rStyle w:val="NormalTok"/>
        </w:rPr>
        <w:t xml:space="preserve">    t_symbol    *produce, *make_it_work;</w:t>
      </w:r>
      <w:r>
        <w:br w:type="textWrapping"/>
      </w:r>
      <w:r>
        <w:rPr>
          <w:rStyle w:val="NormalTok"/>
        </w:rPr>
        <w:t xml:space="preserve">    t_float     *magic_work, *work_of_angels;</w:t>
      </w:r>
      <w:r>
        <w:br w:type="textWrapping"/>
      </w:r>
      <w:r>
        <w:rPr>
          <w:rStyle w:val="NormalTok"/>
        </w:rPr>
        <w:t xml:space="preserve">    t_symbol    *blueCollar, *whiteCollar, *slavework, *masterwork;</w:t>
      </w:r>
      <w:r>
        <w:br w:type="textWrapping"/>
      </w:r>
      <w:r>
        <w:rPr>
          <w:rStyle w:val="NormalTok"/>
        </w:rPr>
        <w:t xml:space="preserve">    t_symbol    *Work_as_in_the_application_of_forces;</w:t>
      </w:r>
      <w:r>
        <w:br w:type="textWrapping"/>
      </w:r>
      <w:r>
        <w:rPr>
          <w:rStyle w:val="NormalTok"/>
        </w:rPr>
        <w:t xml:space="preserve">    </w:t>
      </w:r>
      <w:r>
        <w:rPr>
          <w:rStyle w:val="CommentTok"/>
        </w:rPr>
        <w:t xml:space="preserve">//V:"But applied to whom?"</w:t>
      </w:r>
      <w:r>
        <w:br w:type="textWrapping"/>
      </w:r>
      <w:r>
        <w:rPr>
          <w:rStyle w:val="NormalTok"/>
        </w:rPr>
        <w:t xml:space="preserve">    t_symbol    *working_a_field;</w:t>
      </w:r>
      <w:r>
        <w:br w:type="textWrapping"/>
      </w:r>
      <w:r>
        <w:rPr>
          <w:rStyle w:val="NormalTok"/>
        </w:rPr>
        <w:t xml:space="preserve">    t_symbol    *the_internal_workings_of_structures;</w:t>
      </w:r>
      <w:r>
        <w:br w:type="textWrapping"/>
      </w:r>
      <w:r>
        <w:rPr>
          <w:rStyle w:val="NormalTok"/>
        </w:rPr>
        <w:t xml:space="preserve">    t_symbol    *work_in_an_app, *worked_out;</w:t>
      </w:r>
      <w:r>
        <w:br w:type="textWrapping"/>
      </w:r>
      <w:r>
        <w:rPr>
          <w:rStyle w:val="NormalTok"/>
        </w:rPr>
        <w:t xml:space="preserve">    t_symbol    *work_your_hat_off, *workflow, *workspace;</w:t>
      </w:r>
      <w:r>
        <w:br w:type="textWrapping"/>
      </w:r>
      <w:r>
        <w:rPr>
          <w:rStyle w:val="NormalTok"/>
        </w:rPr>
        <w:t xml:space="preserve">    t_symbol    *working_for_food, hardworking, *labour, *giving_birth;</w:t>
      </w:r>
      <w:r>
        <w:br w:type="textWrapping"/>
      </w:r>
      <w:r>
        <w:rPr>
          <w:rStyle w:val="NormalTok"/>
        </w:rPr>
        <w:t xml:space="preserve">    t_symbol    *all_that_is_remunerated_after_efforts_have_been_given;</w:t>
      </w:r>
      <w:r>
        <w:br w:type="textWrapping"/>
      </w:r>
      <w:r>
        <w:rPr>
          <w:rStyle w:val="NormalTok"/>
        </w:rPr>
        <w:t xml:space="preserve">    t_symbol    *achieve_a_goal, your_task, *to_work_to_live;</w:t>
      </w:r>
      <w:r>
        <w:br w:type="textWrapping"/>
      </w:r>
      <w:r>
        <w:rPr>
          <w:rStyle w:val="NormalTok"/>
        </w:rPr>
        <w:t xml:space="preserve">    t_symbol    *to_have_a_working_body, *functioning;</w:t>
      </w:r>
      <w:r>
        <w:br w:type="textWrapping"/>
      </w:r>
      <w:r>
        <w:rPr>
          <w:rStyle w:val="NormalTok"/>
        </w:rPr>
        <w:t xml:space="preserve">    t_symbol    *operative, working_like_a_bee;</w:t>
      </w:r>
      <w:r>
        <w:br w:type="textWrapping"/>
      </w:r>
      <w:r>
        <w:rPr>
          <w:rStyle w:val="NormalTok"/>
        </w:rPr>
        <w:t xml:space="preserve">    </w:t>
      </w:r>
      <w:r>
        <w:rPr>
          <w:rStyle w:val="KeywordTok"/>
        </w:rPr>
        <w:t xml:space="preserve">union</w:t>
      </w:r>
      <w:r>
        <w:rPr>
          <w:rStyle w:val="NormalTok"/>
        </w:rPr>
        <w:t xml:space="preserve"> {</w:t>
      </w:r>
      <w:r>
        <w:br w:type="textWrapping"/>
      </w:r>
      <w:r>
        <w:rPr>
          <w:rStyle w:val="NormalTok"/>
        </w:rPr>
        <w:t xml:space="preserve">        t_symbol *like_a_bee;</w:t>
      </w:r>
      <w:r>
        <w:br w:type="textWrapping"/>
      </w:r>
      <w:r>
        <w:rPr>
          <w:rStyle w:val="NormalTok"/>
        </w:rPr>
        <w:t xml:space="preserve">        t_symbol *like_a_member_of_the_hive;</w:t>
      </w:r>
      <w:r>
        <w:br w:type="textWrapping"/>
      </w:r>
      <w:r>
        <w:rPr>
          <w:rStyle w:val="NormalTok"/>
        </w:rPr>
        <w:t xml:space="preserve">        t_symbol *like_an_ant;</w:t>
      </w:r>
      <w:r>
        <w:br w:type="textWrapping"/>
      </w:r>
      <w:r>
        <w:rPr>
          <w:rStyle w:val="NormalTok"/>
        </w:rPr>
        <w:t xml:space="preserve">        t_symbol *like_a_worker;</w:t>
      </w:r>
      <w:r>
        <w:br w:type="textWrapping"/>
      </w:r>
      <w:r>
        <w:rPr>
          <w:rStyle w:val="NormalTok"/>
        </w:rPr>
        <w:t xml:space="preserve">        t_symbol *like_a_coworker;</w:t>
      </w:r>
      <w:r>
        <w:br w:type="textWrapping"/>
      </w:r>
      <w:r>
        <w:rPr>
          <w:rStyle w:val="NormalTok"/>
        </w:rPr>
        <w:t xml:space="preserve">        t_atom   *organized_labour;</w:t>
      </w:r>
      <w:r>
        <w:br w:type="textWrapping"/>
      </w:r>
      <w:r>
        <w:rPr>
          <w:rStyle w:val="NormalTok"/>
        </w:rPr>
        <w:t xml:space="preserve">    } workers_union;</w:t>
      </w:r>
      <w:r>
        <w:br w:type="textWrapping"/>
      </w:r>
      <w:r>
        <w:rPr>
          <w:rStyle w:val="NormalTok"/>
        </w:rPr>
        <w:t xml:space="preserve">    </w:t>
      </w:r>
      <w:r>
        <w:rPr>
          <w:rStyle w:val="DataTypeTok"/>
        </w:rPr>
        <w:t xml:space="preserve">char</w:t>
      </w:r>
      <w:r>
        <w:rPr>
          <w:rStyle w:val="NormalTok"/>
        </w:rPr>
        <w:t xml:space="preserve">        work[</w:t>
      </w:r>
      <w:r>
        <w:rPr>
          <w:rStyle w:val="StringTok"/>
        </w:rPr>
        <w:t xml:space="preserve">"for"</w:t>
      </w:r>
      <w:r>
        <w:rPr>
          <w:rStyle w:val="NormalTok"/>
        </w:rPr>
        <w:t xml:space="preserve">,</w:t>
      </w:r>
      <w:r>
        <w:rPr>
          <w:rStyle w:val="StringTok"/>
        </w:rPr>
        <w:t xml:space="preserve">"to"</w:t>
      </w:r>
      <w:r>
        <w:rPr>
          <w:rStyle w:val="NormalTok"/>
        </w:rPr>
        <w:t xml:space="preserve">,</w:t>
      </w:r>
      <w:r>
        <w:rPr>
          <w:rStyle w:val="StringTok"/>
        </w:rPr>
        <w:t xml:space="preserve">"after"</w:t>
      </w:r>
      <w:r>
        <w:rPr>
          <w:rStyle w:val="NormalTok"/>
        </w:rPr>
        <w:t xml:space="preserve">,</w:t>
      </w:r>
      <w:r>
        <w:rPr>
          <w:rStyle w:val="StringTok"/>
        </w:rPr>
        <w:t xml:space="preserve">"by"</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*hours;</w:t>
      </w:r>
      <w:r>
        <w:br w:type="textWrapping"/>
      </w:r>
      <w:r>
        <w:rPr>
          <w:rStyle w:val="NormalTok"/>
        </w:rPr>
        <w:t xml:space="preserve">    t_symbol    *working_as_an_extension_of_truth_as_well_as_lies;</w:t>
      </w:r>
      <w:r>
        <w:br w:type="textWrapping"/>
      </w:r>
      <w:r>
        <w:rPr>
          <w:rStyle w:val="NormalTok"/>
        </w:rPr>
        <w:t xml:space="preserve">    t_symbol    *out_of_work, *at_work, *work_in_progress;</w:t>
      </w:r>
      <w:r>
        <w:br w:type="textWrapping"/>
      </w:r>
      <w:r>
        <w:rPr>
          <w:rStyle w:val="NormalTok"/>
        </w:rPr>
        <w:t xml:space="preserve">    t_symbol    *working_for_the_man, *freelancing, *working_under_the_table;</w:t>
      </w:r>
      <w:r>
        <w:br w:type="textWrapping"/>
      </w:r>
      <w:r>
        <w:rPr>
          <w:rStyle w:val="NormalTok"/>
        </w:rPr>
        <w:t xml:space="preserve">    t_symbol    *working_past_a_deadline, *working_in_pairs;</w:t>
      </w:r>
      <w:r>
        <w:br w:type="textWrapping"/>
      </w:r>
      <w:r>
        <w:rPr>
          <w:rStyle w:val="NormalTok"/>
        </w:rPr>
        <w:t xml:space="preserve">    t_symbol    *teamwork, *collaborate, *co-operate;</w:t>
      </w:r>
      <w:r>
        <w:br w:type="textWrapping"/>
      </w:r>
      <w:r>
        <w:rPr>
          <w:rStyle w:val="NormalTok"/>
        </w:rPr>
        <w:t xml:space="preserve">    t_symbol    *paperwork, *networking, *prototyping, *worked-up;</w:t>
      </w:r>
      <w:r>
        <w:br w:type="textWrapping"/>
      </w:r>
      <w:r>
        <w:rPr>
          <w:rStyle w:val="NormalTok"/>
        </w:rPr>
        <w:t xml:space="preserve">    </w:t>
      </w:r>
      <w:r>
        <w:rPr>
          <w:rStyle w:val="DataTypeTok"/>
        </w:rPr>
        <w:t xml:space="preserve">char</w:t>
      </w:r>
      <w:r>
        <w:rPr>
          <w:rStyle w:val="NormalTok"/>
        </w:rPr>
        <w:t xml:space="preserve">        *work_the_crowd, *work_the_system;</w:t>
      </w:r>
      <w:r>
        <w:br w:type="textWrapping"/>
      </w:r>
      <w:r>
        <w:rPr>
          <w:rStyle w:val="NormalTok"/>
        </w:rPr>
        <w:t xml:space="preserve">    t_symbol    *work_a_miracle, *work_your_workers;</w:t>
      </w:r>
      <w:r>
        <w:br w:type="textWrapping"/>
      </w:r>
      <w:r>
        <w:rPr>
          <w:rStyle w:val="NormalTok"/>
        </w:rPr>
        <w:t xml:space="preserve">    t_symbol    *social_worker;</w:t>
      </w:r>
      <w:r>
        <w:br w:type="textWrapping"/>
      </w:r>
      <w:r>
        <w:rPr>
          <w:rStyle w:val="NormalTok"/>
        </w:rPr>
        <w:t xml:space="preserve">    t_float     *a_ship_works_in_a_heavy_sea, *work_the_levers;</w:t>
      </w:r>
      <w:r>
        <w:br w:type="textWrapping"/>
      </w:r>
      <w:r>
        <w:rPr>
          <w:rStyle w:val="NormalTok"/>
        </w:rPr>
        <w:t xml:space="preserve">    t_float     *work_for_Facebook, *future_work, *framework;</w:t>
      </w:r>
      <w:r>
        <w:br w:type="textWrapping"/>
      </w:r>
      <w:r>
        <w:rPr>
          <w:rStyle w:val="NormalTok"/>
        </w:rPr>
        <w:t xml:space="preserve"> } t_working;</w:t>
      </w:r>
    </w:p>
    <w:p>
      <w:pPr>
        <w:pStyle w:val="Heading1"/>
      </w:pPr>
      <w:bookmarkStart w:id="338" w:name="chapter:Conclusion"/>
      <w:r>
        <w:t xml:space="preserve">Conclusion</w:t>
      </w:r>
      <w:bookmarkEnd w:id="338"/>
    </w:p>
    <w:p>
      <w:pPr>
        <w:pStyle w:val="FirstParagraph"/>
      </w:pPr>
      <w:r>
        <w:t xml:space="preserve">…</w:t>
      </w:r>
      <w:r>
        <w:t xml:space="preserve"> </w:t>
      </w:r>
      <w:r>
        <w:t xml:space="preserve">placeholder for conclusion abstract</w:t>
      </w:r>
      <w:r>
        <w:t xml:space="preserve"> </w:t>
      </w:r>
      <w:r>
        <w:t xml:space="preserve">…</w:t>
      </w:r>
    </w:p>
    <w:p>
      <w:pPr>
        <w:pStyle w:val="Heading1"/>
      </w:pPr>
      <w:bookmarkStart w:id="339" w:name="chapter:Appendices"/>
      <w:r>
        <w:t xml:space="preserve">Appendices</w:t>
      </w:r>
      <w:bookmarkEnd w:id="339"/>
    </w:p>
    <w:p>
      <w:pPr>
        <w:pStyle w:val="FirstParagraph"/>
      </w:pPr>
      <w:r>
        <w:t xml:space="preserve">abstract of appendices</w:t>
      </w:r>
    </w:p>
    <w:p>
      <w:pPr>
        <w:pStyle w:val="Heading2"/>
      </w:pPr>
      <w:bookmarkStart w:id="340" w:name="X9928d5a4298d9156e673c83842d96a99bfb66d7"/>
      <w:r>
        <w:t xml:space="preserve">DIANA: Database for Image and Audio Navigation</w:t>
      </w:r>
      <w:bookmarkEnd w:id="3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341" w:name="dbmodel"/>
      <w:r>
        <w:t xml:space="preserve">A Database Model</w:t>
      </w:r>
      <w:bookmarkEnd w:id="3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342" w:name="X7616598f194c52ee6f4c09f01c755a7090177ba"/>
      <w:r>
        <w:t xml:space="preserve">ABBY: An Online Environment for Annotated Bibliographies</w:t>
      </w:r>
      <w:bookmarkEnd w:id="342"/>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3"/>
      </w:pPr>
      <w:bookmarkStart w:id="343" w:name="texdb"/>
      <w:r>
        <w:t xml:space="preserve">A Text Database</w:t>
      </w:r>
      <w:bookmarkEnd w:id="343"/>
    </w:p>
    <w:p>
      <w:pPr>
        <w:pStyle w:val="FirstParagraph"/>
      </w:pPr>
      <w:r>
        <w:t xml:space="preserve">A detailed description of the text database model…</w:t>
      </w:r>
    </w:p>
    <w:bookmarkStart w:id="683" w:name="refs"/>
    <w:bookmarkStart w:id="3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4"/>
    <w:bookmarkStart w:id="3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5"/>
    <w:bookmarkStart w:id="3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6"/>
    <w:bookmarkStart w:id="3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7"/>
    <w:bookmarkStart w:id="3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8"/>
    <w:bookmarkStart w:id="3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9">
        <w:r>
          <w:rPr>
            <w:rStyle w:val="Hyperlink"/>
          </w:rPr>
          <w:t xml:space="preserve">http://www.terasoft.com.tw/conf/ismir2014/proceedings/T014_162_Paper.pdf</w:t>
        </w:r>
      </w:hyperlink>
    </w:p>
    <w:bookmarkEnd w:id="350"/>
    <w:bookmarkStart w:id="3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51"/>
    <w:bookmarkStart w:id="35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2"/>
    <w:bookmarkStart w:id="35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3"/>
    <w:bookmarkStart w:id="35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5"/>
    <w:bookmarkStart w:id="356"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6"/>
    <w:bookmarkStart w:id="357"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7"/>
    <w:bookmarkStart w:id="358"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8"/>
    <w:bookmarkStart w:id="359"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9"/>
    <w:bookmarkStart w:id="360"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60"/>
    <w:bookmarkStart w:id="361" w:name="ref-Bar20:Viv"/>
    <w:p>
      <w:pPr>
        <w:pStyle w:val="Bibliography"/>
      </w:pPr>
      <w:r>
        <w:t xml:space="preserve">Barrett N. 2000b. Viva la selva</w:t>
      </w:r>
    </w:p>
    <w:bookmarkEnd w:id="361"/>
    <w:bookmarkStart w:id="362" w:name="ref-Bar68:Ele"/>
    <w:p>
      <w:pPr>
        <w:pStyle w:val="Bibliography"/>
      </w:pPr>
      <w:r>
        <w:t xml:space="preserve">Barthes R, Lavers A, Smith C. 1968.</w:t>
      </w:r>
      <w:r>
        <w:t xml:space="preserve"> </w:t>
      </w:r>
      <w:r>
        <w:rPr>
          <w:i/>
        </w:rPr>
        <w:t xml:space="preserve">Elements of Semiology</w:t>
      </w:r>
      <w:r>
        <w:t xml:space="preserve">. Hill; Wang, New York. ed.</w:t>
      </w:r>
    </w:p>
    <w:bookmarkEnd w:id="362"/>
    <w:bookmarkStart w:id="36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3"/>
    <w:bookmarkStart w:id="3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4"/>
    <w:bookmarkStart w:id="3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5"/>
    <w:bookmarkStart w:id="3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6">
        <w:r>
          <w:rPr>
            <w:rStyle w:val="Hyperlink"/>
          </w:rPr>
          <w:t xml:space="preserve">http://www.terasoft.com.tw/conf/ismir2014/proceedings/T028_322_Paper.pdf</w:t>
        </w:r>
      </w:hyperlink>
    </w:p>
    <w:bookmarkEnd w:id="367"/>
    <w:bookmarkStart w:id="36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8"/>
    <w:bookmarkStart w:id="370"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9">
        <w:r>
          <w:rPr>
            <w:rStyle w:val="Hyperlink"/>
          </w:rPr>
          <w:t xml:space="preserve">http://www.ppgia.pucpr.br/ismir2013/wp-content/uploads/2013/09/177\_Paper.pdf</w:t>
        </w:r>
      </w:hyperlink>
    </w:p>
    <w:bookmarkEnd w:id="370"/>
    <w:bookmarkStart w:id="371"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1"/>
    <w:bookmarkStart w:id="372" w:name="ref-Bor42:Fun"/>
    <w:p>
      <w:pPr>
        <w:pStyle w:val="Bibliography"/>
      </w:pPr>
      <w:r>
        <w:t xml:space="preserve">Borges JL. 1942. Funes el memorioso.</w:t>
      </w:r>
      <w:r>
        <w:t xml:space="preserve"> </w:t>
      </w:r>
      <w:r>
        <w:rPr>
          <w:i/>
        </w:rPr>
        <w:t xml:space="preserve">Ficciones</w:t>
      </w:r>
    </w:p>
    <w:bookmarkEnd w:id="372"/>
    <w:bookmarkStart w:id="373" w:name="ref-Bor95:Rat"/>
    <w:p>
      <w:pPr>
        <w:pStyle w:val="Bibliography"/>
      </w:pPr>
      <w:r>
        <w:t xml:space="preserve">Born G. 1995.</w:t>
      </w:r>
      <w:r>
        <w:t xml:space="preserve"> </w:t>
      </w:r>
      <w:r>
        <w:rPr>
          <w:i/>
        </w:rPr>
        <w:t xml:space="preserve">Rationalizing Culture</w:t>
      </w:r>
      <w:r>
        <w:t xml:space="preserve">. University of California Press. ed.</w:t>
      </w:r>
    </w:p>
    <w:bookmarkEnd w:id="373"/>
    <w:bookmarkStart w:id="3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4"/>
    <w:bookmarkStart w:id="3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5"/>
    <w:bookmarkStart w:id="376"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6"/>
    <w:bookmarkStart w:id="377"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7"/>
    <w:bookmarkStart w:id="378"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8"/>
    <w:bookmarkStart w:id="379"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9"/>
    <w:bookmarkStart w:id="380" w:name="ref-score11manual"/>
    <w:p>
      <w:pPr>
        <w:pStyle w:val="Bibliography"/>
      </w:pPr>
      <w:r>
        <w:t xml:space="preserve">Brinkman AR. 1982. Original version of the score11 manual.</w:t>
      </w:r>
      <w:r>
        <w:t xml:space="preserve"> </w:t>
      </w:r>
      <w:r>
        <w:rPr>
          <w:i/>
        </w:rPr>
        <w:t xml:space="preserve">Score11 Manual</w:t>
      </w:r>
    </w:p>
    <w:bookmarkEnd w:id="380"/>
    <w:bookmarkStart w:id="381"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1"/>
    <w:bookmarkStart w:id="382"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2"/>
    <w:bookmarkStart w:id="383"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3"/>
    <w:bookmarkStart w:id="3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4">
        <w:r>
          <w:rPr>
            <w:rStyle w:val="Hyperlink"/>
          </w:rPr>
          <w:t xml:space="preserve">http://www.nime.org/proceedings/2011/nime2011_387.pdf</w:t>
        </w:r>
      </w:hyperlink>
    </w:p>
    <w:bookmarkEnd w:id="385"/>
    <w:bookmarkStart w:id="3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6">
        <w:r>
          <w:rPr>
            <w:rStyle w:val="Hyperlink"/>
          </w:rPr>
          <w:t xml:space="preserve">http://www.nime.org/proceedings/2009/nime2009_266.pdf</w:t>
        </w:r>
      </w:hyperlink>
    </w:p>
    <w:bookmarkEnd w:id="387"/>
    <w:bookmarkStart w:id="3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8"/>
    <w:bookmarkStart w:id="3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9"/>
    <w:bookmarkStart w:id="3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90"/>
    <w:bookmarkStart w:id="391" w:name="ref-Bux77:Aco"/>
    <w:p>
      <w:pPr>
        <w:pStyle w:val="Bibliography"/>
      </w:pPr>
      <w:r>
        <w:t xml:space="preserve">Buxton W. 1977. A composer’s introduction to computer music.</w:t>
      </w:r>
      <w:r>
        <w:t xml:space="preserve"> </w:t>
      </w:r>
      <w:r>
        <w:rPr>
          <w:i/>
        </w:rPr>
        <w:t xml:space="preserve">Interface</w:t>
      </w:r>
      <w:r>
        <w:t xml:space="preserve">. 6:57–72</w:t>
      </w:r>
    </w:p>
    <w:bookmarkEnd w:id="391"/>
    <w:bookmarkStart w:id="392" w:name="ref-youtube/buxton10"/>
    <w:p>
      <w:pPr>
        <w:pStyle w:val="Bibliography"/>
      </w:pPr>
      <w:r>
        <w:t xml:space="preserve">Buxton W. 2016a. Objed: The sssp sound editing tool.</w:t>
      </w:r>
      <w:r>
        <w:t xml:space="preserve"> </w:t>
      </w:r>
      <w:r>
        <w:rPr>
          <w:i/>
        </w:rPr>
        <w:t xml:space="preserve">Youtube</w:t>
      </w:r>
    </w:p>
    <w:bookmarkEnd w:id="392"/>
    <w:bookmarkStart w:id="39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3"/>
    <w:bookmarkStart w:id="3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4"/>
    <w:bookmarkStart w:id="3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5"/>
    <w:bookmarkStart w:id="39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6">
        <w:r>
          <w:rPr>
            <w:rStyle w:val="Hyperlink"/>
          </w:rPr>
          <w:t xml:space="preserve">http://www.nime.org/proceedings/2011/nime2011_329.pdf</w:t>
        </w:r>
      </w:hyperlink>
    </w:p>
    <w:bookmarkEnd w:id="397"/>
    <w:bookmarkStart w:id="39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8"/>
    <w:bookmarkStart w:id="39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9"/>
    <w:bookmarkStart w:id="400"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0"/>
    <w:bookmarkStart w:id="401" w:name="ref-Rya17:OnT"/>
    <w:p>
      <w:pPr>
        <w:pStyle w:val="Bibliography"/>
      </w:pPr>
      <w:r>
        <w:t xml:space="preserve">Carter R. 2017. On the expressive potential of suboptimal speakers</w:t>
      </w:r>
    </w:p>
    <w:bookmarkEnd w:id="401"/>
    <w:bookmarkStart w:id="402"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2"/>
    <w:bookmarkStart w:id="403"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3"/>
    <w:bookmarkStart w:id="404"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4"/>
    <w:bookmarkStart w:id="4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5"/>
    <w:bookmarkStart w:id="4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6"/>
    <w:bookmarkStart w:id="4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7"/>
    <w:bookmarkStart w:id="408"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8"/>
    <w:bookmarkStart w:id="409"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9"/>
    <w:bookmarkStart w:id="410" w:name="ref-Cho00:Voi"/>
    <w:p>
      <w:pPr>
        <w:pStyle w:val="Bibliography"/>
      </w:pPr>
      <w:r>
        <w:t xml:space="preserve">Choi I. 2000. Voices in ruins — composition with residuals</w:t>
      </w:r>
    </w:p>
    <w:bookmarkEnd w:id="410"/>
    <w:bookmarkStart w:id="4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1"/>
    <w:bookmarkStart w:id="4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2"/>
    <w:bookmarkStart w:id="4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3"/>
    <w:bookmarkStart w:id="4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4"/>
    <w:bookmarkStart w:id="4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5"/>
    <w:bookmarkStart w:id="416"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6"/>
    <w:bookmarkStart w:id="417"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7"/>
    <w:bookmarkStart w:id="418"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8"/>
    <w:bookmarkStart w:id="419"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9"/>
    <w:bookmarkStart w:id="420" w:name="ref-connes:shapes"/>
    <w:p>
      <w:pPr>
        <w:pStyle w:val="Bibliography"/>
      </w:pPr>
      <w:r>
        <w:t xml:space="preserve">Connes A. 2012. The music of shapes</w:t>
      </w:r>
    </w:p>
    <w:bookmarkEnd w:id="420"/>
    <w:bookmarkStart w:id="4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1"/>
    <w:bookmarkStart w:id="4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2"/>
    <w:bookmarkStart w:id="423"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3"/>
    <w:bookmarkStart w:id="4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4"/>
    <w:bookmarkStart w:id="425"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5"/>
    <w:bookmarkStart w:id="42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6">
        <w:r>
          <w:rPr>
            <w:rStyle w:val="Hyperlink"/>
          </w:rPr>
          <w:t xml:space="preserve">https://ismir2017.smcnus.org/wp-content/uploads/2017/10/235_Paper.pdf</w:t>
        </w:r>
      </w:hyperlink>
    </w:p>
    <w:bookmarkEnd w:id="427"/>
    <w:bookmarkStart w:id="429" w:name="ref-crowley98"/>
    <w:p>
      <w:pPr>
        <w:pStyle w:val="Bibliography"/>
      </w:pPr>
      <w:r>
        <w:t xml:space="preserve">Crowley C. 1998. Data structures for text sequences.</w:t>
      </w:r>
      <w:r>
        <w:t xml:space="preserve"> </w:t>
      </w:r>
      <w:hyperlink r:id="rId428">
        <w:r>
          <w:rPr>
            <w:rStyle w:val="Hyperlink"/>
          </w:rPr>
          <w:t xml:space="preserve">https://www.cs.unm.edu/~crowley/papers/sds.pdf</w:t>
        </w:r>
      </w:hyperlink>
    </w:p>
    <w:bookmarkEnd w:id="429"/>
    <w:bookmarkStart w:id="43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0"/>
    <w:bookmarkStart w:id="43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1">
        <w:r>
          <w:rPr>
            <w:rStyle w:val="Hyperlink"/>
          </w:rPr>
          <w:t xml:space="preserve">https://ismir2017.smcnus.org/wp-content/uploads/2017/10/75_Paper.pdf</w:t>
        </w:r>
      </w:hyperlink>
    </w:p>
    <w:bookmarkEnd w:id="432"/>
    <w:bookmarkStart w:id="433"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3"/>
    <w:bookmarkStart w:id="434"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4"/>
    <w:bookmarkStart w:id="43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5"/>
    <w:bookmarkStart w:id="436" w:name="ref-Der78:Wri"/>
    <w:p>
      <w:pPr>
        <w:pStyle w:val="Bibliography"/>
      </w:pPr>
      <w:r>
        <w:t xml:space="preserve">Derrida J. 1978.</w:t>
      </w:r>
      <w:r>
        <w:t xml:space="preserve"> </w:t>
      </w:r>
      <w:r>
        <w:rPr>
          <w:i/>
        </w:rPr>
        <w:t xml:space="preserve">Writing and Difference</w:t>
      </w:r>
      <w:r>
        <w:t xml:space="preserve">. The University of Chicago. ed.</w:t>
      </w:r>
    </w:p>
    <w:bookmarkEnd w:id="436"/>
    <w:bookmarkStart w:id="437" w:name="ref-Der82:Mar"/>
    <w:p>
      <w:pPr>
        <w:pStyle w:val="Bibliography"/>
      </w:pPr>
      <w:r>
        <w:t xml:space="preserve">Derrida J. 1982.</w:t>
      </w:r>
      <w:r>
        <w:t xml:space="preserve"> </w:t>
      </w:r>
      <w:r>
        <w:rPr>
          <w:i/>
        </w:rPr>
        <w:t xml:space="preserve">Margins of Philosophy</w:t>
      </w:r>
      <w:r>
        <w:t xml:space="preserve">. The Harvester Press. ed.</w:t>
      </w:r>
    </w:p>
    <w:bookmarkEnd w:id="437"/>
    <w:bookmarkStart w:id="438" w:name="ref-Der95:Arc"/>
    <w:p>
      <w:pPr>
        <w:pStyle w:val="Bibliography"/>
      </w:pPr>
      <w:r>
        <w:t xml:space="preserve">Derrida J, Prenowitz E. 1995. Archive fever: A freudian impression.</w:t>
      </w:r>
      <w:r>
        <w:t xml:space="preserve"> </w:t>
      </w:r>
      <w:r>
        <w:rPr>
          <w:i/>
        </w:rPr>
        <w:t xml:space="preserve">Diacritics</w:t>
      </w:r>
      <w:r>
        <w:t xml:space="preserve">. 25(2):</w:t>
      </w:r>
    </w:p>
    <w:bookmarkEnd w:id="438"/>
    <w:bookmarkStart w:id="44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9">
        <w:r>
          <w:rPr>
            <w:rStyle w:val="Hyperlink"/>
          </w:rPr>
          <w:t xml:space="preserve">http://ismir2015.uma.es/articles/261_Paper.pdf</w:t>
        </w:r>
      </w:hyperlink>
    </w:p>
    <w:bookmarkEnd w:id="440"/>
    <w:bookmarkStart w:id="441"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1"/>
    <w:bookmarkStart w:id="44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2"/>
    <w:bookmarkStart w:id="44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3"/>
    <w:bookmarkStart w:id="44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4"/>
    <w:bookmarkStart w:id="44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5"/>
    <w:bookmarkStart w:id="44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6"/>
    <w:bookmarkStart w:id="44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7">
        <w:r>
          <w:rPr>
            <w:rStyle w:val="Hyperlink"/>
          </w:rPr>
          <w:t xml:space="preserve">http://ismir2018.ircam.fr/doc/pdfs/265_Paper.pdf</w:t>
        </w:r>
      </w:hyperlink>
    </w:p>
    <w:bookmarkEnd w:id="448"/>
    <w:bookmarkStart w:id="44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9"/>
    <w:bookmarkStart w:id="45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0">
        <w:r>
          <w:rPr>
            <w:rStyle w:val="Hyperlink"/>
          </w:rPr>
          <w:t xml:space="preserve">http://ismir2000.ismir.net/papers/invites/dunn_invite.pdf</w:t>
        </w:r>
      </w:hyperlink>
    </w:p>
    <w:bookmarkEnd w:id="451"/>
    <w:bookmarkStart w:id="45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2"/>
    <w:bookmarkStart w:id="45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3"/>
    <w:bookmarkStart w:id="454" w:name="ref-Eco04:The"/>
    <w:p>
      <w:pPr>
        <w:pStyle w:val="Bibliography"/>
      </w:pPr>
      <w:r>
        <w:t xml:space="preserve">Eco U. 2004. The poetics of the open work.</w:t>
      </w:r>
      <w:r>
        <w:t xml:space="preserve"> </w:t>
      </w:r>
      <w:r>
        <w:rPr>
          <w:i/>
        </w:rPr>
        <w:t xml:space="preserve">Audio Culture: Readings in Modern Music</w:t>
      </w:r>
    </w:p>
    <w:bookmarkEnd w:id="454"/>
    <w:bookmarkStart w:id="455" w:name="ref-Emm86:The"/>
    <w:p>
      <w:pPr>
        <w:pStyle w:val="Bibliography"/>
      </w:pPr>
      <w:r>
        <w:t xml:space="preserve">Emmerson S. 1986.</w:t>
      </w:r>
      <w:r>
        <w:t xml:space="preserve"> </w:t>
      </w:r>
      <w:r>
        <w:rPr>
          <w:i/>
        </w:rPr>
        <w:t xml:space="preserve">The Language of Electroacoustic Music</w:t>
      </w:r>
      <w:r>
        <w:t xml:space="preserve">. ed.</w:t>
      </w:r>
    </w:p>
    <w:bookmarkEnd w:id="455"/>
    <w:bookmarkStart w:id="45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6">
        <w:r>
          <w:rPr>
            <w:rStyle w:val="Hyperlink"/>
          </w:rPr>
          <w:t xml:space="preserve">http://ismir2018.ircam.fr/doc/pdfs/206_Paper.pdf</w:t>
        </w:r>
      </w:hyperlink>
    </w:p>
    <w:bookmarkEnd w:id="457"/>
    <w:bookmarkStart w:id="45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8"/>
    <w:bookmarkStart w:id="459" w:name="ref-Ern13:Dig"/>
    <w:p>
      <w:pPr>
        <w:pStyle w:val="Bibliography"/>
      </w:pPr>
      <w:r>
        <w:t xml:space="preserve">Ernst W. 2013.</w:t>
      </w:r>
      <w:r>
        <w:t xml:space="preserve"> </w:t>
      </w:r>
      <w:r>
        <w:rPr>
          <w:i/>
        </w:rPr>
        <w:t xml:space="preserve">Digital Memory and the Archive</w:t>
      </w:r>
      <w:r>
        <w:t xml:space="preserve">. University of Minnesota Press. ed.</w:t>
      </w:r>
    </w:p>
    <w:bookmarkEnd w:id="459"/>
    <w:bookmarkStart w:id="46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0"/>
    <w:bookmarkStart w:id="46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1"/>
    <w:bookmarkStart w:id="46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2">
        <w:r>
          <w:rPr>
            <w:rStyle w:val="Hyperlink"/>
          </w:rPr>
          <w:t xml:space="preserve">https://ismir2017.smcnus.org/wp-content/uploads/2017/10/161_Paper.pdf</w:t>
        </w:r>
      </w:hyperlink>
    </w:p>
    <w:bookmarkEnd w:id="463"/>
    <w:bookmarkStart w:id="46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4"/>
    <w:bookmarkStart w:id="46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5"/>
    <w:bookmarkStart w:id="46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6"/>
    <w:bookmarkStart w:id="46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7"/>
    <w:bookmarkStart w:id="46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8"/>
    <w:bookmarkStart w:id="46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9"/>
    <w:bookmarkStart w:id="4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0">
        <w:r>
          <w:rPr>
            <w:rStyle w:val="Hyperlink"/>
          </w:rPr>
          <w:t xml:space="preserve">http://www.nime.org/proceedings/2011/nime2011_124.pdf</w:t>
        </w:r>
      </w:hyperlink>
    </w:p>
    <w:bookmarkEnd w:id="471"/>
    <w:bookmarkStart w:id="4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2"/>
    <w:bookmarkStart w:id="4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3">
        <w:r>
          <w:rPr>
            <w:rStyle w:val="Hyperlink"/>
          </w:rPr>
          <w:t xml:space="preserve">http://ismir2000.ismir.net/posters/good.pdf</w:t>
        </w:r>
      </w:hyperlink>
    </w:p>
    <w:bookmarkEnd w:id="474"/>
    <w:bookmarkStart w:id="4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5">
        <w:r>
          <w:rPr>
            <w:rStyle w:val="Hyperlink"/>
          </w:rPr>
          <w:t xml:space="preserve">http://ismir2002.ismir.net/proceedings/03-SP04-1.pdf</w:t>
        </w:r>
      </w:hyperlink>
    </w:p>
    <w:bookmarkEnd w:id="476"/>
    <w:bookmarkStart w:id="4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7">
        <w:r>
          <w:rPr>
            <w:rStyle w:val="Hyperlink"/>
          </w:rPr>
          <w:t xml:space="preserve">http://ismir2003.ismir.net/papers/Goto1.PDF</w:t>
        </w:r>
      </w:hyperlink>
    </w:p>
    <w:bookmarkEnd w:id="478"/>
    <w:bookmarkStart w:id="479" w:name="ref-Gra15:The"/>
    <w:p>
      <w:pPr>
        <w:pStyle w:val="Bibliography"/>
      </w:pPr>
      <w:r>
        <w:t xml:space="preserve">Gratton P, Morin M-E. 2015.</w:t>
      </w:r>
      <w:r>
        <w:t xml:space="preserve"> </w:t>
      </w:r>
      <w:r>
        <w:rPr>
          <w:i/>
        </w:rPr>
        <w:t xml:space="preserve">The Nancy Dictionary</w:t>
      </w:r>
      <w:r>
        <w:t xml:space="preserve">. Edinburgh University Press. ed.</w:t>
      </w:r>
    </w:p>
    <w:bookmarkEnd w:id="479"/>
    <w:bookmarkStart w:id="480"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0"/>
    <w:bookmarkStart w:id="482"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1">
        <w:r>
          <w:rPr>
            <w:rStyle w:val="Hyperlink"/>
          </w:rPr>
          <w:t xml:space="preserve">http://www.terasoft.com.tw/conf/ismir2014/proceedings/T059_257_Paper.pdf</w:t>
        </w:r>
      </w:hyperlink>
    </w:p>
    <w:bookmarkEnd w:id="482"/>
    <w:bookmarkStart w:id="483"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3"/>
    <w:bookmarkStart w:id="484"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4"/>
    <w:bookmarkStart w:id="485" w:name="ref-Han04:New"/>
    <w:p>
      <w:pPr>
        <w:pStyle w:val="Bibliography"/>
      </w:pPr>
      <w:r>
        <w:t xml:space="preserve">Hansen MBN. 2004.</w:t>
      </w:r>
      <w:r>
        <w:t xml:space="preserve"> </w:t>
      </w:r>
      <w:r>
        <w:rPr>
          <w:i/>
        </w:rPr>
        <w:t xml:space="preserve">New Philosophy for New Media</w:t>
      </w:r>
      <w:r>
        <w:t xml:space="preserve">. The MIT Press. ed.</w:t>
      </w:r>
    </w:p>
    <w:bookmarkEnd w:id="485"/>
    <w:bookmarkStart w:id="48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6">
        <w:r>
          <w:rPr>
            <w:rStyle w:val="Hyperlink"/>
          </w:rPr>
          <w:t xml:space="preserve">http://ismir2008.ismir.net/papers/ISMIR2008_173.pdf</w:t>
        </w:r>
      </w:hyperlink>
    </w:p>
    <w:bookmarkEnd w:id="487"/>
    <w:bookmarkStart w:id="488"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8"/>
    <w:bookmarkStart w:id="489"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9"/>
    <w:bookmarkStart w:id="49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0">
        <w:r>
          <w:rPr>
            <w:rStyle w:val="Hyperlink"/>
          </w:rPr>
          <w:t xml:space="preserve">http://www.ppgia.pucpr.br/ismir2013/wp-content/uploads/2013/09/85_Paper.pdf</w:t>
        </w:r>
      </w:hyperlink>
    </w:p>
    <w:bookmarkEnd w:id="491"/>
    <w:bookmarkStart w:id="492"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2"/>
    <w:bookmarkStart w:id="493" w:name="ref-Hay93:The"/>
    <w:p>
      <w:pPr>
        <w:pStyle w:val="Bibliography"/>
      </w:pPr>
      <w:r>
        <w:t xml:space="preserve">Hayles NK. 1993. The materiality of informatics.</w:t>
      </w:r>
      <w:r>
        <w:t xml:space="preserve"> </w:t>
      </w:r>
      <w:r>
        <w:rPr>
          <w:i/>
        </w:rPr>
        <w:t xml:space="preserve">Configurations</w:t>
      </w:r>
      <w:r>
        <w:t xml:space="preserve">. 1(1):</w:t>
      </w:r>
    </w:p>
    <w:bookmarkEnd w:id="493"/>
    <w:bookmarkStart w:id="49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4"/>
    <w:bookmarkStart w:id="495"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5"/>
    <w:bookmarkStart w:id="496"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6"/>
    <w:bookmarkStart w:id="49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7">
        <w:r>
          <w:rPr>
            <w:rStyle w:val="Hyperlink"/>
          </w:rPr>
          <w:t xml:space="preserve">http://www.nime.org/proceedings/2010/nime2010_233.pdf</w:t>
        </w:r>
      </w:hyperlink>
    </w:p>
    <w:bookmarkEnd w:id="498"/>
    <w:bookmarkStart w:id="50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9">
        <w:r>
          <w:rPr>
            <w:rStyle w:val="Hyperlink"/>
          </w:rPr>
          <w:t xml:space="preserve">http://ismir2005.ismir.net/proceedings/2117.pdf</w:t>
        </w:r>
      </w:hyperlink>
    </w:p>
    <w:bookmarkEnd w:id="500"/>
    <w:bookmarkStart w:id="501"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1"/>
    <w:bookmarkStart w:id="50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2">
        <w:r>
          <w:rPr>
            <w:rStyle w:val="Hyperlink"/>
          </w:rPr>
          <w:t xml:space="preserve">http://ismir2018.ircam.fr/doc/pdfs/248_Paper.pdf</w:t>
        </w:r>
      </w:hyperlink>
    </w:p>
    <w:bookmarkEnd w:id="503"/>
    <w:bookmarkStart w:id="504" w:name="ref-Mau99:Abr"/>
    <w:p>
      <w:pPr>
        <w:pStyle w:val="Bibliography"/>
      </w:pPr>
      <w:r>
        <w:t xml:space="preserve">IV JAM. 1999.</w:t>
      </w:r>
      <w:r>
        <w:t xml:space="preserve"> </w:t>
      </w:r>
      <w:r>
        <w:rPr>
          <w:i/>
        </w:rPr>
        <w:t xml:space="preserve">A Brief History of Algorithmic Composition</w:t>
      </w:r>
      <w:r>
        <w:t xml:space="preserve">. Online. ed.</w:t>
      </w:r>
    </w:p>
    <w:bookmarkEnd w:id="504"/>
    <w:bookmarkStart w:id="50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5"/>
    <w:bookmarkStart w:id="50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6"/>
    <w:bookmarkStart w:id="50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7"/>
    <w:bookmarkStart w:id="50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8">
        <w:r>
          <w:rPr>
            <w:rStyle w:val="Hyperlink"/>
          </w:rPr>
          <w:t xml:space="preserve">http://ismir2008.ismir.net/papers/ISMIR2008_106.pdf</w:t>
        </w:r>
      </w:hyperlink>
    </w:p>
    <w:bookmarkEnd w:id="509"/>
    <w:bookmarkStart w:id="51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0"/>
    <w:bookmarkStart w:id="5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1"/>
    <w:bookmarkStart w:id="512"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2"/>
    <w:bookmarkStart w:id="51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3"/>
    <w:bookmarkStart w:id="51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4">
        <w:r>
          <w:rPr>
            <w:rStyle w:val="Hyperlink"/>
          </w:rPr>
          <w:t xml:space="preserve">http://www.terasoft.com.tw/conf/ismir2014/proceedings/T039_344_Paper.pdf</w:t>
        </w:r>
      </w:hyperlink>
    </w:p>
    <w:bookmarkEnd w:id="515"/>
    <w:bookmarkStart w:id="516" w:name="ref-Kle98:The"/>
    <w:p>
      <w:pPr>
        <w:pStyle w:val="Bibliography"/>
      </w:pPr>
      <w:r>
        <w:t xml:space="preserve">Klein J. 1998. The wolves of bays mountain</w:t>
      </w:r>
    </w:p>
    <w:bookmarkEnd w:id="516"/>
    <w:bookmarkStart w:id="517" w:name="ref-Kle17:Lec"/>
    <w:p>
      <w:pPr>
        <w:pStyle w:val="Bibliography"/>
      </w:pPr>
      <w:r>
        <w:t xml:space="preserve">Klein J. 2017.</w:t>
      </w:r>
      <w:r>
        <w:t xml:space="preserve"> </w:t>
      </w:r>
      <w:r>
        <w:rPr>
          <w:i/>
        </w:rPr>
        <w:t xml:space="preserve">On my compositional approach</w:t>
      </w:r>
      <w:r>
        <w:t xml:space="preserve">. Work. Pap.</w:t>
      </w:r>
    </w:p>
    <w:bookmarkEnd w:id="517"/>
    <w:bookmarkStart w:id="5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8"/>
    <w:bookmarkStart w:id="5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9">
        <w:r>
          <w:rPr>
            <w:rStyle w:val="Hyperlink"/>
          </w:rPr>
          <w:t xml:space="preserve">http://ismir2015.uma.es/articles/246_Paper.pdf</w:t>
        </w:r>
      </w:hyperlink>
    </w:p>
    <w:bookmarkEnd w:id="520"/>
    <w:bookmarkStart w:id="5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1"/>
    <w:bookmarkStart w:id="522"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2"/>
    <w:bookmarkStart w:id="5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3"/>
    <w:bookmarkStart w:id="5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4"/>
    <w:bookmarkStart w:id="5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5"/>
    <w:bookmarkStart w:id="5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6"/>
    <w:bookmarkStart w:id="5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7"/>
    <w:bookmarkStart w:id="5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8"/>
    <w:bookmarkStart w:id="5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9"/>
    <w:bookmarkStart w:id="5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30"/>
    <w:bookmarkStart w:id="531" w:name="ref-Lod98:MUS"/>
    <w:p>
      <w:pPr>
        <w:pStyle w:val="Bibliography"/>
      </w:pPr>
      <w:r>
        <w:t xml:space="preserve">Lodha S, Beahan J, Joseph A, Zane-ulman B. 1998. MUSE: A musical data sonification toolkit</w:t>
      </w:r>
    </w:p>
    <w:bookmarkEnd w:id="531"/>
    <w:bookmarkStart w:id="53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2"/>
    <w:bookmarkStart w:id="53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3">
        <w:r>
          <w:rPr>
            <w:rStyle w:val="Hyperlink"/>
          </w:rPr>
          <w:t xml:space="preserve">http://www.nime.org/proceedings/2008/nime2008_221.pdf</w:t>
        </w:r>
      </w:hyperlink>
    </w:p>
    <w:bookmarkEnd w:id="534"/>
    <w:bookmarkStart w:id="535"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5"/>
    <w:bookmarkStart w:id="536" w:name="ref-Man01:The"/>
    <w:p>
      <w:pPr>
        <w:pStyle w:val="Bibliography"/>
      </w:pPr>
      <w:r>
        <w:t xml:space="preserve">Manovich L. 2001.</w:t>
      </w:r>
      <w:r>
        <w:t xml:space="preserve"> </w:t>
      </w:r>
      <w:r>
        <w:rPr>
          <w:i/>
        </w:rPr>
        <w:t xml:space="preserve">The Language of New Media</w:t>
      </w:r>
      <w:r>
        <w:t xml:space="preserve">. MIT Press. ed.</w:t>
      </w:r>
    </w:p>
    <w:bookmarkEnd w:id="536"/>
    <w:bookmarkStart w:id="537" w:name="ref-Man02:Old"/>
    <w:p>
      <w:pPr>
        <w:pStyle w:val="Bibliography"/>
      </w:pPr>
      <w:r>
        <w:t xml:space="preserve">Manovich L. 2002. Old media as new media: Cinema.</w:t>
      </w:r>
      <w:r>
        <w:t xml:space="preserve"> </w:t>
      </w:r>
      <w:r>
        <w:rPr>
          <w:i/>
        </w:rPr>
        <w:t xml:space="preserve">The New Media Book</w:t>
      </w:r>
    </w:p>
    <w:bookmarkEnd w:id="537"/>
    <w:bookmarkStart w:id="53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8"/>
    <w:bookmarkStart w:id="54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9">
        <w:r>
          <w:rPr>
            <w:rStyle w:val="Hyperlink"/>
          </w:rPr>
          <w:t xml:space="preserve">http://ismir2008.ismir.net/papers/ISMIR2008_158.pdf</w:t>
        </w:r>
      </w:hyperlink>
    </w:p>
    <w:bookmarkEnd w:id="540"/>
    <w:bookmarkStart w:id="54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1"/>
    <w:bookmarkStart w:id="54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2"/>
    <w:bookmarkStart w:id="54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3"/>
    <w:bookmarkStart w:id="544" w:name="ref-csoundMethods"/>
    <w:p>
      <w:pPr>
        <w:pStyle w:val="Bibliography"/>
      </w:pPr>
      <w:r>
        <w:t xml:space="preserve">McCurdy I, Heintz J, Joaquin J, Knevel M. 2015. Methods of writing csound scores.</w:t>
      </w:r>
      <w:r>
        <w:t xml:space="preserve"> </w:t>
      </w:r>
      <w:r>
        <w:rPr>
          <w:i/>
        </w:rPr>
        <w:t xml:space="preserve">FLOSS Manuals</w:t>
      </w:r>
    </w:p>
    <w:bookmarkEnd w:id="544"/>
    <w:bookmarkStart w:id="54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5"/>
    <w:bookmarkStart w:id="54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6">
        <w:r>
          <w:rPr>
            <w:rStyle w:val="Hyperlink"/>
          </w:rPr>
          <w:t xml:space="preserve">http://ismir2018.ircam.fr/doc/pdfs/35_Paper.pdf</w:t>
        </w:r>
      </w:hyperlink>
    </w:p>
    <w:bookmarkEnd w:id="547"/>
    <w:bookmarkStart w:id="548"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8"/>
    <w:bookmarkStart w:id="54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9"/>
    <w:bookmarkStart w:id="550"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50"/>
    <w:bookmarkStart w:id="551"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1"/>
    <w:bookmarkStart w:id="552" w:name="ref-ods-cpp"/>
    <w:p>
      <w:pPr>
        <w:pStyle w:val="Bibliography"/>
      </w:pPr>
      <w:r>
        <w:t xml:space="preserve">Morin P. 2019.</w:t>
      </w:r>
      <w:r>
        <w:t xml:space="preserve"> </w:t>
      </w:r>
      <w:r>
        <w:rPr>
          <w:i/>
        </w:rPr>
        <w:t xml:space="preserve">Open Data Structures</w:t>
      </w:r>
      <w:r>
        <w:t xml:space="preserve">. Creative Commons. ed.</w:t>
      </w:r>
    </w:p>
    <w:bookmarkEnd w:id="552"/>
    <w:bookmarkStart w:id="553"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3"/>
    <w:bookmarkStart w:id="554"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4"/>
    <w:bookmarkStart w:id="555"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5"/>
    <w:bookmarkStart w:id="55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6">
        <w:r>
          <w:rPr>
            <w:rStyle w:val="Hyperlink"/>
          </w:rPr>
          <w:t xml:space="preserve">http://www.nime.org/proceedings/2007/nime2007_409.pdf</w:t>
        </w:r>
      </w:hyperlink>
    </w:p>
    <w:bookmarkEnd w:id="557"/>
    <w:bookmarkStart w:id="55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8"/>
    <w:bookmarkStart w:id="559" w:name="ref-Nan07:Lis"/>
    <w:p>
      <w:pPr>
        <w:pStyle w:val="Bibliography"/>
      </w:pPr>
      <w:r>
        <w:t xml:space="preserve">Nancy J-L. 2007.</w:t>
      </w:r>
      <w:r>
        <w:t xml:space="preserve"> </w:t>
      </w:r>
      <w:r>
        <w:rPr>
          <w:i/>
        </w:rPr>
        <w:t xml:space="preserve">Listening</w:t>
      </w:r>
      <w:r>
        <w:t xml:space="preserve">. Fordham University Place. ed.</w:t>
      </w:r>
    </w:p>
    <w:bookmarkEnd w:id="559"/>
    <w:bookmarkStart w:id="56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60"/>
    <w:bookmarkStart w:id="562"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61">
        <w:r>
          <w:rPr>
            <w:rStyle w:val="Hyperlink"/>
          </w:rPr>
          <w:t xml:space="preserve">http://www.nime.org/proceedings/2007/nime2007_112.pdf</w:t>
        </w:r>
      </w:hyperlink>
    </w:p>
    <w:bookmarkEnd w:id="562"/>
    <w:bookmarkStart w:id="563"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3"/>
    <w:bookmarkStart w:id="56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4"/>
    <w:bookmarkStart w:id="56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5"/>
    <w:bookmarkStart w:id="56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6"/>
    <w:bookmarkStart w:id="56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7"/>
    <w:bookmarkStart w:id="568"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8"/>
    <w:bookmarkStart w:id="56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9"/>
    <w:bookmarkStart w:id="57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70"/>
    <w:bookmarkStart w:id="57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1"/>
    <w:bookmarkStart w:id="572"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2"/>
    <w:bookmarkStart w:id="573"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3"/>
    <w:bookmarkStart w:id="574"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4"/>
    <w:bookmarkStart w:id="57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5">
        <w:r>
          <w:rPr>
            <w:rStyle w:val="Hyperlink"/>
          </w:rPr>
          <w:t xml:space="preserve">http://www.terasoft.com.tw/conf/ismir2014/proceedings/T064_307_Paper.pdf</w:t>
        </w:r>
      </w:hyperlink>
    </w:p>
    <w:bookmarkEnd w:id="576"/>
    <w:bookmarkStart w:id="577"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7"/>
    <w:bookmarkStart w:id="578" w:name="ref-Pos11:Int"/>
    <w:p>
      <w:pPr>
        <w:pStyle w:val="Bibliography"/>
      </w:pPr>
      <w:r>
        <w:t xml:space="preserve">Poster M. 2011. Introduction.</w:t>
      </w:r>
      <w:r>
        <w:t xml:space="preserve"> </w:t>
      </w:r>
      <w:r>
        <w:rPr>
          <w:i/>
        </w:rPr>
        <w:t xml:space="preserve">Into the Universe of Technical Images</w:t>
      </w:r>
    </w:p>
    <w:bookmarkEnd w:id="578"/>
    <w:bookmarkStart w:id="58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9">
        <w:r>
          <w:rPr>
            <w:rStyle w:val="Hyperlink"/>
          </w:rPr>
          <w:t xml:space="preserve">http://www.nime.org/proceedings/2008/nime2008_311.pdf</w:t>
        </w:r>
      </w:hyperlink>
    </w:p>
    <w:bookmarkEnd w:id="580"/>
    <w:bookmarkStart w:id="58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1"/>
    <w:bookmarkStart w:id="58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2"/>
    <w:bookmarkStart w:id="583" w:name="ref-Puc91:Som"/>
    <w:p>
      <w:pPr>
        <w:pStyle w:val="Bibliography"/>
      </w:pPr>
      <w:r>
        <w:t xml:space="preserve">Puckette M. 1991. Something digital.</w:t>
      </w:r>
      <w:r>
        <w:t xml:space="preserve"> </w:t>
      </w:r>
      <w:r>
        <w:rPr>
          <w:i/>
        </w:rPr>
        <w:t xml:space="preserve">Computer Music Journal</w:t>
      </w:r>
      <w:r>
        <w:t xml:space="preserve">. 15(4):65–69</w:t>
      </w:r>
    </w:p>
    <w:bookmarkEnd w:id="583"/>
    <w:bookmarkStart w:id="58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4"/>
    <w:bookmarkStart w:id="58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5"/>
    <w:bookmarkStart w:id="58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6"/>
    <w:bookmarkStart w:id="58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7"/>
    <w:bookmarkStart w:id="58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8"/>
    <w:bookmarkStart w:id="589"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9"/>
    <w:bookmarkStart w:id="590" w:name="ref-Roa04:Mic"/>
    <w:p>
      <w:pPr>
        <w:pStyle w:val="Bibliography"/>
      </w:pPr>
      <w:r>
        <w:t xml:space="preserve">Roads C. 2001.</w:t>
      </w:r>
      <w:r>
        <w:t xml:space="preserve"> </w:t>
      </w:r>
      <w:r>
        <w:rPr>
          <w:i/>
        </w:rPr>
        <w:t xml:space="preserve">Microsound</w:t>
      </w:r>
      <w:r>
        <w:t xml:space="preserve">. MIT Press. ed.</w:t>
      </w:r>
    </w:p>
    <w:bookmarkEnd w:id="590"/>
    <w:bookmarkStart w:id="591"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1"/>
    <w:bookmarkStart w:id="592"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2"/>
    <w:bookmarkStart w:id="593"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3"/>
    <w:bookmarkStart w:id="59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4"/>
    <w:bookmarkStart w:id="59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5"/>
    <w:bookmarkStart w:id="59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6"/>
    <w:bookmarkStart w:id="597"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7"/>
    <w:bookmarkStart w:id="59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8"/>
    <w:bookmarkStart w:id="59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9"/>
    <w:bookmarkStart w:id="60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600"/>
    <w:bookmarkStart w:id="60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1"/>
    <w:bookmarkStart w:id="60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2">
        <w:r>
          <w:rPr>
            <w:rStyle w:val="Hyperlink"/>
          </w:rPr>
          <w:t xml:space="preserve">http://ismir2005.ismir.net/proceedings/3123.pdf</w:t>
        </w:r>
      </w:hyperlink>
    </w:p>
    <w:bookmarkEnd w:id="603"/>
    <w:bookmarkStart w:id="60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4"/>
    <w:bookmarkStart w:id="60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5"/>
    <w:bookmarkStart w:id="60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6"/>
    <w:bookmarkStart w:id="60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7"/>
    <w:bookmarkStart w:id="60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8"/>
    <w:bookmarkStart w:id="60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9"/>
    <w:bookmarkStart w:id="61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10"/>
    <w:bookmarkStart w:id="61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1"/>
    <w:bookmarkStart w:id="612" w:name="ref-Sch06:Rea"/>
    <w:p>
      <w:pPr>
        <w:pStyle w:val="Bibliography"/>
      </w:pPr>
      <w:r>
        <w:t xml:space="preserve">Schwarz D. 2006b. Real-time corpus-based concatenative synthesis with catart., pp. 18–21</w:t>
      </w:r>
    </w:p>
    <w:bookmarkEnd w:id="612"/>
    <w:bookmarkStart w:id="61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3"/>
    <w:bookmarkStart w:id="614"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4"/>
    <w:bookmarkStart w:id="61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5"/>
    <w:bookmarkStart w:id="616" w:name="ref-scoremus"/>
    <w:p>
      <w:pPr>
        <w:pStyle w:val="Bibliography"/>
      </w:pPr>
      <w:r>
        <w:t xml:space="preserve">Selfridge-Field E. 1997. The score music publishing system.</w:t>
      </w:r>
      <w:r>
        <w:t xml:space="preserve"> </w:t>
      </w:r>
      <w:r>
        <w:rPr>
          <w:i/>
        </w:rPr>
        <w:t xml:space="preserve">SCORE</w:t>
      </w:r>
    </w:p>
    <w:bookmarkEnd w:id="616"/>
    <w:bookmarkStart w:id="61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7"/>
    <w:bookmarkStart w:id="61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8">
        <w:r>
          <w:rPr>
            <w:rStyle w:val="Hyperlink"/>
          </w:rPr>
          <w:t xml:space="preserve">https://hal.archives-ouvertes.fr/hal-01393959</w:t>
        </w:r>
      </w:hyperlink>
    </w:p>
    <w:bookmarkEnd w:id="619"/>
    <w:bookmarkStart w:id="62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20"/>
    <w:bookmarkStart w:id="62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1"/>
    <w:bookmarkStart w:id="62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2"/>
    <w:bookmarkStart w:id="623" w:name="ref-10.2307/941442"/>
    <w:p>
      <w:pPr>
        <w:pStyle w:val="Bibliography"/>
      </w:pPr>
      <w:r>
        <w:t xml:space="preserve">Skinner R. 1990a. Music software.</w:t>
      </w:r>
      <w:r>
        <w:t xml:space="preserve"> </w:t>
      </w:r>
      <w:r>
        <w:rPr>
          <w:i/>
        </w:rPr>
        <w:t xml:space="preserve">Notes</w:t>
      </w:r>
      <w:r>
        <w:t xml:space="preserve">. 46(3):660–84</w:t>
      </w:r>
    </w:p>
    <w:bookmarkEnd w:id="623"/>
    <w:bookmarkStart w:id="624" w:name="ref-10.2307/940555"/>
    <w:p>
      <w:pPr>
        <w:pStyle w:val="Bibliography"/>
      </w:pPr>
      <w:r>
        <w:t xml:space="preserve">Skinner R. 1990b. Music software.</w:t>
      </w:r>
      <w:r>
        <w:t xml:space="preserve"> </w:t>
      </w:r>
      <w:r>
        <w:rPr>
          <w:i/>
        </w:rPr>
        <w:t xml:space="preserve">Notes</w:t>
      </w:r>
      <w:r>
        <w:t xml:space="preserve">. 47(1):91–101</w:t>
      </w:r>
    </w:p>
    <w:bookmarkEnd w:id="624"/>
    <w:bookmarkStart w:id="62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5"/>
    <w:bookmarkStart w:id="62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6"/>
    <w:bookmarkStart w:id="62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7"/>
    <w:bookmarkStart w:id="628" w:name="ref-Ste12:MP3"/>
    <w:p>
      <w:pPr>
        <w:pStyle w:val="Bibliography"/>
      </w:pPr>
      <w:r>
        <w:t xml:space="preserve">Sterne J. 2012.</w:t>
      </w:r>
      <w:r>
        <w:t xml:space="preserve"> </w:t>
      </w:r>
      <w:r>
        <w:rPr>
          <w:i/>
        </w:rPr>
        <w:t xml:space="preserve">MP3: The Meaning of a Format</w:t>
      </w:r>
      <w:r>
        <w:t xml:space="preserve">. Duke University Press. ed.</w:t>
      </w:r>
    </w:p>
    <w:bookmarkEnd w:id="628"/>
    <w:bookmarkStart w:id="629"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9"/>
    <w:bookmarkStart w:id="630" w:name="ref-Stu04:Mat"/>
    <w:p>
      <w:pPr>
        <w:pStyle w:val="Bibliography"/>
      </w:pPr>
      <w:r>
        <w:t xml:space="preserve">Sturm B. 2004. MATConcat: An application for exploring concatenative sound synthesis using matlab</w:t>
      </w:r>
    </w:p>
    <w:bookmarkEnd w:id="630"/>
    <w:bookmarkStart w:id="63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1"/>
    <w:bookmarkStart w:id="632" w:name="ref-Sze08:Lis"/>
    <w:p>
      <w:pPr>
        <w:pStyle w:val="Bibliography"/>
      </w:pPr>
      <w:r>
        <w:t xml:space="preserve">Szendy P. 2008.</w:t>
      </w:r>
      <w:r>
        <w:t xml:space="preserve"> </w:t>
      </w:r>
      <w:r>
        <w:rPr>
          <w:i/>
        </w:rPr>
        <w:t xml:space="preserve">Listen: A History of Our Ears</w:t>
      </w:r>
      <w:r>
        <w:t xml:space="preserve">. Fordham University. ed.</w:t>
      </w:r>
    </w:p>
    <w:bookmarkEnd w:id="632"/>
    <w:bookmarkStart w:id="63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3"/>
    <w:bookmarkStart w:id="634" w:name="ref-Sch07:How"/>
    <w:p>
      <w:pPr>
        <w:pStyle w:val="Bibliography"/>
      </w:pPr>
      <w:r>
        <w:t xml:space="preserve">Thiebaut J-B, Bello J, Schwarz D. 2007. How musical are images? From sound representation to image sonification: An eco systemic approach</w:t>
      </w:r>
    </w:p>
    <w:bookmarkEnd w:id="634"/>
    <w:bookmarkStart w:id="635"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5"/>
    <w:bookmarkStart w:id="636"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6"/>
    <w:bookmarkStart w:id="637"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7"/>
    <w:bookmarkStart w:id="638"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8"/>
    <w:bookmarkStart w:id="639"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9"/>
    <w:bookmarkStart w:id="64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40"/>
    <w:bookmarkStart w:id="64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1"/>
    <w:bookmarkStart w:id="642" w:name="ref-Var04:The"/>
    <w:p>
      <w:pPr>
        <w:pStyle w:val="Bibliography"/>
      </w:pPr>
      <w:r>
        <w:t xml:space="preserve">Varese E. 2004. The liberation of sound.</w:t>
      </w:r>
      <w:r>
        <w:t xml:space="preserve"> </w:t>
      </w:r>
      <w:r>
        <w:rPr>
          <w:i/>
        </w:rPr>
        <w:t xml:space="preserve">Audio Culture: Readings in Modern Music</w:t>
      </w:r>
    </w:p>
    <w:bookmarkEnd w:id="642"/>
    <w:bookmarkStart w:id="643" w:name="ref-Ver84:The"/>
    <w:p>
      <w:pPr>
        <w:pStyle w:val="Bibliography"/>
      </w:pPr>
      <w:r>
        <w:t xml:space="preserve">Vercoe B. 1984. The synthetic performer in the context of live performance</w:t>
      </w:r>
    </w:p>
    <w:bookmarkEnd w:id="643"/>
    <w:bookmarkStart w:id="64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4"/>
    <w:bookmarkStart w:id="645"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5"/>
    <w:bookmarkStart w:id="64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6">
        <w:r>
          <w:rPr>
            <w:rStyle w:val="Hyperlink"/>
          </w:rPr>
          <w:t xml:space="preserve">https://ismir2017.smcnus.org/wp-content/uploads/2017/10/180_Paper.pdf</w:t>
        </w:r>
      </w:hyperlink>
    </w:p>
    <w:bookmarkEnd w:id="647"/>
    <w:bookmarkStart w:id="64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8"/>
    <w:bookmarkStart w:id="65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9">
        <w:r>
          <w:rPr>
            <w:rStyle w:val="Hyperlink"/>
          </w:rPr>
          <w:t xml:space="preserve">http://ismir2002.ismir.net/proceedings/02-FP06-3.pdf</w:t>
        </w:r>
      </w:hyperlink>
    </w:p>
    <w:bookmarkEnd w:id="650"/>
    <w:bookmarkStart w:id="65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51"/>
    <w:bookmarkStart w:id="65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2"/>
    <w:bookmarkStart w:id="65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3"/>
    <w:bookmarkStart w:id="65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4"/>
    <w:bookmarkStart w:id="65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5"/>
    <w:bookmarkStart w:id="656"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6"/>
    <w:bookmarkStart w:id="65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7"/>
    <w:bookmarkStart w:id="658"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8"/>
    <w:bookmarkStart w:id="659"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9"/>
    <w:bookmarkStart w:id="660" w:name="ref-Wei07:Oce"/>
    <w:p>
      <w:pPr>
        <w:pStyle w:val="Bibliography"/>
      </w:pPr>
      <w:r>
        <w:t xml:space="preserve">Weinbren G. 2007. Ocean, database, recut.</w:t>
      </w:r>
      <w:r>
        <w:t xml:space="preserve"> </w:t>
      </w:r>
      <w:r>
        <w:rPr>
          <w:i/>
        </w:rPr>
        <w:t xml:space="preserve">Database Aesthetics: Art in the Age of Information Overflow</w:t>
      </w:r>
    </w:p>
    <w:bookmarkEnd w:id="660"/>
    <w:bookmarkStart w:id="66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61"/>
    <w:bookmarkStart w:id="66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2"/>
    <w:bookmarkStart w:id="66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3">
        <w:r>
          <w:rPr>
            <w:rStyle w:val="Hyperlink"/>
          </w:rPr>
          <w:t xml:space="preserve">http://ismir2018.ircam.fr/doc/pdfs/114_Paper.pdf</w:t>
        </w:r>
      </w:hyperlink>
    </w:p>
    <w:bookmarkEnd w:id="664"/>
    <w:bookmarkStart w:id="665"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5"/>
    <w:bookmarkStart w:id="66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6">
        <w:r>
          <w:rPr>
            <w:rStyle w:val="Hyperlink"/>
          </w:rPr>
          <w:t xml:space="preserve">http://ismir2004.ismir.net/proceedings/p010-page-48-paper227.pdf</w:t>
        </w:r>
      </w:hyperlink>
    </w:p>
    <w:bookmarkEnd w:id="667"/>
    <w:bookmarkStart w:id="668"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8"/>
    <w:bookmarkStart w:id="669"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9"/>
    <w:bookmarkStart w:id="67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70"/>
    <w:bookmarkStart w:id="67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71">
        <w:r>
          <w:rPr>
            <w:rStyle w:val="Hyperlink"/>
          </w:rPr>
          <w:t xml:space="preserve">http://ismir2018.ircam.fr/doc/pdfs/188_Paper.pdf</w:t>
        </w:r>
      </w:hyperlink>
    </w:p>
    <w:bookmarkEnd w:id="672"/>
    <w:bookmarkStart w:id="67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3"/>
    <w:bookmarkStart w:id="67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4"/>
    <w:bookmarkStart w:id="67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5"/>
    <w:bookmarkStart w:id="67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6"/>
    <w:bookmarkStart w:id="67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7"/>
    <w:bookmarkStart w:id="67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8"/>
    <w:bookmarkStart w:id="68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9">
        <w:r>
          <w:rPr>
            <w:rStyle w:val="Hyperlink"/>
          </w:rPr>
          <w:t xml:space="preserve">http://www.nime.org/proceedings/2007/nime2007_352.pdf</w:t>
        </w:r>
      </w:hyperlink>
    </w:p>
    <w:bookmarkEnd w:id="680"/>
    <w:bookmarkStart w:id="68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81"/>
    <w:bookmarkStart w:id="682" w:name="ref-Zmo15:Liv"/>
    <w:p>
      <w:pPr>
        <w:pStyle w:val="Bibliography"/>
      </w:pPr>
      <w:r>
        <w:t xml:space="preserve">zmölnig I m, Eckel G. 2015.</w:t>
      </w:r>
      <w:r>
        <w:t xml:space="preserve"> </w:t>
      </w:r>
      <w:r>
        <w:rPr>
          <w:i/>
        </w:rPr>
        <w:t xml:space="preserve">LIVE coding: AN overview</w:t>
      </w:r>
      <w:r>
        <w:t xml:space="preserve">. Work. Pap.</w:t>
      </w:r>
    </w:p>
    <w:bookmarkEnd w:id="682"/>
    <w:bookmarkEnd w:id="6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9">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0">
        <w:r>
          <w:rPr>
            <w:rStyle w:val="Hyperlink"/>
          </w:rPr>
          <w:t xml:space="preserve">https://developer.apple.com/documentation/metal</w:t>
        </w:r>
      </w:hyperlink>
    </w:p>
  </w:footnote>
  <w:footnote w:id="121">
    <w:p>
      <w:pPr>
        <w:pStyle w:val="FootnoteText"/>
      </w:pPr>
      <w:r>
        <w:rPr>
          <w:rStyle w:val="FootnoteReference"/>
        </w:rPr>
        <w:footnoteRef/>
      </w:r>
      <w:r>
        <w:t xml:space="preserve"> </w:t>
      </w:r>
      <w:hyperlink r:id="rId122">
        <w:r>
          <w:rPr>
            <w:rStyle w:val="Hyperlink"/>
          </w:rPr>
          <w:t xml:space="preserve">https://vimeo.com/167646306</w:t>
        </w:r>
      </w:hyperlink>
    </w:p>
  </w:footnote>
  <w:footnote w:id="133">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9">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1">
    <w:p>
      <w:pPr>
        <w:pStyle w:val="FootnoteText"/>
      </w:pPr>
      <w:r>
        <w:rPr>
          <w:rStyle w:val="FootnoteReference"/>
        </w:rPr>
        <w:footnoteRef/>
      </w:r>
      <w:r>
        <w:t xml:space="preserve"> </w:t>
      </w:r>
      <w:hyperlink r:id="rId152">
        <w:r>
          <w:rPr>
            <w:rStyle w:val="Hyperlink"/>
          </w:rPr>
          <w:t xml:space="preserve">https://kyma.symbolicsound.com/</w:t>
        </w:r>
      </w:hyperlink>
    </w:p>
  </w:footnote>
  <w:footnote w:id="155">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2">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7">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8">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6">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90">
    <w:p>
      <w:pPr>
        <w:pStyle w:val="FootnoteText"/>
      </w:pPr>
      <w:r>
        <w:rPr>
          <w:rStyle w:val="FootnoteReference"/>
        </w:rPr>
        <w:footnoteRef/>
      </w:r>
      <w:r>
        <w:t xml:space="preserve"> </w:t>
      </w: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3">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10">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1">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2">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p>
  </w:footnote>
  <w:footnote w:id="213">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4">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5">
    <w:p>
      <w:pPr>
        <w:pStyle w:val="FootnoteText"/>
      </w:pPr>
      <w:r>
        <w:rPr>
          <w:rStyle w:val="FootnoteReference"/>
        </w:rPr>
        <w:footnoteRef/>
      </w:r>
      <w:r>
        <w:t xml:space="preserve"> </w:t>
      </w:r>
      <w:hyperlink r:id="rId216">
        <w:r>
          <w:rPr>
            <w:rStyle w:val="Hyperlink"/>
          </w:rPr>
          <w:t xml:space="preserve">https://en.wikipedia.org/wiki/Leo_Beranek</w:t>
        </w:r>
      </w:hyperlink>
    </w:p>
  </w:footnote>
  <w:footnote w:id="218">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4">
    <w:p>
      <w:pPr>
        <w:pStyle w:val="FootnoteText"/>
      </w:pPr>
      <w:r>
        <w:rPr>
          <w:rStyle w:val="FootnoteReference"/>
        </w:rPr>
        <w:footnoteRef/>
      </w:r>
      <w:r>
        <w:t xml:space="preserve"> </w:t>
      </w:r>
      <w:hyperlink r:id="rId235">
        <w:r>
          <w:rPr>
            <w:rStyle w:val="Hyperlink"/>
          </w:rPr>
          <w:t xml:space="preserve">https://en.cppreference.com/w/cpp/language/destructor</w:t>
        </w:r>
      </w:hyperlink>
    </w:p>
  </w:footnote>
  <w:footnote w:id="241">
    <w:p>
      <w:pPr>
        <w:pStyle w:val="FootnoteText"/>
      </w:pPr>
      <w:r>
        <w:rPr>
          <w:rStyle w:val="FootnoteReference"/>
        </w:rPr>
        <w:footnoteRef/>
      </w:r>
      <w:r>
        <w:t xml:space="preserve"> </w:t>
      </w:r>
      <w:hyperlink r:id="rId242">
        <w:r>
          <w:rPr>
            <w:rStyle w:val="Hyperlink"/>
          </w:rPr>
          <w:t xml:space="preserve">https://mpc.chs.harvard.edu/</w:t>
        </w:r>
      </w:hyperlink>
    </w:p>
  </w:footnote>
  <w:footnote w:id="243">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3">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4">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7">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8">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1">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6">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7">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8">
        <w:r>
          <w:rPr>
            <w:rStyle w:val="Hyperlink"/>
          </w:rPr>
          <w:t xml:space="preserve">https://en.wikipedia.org/wiki/Dr._Strangelove</w:t>
        </w:r>
      </w:hyperlink>
    </w:p>
  </w:footnote>
  <w:footnote w:id="299">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00">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2">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3">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6">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4">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20">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4">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181" Target="media/rId181.png" /><Relationship Type="http://schemas.openxmlformats.org/officeDocument/2006/relationships/image" Id="rId266" Target="media/rId266.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46" Target="media/rId146.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39" Target="media/rId139.png" /><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2019-04-06T20:07:18Z</dcterms:created>
  <dcterms:modified xsi:type="dcterms:W3CDTF">2019-04-06T20:07:18Z</dcterms:modified>
</cp:coreProperties>
</file>

<file path=docProps/custom.xml><?xml version="1.0" encoding="utf-8"?>
<Properties xmlns="http://schemas.openxmlformats.org/officeDocument/2006/custom-properties" xmlns:vt="http://schemas.openxmlformats.org/officeDocument/2006/docPropsVTypes"/>
</file>