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3.png" ContentType="image/png"/>
  <Override PartName="/word/media/rId20.png" ContentType="image/png"/>
  <Override PartName="/word/media/rId213.png" ContentType="image/png"/>
  <Override PartName="/word/media/rId75.png" ContentType="image/png"/>
  <Override PartName="/word/media/rId185.png" ContentType="image/png"/>
  <Override PartName="/word/media/rId256.png" ContentType="image/png"/>
  <Override PartName="/word/media/rId48.png" ContentType="image/png"/>
  <Override PartName="/word/media/rId98.png" ContentType="image/png"/>
  <Override PartName="/word/media/rId95.png" ContentType="image/png"/>
  <Override PartName="/word/media/rId78.png" ContentType="image/png"/>
  <Override PartName="/word/media/rId87.png" ContentType="image/png"/>
  <Override PartName="/word/media/rId32.png" ContentType="image/png"/>
  <Override PartName="/word/media/rId150.png" ContentType="image/png"/>
  <Override PartName="/word/media/rId82.png" ContentType="image/png"/>
  <Override PartName="/word/media/rId90.png" ContentType="image/png"/>
  <Override PartName="/word/media/rId104.png" ContentType="image/png"/>
  <Override PartName="/word/media/rId143.png" ContentType="image/png"/>
  <Override PartName="/word/media/rId210.png" ContentType="image/png"/>
  <Override PartName="/word/media/rId20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©2018–2019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1"/>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1"/>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1"/>
      </w:pPr>
      <w:bookmarkStart w:id="23" w:name="preface"/>
      <w:r>
        <w:t xml:space="preserve">Preface</w:t>
      </w:r>
      <w:bookmarkEnd w:id="23"/>
    </w:p>
    <w:p>
      <w:pPr>
        <w:pStyle w:val="Heading5"/>
      </w:pPr>
      <w:bookmarkStart w:id="24" w:name="dataloquy-you-dont-need-to-write-this"/>
      <w:r>
        <w:t xml:space="preserve">Dataloquy (you don’t need to</w:t>
      </w:r>
      <w:r>
        <w:t xml:space="preserve"> </w:t>
      </w:r>
      <w:r>
        <w:rPr>
          <w:strike/>
        </w:rPr>
        <w:t xml:space="preserve">write</w:t>
      </w:r>
      <w:r>
        <w:t xml:space="preserve"> </w:t>
      </w:r>
      <w:r>
        <w:t xml:space="preserve">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 and ,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wearhouses, repositories, their mining, and their subsequent data clouds, clusters, spacing out into the (in)famous big data leap from bit to big.</w:t>
      </w:r>
    </w:p>
    <w:p>
      <w:pPr>
        <w:pStyle w:val="Heading1"/>
      </w:pPr>
      <w:bookmarkStart w:id="25" w:name="abstract"/>
      <w:r>
        <w:t xml:space="preserve">Abstract</w:t>
      </w:r>
      <w:bookmarkEnd w:id="25"/>
    </w:p>
    <w:p>
      <w:pPr>
        <w:pStyle w:val="FirstParagraph"/>
      </w:pPr>
      <w:r>
        <w:t xml:space="preserve">The aim of this dissertation is to understand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section, I trace a history of database practices from three points of view. The first is from new media theory, emphasizing certain aspects of embodied theory which relate to the intersection between the database and the body. The second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section, I discuss this agency under the broader concepts of sound, self, and community. These three axes are addressed in four sections, each with a different perspective. First I focus on listening, delineating Jean-Luc Nancy’s ontology of sound in order to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Finally, I revise the notion of music work, reflecting on the consequences of the anarchic and the inoperative in the community of database music.</w:t>
      </w:r>
    </w:p>
    <w:p>
      <w:pPr>
        <w:pStyle w:val="Heading1"/>
      </w:pPr>
      <w:bookmarkStart w:id="26" w:name="chapter:Introduction"/>
      <w:r>
        <w:t xml:space="preserve">Introduction</w:t>
      </w:r>
      <w:bookmarkEnd w:id="26"/>
    </w:p>
    <w:p>
      <w:pPr>
        <w:pStyle w:val="FirstParagraph"/>
      </w:pPr>
      <w:r>
        <w:t xml:space="preserve">This dissertation begins with a word (</w:t>
      </w:r>
      <w:r>
        <w:t xml:space="preserve">‘</w:t>
      </w:r>
      <w:r>
        <w:t xml:space="preserve">database</w:t>
      </w:r>
      <w:r>
        <w:t xml:space="preserve">’</w:t>
      </w:r>
      <w:r>
        <w:t xml:space="preserve">) and a proposition: Is there something we can call database music? This sudden jump from noun to adjective comes not without its audible retaliation, and I make no attempt to muffle it. The reader would perhaps forgive the clumsiness of my condition of composer in the midst of writting his dissertation, which made me jump to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t xml:space="preserve">“</w:t>
      </w:r>
      <w:r>
        <w:t xml:space="preserve">a history….</w:t>
      </w:r>
      <w:r>
        <w:t xml:space="preserve">”</w:t>
      </w:r>
      <w:r>
        <w:t xml:space="preserve"> </w:t>
      </w:r>
      <w:r>
        <w:t xml:space="preserve">However, it is the</w:t>
      </w:r>
      <w:r>
        <w:t xml:space="preserve"> </w:t>
      </w:r>
      <w:r>
        <w:t xml:space="preserve">‘</w:t>
      </w:r>
      <w:r>
        <w:t xml:space="preserve">a</w:t>
      </w:r>
      <w:r>
        <w:t xml:space="preserve">’</w:t>
      </w:r>
      <w:r>
        <w:t xml:space="preserve"> </w:t>
      </w:r>
      <w:r>
        <w:t xml:space="preserve">that would account for the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accross the two nodes that compose the focus of this text:</w:t>
      </w:r>
      <w:r>
        <w:t xml:space="preserve"> </w:t>
      </w:r>
      <w:r>
        <w:rPr>
          <w:i/>
        </w:rPr>
        <w:t xml:space="preserve">database and music</w:t>
      </w:r>
      <w:r>
        <w:t xml:space="preserve">. Both nodes have their historical, technical, and aesthetical idiosyncracies. The primary goal of this dissertation (if I dare to say that it has one) is thus to find where these intersect. The</w:t>
      </w:r>
      <w:r>
        <w:t xml:space="preserve"> </w:t>
      </w:r>
      <w:r>
        <w:rPr>
          <w:rStyle w:val="VerbatimChar"/>
        </w:rPr>
        <w:t xml:space="preserve">AND</w:t>
      </w:r>
      <w:r>
        <w:t xml:space="preserve"> </w:t>
      </w:r>
      <w:r>
        <w:t xml:space="preserve">of the query had indeed much less results than the</w:t>
      </w:r>
      <w:r>
        <w:t xml:space="preserve"> </w:t>
      </w:r>
      <w:r>
        <w:rPr>
          <w:rStyle w:val="VerbatimChar"/>
        </w:rPr>
        <w:t xml:space="preserve">OR</w:t>
      </w:r>
      <w:r>
        <w:t xml:space="preserve">, which meant my quest was already promising some reduction. For instance, I indeed decided that the search would only pertain to situations in which computers where involved.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w:t>
      </w:r>
    </w:p>
    <w:p>
      <w:pPr>
        <w:pStyle w:val="BodyText"/>
      </w:pPr>
      <w:r>
        <w:t xml:space="preserve">Upon this abysmal enterprise, I did as any musician would and started listening for the sound of databases. I realized that this is not just the sound of your computer reading its hard-drive: it is the sound made with its software. At this point, a network (and this is one of the key terms throughout this text) of sonic software had begun to appear. What this network pointed to, besides the key to open door number one, is a certain silence that much of the literature relating to databases in art continues to abide to: a sonic silence. This relates to the</w:t>
      </w:r>
      <w:r>
        <w:t xml:space="preserve"> </w:t>
      </w:r>
      <w:r>
        <w:t xml:space="preserve">“</w:t>
      </w:r>
      <w:r>
        <w:t xml:space="preserve">history, technology…</w:t>
      </w:r>
      <w:r>
        <w:t xml:space="preserve">”</w:t>
      </w:r>
      <w:r>
        <w:t xml:space="preserve"> </w:t>
      </w:r>
      <w:r>
        <w:t xml:space="preserve">part of the subtitle. In addressing this silence, I do not attempt to invalidate previous approaches</w:t>
      </w:r>
      <w:r>
        <w:t xml:space="preserve"> </w:t>
      </w:r>
      <w:r>
        <w:t xml:space="preserve">(Manovich 2001, Vesna 2007)</w:t>
      </w:r>
      <w:r>
        <w:t xml:space="preserve">. On the contrary, these texts have shed light of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That is to say, through these authors, I introduce notions of embodiment, virtuality, and framing coming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Sonification, and Computer Music. Each one of these disciplines has its own history and it is evidenced by the many conference proceedings and journals that I have (again) mined, as well as the various authors (most of them composers, and most of them programmers) that I refer to. In between these two, that is, in between my exploration of the database in new media theroy, and the its corresponding exploration witihin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refering mostly to these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upside down:</w:t>
      </w:r>
      <w:r>
        <w:t xml:space="preserve"> </w:t>
      </w:r>
      <w:r>
        <w:rPr>
          <w:i/>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faces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implicatoins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that I situate around sound.</w:t>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and database and music…to the latter part of the subtitle</w:t>
      </w:r>
      <w:r>
        <w:t xml:space="preserve"> </w:t>
      </w:r>
      <w:r>
        <w:t xml:space="preserve">“</w:t>
      </w:r>
      <w:r>
        <w:t xml:space="preserve">in music composition.</w:t>
      </w:r>
      <w: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of the clumsiness of a composer in the midst of writing, but that should not discourage neither academic rigor, nor literary thirst. I have thus included an exhaustive bibliography, two interludes, a transcription, and a poslude (work in progress), together with graphs, tables, and some snippets of pseudocode and sometimes working code. In the hope that you will continue reading these p{age,ixel}s, I will (simply) end these remarks.</w:t>
      </w:r>
    </w:p>
    <w:p>
      <w:pPr>
        <w:pStyle w:val="Heading1"/>
      </w:pPr>
      <w:bookmarkStart w:id="27" w:name="chapter:Database_Art"/>
      <w:r>
        <w:t xml:space="preserve">Database Art</w:t>
      </w:r>
      <w:bookmarkEnd w:id="27"/>
    </w:p>
    <w:p>
      <w:pPr>
        <w:pStyle w:val="Heading2"/>
      </w:pPr>
      <w:bookmarkStart w:id="28" w:name="section:The_Database In New Media Theory"/>
      <w:r>
        <w:t xml:space="preserve">The Database In New Media Theory</w:t>
      </w:r>
      <w:bookmarkEnd w:id="28"/>
    </w:p>
    <w:p>
      <w:pPr>
        <w:pStyle w:val="Heading3"/>
      </w:pPr>
      <w:bookmarkStart w:id="29" w:name="new_media"/>
      <w:r>
        <w:t xml:space="preserve">Database As Form</w:t>
      </w:r>
      <w:bookmarkEnd w:id="29"/>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0"/>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1" w:name="semiotics"/>
      <w:r>
        <w:t xml:space="preserve">A Semiotic Trap</w:t>
      </w:r>
      <w:bookmarkEnd w:id="31"/>
    </w:p>
    <w:p>
      <w:pPr>
        <w:pStyle w:val="CaptionedFigure"/>
      </w:pPr>
      <w:bookmarkStart w:id="33" w:name="img:one-to-many"/>
      <w:r>
        <w:drawing>
          <wp:inline>
            <wp:extent cx="3060700" cy="34925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2"/>
                    <a:stretch>
                      <a:fillRect/>
                    </a:stretch>
                  </pic:blipFill>
                  <pic:spPr bwMode="auto">
                    <a:xfrm>
                      <a:off x="0" y="0"/>
                      <a:ext cx="3060700" cy="3492500"/>
                    </a:xfrm>
                    <a:prstGeom prst="rect">
                      <a:avLst/>
                    </a:prstGeom>
                    <a:noFill/>
                    <a:ln w="9525">
                      <a:noFill/>
                      <a:headEnd/>
                      <a:tailEnd/>
                    </a:ln>
                  </pic:spPr>
                </pic:pic>
              </a:graphicData>
            </a:graphic>
          </wp:inline>
        </w:drawing>
      </w:r>
      <w:bookmarkEnd w:id="33"/>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In order to reveal the extent to which the presence of the database has a radical effect on narrative, however, Manovich reverses the semiotic theory of syntagm and paradigm that governed the first half of the 20th century</w:t>
      </w:r>
      <w:r>
        <w:t xml:space="preserve"> </w:t>
      </w:r>
      <w:r>
        <w:t xml:space="preserve">(Manovich 2001, p. 231)</w:t>
      </w:r>
      <w:r>
        <w:t xml:space="preserve">. Quoting Roland Barthes’ reading of Ferdinand de Saussure in , Manovich describes the paradigm as a relation subjected to substitution —because it depends on associations—, and the syntagm as a relation subjected to combination —because it is an instantiation of concrete elements. For example, from the entire set of words in a language (the paradigm) the speaker constructs sentences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w:t>
      </w:r>
      <w:r>
        <w:t xml:space="preserve"> </w:t>
      </w:r>
      <w:r>
        <w:t xml:space="preserve">“</w:t>
      </w:r>
      <w:r>
        <w:t xml:space="preserve">food system,</w:t>
      </w:r>
      <w:r>
        <w:t xml:space="preserve">”</w:t>
      </w:r>
      <w:r>
        <w:t xml:space="preserve"> </w:t>
      </w:r>
      <w:r>
        <w:t xml:space="preserve">which I will borrow in what follows. All the elements that compose a dish, for example, the</w:t>
      </w:r>
      <w:r>
        <w:t xml:space="preserve"> </w:t>
      </w:r>
      <w:r>
        <w:t xml:space="preserve">“</w:t>
      </w:r>
      <w:r>
        <w:t xml:space="preserve">set of foodstuffs which have affinities or differences within which one chooses a dish in view of a certain meaning</w:t>
      </w:r>
      <w:r>
        <w:t xml:space="preserve">”</w:t>
      </w:r>
      <w:r>
        <w:t xml:space="preserve"> </w:t>
      </w:r>
      <w:r>
        <w:t xml:space="preserve">comes to delimit the paradigm. However, the</w:t>
      </w:r>
      <w:r>
        <w:t xml:space="preserve"> </w:t>
      </w:r>
      <w:r>
        <w:t xml:space="preserve">“</w:t>
      </w:r>
      <w:r>
        <w:t xml:space="preserve">sequence of dishes chosen during a meal,</w:t>
      </w:r>
      <w:r>
        <w:t xml:space="preserve">”</w:t>
      </w:r>
      <w:r>
        <w:t xml:space="preserve"> </w:t>
      </w:r>
      <w:r>
        <w:t xml:space="preserve">or simply, what you are eating as you are eating it in a restaurant, comes to represent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system [i.e., paradigm], the vertical reading of the menu corresponds to the syntagm</w:t>
      </w:r>
      <w:r>
        <w:t xml:space="preserve">”</w:t>
      </w:r>
      <w:r>
        <w:t xml:space="preserve"> </w:t>
      </w:r>
      <w:r>
        <w:t xml:space="preserve">(Barthes et al. 1968, p. 63)</w:t>
      </w:r>
      <w:r>
        <w:t xml:space="preserve">. A software menu, for instance, would come to represent both planes as well: the paradigm is the set of all possible actions the user might make within the specific context of the menu; the syntagm is the actual sequence of clicks that the user makes.</w:t>
      </w:r>
    </w:p>
    <w:p>
      <w:pPr>
        <w:pStyle w:val="BodyText"/>
      </w:pPr>
      <w:r>
        <w:t xml:space="preserve">Barthes’ reading of Saussure is maintained in Manovich’s description of the database. On the one hand, narrative is the syntagm since, at least in Manovich’s rendition of narrative in the visual art world and the gaming world, it is the trajectory through the navigational space of a database. Furthermore, since this narrative is achieved by the interface, interface and narrative depend on each other: narrative thusly interlocks with the interface itself, and results on the conception of the interface-as-artwork. On the other hand, the database is the paradigm, since it represents the set of elements to be selected by the user. Materially, however, Manovich points to a reversal of these planes. Given the material presence of the database (i.e., the stored data), and given the hyperlinked quality of the user interface, the database becomes explicit (present) and narrative becomes implicit (absent, dematerialised).</w:t>
      </w:r>
    </w:p>
    <w:p>
      <w:pPr>
        <w:pStyle w:val="BodyText"/>
      </w:pPr>
      <w:r>
        <w:t xml:space="preserve">For example, consider the case of the typical timeline-view of a video editor.</w:t>
      </w:r>
      <w:r>
        <w:rPr>
          <w:rStyle w:val="FootnoteReference"/>
        </w:rPr>
        <w:footnoteReference w:id="34"/>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 result is desired, and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5"/>
      </w:r>
      <w:r>
        <w:t xml:space="preserve"> </w:t>
      </w:r>
      <w:r>
        <w:t xml:space="preserve">The timeline where the user places the videos is a visualization of the set of links to the files; an editable graph that allows the user to locate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only on a certain quality of the relation itself, that is, as a shift from one-to-many to many-to-one (See Figure</w:t>
      </w:r>
      <w:r>
        <w:t xml:space="preserve"> </w:t>
      </w:r>
      <w:hyperlink w:anchor="img:one-to-many">
        <w:r>
          <w:rPr>
            <w:rStyle w:val="Hyperlink"/>
          </w:rPr>
          <w:t xml:space="preserve">4.1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grounded on an equivocation. Pointers are, however functionally different, another data type. This fact comes from the Von Neumann architecture on which computers are constructed (See</w:t>
      </w:r>
      <w:r>
        <w:t xml:space="preserve"> </w:t>
      </w:r>
      <w:hyperlink w:anchor="programming">
        <w:r>
          <w:rPr>
            <w:rStyle w:val="Hyperlink"/>
          </w:rPr>
          <w:t xml:space="preserve">4.2.2</w:t>
        </w:r>
      </w:hyperlink>
      <w:r>
        <w:t xml:space="preserv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the materiality of data.</w:t>
      </w:r>
    </w:p>
    <w:p>
      <w:pPr>
        <w:pStyle w:val="Heading3"/>
      </w:pPr>
      <w:bookmarkStart w:id="36" w:name="convergence"/>
      <w:r>
        <w:t xml:space="preserve">Digital Convergence</w:t>
      </w:r>
      <w:bookmarkEnd w:id="36"/>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 she</w:t>
      </w:r>
      <w:r>
        <w:t xml:space="preserve"> </w:t>
      </w:r>
      <w:r>
        <w:t xml:space="preserve">“</w:t>
      </w:r>
      <w:r>
        <w:t xml:space="preserve">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 slave to data, and as a consequence the human is economically colonized and psychologically invaded 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37" w:name="bodiless_information"/>
      <w:r>
        <w:t xml:space="preserve">Bodiless Information</w:t>
      </w:r>
      <w:bookmarkEnd w:id="37"/>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4.2.1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38" w:name="embodiment"/>
      <w:r>
        <w:t xml:space="preserve">Embodying Databasing</w:t>
      </w:r>
      <w:bookmarkEnd w:id="38"/>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39" w:name="framing"/>
      <w:r>
        <w:t xml:space="preserve">Filtering And Framing</w:t>
      </w:r>
      <w:bookmarkEnd w:id="39"/>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To the contrary, the framing function of the human body is the possibility condition for the digital to become information. The frame, as Hansen describes, is the human body filtering images from the world, and creating a virtual image that gives form to data. The frame needs to happen as a relation, and thus, it is the temporal instantiation of a process.</w:t>
      </w:r>
    </w:p>
    <w:p>
      <w:pPr>
        <w:pStyle w:val="Heading3"/>
      </w:pPr>
      <w:bookmarkStart w:id="40" w:name="funeslude"/>
      <w:r>
        <w:t xml:space="preserve">An Embodied Database</w:t>
      </w:r>
      <w:bookmarkEnd w:id="40"/>
    </w:p>
    <w:p>
      <w:pPr>
        <w:pStyle w:val="BlockText"/>
      </w:pPr>
      <w:r>
        <w:t xml:space="preserve">I suspect, nevertheless, that he was not very capable of thought. To think is to forget differences…</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dream, to imagine. Throughout the years, he became condemned to absolute memory, and so to its consequence, insomnia:</w:t>
      </w:r>
      <w:r>
        <w:rPr>
          <w:rStyle w:val="FootnoteReference"/>
        </w:rPr>
        <w:footnoteReference w:id="41"/>
      </w:r>
      <w:r>
        <w:t xml:space="preserve"> </w:t>
      </w:r>
      <w:r>
        <w:t xml:space="preserve">he was secluded in a dark and enclosed space so as not to perceive the world. 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 The point that Hayles touches upon can be seen as the limits and fragility of embodied memory, as well as the need to forget, in opposition to an embodiment</w:t>
      </w:r>
      <w:r>
        <w:t xml:space="preserve"> </w:t>
      </w:r>
      <w:r>
        <w:t xml:space="preserve">‘</w:t>
      </w:r>
      <w:r>
        <w:t xml:space="preserve">outside</w:t>
      </w:r>
      <w:r>
        <w:t xml:space="preserve">’</w:t>
      </w:r>
      <w:r>
        <w:t xml:space="preserve"> </w:t>
      </w:r>
      <w:r>
        <w:t xml:space="preserve">the body (disembodiment), that would require no need to forget. We will see how the difference between forgetting and erasing relates to the database.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Funes’ memory. This capability of accumulation without the need for erasure is enabled by the database structure inherent in computers. However, the distinction that Hayles presents is crucial: data is not information because information needs to be embodied, and with that embodiment comes the need to forget. In sum, on one hand, a disembodied data bank can have all the uniqueness and difference that is available by the sum of all cloud computing and storage to date; however, on the other hand, embodied memory is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to the negation of narrativity itself, thus finding in the image of Funes a hyperbole for contemporary subjectivity</w:t>
      </w:r>
      <w:r>
        <w:t xml:space="preserve"> </w:t>
      </w:r>
      <w:r>
        <w:t xml:space="preserve">(Oviedo 2019, p. 5)</w:t>
      </w:r>
      <w:r>
        <w:t xml:space="preserve">, where there is no room for narration, only data accumulation. In this sense, narrativity can be seen as that which resides in the threshold between knowledge and storage. I believe this distinction stems precisely from the difference between information and data. The process of information, of giving form, requires a certain temporality that is not that of the perceptually immediate and extremely operative zero-time of the</w:t>
      </w:r>
      <w:r>
        <w:t xml:space="preserve"> </w:t>
      </w:r>
      <w:r>
        <w:t xml:space="preserve">cpu</w:t>
      </w:r>
      <w:r>
        <w:t xml:space="preserve">. Within the zero-time of computer operations (within a millisecond) there simply is no</w:t>
      </w:r>
      <w:r>
        <w:t xml:space="preserve"> </w:t>
      </w:r>
      <w:r>
        <w:rPr>
          <w:i/>
        </w:rPr>
        <w:t xml:space="preserve">time</w:t>
      </w:r>
      <w:r>
        <w:t xml:space="preserve"> </w:t>
      </w:r>
      <w:r>
        <w:t xml:space="preserve">for narration, only for addition or increment. Narrative is temporal —happening as a historical process— and algorithms are atemporal —operating in an constant now. Since neither data structures nor algorithms operate outside the confines of the millisecond, they can’t spare time to think and, likewise, they can’t forget to count. Counting is all they do, so they cannot tell stories: the difference in the same spanish word</w:t>
      </w:r>
      <w:r>
        <w:t xml:space="preserve"> </w:t>
      </w:r>
      <w:r>
        <w:rPr>
          <w:i/>
        </w:rPr>
        <w:t xml:space="preserve">contar números</w:t>
      </w:r>
      <w:r>
        <w:t xml:space="preserve"> </w:t>
      </w:r>
      <w:r>
        <w:t xml:space="preserve">[to count numbers] and</w:t>
      </w:r>
      <w:r>
        <w:t xml:space="preserve"> </w:t>
      </w:r>
      <w:r>
        <w:rPr>
          <w:i/>
        </w:rPr>
        <w:t xml:space="preserve">contar historias</w:t>
      </w:r>
      <w:r>
        <w:t xml:space="preserve"> </w:t>
      </w:r>
      <w:r>
        <w:t xml:space="preserve">[to tell stories]; or,</w:t>
      </w:r>
      <w:r>
        <w:t xml:space="preserve"> </w:t>
      </w:r>
      <w:r>
        <w:t xml:space="preserve">“</w:t>
      </w:r>
      <w:r>
        <w:t xml:space="preserve">if a German pun may be allowed:</w:t>
      </w:r>
      <w:r>
        <w:t xml:space="preserve"> </w:t>
      </w:r>
      <w:r>
        <w:rPr>
          <w:i/>
        </w:rPr>
        <w:t xml:space="preserve">zählen</w:t>
      </w:r>
      <w:r>
        <w:t xml:space="preserve"> </w:t>
      </w:r>
      <w:r>
        <w:t xml:space="preserve">(counting) instead of</w:t>
      </w:r>
      <w:r>
        <w:t xml:space="preserve"> </w:t>
      </w:r>
      <w:r>
        <w:rPr>
          <w:i/>
        </w:rPr>
        <w:t xml:space="preserve">erzählen</w:t>
      </w:r>
      <w:r>
        <w:t xml:space="preserve"> </w:t>
      </w:r>
      <w:r>
        <w:t xml:space="preserve">(narrating)</w:t>
      </w:r>
      <w:r>
        <w:t xml:space="preserve">”</w:t>
      </w:r>
      <w:r>
        <w:t xml:space="preserve"> </w:t>
      </w:r>
      <w:r>
        <w:t xml:space="preserve">Ernst (2013, p. 128)</w:t>
      </w:r>
      <w:r>
        <w:t xml:space="preserve">. Therefore, Funes’ accumulative memory represents the overflow of the now, the totally blinding transparency of the world, and an absolute memory that precludes narration. Because he accumulates data of the world in its totality, he does not have time to think:</w:t>
      </w:r>
      <w:r>
        <w:t xml:space="preserve"> </w:t>
      </w:r>
      <w:r>
        <w:t xml:space="preserve">“</w:t>
      </w:r>
      <w:r>
        <w:t xml:space="preserve">to think is to forget differences</w:t>
      </w:r>
      <w:r>
        <w:t xml:space="preserve">”</w:t>
      </w:r>
      <w:r>
        <w:t xml:space="preserve"> </w:t>
      </w:r>
      <w:r>
        <w:t xml:space="preserve">reads the quote above. The only one in Borges’ story who actually thinks is the narrator, to which we can add: Funes could not have told this story himself in first person narrative.</w:t>
      </w:r>
      <w:r>
        <w:rPr>
          <w:rStyle w:val="FootnoteReference"/>
        </w:rPr>
        <w:footnoteReference w:id="42"/>
      </w:r>
      <w:r>
        <w:t xml:space="preserve"> </w:t>
      </w:r>
      <w:r>
        <w:t xml:space="preserve">Thus, we can ask ourselves if this hyperbolic</w:t>
      </w:r>
      <w:r>
        <w:t xml:space="preserve"> </w:t>
      </w:r>
      <w:r>
        <w:t xml:space="preserve">‘</w:t>
      </w:r>
      <w:r>
        <w:t xml:space="preserve">light</w:t>
      </w:r>
      <w:r>
        <w:t xml:space="preserve">’</w:t>
      </w:r>
      <w:r>
        <w:t xml:space="preserve"> </w:t>
      </w:r>
      <w:r>
        <w:t xml:space="preserve">of the Funesian</w:t>
      </w:r>
      <w:r>
        <w:t xml:space="preserve"> </w:t>
      </w:r>
      <w:r>
        <w:t xml:space="preserve">‘</w:t>
      </w:r>
      <w:r>
        <w:t xml:space="preserve">absolute memory</w:t>
      </w:r>
      <w:r>
        <w:t xml:space="preserve">’</w:t>
      </w:r>
      <w:r>
        <w:t xml:space="preserve"> </w:t>
      </w:r>
      <w:r>
        <w:t xml:space="preserve">is not a premonitory figure of the database.</w:t>
      </w:r>
      <w:r>
        <w:rPr>
          <w:rStyle w:val="FootnoteReference"/>
        </w:rPr>
        <w:footnoteReference w:id="43"/>
      </w:r>
      <w:r>
        <w:t xml:space="preserve"> </w:t>
      </w:r>
      <w:r>
        <w:t xml:space="preserve">Because of this antithetical condition between databases and narrative, Manovich proposed that the database became a form on its own, in opposition to narration. To the extent that</w:t>
      </w:r>
      <w:r>
        <w:t xml:space="preserve"> </w:t>
      </w:r>
      <w:r>
        <w:t xml:space="preserve">‘</w:t>
      </w:r>
      <w:r>
        <w:t xml:space="preserve">database form</w:t>
      </w:r>
      <w:r>
        <w:t xml:space="preserve">’</w:t>
      </w:r>
      <w:r>
        <w:t xml:space="preserve"> </w:t>
      </w:r>
      <w:r>
        <w:t xml:space="preserve">as a category that identifies art using databases, this can be considered accurate. However, considering this distinction between embodied and disembodied memory that resides in the ability to narrate, databases are inherently deprived of narration. Making art with databases is making them dance (see below). Therefore, to what extent is</w:t>
      </w:r>
      <w:r>
        <w:t xml:space="preserve"> </w:t>
      </w:r>
      <w:r>
        <w:t xml:space="preserve">‘</w:t>
      </w:r>
      <w:r>
        <w:t xml:space="preserve">database music</w:t>
      </w:r>
      <w:r>
        <w:t xml:space="preserve">’</w:t>
      </w:r>
      <w:r>
        <w:t xml:space="preserve"> </w:t>
      </w:r>
      <w:r>
        <w:t xml:space="preserve">in itself a contradiction if we consider</w:t>
      </w:r>
      <w:r>
        <w:t xml:space="preserve"> </w:t>
      </w:r>
      <w:r>
        <w:t xml:space="preserve">‘</w:t>
      </w:r>
      <w:r>
        <w:t xml:space="preserve">music</w:t>
      </w:r>
      <w:r>
        <w:t xml:space="preserve">’</w:t>
      </w:r>
      <w:r>
        <w:t xml:space="preserve"> </w:t>
      </w:r>
      <w:r>
        <w:t xml:space="preserve">to be a form of writing? I will leave this discussion for a later chapter (See</w:t>
      </w:r>
      <w:r>
        <w:t xml:space="preserve"> </w:t>
      </w:r>
      <w:hyperlink w:anchor="chapter:section-4">
        <w:r>
          <w:rPr>
            <w:rStyle w:val="Hyperlink"/>
          </w:rPr>
          <w:t xml:space="preserve">[chapter:section-4]</w:t>
        </w:r>
      </w:hyperlink>
      <w:r>
        <w:t xml:space="preserve">).</w:t>
      </w:r>
    </w:p>
    <w:p>
      <w:pPr>
        <w:pStyle w:val="BodyText"/>
      </w:pPr>
      <w:r>
        <w:t xml:space="preserve">This Funesian database can also be understood in relation to what Gayatri Chakravorty Spivak</w:t>
      </w:r>
      <w:r>
        <w:t xml:space="preserve"> </w:t>
      </w:r>
      <w:r>
        <w:t xml:space="preserve">(Derrida &amp; Spivak 1976)</w:t>
      </w:r>
      <w:r>
        <w:t xml:space="preserve"> </w:t>
      </w:r>
      <w:r>
        <w:t xml:space="preserve">writes about forgetfulness. She notes in Nietzche the</w:t>
      </w:r>
      <w:r>
        <w:t xml:space="preserve"> </w:t>
      </w:r>
      <w:r>
        <w:t xml:space="preserve">‘</w:t>
      </w:r>
      <w:r>
        <w:t xml:space="preserve">joyful</w:t>
      </w:r>
      <w:r>
        <w:t xml:space="preserve">’</w:t>
      </w:r>
      <w:r>
        <w:t xml:space="preserve"> </w:t>
      </w:r>
      <w:r>
        <w:t xml:space="preserve">and</w:t>
      </w:r>
      <w:r>
        <w:t xml:space="preserve"> </w:t>
      </w:r>
      <w:r>
        <w:t xml:space="preserve">‘</w:t>
      </w:r>
      <w:r>
        <w:t xml:space="preserve">affirmative</w:t>
      </w:r>
      <w:r>
        <w:t xml:space="preserve">’</w:t>
      </w:r>
      <w:r>
        <w:t xml:space="preserve"> </w:t>
      </w:r>
      <w:r>
        <w:t xml:space="preserve">activity that constitues forgetfulness as being twofold. On the one hand, this activity is a</w:t>
      </w:r>
      <w:r>
        <w:t xml:space="preserve"> </w:t>
      </w:r>
      <w:r>
        <w:t xml:space="preserve">“</w:t>
      </w:r>
      <w:r>
        <w:t xml:space="preserve">limitation that protects the human being from the blinding light of an absolute historical memory,</w:t>
      </w:r>
      <w:r>
        <w:t xml:space="preserve">”</w:t>
      </w:r>
      <w:r>
        <w:t xml:space="preserve"> </w:t>
      </w:r>
      <w:r>
        <w:t xml:space="preserve">and on the other, it is</w:t>
      </w:r>
      <w:r>
        <w:t xml:space="preserve"> </w:t>
      </w:r>
      <w:r>
        <w:t xml:space="preserve">“</w:t>
      </w:r>
      <w:r>
        <w:t xml:space="preserve">to avoid falling into the trap of</w:t>
      </w:r>
      <w:r>
        <w:t xml:space="preserve"> </w:t>
      </w:r>
      <w:r>
        <w:t xml:space="preserve">‘</w:t>
      </w:r>
      <w:r>
        <w:t xml:space="preserve">historical knowledge</w:t>
      </w:r>
      <w:r>
        <w:t xml:space="preserve">’</w:t>
      </w:r>
      <w:r>
        <w:t xml:space="preserve">”</w:t>
      </w:r>
      <w:r>
        <w:t xml:space="preserve"> </w:t>
      </w:r>
      <w:r>
        <w:t xml:space="preserve">(Derrida &amp; Spivak 1976 xxxi)</w:t>
      </w:r>
      <w:r>
        <w:t xml:space="preserve">. The</w:t>
      </w:r>
      <w:r>
        <w:t xml:space="preserve"> </w:t>
      </w:r>
      <w:r>
        <w:t xml:space="preserve">‘</w:t>
      </w:r>
      <w:r>
        <w:t xml:space="preserve">historical</w:t>
      </w:r>
      <w:r>
        <w:t xml:space="preserve">’</w:t>
      </w:r>
      <w:r>
        <w:t xml:space="preserve"> </w:t>
      </w:r>
      <w:r>
        <w:t xml:space="preserve">here is an</w:t>
      </w:r>
      <w:r>
        <w:t xml:space="preserve"> </w:t>
      </w:r>
      <w:r>
        <w:t xml:space="preserve">“</w:t>
      </w:r>
      <w:r>
        <w:t xml:space="preserve">unquestioned villan,</w:t>
      </w:r>
      <w:r>
        <w:t xml:space="preserve">”</w:t>
      </w:r>
      <w:r>
        <w:t xml:space="preserve"> </w:t>
      </w:r>
      <w:r>
        <w:t xml:space="preserve">which takes two forms: one</w:t>
      </w:r>
      <w:r>
        <w:t xml:space="preserve"> </w:t>
      </w:r>
      <w:r>
        <w:t xml:space="preserve">“</w:t>
      </w:r>
      <w:r>
        <w:t xml:space="preserve">academic and preservative,</w:t>
      </w:r>
      <w:r>
        <w:t xml:space="preserve">”</w:t>
      </w:r>
      <w:r>
        <w:t xml:space="preserve"> </w:t>
      </w:r>
      <w:r>
        <w:t xml:space="preserve">the other</w:t>
      </w:r>
      <w:r>
        <w:t xml:space="preserve"> </w:t>
      </w:r>
      <w:r>
        <w:t xml:space="preserve">“</w:t>
      </w:r>
      <w:r>
        <w:t xml:space="preserve">philosophical and destructive</w:t>
      </w:r>
      <w:r>
        <w:t xml:space="preserve">”</w:t>
      </w:r>
      <w:r>
        <w:t xml:space="preserve"> </w:t>
      </w:r>
      <w:r>
        <w:t xml:space="preserve">(Derrida &amp; Spivak 1976 xxxi)</w:t>
      </w:r>
      <w:r>
        <w:t xml:space="preserve">. For Nietzsche, as Spivak notes, forgetfulness is a choice that comes as a solution: an</w:t>
      </w:r>
      <w:r>
        <w:t xml:space="preserve"> </w:t>
      </w:r>
      <w:r>
        <w:t xml:space="preserve">“</w:t>
      </w:r>
      <w:r>
        <w:t xml:space="preserve">antidote</w:t>
      </w:r>
      <w:r>
        <w:t xml:space="preserve">”</w:t>
      </w:r>
      <w:r>
        <w:t xml:space="preserve"> </w:t>
      </w:r>
      <w:r>
        <w:t xml:space="preserve">to the</w:t>
      </w:r>
      <w:r>
        <w:t xml:space="preserve"> </w:t>
      </w:r>
      <w:r>
        <w:t xml:space="preserve">“</w:t>
      </w:r>
      <w:r>
        <w:t xml:space="preserve">historical fever,</w:t>
      </w:r>
      <w:r>
        <w:t xml:space="preserve">”</w:t>
      </w:r>
      <w:r>
        <w:t xml:space="preserve"> </w:t>
      </w:r>
      <w:r>
        <w:t xml:space="preserve">or the</w:t>
      </w:r>
      <w:r>
        <w:t xml:space="preserve"> </w:t>
      </w:r>
      <w:r>
        <w:t xml:space="preserve">“</w:t>
      </w:r>
      <w:r>
        <w:t xml:space="preserve">unhistorical,</w:t>
      </w:r>
      <w:r>
        <w:t xml:space="preserve">”</w:t>
      </w:r>
      <w:r>
        <w:t xml:space="preserve"> </w:t>
      </w:r>
      <w:r>
        <w:t xml:space="preserve">that is,</w:t>
      </w:r>
      <w:r>
        <w:t xml:space="preserve"> </w:t>
      </w:r>
      <w:r>
        <w:t xml:space="preserve">“</w:t>
      </w:r>
      <w:r>
        <w:t xml:space="preserve">the power, the art of forgetting…</w:t>
      </w:r>
      <w:r>
        <w:t xml:space="preserve">”</w:t>
      </w:r>
      <w:r>
        <w:t xml:space="preserve"> </w:t>
      </w:r>
      <w:r>
        <w:t xml:space="preserve">(Derrida &amp; Spivak 1976 xxxi)</w:t>
      </w:r>
      <w:r>
        <w:t xml:space="preserve">. I propose an imaginary experiment that would add some noise to Borges’ short story, however utterly fantastic his writing was. One thing that can be read from the story is that, in order to seclude himself from perceiving the world, or better, in order to forget the world altogether, Irineo stayed in the darkess of his room. This is how he cancelled light, a quite powerful stimulus if memory-space is to be optimized for the purpose of, say, getting some sleep. However, there is little to no mention of the sonic environment in which Funes was embedded —somewhere in the outskirts of the quiet Uruguayan city of Fray Bentos. In fact, the only sonic references are focused on the narrator’s perspective, referring to Funes’ high-pitched and —due to his being in the darkness— acousmatic voice. To a certain extent, we might think of Funes’ high-pitched (at least this is how the narrator heard it) voice as a hint to the highlighted overtones that links Borges’</w:t>
      </w:r>
      <w:r>
        <w:t xml:space="preserve"> </w:t>
      </w:r>
      <w:r>
        <w:t xml:space="preserve">“</w:t>
      </w:r>
      <w:r>
        <w:t xml:space="preserve">long metaphor of insomnia</w:t>
      </w:r>
      <w:r>
        <w:t xml:space="preserve">”</w:t>
      </w:r>
      <w:r>
        <w:t xml:space="preserve"> </w:t>
      </w:r>
      <w:r>
        <w:t xml:space="preserve">with “the</w:t>
      </w:r>
      <w:r>
        <w:t xml:space="preserve"> </w:t>
      </w:r>
      <w:r>
        <w:t xml:space="preserve">‘</w:t>
      </w:r>
      <w:r>
        <w:t xml:space="preserve">laughter</w:t>
      </w:r>
      <w:r>
        <w:t xml:space="preserve">’</w:t>
      </w:r>
      <w:r>
        <w:t xml:space="preserve"> </w:t>
      </w:r>
      <w:r>
        <w:t xml:space="preserve">of [Nietzche’s] Over-man [that] will not be a</w:t>
      </w:r>
      <w:r>
        <w:t xml:space="preserve"> </w:t>
      </w:r>
      <w:r>
        <w:t xml:space="preserve">‘</w:t>
      </w:r>
      <w:r>
        <w:t xml:space="preserve">memorial or…guard of the…form of the house and the truth…He will dance, outside of the house, this…active forgetfulness</w:t>
      </w:r>
      <w:r>
        <w:t xml:space="preserve">’</w:t>
      </w:r>
      <w:r>
        <w:t xml:space="preserve">’</w:t>
      </w:r>
      <w:r>
        <w:t xml:space="preserve"> </w:t>
      </w:r>
      <w:r>
        <w:t xml:space="preserve">(Derrida &amp; Spivak 1976 xxxii)</w:t>
      </w:r>
      <w:r>
        <w:t xml:space="preserve">. Nonetheless, Funes is deprived of this forgetfulness, and thus cannot go outside, let alone laugh or dance.</w:t>
      </w:r>
      <w:r>
        <w:rPr>
          <w:rStyle w:val="FootnoteReference"/>
        </w:rPr>
        <w:footnoteReference w:id="44"/>
      </w:r>
      <w:r>
        <w:t xml:space="preserve"> </w:t>
      </w:r>
      <w:r>
        <w:t xml:space="preserve">By locking himself inside a room he would have managed to attenuate sound waves coming in from outside. Notwithstanding his isolation —a house arrest—, sound waves are actually very difficult to cancel.</w:t>
      </w:r>
    </w:p>
    <w:p>
      <w:pPr>
        <w:pStyle w:val="BodyText"/>
      </w:pPr>
      <w:r>
        <w:rPr>
          <w:strike/>
        </w:rPr>
        <w:t xml:space="preserve">(</w:t>
      </w:r>
      <w:r>
        <w:t xml:space="preserve"> </w:t>
      </w:r>
      <w:r>
        <w:t xml:space="preserve">It is interesting to compare Funes’ attempt to filter out the world with John Cage’s quest for silence. An interesting experiment would have been to have John Cage take Irineo to an anechoic chamber and ask him what he can remember then. From Cage’s own experience, we can guess that Funes would effectively remember his own sounding body. Kim</w:t>
      </w:r>
      <w:r>
        <w:t xml:space="preserve"> </w:t>
      </w:r>
      <w:r>
        <w:t xml:space="preserve">Cascone (2000)</w:t>
      </w:r>
      <w:r>
        <w:t xml:space="preserve"> </w:t>
      </w:r>
      <w:r>
        <w:t xml:space="preserve">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It is interesting to place an 80 year-old Irineo in David Tudor’s premiere at Maverick Concert Hall in Woodstock, NY, infinitely listening to 4’33”</w:t>
      </w:r>
      <w:r>
        <w:t xml:space="preserve"> </w:t>
      </w:r>
      <w:r>
        <w:rPr>
          <w:strike/>
        </w:rPr>
        <w:t xml:space="preserve">)</w:t>
      </w:r>
    </w:p>
    <w:p>
      <w:pPr>
        <w:pStyle w:val="BodyText"/>
      </w:pPr>
      <w:r>
        <w:t xml:space="preserve">It is very unlikely —but nonetheless possible— that Borges was aware of American acoustician Leo Beranek’s research for the US Army during World War II, that is, when the first anechoic chamber was built.</w:t>
      </w:r>
      <w:r>
        <w:rPr>
          <w:rStyle w:val="FootnoteReference"/>
        </w:rPr>
        <w:footnoteReference w:id="45"/>
      </w:r>
      <w:r>
        <w:t xml:space="preserve"> </w:t>
      </w:r>
      <w:r>
        <w:t xml:space="preserve">Furthermore, even if he managed to isolate himself completely from the world by cancelling perception altogether, Funes would have been with his memories (he was not deprived of</w:t>
      </w:r>
      <w:r>
        <w:t xml:space="preserve"> </w:t>
      </w:r>
      <w:r>
        <w:rPr>
          <w:i/>
        </w:rPr>
        <w:t xml:space="preserve">anamnesis</w:t>
      </w:r>
      <w:r>
        <w:t xml:space="preserve">, the ability to remember), which were not discrete, but continuous iterations of the world he had accumulated over the years. What this means is that all the sounds he had listened to would be available to his imagination. 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nonetheless out of Funes’ concerns. Therefore, one thing we can ask ourselves is how the world would sound for Irineo Funes? The task is not difficult to imagine: the world would be inscribed in poor Irineo’s memory in such an infinitely continuous way that each fraction of wave oscillation would be different, unique, leaving no space for repetition of any kind. For example, one of Irineo’s concerns was to reduce the amount of memories on a single day, which he downsized to about seventy thousand…. What would be Funes’ sample rate? What frequencies could he be able to synthesize? All sounds (and all that can be registered) would be listened to completely, with every infinitesimal oscillation of a wave pointing to the most utterly complete scope of imaginable references. A complete state of listening. In fact, we might not be able to call it listening any more. Not even signal processing. An infinitesimal incorporation of sound is unthinkable. Within such total listening there would be no possibility for thought, no processing of any kind, and no synthesis: only infinite accumulation and storage. On the one hand, no matter how accurate our embodied listening might be, we are bound to miss some motion, some waves would pass through us and we would be busy forgetting to register them. On the other hand, if such a recording were humanly possible, thinking would cease to be so. This can be thought of as the intersection of the finite with the infinite: while Funes’ nonhuman memory corresponds to a dynamics of the infinite, his human body is quite human. Funes is not deprived of this finitude, and existed (fantastically) on a ghostly liminality. This liminality grows more and more evidently throught the story, hand in hand with the accumulative growth of the Funesian database, all the way until the end, in a sort of Moore’s Law of data congestion, saturating completely in an utterly human pulmonary congestion</w:t>
      </w:r>
      <w:r>
        <w:t xml:space="preserve"> </w:t>
      </w:r>
      <w:r>
        <w:t xml:space="preserve">(Oviedo 2019)</w:t>
      </w:r>
      <w:r>
        <w:t xml:space="preserve">.</w:t>
      </w:r>
    </w:p>
    <w:p>
      <w:pPr>
        <w:pStyle w:val="Heading3"/>
      </w:pPr>
      <w:bookmarkStart w:id="47" w:name="generated"/>
      <w:r>
        <w:t xml:space="preserve">Closing Remarks</w:t>
      </w:r>
      <w:bookmarkEnd w:id="47"/>
    </w:p>
    <w:p>
      <w:pPr>
        <w:pStyle w:val="FirstParagraph"/>
      </w:pPr>
      <w:r>
        <w:t xml:space="preserve">Despite Manovich’s technologically determined considerations of the database as form, he notes a fundamental aspect of the use of the database when he expresses that data need to be collected, generated, organized, created, etc:</w:t>
      </w:r>
      <w:r>
        <w:t xml:space="preserve"> </w:t>
      </w:r>
      <w:r>
        <w:t xml:space="preserve">“</w:t>
      </w:r>
      <w:r>
        <w:t xml:space="preserve">Texts need to be written, photographs need to be taken, video and audio need to be recorded. Or they need to be digitized [and then] cleaned up, organized, and indexed</w:t>
      </w:r>
      <w:r>
        <w:t xml:space="preserve">”</w:t>
      </w:r>
      <w:r>
        <w:t xml:space="preserve"> </w:t>
      </w:r>
      <w:r>
        <w:t xml:space="preserve">(Manovich 2001, p. 224)</w:t>
      </w:r>
      <w:r>
        <w:t xml:space="preserve">. In this sense, he begins to describe the actions that need to be performed around data, what I call databasing (See</w:t>
      </w:r>
      <w:r>
        <w:t xml:space="preserve"> </w:t>
      </w:r>
      <w:hyperlink w:anchor="databasing">
        <w:r>
          <w:rPr>
            <w:rStyle w:val="Hyperlink"/>
          </w:rPr>
          <w:t xml:space="preserve">4.2.1</w:t>
        </w:r>
      </w:hyperlink>
      <w:r>
        <w:t xml:space="preserve">), which connotes the use of databases in terms of their performativity (See</w:t>
      </w:r>
      <w:r>
        <w:t xml:space="preserve"> </w:t>
      </w:r>
      <w:hyperlink w:anchor="chapter:section-6">
        <w:r>
          <w:rPr>
            <w:rStyle w:val="Hyperlink"/>
          </w:rPr>
          <w:t xml:space="preserve">[chapter:section-6]</w:t>
        </w:r>
      </w:hyperlink>
      <w:r>
        <w:t xml:space="preserve">).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(See Figure</w:t>
      </w:r>
      <w:r>
        <w:t xml:space="preserve"> </w:t>
      </w:r>
      <w:hyperlink w:anchor="img:manworld">
        <w:r>
          <w:rPr>
            <w:rStyle w:val="Hyperlink"/>
          </w:rPr>
          <w:t xml:space="preserve">4.2</w:t>
        </w:r>
      </w:hyperlink>
      <w:r>
        <w:t xml:space="preserve">).</w:t>
      </w:r>
    </w:p>
    <w:p>
      <w:pPr>
        <w:pStyle w:val="CaptionedFigure"/>
      </w:pPr>
      <w:bookmarkStart w:id="49" w:name="img:manworld"/>
      <w:r>
        <w:drawing>
          <wp:inline>
            <wp:extent cx="3289300" cy="584200"/>
            <wp:effectExtent b="0" l="0" r="0" t="0"/>
            <wp:docPr descr="Manovich’s cultural algorithm" title="" id="1" name="Picture"/>
            <a:graphic>
              <a:graphicData uri="http://schemas.openxmlformats.org/drawingml/2006/picture">
                <pic:pic>
                  <pic:nvPicPr>
                    <pic:cNvPr descr="/Users/federicocamarahalac/Documents/fd_work/text/waves/bin/img/manworld.png" id="0" name="Picture"/>
                    <pic:cNvPicPr>
                      <a:picLocks noChangeArrowheads="1" noChangeAspect="1"/>
                    </pic:cNvPicPr>
                  </pic:nvPicPr>
                  <pic:blipFill>
                    <a:blip r:embed="rId48"/>
                    <a:stretch>
                      <a:fillRect/>
                    </a:stretch>
                  </pic:blipFill>
                  <pic:spPr bwMode="auto">
                    <a:xfrm>
                      <a:off x="0" y="0"/>
                      <a:ext cx="3289300" cy="584200"/>
                    </a:xfrm>
                    <a:prstGeom prst="rect">
                      <a:avLst/>
                    </a:prstGeom>
                    <a:noFill/>
                    <a:ln w="9525">
                      <a:noFill/>
                      <a:headEnd/>
                      <a:tailEnd/>
                    </a:ln>
                  </pic:spPr>
                </pic:pic>
              </a:graphicData>
            </a:graphic>
          </wp:inline>
        </w:drawing>
      </w:r>
      <w:bookmarkEnd w:id="49"/>
    </w:p>
    <w:p>
      <w:pPr>
        <w:pStyle w:val="ImageCaption"/>
      </w:pPr>
      <w:r>
        <w:t xml:space="preserve">Manovich’s cultural algorithm</w:t>
      </w:r>
    </w:p>
    <w:p>
      <w:pPr>
        <w:pStyle w:val="BodyText"/>
      </w:pPr>
      <w:r>
        <w:t xml:space="preserve">The world is mediatized, stored in some media (film, tape), then digitized into data, then structured into a database. The result is the world represented by the database.</w:t>
      </w:r>
    </w:p>
    <w:p>
      <w:pPr>
        <w:pStyle w:val="BodyText"/>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 In any case, his contribution to the literature on the role of databases in new media have led us to this point of inflexion, in which we can consider different points of view regarding the topic of databases. My revision of this algorithm will come later in this dissertation (See Figure</w:t>
      </w:r>
      <w:r>
        <w:t xml:space="preserve"> </w:t>
      </w:r>
      <w:hyperlink w:anchor="img:unwork">
        <w:r>
          <w:rPr>
            <w:rStyle w:val="Hyperlink"/>
          </w:rPr>
          <w:t xml:space="preserve">5.2</w:t>
        </w:r>
      </w:hyperlink>
      <w:r>
        <w:t xml:space="preserve">). In what follows, I will explore the more technical aspects of databasing, in order to trace a connection between the literature on sound-based computer practices with that of the development of databases over the years. In this way, I bring the discussion of databases into the sonic sphere.</w:t>
      </w:r>
    </w:p>
    <w:p>
      <w:pPr>
        <w:pStyle w:val="Heading2"/>
      </w:pPr>
      <w:bookmarkStart w:id="50" w:name="Xaa99de313451c13ede5fb5754f0e4f994813cac"/>
      <w:r>
        <w:t xml:space="preserve">Databasing And The History Of Databases</w:t>
      </w:r>
      <w:bookmarkEnd w:id="50"/>
    </w:p>
    <w:p>
      <w:pPr>
        <w:pStyle w:val="Heading3"/>
      </w:pPr>
      <w:bookmarkStart w:id="51" w:name="databasing"/>
      <w:r>
        <w:t xml:space="preserve">Databasing: The Performance Of The Database</w:t>
      </w:r>
      <w:bookmarkEnd w:id="51"/>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impulsed by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52" w:name="data-types-and-structures"/>
      <w:r>
        <w:t xml:space="preserve">Data types and structures</w:t>
      </w:r>
      <w:bookmarkEnd w:id="52"/>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53"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53"/>
    <w:p>
      <w:pPr>
        <w:pStyle w:val="Heading4"/>
      </w:pPr>
      <w:bookmarkStart w:id="54" w:name="temporality-of-databasing"/>
      <w:r>
        <w:t xml:space="preserve">Temporality of Databasing</w:t>
      </w:r>
      <w:bookmarkEnd w:id="54"/>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4.1.5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55" w:name="databasing-and-writing"/>
      <w:r>
        <w:t xml:space="preserve">Databasing and Writing</w:t>
      </w:r>
      <w:bookmarkEnd w:id="55"/>
    </w:p>
    <w:p>
      <w:pPr>
        <w:pStyle w:val="FirstParagraph"/>
      </w:pPr>
      <w:r>
        <w:t xml:space="preserve">As with other new media, the terminology used to describe computer memory is often borrowed from earlier media practices like printed text: reading, writing, and erasing. Computer memory thus shares with writing the property of hypomnesis, that is, of displacing the role of human memory with an external non-human device. In the case of the computer memory however, the scale of this displacement is extremely large, both in terms of the amounts of data that can be stored and the speed with which it can be stored. For example, the 40-bit long 4000 numbers that Von Neumann was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represents around 16 Kilobytes, something which today might seem absurd in comparison to current computer storage capabilities that can be found in the case of cloud computing. In light of this fact, we might ask ourselves how is human work transformed through interaction with these massive external memories? Database practice has direct effects on temporality and on memory. Therefore, when designing computer software for art, the way in which data is structured, together with the speed and design of data flow, has significant effects on the temporality of art altogether as a practice.</w:t>
      </w:r>
    </w:p>
    <w:p>
      <w:pPr>
        <w:pStyle w:val="BodyText"/>
      </w:pPr>
      <w:r>
        <w:t xml:space="preserve">I have proposed that memory and its storing of instructions and information what enables the computer as such. The simplicity of this synthesis of data and command in Von Neumann’s architecture, led to its implementation in not only the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56"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56"/>
    <w:p>
      <w:pPr>
        <w:pStyle w:val="Heading4"/>
      </w:pPr>
      <w:bookmarkStart w:id="57" w:name="the-von-neumann-architecture"/>
      <w:r>
        <w:t xml:space="preserve">The Von Neumann Architecture</w:t>
      </w:r>
      <w:bookmarkEnd w:id="57"/>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it is memory-storage what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58" w:name="programming"/>
      <w:r>
        <w:t xml:space="preserve">A Database Tree</w:t>
      </w:r>
      <w:bookmarkEnd w:id="58"/>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working with computers meant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4.3</w:t>
        </w:r>
      </w:hyperlink>
      <w:r>
        <w:t xml:space="preserve">), starting from basic data structures to more elaborate database systems, and then present a brief history of how databases were designed.</w:t>
      </w:r>
    </w:p>
    <w:p>
      <w:pPr>
        <w:pStyle w:val="CaptionedFigure"/>
      </w:pPr>
      <w:bookmarkStart w:id="59" w:name="img:dbtree"/>
      <w:r>
        <w:drawing>
          <wp:inline>
            <wp:extent cx="5334000" cy="5887267"/>
            <wp:effectExtent b="0" l="0" r="0" t="0"/>
            <wp:docPr descr="A Database Tre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59"/>
    </w:p>
    <w:p>
      <w:pPr>
        <w:pStyle w:val="ImageCaption"/>
      </w:pPr>
      <w:r>
        <w:t xml:space="preserve">A Database Tree</w:t>
      </w:r>
    </w:p>
    <w:p>
      <w:pPr>
        <w:pStyle w:val="BodyText"/>
      </w:pPr>
      <w:r>
        <w:t xml:space="preserve">A very simple sketch of a tree representing the database tree of computer evolution</w:t>
      </w:r>
    </w:p>
    <w:p>
      <w:pPr>
        <w:pStyle w:val="Heading5"/>
      </w:pPr>
      <w:bookmarkStart w:id="60" w:name="soil"/>
      <w:r>
        <w:t xml:space="preserve">Soil</w:t>
      </w:r>
      <w:bookmarkEnd w:id="60"/>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5"/>
      </w:pPr>
      <w:bookmarkStart w:id="61" w:name="roots"/>
      <w:r>
        <w:t xml:space="preserve">Roots</w:t>
      </w:r>
      <w:bookmarkEnd w:id="61"/>
    </w:p>
    <w:p>
      <w:pPr>
        <w:pStyle w:val="FirstParagraph"/>
      </w:pPr>
      <w:r>
        <w:t xml:space="preserve">The below-the-soil level is accessed through machine and assembly code, which constitutes the core of low-level programming languages and are, to a certain extent, humanly un-readable: the world of bits. Above the soil, readability by humans is the main feature.</w:t>
      </w:r>
    </w:p>
    <w:p>
      <w:pPr>
        <w:pStyle w:val="Heading5"/>
      </w:pPr>
      <w:bookmarkStart w:id="62" w:name="portability"/>
      <w:r>
        <w:t xml:space="preserve">Macros</w:t>
      </w:r>
      <w:bookmarkEnd w:id="62"/>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soils.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5"/>
      </w:pPr>
      <w:bookmarkStart w:id="63" w:name="trunk"/>
      <w:r>
        <w:t xml:space="preserve">Trunk</w:t>
      </w:r>
      <w:bookmarkEnd w:id="63"/>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5"/>
      </w:pPr>
      <w:bookmarkStart w:id="64" w:name="branches"/>
      <w:r>
        <w:t xml:space="preserve">Branches</w:t>
      </w:r>
      <w:bookmarkEnd w:id="64"/>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5"/>
      </w:pPr>
      <w:bookmarkStart w:id="65" w:name="twigs"/>
      <w:r>
        <w:t xml:space="preserve">Twigs</w:t>
      </w:r>
      <w:bookmarkEnd w:id="65"/>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5"/>
      </w:pPr>
      <w:bookmarkStart w:id="66" w:name="leaves"/>
      <w:r>
        <w:t xml:space="preserve">Leaves</w:t>
      </w:r>
      <w:bookmarkEnd w:id="66"/>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generally used in businesses for data processing and editing, for example:</w:t>
      </w:r>
      <w:r>
        <w:t xml:space="preserve"> </w:t>
      </w:r>
      <w:r>
        <w:t xml:space="preserve">mysql</w:t>
      </w:r>
      <w:r>
        <w:t xml:space="preserve">,</w:t>
      </w:r>
      <w:r>
        <w:t xml:space="preserve"> </w:t>
      </w:r>
      <w:r>
        <w:t xml:space="preserve">postgresql</w:t>
      </w:r>
      <w:r>
        <w:t xml:space="preserve">,</w:t>
      </w:r>
      <w:r>
        <w:t xml:space="preserve"> </w:t>
      </w:r>
      <w:r>
        <w:t xml:space="preserve">nosql</w:t>
      </w:r>
      <w:r>
        <w:t xml:space="preserve">,</w:t>
      </w:r>
      <w:r>
        <w:t xml:space="preserve"> </w:t>
      </w:r>
      <w:r>
        <w:t xml:space="preserve">couchdb</w:t>
      </w:r>
      <w:r>
        <w:t xml:space="preserve"> </w:t>
      </w:r>
      <w:r>
        <w:t xml:space="preserve">and</w:t>
      </w:r>
      <w:r>
        <w:t xml:space="preserve"> </w:t>
      </w:r>
      <w:r>
        <w:t xml:space="preserve">mongodb</w:t>
      </w:r>
      <w:r>
        <w:t xml:space="preserve">.</w:t>
      </w:r>
    </w:p>
    <w:p>
      <w:pPr>
        <w:pStyle w:val="Heading5"/>
      </w:pPr>
      <w:bookmarkStart w:id="67" w:name="networks"/>
      <w:r>
        <w:t xml:space="preserve">Networks</w:t>
      </w:r>
      <w:bookmarkEnd w:id="67"/>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5"/>
      </w:pPr>
      <w:bookmarkStart w:id="68" w:name="clouds"/>
      <w:r>
        <w:t xml:space="preserve">Clouds</w:t>
      </w:r>
      <w:bookmarkEnd w:id="68"/>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69" w:name="models"/>
      <w:r>
        <w:t xml:space="preserve">The Realm Of Data Structures</w:t>
      </w:r>
      <w:bookmarkEnd w:id="69"/>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5"/>
      </w:pPr>
      <w:bookmarkStart w:id="70" w:name="array-data-structure"/>
      <w:r>
        <w:t xml:space="preserve">Array data structure</w:t>
      </w:r>
      <w:bookmarkEnd w:id="70"/>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5"/>
      </w:pPr>
      <w:bookmarkStart w:id="71" w:name="computer:linked"/>
      <w:r>
        <w:t xml:space="preserve">Linked Lists</w:t>
      </w:r>
      <w:bookmarkEnd w:id="71"/>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4.3.3.1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5"/>
      </w:pPr>
      <w:bookmarkStart w:id="72" w:name="computer:audacity"/>
      <w:r>
        <w:t xml:space="preserve">Sequences</w:t>
      </w:r>
      <w:bookmarkEnd w:id="72"/>
    </w:p>
    <w:p>
      <w:pPr>
        <w:pStyle w:val="FirstParagraph"/>
      </w:pPr>
      <w:r>
        <w:t xml:space="preserve">Crowley (1998)</w:t>
      </w:r>
      <w:r>
        <w:t xml:space="preserve"> </w:t>
      </w:r>
      <w:r>
        <w:t xml:space="preserve">claims, however, that neither linked lists nor arrays are suitable for large text sequences, since linked lists take up too much memory, and arrays are slow because they requires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73" w:name="descriptions"/>
      <w:r>
        <w:t xml:space="preserve">A Brief History Of Database Models</w:t>
      </w:r>
      <w:bookmarkEnd w:id="73"/>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w:t>
      </w:r>
      <w:r>
        <w:t xml:space="preserve"> </w:t>
      </w:r>
      <w:r>
        <w:t xml:space="preserve">“</w:t>
      </w:r>
      <w:r>
        <w:t xml:space="preserve">determines 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74" w:name="model:hierarchical"/>
      <w:r>
        <w:t xml:space="preserve">Hierarchical</w:t>
      </w:r>
      <w:bookmarkEnd w:id="74"/>
    </w:p>
    <w:p>
      <w:pPr>
        <w:pStyle w:val="CaptionedFigure"/>
      </w:pPr>
      <w:bookmarkStart w:id="76"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75"/>
                    <a:stretch>
                      <a:fillRect/>
                    </a:stretch>
                  </pic:blipFill>
                  <pic:spPr bwMode="auto">
                    <a:xfrm>
                      <a:off x="0" y="0"/>
                      <a:ext cx="2692400" cy="1866900"/>
                    </a:xfrm>
                    <a:prstGeom prst="rect">
                      <a:avLst/>
                    </a:prstGeom>
                    <a:noFill/>
                    <a:ln w="9525">
                      <a:noFill/>
                      <a:headEnd/>
                      <a:tailEnd/>
                    </a:ln>
                  </pic:spPr>
                </pic:pic>
              </a:graphicData>
            </a:graphic>
          </wp:inline>
        </w:drawing>
      </w:r>
      <w:bookmarkEnd w:id="76"/>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Their use within database systems was eclipsed by the relational model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4.2.4.7</w:t>
        </w:r>
      </w:hyperlink>
      <w:r>
        <w:t xml:space="preserve">).</w:t>
      </w:r>
    </w:p>
    <w:p>
      <w:pPr>
        <w:pStyle w:val="Heading4"/>
      </w:pPr>
      <w:bookmarkStart w:id="77" w:name="model:network"/>
      <w:r>
        <w:t xml:space="preserve">Network</w:t>
      </w:r>
      <w:bookmarkEnd w:id="77"/>
    </w:p>
    <w:p>
      <w:pPr>
        <w:pStyle w:val="CaptionedFigure"/>
      </w:pPr>
      <w:bookmarkStart w:id="79"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78"/>
                    <a:stretch>
                      <a:fillRect/>
                    </a:stretch>
                  </pic:blipFill>
                  <pic:spPr bwMode="auto">
                    <a:xfrm>
                      <a:off x="0" y="0"/>
                      <a:ext cx="2298700" cy="2552700"/>
                    </a:xfrm>
                    <a:prstGeom prst="rect">
                      <a:avLst/>
                    </a:prstGeom>
                    <a:noFill/>
                    <a:ln w="9525">
                      <a:noFill/>
                      <a:headEnd/>
                      <a:tailEnd/>
                    </a:ln>
                  </pic:spPr>
                </pic:pic>
              </a:graphicData>
            </a:graphic>
          </wp:inline>
        </w:drawing>
      </w:r>
      <w:bookmarkEnd w:id="79"/>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hiearachical structure, meaning that the network can be accessed starting from any node. Due to the interlocking of the physical implementation and the internal logic of node identity and access, very fast retrieval speeds are obtained.</w:t>
      </w:r>
    </w:p>
    <w:p>
      <w:pPr>
        <w:pStyle w:val="Heading5"/>
      </w:pPr>
      <w:bookmarkStart w:id="80" w:name="navigational-paradigm"/>
      <w:r>
        <w:t xml:space="preserve">Navigational Paradigm</w:t>
      </w:r>
      <w:bookmarkEnd w:id="80"/>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 structure, they can be accessed using this navigational paradigm.</w:t>
      </w:r>
    </w:p>
    <w:p>
      <w:pPr>
        <w:pStyle w:val="Heading4"/>
      </w:pPr>
      <w:bookmarkStart w:id="81" w:name="model:relational"/>
      <w:r>
        <w:t xml:space="preserve">Relational</w:t>
      </w:r>
      <w:bookmarkEnd w:id="81"/>
    </w:p>
    <w:p>
      <w:pPr>
        <w:pStyle w:val="CaptionedFigure"/>
      </w:pPr>
      <w:bookmarkStart w:id="83"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82"/>
                    <a:stretch>
                      <a:fillRect/>
                    </a:stretch>
                  </pic:blipFill>
                  <pic:spPr bwMode="auto">
                    <a:xfrm>
                      <a:off x="0" y="0"/>
                      <a:ext cx="2540000" cy="1676400"/>
                    </a:xfrm>
                    <a:prstGeom prst="rect">
                      <a:avLst/>
                    </a:prstGeom>
                    <a:noFill/>
                    <a:ln w="9525">
                      <a:noFill/>
                      <a:headEnd/>
                      <a:tailEnd/>
                    </a:ln>
                  </pic:spPr>
                </pic:pic>
              </a:graphicData>
            </a:graphic>
          </wp:inline>
        </w:drawing>
      </w:r>
      <w:bookmarkEnd w:id="83"/>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In recent years, object relational database have emerged such as</w:t>
      </w:r>
      <w:r>
        <w:t xml:space="preserve"> </w:t>
      </w:r>
      <w:r>
        <w:t xml:space="preserve">sqlobject</w:t>
      </w:r>
      <w:r>
        <w:t xml:space="preserve">, interpreting relations as classes in the object-oriented programming paradigm.</w:t>
      </w:r>
    </w:p>
    <w:p>
      <w:pPr>
        <w:pStyle w:val="Heading4"/>
      </w:pPr>
      <w:bookmarkStart w:id="84" w:name="model:nonrelational"/>
      <w:r>
        <w:t xml:space="preserve">Non-Relational</w:t>
      </w:r>
      <w:bookmarkEnd w:id="84"/>
    </w:p>
    <w:p>
      <w:pPr>
        <w:pStyle w:val="FirstParagraph"/>
      </w:pPr>
      <w:r>
        <w:t xml:space="preserve">This is a more general type of database models where the internal structure is different from the tabular kind that the relational model presents (See</w:t>
      </w:r>
      <w:r>
        <w:t xml:space="preserve"> </w:t>
      </w:r>
      <w:hyperlink w:anchor="model:relational">
        <w:r>
          <w:rPr>
            <w:rStyle w:val="Hyperlink"/>
          </w:rPr>
          <w:t xml:space="preserve">4.2.4.3</w:t>
        </w:r>
      </w:hyperlink>
      <w:r>
        <w:t xml:space="preserve">), and they are generally referred to as</w:t>
      </w:r>
      <w:r>
        <w:t xml:space="preserve"> </w:t>
      </w:r>
      <w:r>
        <w:t xml:space="preserve">nosql</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4.2.4.7</w:t>
        </w:r>
      </w:hyperlink>
      <w:r>
        <w:t xml:space="preserve">), also called document-oriented databases such as</w:t>
      </w:r>
      <w:r>
        <w:t xml:space="preserve"> </w:t>
      </w:r>
      <w:r>
        <w:t xml:space="preserve">xml</w:t>
      </w:r>
      <w:r>
        <w:t xml:space="preserve">,</w:t>
      </w:r>
      <w:r>
        <w:t xml:space="preserve"> </w:t>
      </w:r>
      <w:r>
        <w:t xml:space="preserve">yaml</w:t>
      </w:r>
      <w:r>
        <w:t xml:space="preserve">, and</w:t>
      </w:r>
      <w:r>
        <w:t xml:space="preserve"> </w:t>
      </w:r>
      <w:r>
        <w:t xml:space="preserve">json</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4.2.4.5</w:t>
        </w:r>
      </w:hyperlink>
      <w:r>
        <w:t xml:space="preserve">); object databases (See</w:t>
      </w:r>
      <w:r>
        <w:t xml:space="preserve"> </w:t>
      </w:r>
      <w:hyperlink w:anchor="model:object">
        <w:r>
          <w:rPr>
            <w:rStyle w:val="Hyperlink"/>
          </w:rPr>
          <w:t xml:space="preserve">4.2.4.6</w:t>
        </w:r>
      </w:hyperlink>
      <w:r>
        <w:t xml:space="preserve">); and database systems using combinations of different models.</w:t>
      </w:r>
    </w:p>
    <w:p>
      <w:pPr>
        <w:pStyle w:val="Heading4"/>
      </w:pPr>
      <w:bookmarkStart w:id="85" w:name="model:graph"/>
      <w:r>
        <w:t xml:space="preserve">Graph</w:t>
      </w:r>
      <w:bookmarkEnd w:id="85"/>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Kyma, among others, present their objects as a directed graph on a canvas.</w:t>
      </w:r>
    </w:p>
    <w:p>
      <w:pPr>
        <w:pStyle w:val="Heading4"/>
      </w:pPr>
      <w:bookmarkStart w:id="86" w:name="model:object"/>
      <w:r>
        <w:t xml:space="preserve">Object</w:t>
      </w:r>
      <w:bookmarkEnd w:id="86"/>
    </w:p>
    <w:p>
      <w:pPr>
        <w:pStyle w:val="CaptionedFigure"/>
      </w:pPr>
      <w:bookmarkStart w:id="88"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87"/>
                    <a:stretch>
                      <a:fillRect/>
                    </a:stretch>
                  </pic:blipFill>
                  <pic:spPr bwMode="auto">
                    <a:xfrm>
                      <a:off x="0" y="0"/>
                      <a:ext cx="3073400" cy="3111500"/>
                    </a:xfrm>
                    <a:prstGeom prst="rect">
                      <a:avLst/>
                    </a:prstGeom>
                    <a:noFill/>
                    <a:ln w="9525">
                      <a:noFill/>
                      <a:headEnd/>
                      <a:tailEnd/>
                    </a:ln>
                  </pic:spPr>
                </pic:pic>
              </a:graphicData>
            </a:graphic>
          </wp:inline>
        </w:drawing>
      </w:r>
      <w:bookmarkEnd w:id="88"/>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89" w:name="model:semistructured"/>
      <w:r>
        <w:t xml:space="preserve">Semi-structured</w:t>
      </w:r>
      <w:bookmarkEnd w:id="89"/>
    </w:p>
    <w:p>
      <w:pPr>
        <w:pStyle w:val="CaptionedFigure"/>
      </w:pPr>
      <w:bookmarkStart w:id="91"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90"/>
                    <a:stretch>
                      <a:fillRect/>
                    </a:stretch>
                  </pic:blipFill>
                  <pic:spPr bwMode="auto">
                    <a:xfrm>
                      <a:off x="0" y="0"/>
                      <a:ext cx="5334000" cy="2873505"/>
                    </a:xfrm>
                    <a:prstGeom prst="rect">
                      <a:avLst/>
                    </a:prstGeom>
                    <a:noFill/>
                    <a:ln w="9525">
                      <a:noFill/>
                      <a:headEnd/>
                      <a:tailEnd/>
                    </a:ln>
                  </pic:spPr>
                </pic:pic>
              </a:graphicData>
            </a:graphic>
          </wp:inline>
        </w:drawing>
      </w:r>
      <w:bookmarkEnd w:id="91"/>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w:t>
      </w:r>
    </w:p>
    <w:p>
      <w:pPr>
        <w:pStyle w:val="Heading4"/>
      </w:pPr>
      <w:bookmarkStart w:id="92" w:name="model:puredata"/>
      <w:r>
        <w:t xml:space="preserve">Pure Data as Database System</w:t>
      </w:r>
      <w:bookmarkEnd w:id="92"/>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93"/>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An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General Electric;</w:t>
            </w:r>
            <w:r>
              <w:t xml:space="preserve"> </w:t>
            </w:r>
            <w:r>
              <w:t xml:space="preserve">hp</w:t>
            </w:r>
            <w:r>
              <w:t xml:space="preserve">;</w:t>
            </w:r>
            <w:r>
              <w:t xml:space="preserve"> </w:t>
            </w:r>
            <w:r>
              <w:t xml:space="preserve">unisys</w:t>
            </w:r>
            <w:r>
              <w:t xml:space="preserve"> </w:t>
            </w:r>
            <w:r>
              <w:t xml:space="preserve"> </w:t>
            </w:r>
          </w:p>
        </w:tc>
        <w:tc>
          <w:p>
            <w:pPr>
              <w:pStyle w:val="Compact"/>
              <w:jc w:val="left"/>
            </w:pPr>
            <w:r>
              <w:t xml:space="preserve">ids</w:t>
            </w:r>
            <w:r>
              <w:t xml:space="preserve">;</w:t>
            </w:r>
            <w:r>
              <w:t xml:space="preserve"> </w:t>
            </w:r>
            <w:r>
              <w:t xml:space="preserve">idms</w:t>
            </w:r>
            <w:r>
              <w:t xml:space="preserve">;</w:t>
            </w:r>
            <w:r>
              <w:t xml:space="preserve"> </w:t>
            </w:r>
            <w:r>
              <w:t xml:space="preserve">rdm</w:t>
            </w:r>
            <w:r>
              <w:t xml:space="preserve">;</w:t>
            </w:r>
            <w:r>
              <w:t xml:space="preserve"> </w:t>
            </w:r>
            <w:r>
              <w:t xml:space="preserve">turboimage</w:t>
            </w:r>
            <w:r>
              <w:t xml:space="preserve">;</w:t>
            </w:r>
            <w:r>
              <w:t xml:space="preserve"> </w:t>
            </w:r>
            <w:r>
              <w:t xml:space="preserve">os_2200</w:t>
            </w:r>
            <w:r>
              <w:t xml:space="preserve">;</w:t>
            </w:r>
            <w:r>
              <w:t xml:space="preserve"> </w:t>
            </w:r>
            <w:r>
              <w:t xml:space="preserve">nosql</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w:t>
            </w:r>
            <w:r>
              <w:t xml:space="preserve"> </w:t>
            </w:r>
            <w:r>
              <w:t xml:space="preserve">sparsity</w:t>
            </w:r>
            <w:r>
              <w:t xml:space="preserve">;  </w:t>
            </w:r>
          </w:p>
        </w:tc>
        <w:tc>
          <w:p>
            <w:pPr>
              <w:pStyle w:val="Compact"/>
              <w:jc w:val="left"/>
            </w:pPr>
            <w:r>
              <w:t xml:space="preserve">mongodb</w:t>
            </w:r>
            <w:r>
              <w:t xml:space="preserve">;</w:t>
            </w:r>
            <w:r>
              <w:t xml:space="preserve"> </w:t>
            </w:r>
            <w:r>
              <w:t xml:space="preserve">redis</w:t>
            </w:r>
            <w:r>
              <w:t xml:space="preserve">;</w:t>
            </w:r>
            <w:r>
              <w:t xml:space="preserve"> </w:t>
            </w:r>
            <w:r>
              <w:t xml:space="preserve">cassandra</w:t>
            </w:r>
            <w:r>
              <w:t xml:space="preserve">;</w:t>
            </w:r>
            <w:r>
              <w:t xml:space="preserve"> </w:t>
            </w:r>
            <w:r>
              <w:t xml:space="preserve">sparksee</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w:t>
            </w:r>
            <w:r>
              <w:t xml:space="preserve"> </w:t>
            </w:r>
            <w:r>
              <w:t xml:space="preserve">oracle</w:t>
            </w:r>
            <w:r>
              <w:t xml:space="preserve">;</w:t>
            </w:r>
            <w:r>
              <w:t xml:space="preserve"> </w:t>
            </w:r>
            <w:r>
              <w:t xml:space="preserve">postgresql</w:t>
            </w:r>
            <w:r>
              <w:t xml:space="preserve">;</w:t>
            </w:r>
            <w:r>
              <w:t xml:space="preserve"> </w:t>
            </w:r>
            <w:r>
              <w:t xml:space="preserve">access</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w:t>
            </w:r>
            <w:r>
              <w:t xml:space="preserve"> </w:t>
            </w:r>
            <w:r>
              <w:t xml:space="preserve">apache</w:t>
            </w:r>
            <w:r>
              <w:t xml:space="preserve">; Amazon  </w:t>
            </w:r>
          </w:p>
        </w:tc>
        <w:tc>
          <w:p>
            <w:pPr>
              <w:pStyle w:val="Compact"/>
              <w:jc w:val="left"/>
            </w:pPr>
            <w:r>
              <w:t xml:space="preserve">neo4j</w:t>
            </w:r>
            <w:r>
              <w:t xml:space="preserve">; Oracle Spatial and Graph;</w:t>
            </w:r>
            <w:r>
              <w:t xml:space="preserve"> </w:t>
            </w:r>
            <w:r>
              <w:t xml:space="preserve">arangodb</w:t>
            </w:r>
            <w:r>
              <w:t xml:space="preserve">; Amazon Neptune;</w:t>
            </w:r>
            <w:r>
              <w:t xml:space="preserve"> </w:t>
            </w:r>
            <w:r>
              <w:t xml:space="preserve">boost</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smalltalk</w:t>
            </w:r>
            <w:r>
              <w:t xml:space="preserve">); Gbase (</w:t>
            </w:r>
            <w:r>
              <w:t xml:space="preserve">lisp</w:t>
            </w:r>
            <w:r>
              <w:t xml:space="preserve">);</w:t>
            </w:r>
            <w:r>
              <w:t xml:space="preserve"> </w:t>
            </w:r>
            <w:r>
              <w:t xml:space="preserve">couchdb</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w:t>
            </w:r>
            <w:r>
              <w:t xml:space="preserve"> </w:t>
            </w:r>
            <w:r>
              <w:t xml:space="preserve">sap_hana</w:t>
            </w:r>
            <w:r>
              <w:t xml:space="preserve">; EXASolution; WebDNA</w:t>
            </w:r>
          </w:p>
        </w:tc>
      </w:tr>
    </w:tbl>
    <w:p>
      <w:pPr>
        <w:pStyle w:val="Heading2"/>
      </w:pPr>
      <w:bookmarkStart w:id="94" w:name="X1c28eb4bd7a5a8657f4f02cad1efaabac1f8270"/>
      <w:r>
        <w:t xml:space="preserve">Databasing Sound: Applications Of Databases In Sound</w:t>
      </w:r>
      <w:bookmarkEnd w:id="94"/>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95"/>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96" w:name="img:mir_comp_sonif_interaction"/>
      <w:r>
        <w:t xml:space="preserve">[img:mir_comp_sonif_interaction]</w:t>
      </w:r>
      <w:bookmarkEnd w:id="96"/>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shedding some light to this inherent aspect of computers we can arrive at a clearer notion of how databases sound. Particularly, by placing the database along a visibility continuum, we may find a reverse relation with audibility: the more invisible the database, the more present its sound. By this I do not argue in favor of neither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 As I hope to demonstrate, there are overt and covert uses of the database, but the database is ubiquitous in all computer practices (See Figure</w:t>
      </w:r>
      <w:r>
        <w:t xml:space="preserve"> </w:t>
      </w:r>
      <w:hyperlink w:anchor="img:mir_comp_sonif_interaction">
        <w:r>
          <w:rPr>
            <w:rStyle w:val="Hyperlink"/>
          </w:rPr>
          <w:t xml:space="preserve">[img:mir_comp_sonif_interaction]</w:t>
        </w:r>
      </w:hyperlink>
      <w:r>
        <w:t xml:space="preserve">).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sonification, and computer music.</w:t>
      </w:r>
    </w:p>
    <w:p>
      <w:pPr>
        <w:pStyle w:val="Heading3"/>
      </w:pPr>
      <w:bookmarkStart w:id="97" w:name="mir"/>
      <w:r>
        <w:t xml:space="preserve">Music Information Retrieval</w:t>
      </w:r>
      <w:bookmarkEnd w:id="97"/>
    </w:p>
    <w:p>
      <w:pPr>
        <w:pStyle w:val="FirstParagraph"/>
      </w:pPr>
      <w:r>
        <w:t xml:space="preserve">In</w:t>
      </w:r>
      <w:r>
        <w:t xml:space="preserve"> </w:t>
      </w:r>
      <w:r>
        <w:t xml:space="preserve">mir</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99"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98"/>
                    <a:stretch>
                      <a:fillRect/>
                    </a:stretch>
                  </pic:blipFill>
                  <pic:spPr bwMode="auto">
                    <a:xfrm>
                      <a:off x="0" y="0"/>
                      <a:ext cx="2743200" cy="1435100"/>
                    </a:xfrm>
                    <a:prstGeom prst="rect">
                      <a:avLst/>
                    </a:prstGeom>
                    <a:noFill/>
                    <a:ln w="9525">
                      <a:noFill/>
                      <a:headEnd/>
                      <a:tailEnd/>
                    </a:ln>
                  </pic:spPr>
                </pic:pic>
              </a:graphicData>
            </a:graphic>
          </wp:inline>
        </w:drawing>
      </w:r>
      <w:bookmarkEnd w:id="99"/>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’s</w:t>
      </w:r>
      <w:r>
        <w:t xml:space="preserve"> </w:t>
      </w:r>
      <w:r>
        <w:t xml:space="preserve">telemeta</w:t>
      </w:r>
      <w:r>
        <w:t xml:space="preserve">, both collaborative database systems: the first two for general sound file sharing and classification, the latter for ethno-musicological pursposes.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4.3.3.2</w:t>
        </w:r>
      </w:hyperlink>
      <w:r>
        <w:t xml:space="preserve">). Some examples of these notation databases can be the Polish folk 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100"/>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102"/>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103" w:name="sonification"/>
      <w:r>
        <w:t xml:space="preserve">Sonification</w:t>
      </w:r>
      <w:bookmarkEnd w:id="103"/>
    </w:p>
    <w:p>
      <w:pPr>
        <w:pStyle w:val="CaptionedFigure"/>
      </w:pPr>
      <w:bookmarkStart w:id="105"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104"/>
                    <a:stretch>
                      <a:fillRect/>
                    </a:stretch>
                  </pic:blipFill>
                  <pic:spPr bwMode="auto">
                    <a:xfrm>
                      <a:off x="0" y="0"/>
                      <a:ext cx="2019300" cy="1879600"/>
                    </a:xfrm>
                    <a:prstGeom prst="rect">
                      <a:avLst/>
                    </a:prstGeom>
                    <a:noFill/>
                    <a:ln w="9525">
                      <a:noFill/>
                      <a:headEnd/>
                      <a:tailEnd/>
                    </a:ln>
                  </pic:spPr>
                </pic:pic>
              </a:graphicData>
            </a:graphic>
          </wp:inline>
        </w:drawing>
      </w:r>
      <w:bookmarkEnd w:id="105"/>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106"/>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07" w:name="sonification:parametermapping"/>
      <w:r>
        <w:t xml:space="preserve">Parameter mapping</w:t>
      </w:r>
      <w:bookmarkEnd w:id="107"/>
    </w:p>
    <w:p>
      <w:pPr>
        <w:pStyle w:val="Heading5"/>
      </w:pPr>
      <w:bookmarkStart w:id="108" w:name="dow"/>
      <w:r>
        <w:t xml:space="preserve">DOW</w:t>
      </w:r>
      <w:bookmarkEnd w:id="108"/>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09"/>
      </w:r>
    </w:p>
    <w:p>
      <w:pPr>
        <w:pStyle w:val="Heading5"/>
      </w:pPr>
      <w:bookmarkStart w:id="110" w:name="medical-images"/>
      <w:r>
        <w:t xml:space="preserve">Medical Images</w:t>
      </w:r>
      <w:bookmarkEnd w:id="110"/>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11" w:name="sonification:model"/>
      <w:r>
        <w:t xml:space="preserve">Model-based sonification</w:t>
      </w:r>
      <w:bookmarkEnd w:id="111"/>
    </w:p>
    <w:p>
      <w:pPr>
        <w:pStyle w:val="Heading5"/>
      </w:pPr>
      <w:bookmarkStart w:id="112" w:name="space"/>
      <w:r>
        <w:t xml:space="preserve">Space</w:t>
      </w:r>
      <w:bookmarkEnd w:id="112"/>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13" w:name="sonification:artistic"/>
      <w:r>
        <w:t xml:space="preserve">Artistic sonification</w:t>
      </w:r>
      <w:bookmarkEnd w:id="113"/>
    </w:p>
    <w:p>
      <w:pPr>
        <w:pStyle w:val="Heading5"/>
      </w:pPr>
      <w:bookmarkStart w:id="114" w:name="wolves"/>
      <w:r>
        <w:t xml:space="preserve">Wolves</w:t>
      </w:r>
      <w:bookmarkEnd w:id="114"/>
    </w:p>
    <w:p>
      <w:pPr>
        <w:pStyle w:val="FirstParagraph"/>
      </w:pPr>
      <w:r>
        <w:t xml:space="preserve">Klein (1998)</w:t>
      </w:r>
      <w:r>
        <w:t xml:space="preserve"> </w:t>
      </w:r>
      <w:r>
        <w:t xml:space="preserve">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5"/>
      </w:pPr>
      <w:bookmarkStart w:id="115" w:name="selva"/>
      <w:r>
        <w:t xml:space="preserve">Selva</w:t>
      </w:r>
      <w:bookmarkEnd w:id="115"/>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5"/>
      </w:pPr>
      <w:bookmarkStart w:id="116" w:name="ocean"/>
      <w:r>
        <w:t xml:space="preserve">Ocean</w:t>
      </w:r>
      <w:bookmarkEnd w:id="116"/>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5"/>
      </w:pPr>
      <w:bookmarkStart w:id="117" w:name="molecules"/>
      <w:r>
        <w:t xml:space="preserve">Molecules</w:t>
      </w:r>
      <w:bookmarkEnd w:id="117"/>
    </w:p>
    <w:p>
      <w:pPr>
        <w:pStyle w:val="FirstParagraph"/>
      </w:pP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a database holding</w:t>
      </w:r>
      <w:r>
        <w:t xml:space="preserve"> </w:t>
      </w:r>
      <w:r>
        <w:t xml:space="preserve">nmr</w:t>
      </w:r>
      <w:r>
        <w:t xml:space="preserve"> </w:t>
      </w:r>
      <w:r>
        <w:t xml:space="preserve">spectroscopies of molecules.</w:t>
      </w:r>
    </w:p>
    <w:p>
      <w:pPr>
        <w:pStyle w:val="Heading5"/>
      </w:pPr>
      <w:bookmarkStart w:id="118" w:name="gender-distribution"/>
      <w:r>
        <w:t xml:space="preserve">Gender Distribution</w:t>
      </w:r>
      <w:bookmarkEnd w:id="118"/>
    </w:p>
    <w:p>
      <w:pPr>
        <w:pStyle w:val="FirstParagraph"/>
      </w:pP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w:t>
      </w:r>
      <w:r>
        <w:t xml:space="preserve"> </w:t>
      </w:r>
      <w:r>
        <w:t xml:space="preserve">nime</w:t>
      </w:r>
      <w:r>
        <w:t xml:space="preserve">, and</w:t>
      </w:r>
      <w:r>
        <w:t xml:space="preserve"> </w:t>
      </w:r>
      <w:r>
        <w:t xml:space="preserve">smc</w:t>
      </w:r>
      <w:r>
        <w:t xml:space="preserve">. By assigning polar frequency ranges for each group (male and female), her sonification emphasizes the significant inequality of gender in the resulting acoustic stream segregation into male background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19" w:name="sonification:installations"/>
      <w:r>
        <w:t xml:space="preserve">Sonification Installations</w:t>
      </w:r>
      <w:bookmarkEnd w:id="119"/>
    </w:p>
    <w:p>
      <w:pPr>
        <w:pStyle w:val="Heading5"/>
      </w:pPr>
      <w:bookmarkStart w:id="120" w:name="ip-based-soundscape"/>
      <w:r>
        <w:t xml:space="preserve">IP-based soundscape</w:t>
      </w:r>
      <w:bookmarkEnd w:id="120"/>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ip</w:t>
      </w:r>
      <w:r>
        <w:t xml:space="preserve"> </w:t>
      </w:r>
      <w:r>
        <w:t xml:space="preserve">to frequency) to the more abstract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5"/>
      </w:pPr>
      <w:bookmarkStart w:id="121" w:name="earthquakes"/>
      <w:r>
        <w:t xml:space="preserve">Earthquakes</w:t>
      </w:r>
      <w:bookmarkEnd w:id="121"/>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5"/>
      </w:pPr>
      <w:bookmarkStart w:id="122" w:name="gpu-based-waveforms"/>
      <w:r>
        <w:t xml:space="preserve">GPU-based waveforms</w:t>
      </w:r>
      <w:bookmarkEnd w:id="122"/>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In order to carry this out, they used the Metal API</w:t>
      </w:r>
      <w:r>
        <w:rPr>
          <w:rStyle w:val="FootnoteReference"/>
        </w:rPr>
        <w:footnoteReference w:id="123"/>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25"/>
      </w:r>
      <w:r>
        <w:t xml:space="preserve">, they used the generated waveforms as a database, composing each waveform together with their visual generators as a collage.</w:t>
      </w:r>
    </w:p>
    <w:p>
      <w:pPr>
        <w:pStyle w:val="Heading5"/>
      </w:pPr>
      <w:bookmarkStart w:id="127" w:name="ucanny-faces"/>
      <w:r>
        <w:t xml:space="preserve">Ucanny Faces</w:t>
      </w:r>
      <w:bookmarkEnd w:id="127"/>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w:t>
      </w:r>
    </w:p>
    <w:p>
      <w:pPr>
        <w:pStyle w:val="Heading4"/>
      </w:pPr>
      <w:bookmarkStart w:id="128" w:name="sonification:software"/>
      <w:r>
        <w:t xml:space="preserve">Sonification Software</w:t>
      </w:r>
      <w:bookmarkEnd w:id="128"/>
    </w:p>
    <w:p>
      <w:pPr>
        <w:pStyle w:val="Heading5"/>
      </w:pPr>
      <w:bookmarkStart w:id="129" w:name="sonart"/>
      <w:r>
        <w:t xml:space="preserve">SonArt</w:t>
      </w:r>
      <w:bookmarkEnd w:id="129"/>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5"/>
      </w:pPr>
      <w:bookmarkStart w:id="130" w:name="dataplayer"/>
      <w:r>
        <w:t xml:space="preserve">DataPlayer</w:t>
      </w:r>
      <w:bookmarkEnd w:id="130"/>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5"/>
      </w:pPr>
      <w:bookmarkStart w:id="131" w:name="madbpm"/>
      <w:r>
        <w:t xml:space="preserve">madBPM</w:t>
      </w:r>
      <w:bookmarkEnd w:id="131"/>
    </w:p>
    <w:p>
      <w:pPr>
        <w:pStyle w:val="FirstParagraph"/>
      </w:pPr>
      <w:r>
        <w:t xml:space="preserve">Fox et al. (2017)</w:t>
      </w:r>
      <w:r>
        <w:t xml:space="preserve"> </w:t>
      </w:r>
      <w:r>
        <w:t xml:space="preserve">devised</w:t>
      </w:r>
      <w:r>
        <w:t xml:space="preserve"> </w:t>
      </w:r>
      <w:r>
        <w:t xml:space="preserve">madbpm</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Pauletto &amp; Hunt (2004a,b; Beilharz &amp; Ferguson 2009, Hildebrandt et al. 2014, Lodha et al. 1998, Vicinanza 2006, Walker &amp; Cothran 2003, Worrall et al. 2007)</w:t>
      </w:r>
    </w:p>
    <w:p>
      <w:pPr>
        <w:pStyle w:val="Heading3"/>
      </w:pPr>
      <w:bookmarkStart w:id="132" w:name="computer_music"/>
      <w:r>
        <w:t xml:space="preserve">Computer Music</w:t>
      </w:r>
      <w:bookmarkEnd w:id="132"/>
    </w:p>
    <w:p>
      <w:pPr>
        <w:pStyle w:val="FirstParagraph"/>
      </w:pPr>
      <w:r>
        <w:t xml:space="preserve">Computer music software is computer music’s playground. Composing and programming blend into different forms of play that can be understood by a closer look of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34"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33"/>
                    <a:stretch>
                      <a:fillRect/>
                    </a:stretch>
                  </pic:blipFill>
                  <pic:spPr bwMode="auto">
                    <a:xfrm>
                      <a:off x="0" y="0"/>
                      <a:ext cx="1181100" cy="863600"/>
                    </a:xfrm>
                    <a:prstGeom prst="rect">
                      <a:avLst/>
                    </a:prstGeom>
                    <a:noFill/>
                    <a:ln w="9525">
                      <a:noFill/>
                      <a:headEnd/>
                      <a:tailEnd/>
                    </a:ln>
                  </pic:spPr>
                </pic:pic>
              </a:graphicData>
            </a:graphic>
          </wp:inline>
        </w:drawing>
      </w:r>
      <w:bookmarkEnd w:id="134"/>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35" w:name="computer:sssp"/>
      <w:r>
        <w:t xml:space="preserve">Hierarchical environments</w:t>
      </w:r>
      <w:bookmarkEnd w:id="135"/>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5"/>
      </w:pPr>
      <w:bookmarkStart w:id="136" w:name="reducing-cognitive-burden"/>
      <w:r>
        <w:t xml:space="preserve">Reducing cognitive burden</w:t>
      </w:r>
      <w:bookmarkEnd w:id="136"/>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both failed as software, the former on account of their personalization and formalization, and the latter on their lack of interactivity. On his later interdisciplinary venture called</w:t>
      </w:r>
      <w:r>
        <w:t xml:space="preserve"> </w:t>
      </w:r>
      <w:r>
        <w:t xml:space="preserve">sssp</w:t>
      </w:r>
      <w:r>
        <w:t xml:space="preserve">, he focused on</w:t>
      </w:r>
      <w:r>
        <w:t xml:space="preserve"> </w:t>
      </w:r>
      <w:r>
        <w:t xml:space="preserve">hci</w:t>
      </w:r>
      <w:r>
        <w:t xml:space="preserve"> </w:t>
      </w:r>
      <w:r>
        <w:t xml:space="preserve">—a field in its very early stages in 1978—</w:t>
      </w:r>
      <w:r>
        <w:rPr>
          <w:rStyle w:val="FootnoteReference"/>
        </w:rPr>
        <w:footnoteReference w:id="137"/>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Buxton delimited the scope of action of the composer.</w:t>
      </w:r>
    </w:p>
    <w:p>
      <w:pPr>
        <w:pStyle w:val="Heading5"/>
      </w:pPr>
      <w:bookmarkStart w:id="138" w:name="a-hierarchical-representation"/>
      <w:r>
        <w:t xml:space="preserve">A Hierarchical Representation</w:t>
      </w:r>
      <w:bookmarkEnd w:id="138"/>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w:t>
      </w:r>
      <w:r>
        <w:t xml:space="preserve">(Xenakis 1992)</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4.3.3.1.6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4.2.3.0.2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5"/>
      </w:pPr>
      <w:bookmarkStart w:id="139" w:name="black-boxing"/>
      <w:r>
        <w:t xml:space="preserve">Black-boxing</w:t>
      </w:r>
      <w:bookmarkEnd w:id="139"/>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is the possibility condition for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4.1.5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5"/>
      </w:pPr>
      <w:bookmarkStart w:id="140" w:name="computer:free"/>
      <w:r>
        <w:t xml:space="preserve">Generality and Portability</w:t>
      </w:r>
      <w:bookmarkEnd w:id="140"/>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Free’s programming philosophy called for generality, portability, and simplicity. Due to</w:t>
      </w:r>
      <w:r>
        <w:t xml:space="preserve"> </w:t>
      </w:r>
      <w:r>
        <w:t xml:space="preserve">sssp</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4.2.2.0.3</w:t>
        </w:r>
      </w:hyperlink>
      <w:r>
        <w:t xml:space="preserve">), which moved him to create higher levels of software abstractions, so that software continued to live on in newer hardware. Free also developed</w:t>
      </w:r>
      <w:r>
        <w:t xml:space="preserve"> </w:t>
      </w:r>
      <w:r>
        <w:t xml:space="preserve">scriva</w:t>
      </w:r>
      <w:r>
        <w:t xml:space="preserve">,</w:t>
      </w:r>
      <w:r>
        <w:t xml:space="preserve"> </w:t>
      </w:r>
      <w:r>
        <w:t xml:space="preserve">sssp</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5"/>
      </w:pPr>
      <w:bookmarkStart w:id="141" w:name="computer:vanilla"/>
      <w:r>
        <w:t xml:space="preserve">Simplification</w:t>
      </w:r>
      <w:bookmarkEnd w:id="141"/>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simultaneous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5"/>
      </w:pPr>
      <w:bookmarkStart w:id="142" w:name="computer:balance"/>
      <w:r>
        <w:t xml:space="preserve">Balance</w:t>
      </w:r>
      <w:bookmarkEnd w:id="142"/>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43"/>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44" w:name="img:truax_generality_b"/>
      <w:r>
        <w:t xml:space="preserve">[img:truax_generality_b]</w:t>
      </w:r>
      <w:bookmarkEnd w:id="144"/>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45" w:name="applications:notation"/>
      <w:r>
        <w:t xml:space="preserve">Music Notation Software</w:t>
      </w:r>
      <w:bookmarkEnd w:id="145"/>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w:t>
      </w:r>
      <w:r>
        <w:t xml:space="preserve"> </w:t>
      </w:r>
      <w:r>
        <w:t xml:space="preserve">musicxml</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5"/>
      </w:pPr>
      <w:bookmarkStart w:id="146" w:name="darms-and-score"/>
      <w:r>
        <w:t xml:space="preserve">DARMS and SCORE</w:t>
      </w:r>
      <w:bookmarkEnd w:id="146"/>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5"/>
      </w:pPr>
      <w:bookmarkStart w:id="147" w:name="from-staves-to-speakers"/>
      <w:r>
        <w:t xml:space="preserve">From Staves to Speakers</w:t>
      </w:r>
      <w:bookmarkEnd w:id="147"/>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5"/>
      </w:pPr>
      <w:bookmarkStart w:id="148" w:name="theoretical-performance"/>
      <w:r>
        <w:t xml:space="preserve">Theoretical Performance</w:t>
      </w:r>
      <w:bookmarkEnd w:id="148"/>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49" w:name="enter-objects"/>
      <w:r>
        <w:t xml:space="preserve">Enter Objects</w:t>
      </w:r>
      <w:bookmarkEnd w:id="149"/>
    </w:p>
    <w:p>
      <w:pPr>
        <w:pStyle w:val="CaptionedFigure"/>
      </w:pPr>
      <w:bookmarkStart w:id="151" w:name="img:realtime"/>
      <w:r>
        <w:drawing>
          <wp:inline>
            <wp:extent cx="5334000" cy="1616153"/>
            <wp:effectExtent b="0" l="0" r="0" t="0"/>
            <wp:docPr descr="A real-time version of music-11."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50"/>
                    <a:stretch>
                      <a:fillRect/>
                    </a:stretch>
                  </pic:blipFill>
                  <pic:spPr bwMode="auto">
                    <a:xfrm>
                      <a:off x="0" y="0"/>
                      <a:ext cx="5334000" cy="1616153"/>
                    </a:xfrm>
                    <a:prstGeom prst="rect">
                      <a:avLst/>
                    </a:prstGeom>
                    <a:noFill/>
                    <a:ln w="9525">
                      <a:noFill/>
                      <a:headEnd/>
                      <a:tailEnd/>
                    </a:ln>
                  </pic:spPr>
                </pic:pic>
              </a:graphicData>
            </a:graphic>
          </wp:inline>
        </w:drawing>
      </w:r>
      <w:bookmarkEnd w:id="151"/>
    </w:p>
    <w:p>
      <w:pPr>
        <w:pStyle w:val="ImageCaption"/>
      </w:pPr>
      <w:r>
        <w:t xml:space="preserve">A real-time version of</w:t>
      </w:r>
      <w:r>
        <w:t xml:space="preserve"> </w:t>
      </w:r>
      <w:r>
        <w:t xml:space="preserve">music-11</w:t>
      </w:r>
      <w:r>
        <w:t xml:space="preserve">.</w:t>
      </w:r>
    </w:p>
    <w:p>
      <w:pPr>
        <w:pStyle w:val="BodyText"/>
      </w:pPr>
      <w:r>
        <w:t xml:space="preserve">A bodyless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5"/>
      </w:pPr>
      <w:bookmarkStart w:id="152" w:name="computer:real-time"/>
      <w:r>
        <w:t xml:space="preserve">Max</w:t>
      </w:r>
      <w:bookmarkEnd w:id="152"/>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and a growing interest among composers and programmers circled around real-time computer music software (See Figure</w:t>
      </w:r>
      <w:r>
        <w:t xml:space="preserve"> </w:t>
      </w:r>
      <w:hyperlink w:anchor="img:realtime">
        <w:r>
          <w:rPr>
            <w:rStyle w:val="Hyperlink"/>
          </w:rPr>
          <w:t xml:space="preserve">4.12</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53"/>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5"/>
      </w:pPr>
      <w:bookmarkStart w:id="154" w:name="computer:kyma"/>
      <w:r>
        <w:t xml:space="preserve">Kyma</w:t>
      </w:r>
      <w:bookmarkEnd w:id="154"/>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circumvent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55"/>
      </w:r>
    </w:p>
    <w:p>
      <w:pPr>
        <w:pStyle w:val="Heading5"/>
      </w:pPr>
      <w:bookmarkStart w:id="157" w:name="computer:puredata"/>
      <w:r>
        <w:t xml:space="preserve">Pure Data</w:t>
      </w:r>
      <w:bookmarkEnd w:id="157"/>
    </w:p>
    <w:p>
      <w:pPr>
        <w:pStyle w:val="FirstParagraph"/>
      </w:pPr>
      <w:r>
        <w:t xml:space="preserve">Ten years after</w:t>
      </w:r>
      <w:r>
        <w:t xml:space="preserve"> </w:t>
      </w:r>
      <w:r>
        <w:t xml:space="preserve">max</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5"/>
      </w:pPr>
      <w:bookmarkStart w:id="158" w:name="graphic_scores"/>
      <w:r>
        <w:t xml:space="preserve">Graphic Scores</w:t>
      </w:r>
      <w:bookmarkEnd w:id="158"/>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w:t>
      </w:r>
      <w:r>
        <w:rPr>
          <w:rStyle w:val="FootnoteReference"/>
        </w:rPr>
        <w:footnoteReference w:id="159"/>
      </w:r>
      <w:r>
        <w:t xml:space="preserve"> </w:t>
      </w:r>
      <w:r>
        <w:t xml:space="preserve">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4.3.3.3.4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5"/>
      </w:pPr>
      <w:bookmarkStart w:id="160" w:name="openmusic"/>
      <w:r>
        <w:t xml:space="preserve">OpenMusic</w:t>
      </w:r>
      <w:bookmarkEnd w:id="160"/>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5"/>
      </w:pPr>
      <w:bookmarkStart w:id="161" w:name="heaps-and-nodes"/>
      <w:r>
        <w:t xml:space="preserve">Heaps and Nodes</w:t>
      </w:r>
      <w:bookmarkEnd w:id="161"/>
    </w:p>
    <w:p>
      <w:pPr>
        <w:pStyle w:val="FirstParagraph"/>
      </w:pPr>
      <w:r>
        <w:t xml:space="preserve">Garton &amp; Topper (1997)</w:t>
      </w:r>
      <w:r>
        <w:t xml:space="preserve"> </w:t>
      </w:r>
      <w:r>
        <w:t xml:space="preserve">presented</w:t>
      </w:r>
      <w:r>
        <w:t xml:space="preserve"> </w:t>
      </w:r>
      <w:r>
        <w:t xml:space="preserve">rtcmix</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hierarchy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62" w:name="applications"/>
      <w:r>
        <w:t xml:space="preserve">Intersections</w:t>
      </w:r>
      <w:bookmarkEnd w:id="162"/>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63" w:name="corpus-based-approaches"/>
      <w:r>
        <w:t xml:space="preserve">Corpus-based Approaches</w:t>
      </w:r>
      <w:bookmarkEnd w:id="163"/>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5"/>
      </w:pPr>
      <w:bookmarkStart w:id="164" w:name="concatenative-synthesis"/>
      <w:r>
        <w:t xml:space="preserve">Concatenative Synthesis</w:t>
      </w:r>
      <w:bookmarkEnd w:id="164"/>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5"/>
      </w:pPr>
      <w:bookmarkStart w:id="165" w:name="other-approaches"/>
      <w:r>
        <w:t xml:space="preserve">Other approaches</w:t>
      </w:r>
      <w:bookmarkEnd w:id="165"/>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66"/>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5"/>
      </w:pPr>
      <w:bookmarkStart w:id="167" w:name="software-libraries"/>
      <w:r>
        <w:t xml:space="preserve">Software Libraries</w:t>
      </w:r>
      <w:bookmarkEnd w:id="167"/>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William Brent’s research on timbre analysis developed into a timbre description library for Pure Data called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ony one of them is concatenative synthesis.</w:t>
      </w:r>
    </w:p>
    <w:p>
      <w:pPr>
        <w:pStyle w:val="Heading4"/>
      </w:pPr>
      <w:bookmarkStart w:id="168" w:name="querying-methods"/>
      <w:r>
        <w:t xml:space="preserve">Querying Methods</w:t>
      </w:r>
      <w:bookmarkEnd w:id="168"/>
    </w:p>
    <w:p>
      <w:pPr>
        <w:pStyle w:val="Heading5"/>
      </w:pPr>
      <w:bookmarkStart w:id="169" w:name="query-by-content"/>
      <w:r>
        <w:t xml:space="preserve">Query-by-content</w:t>
      </w:r>
      <w:bookmarkEnd w:id="169"/>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5"/>
      </w:pPr>
      <w:bookmarkStart w:id="170" w:name="similarity-based"/>
      <w:r>
        <w:t xml:space="preserve">Similarity-based</w:t>
      </w:r>
      <w:bookmarkEnd w:id="170"/>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71"/>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72"/>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5"/>
      </w:pPr>
      <w:bookmarkStart w:id="173" w:name="applications:hybrid_queries"/>
      <w:r>
        <w:t xml:space="preserve">Hybrid Queries</w:t>
      </w:r>
      <w:bookmarkEnd w:id="173"/>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variant of Max Mathews’s</w:t>
      </w:r>
      <w:r>
        <w:t xml:space="preserve"> </w:t>
      </w:r>
      <w:r>
        <w:rPr>
          <w:i/>
        </w:rPr>
        <w:t xml:space="preserve">Radio Batton</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Oliver &amp; Jenkins (2008)</w:t>
      </w:r>
      <w:r>
        <w:t xml:space="preserve"> </w:t>
      </w:r>
      <w:r>
        <w:t xml:space="preserve">presented a controller composed of an elastic head suspended along the rim of an empty drum shell. The player presses the head making different shapes with the hand, fingers, or malletes, and</w:t>
      </w:r>
      <w:r>
        <w:t xml:space="preserve"> </w:t>
      </w:r>
      <w:r>
        <w:t xml:space="preserve">“</w:t>
      </w:r>
      <w:r>
        <w:t xml:space="preserve">these shapes are captured by a video camera that sends these images to the computer, which analyzes them and outputs the tracked parameters</w:t>
      </w:r>
      <w:r>
        <w:t xml:space="preserve">”</w:t>
      </w:r>
      <w:r>
        <w:t xml:space="preserve"> </w:t>
      </w:r>
      <w:r>
        <w:t xml:space="preserve">(Oliver &amp; Jenkins 2008, p. 1)</w:t>
      </w:r>
      <w:r>
        <w:t xml:space="preserve">. This instrument enabled a possibility for</w:t>
      </w:r>
      <w:r>
        <w:t xml:space="preserve"> </w:t>
      </w:r>
      <w:r>
        <w:t xml:space="preserve">“</w:t>
      </w:r>
      <w:r>
        <w:t xml:space="preserve">dissociating gesture with sound</w:t>
      </w:r>
      <w:r>
        <w:t xml:space="preserve">”</w:t>
      </w:r>
      <w:r>
        <w:t xml:space="preserve"> </w:t>
      </w:r>
      <w:r>
        <w:t xml:space="preserve">(Oliver &amp; Jenkins 2008, p. 1)</w:t>
      </w:r>
      <w:r>
        <w:t xml:space="preserve">. That is to say, gestures whose sound could be visually anticipated (the hitting of a drum) were extended by micro-gestures only vissible to the camera sensor. Further, in contrast with acoustic drums, with the silent drum “one can manipulate continuous sounds through a new gestural vocabulary</w:t>
      </w:r>
      <w:r>
        <w:t xml:space="preserve"> </w:t>
      </w:r>
      <w:r>
        <w:t xml:space="preserve">(Oliver &amp; Jenkins 2008, p. 1)</w:t>
      </w:r>
      <w:r>
        <w:t xml:space="preserve">. Oliver La Rosa developed the sensing algorithm into a</w:t>
      </w:r>
      <w:r>
        <w:t xml:space="preserve"> </w:t>
      </w:r>
      <w:r>
        <w:t xml:space="preserve">gem</w:t>
      </w:r>
      <w:r>
        <w:t xml:space="preserve"> </w:t>
      </w:r>
      <w:r>
        <w:t xml:space="preserve">external called , and later moved on to , where he removed the fabric and focused on what he calls</w:t>
      </w:r>
      <w:r>
        <w:t xml:space="preserve"> </w:t>
      </w:r>
      <w:r>
        <w:t xml:space="preserve">“</w:t>
      </w:r>
      <w:r>
        <w:t xml:space="preserve">direct hand-tracking</w:t>
      </w:r>
      <w:r>
        <w:t xml:space="preserve">”</w:t>
      </w:r>
      <w:r>
        <w:t xml:space="preserve"> </w:t>
      </w:r>
      <w:r>
        <w:t xml:space="preserve">(Oliver 2010)</w:t>
      </w:r>
      <w:r>
        <w:t xml:space="preserve"> </w:t>
      </w:r>
      <w:r>
        <w:t xml:space="preserve">(See</w:t>
      </w:r>
      <w:r>
        <w:t xml:space="preserve"> </w:t>
      </w:r>
      <w:hyperlink w:anchor="inoperativity">
        <w:r>
          <w:rPr>
            <w:rStyle w:val="Hyperlink"/>
          </w:rPr>
          <w:t xml:space="preserve">5.1.4</w:t>
        </w:r>
      </w:hyperlink>
      <w:r>
        <w:t xml:space="preserve">).</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74" w:name="traversing-methods"/>
      <w:r>
        <w:t xml:space="preserve">Traversing Methods</w:t>
      </w:r>
      <w:bookmarkEnd w:id="174"/>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-dimensional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5"/>
      </w:pPr>
      <w:bookmarkStart w:id="175" w:name="sensorial-networks"/>
      <w:r>
        <w:t xml:space="preserve">Sensorial Networks</w:t>
      </w:r>
      <w:bookmarkEnd w:id="175"/>
    </w:p>
    <w:p>
      <w:pPr>
        <w:pStyle w:val="FirstParagraph"/>
      </w:pPr>
      <w:r>
        <w:t xml:space="preserve">Insook</w:t>
      </w:r>
      <w:r>
        <w:t xml:space="preserve"> </w:t>
      </w:r>
      <w:r>
        <w:t xml:space="preserve">Choi et al. (2000)</w:t>
      </w:r>
      <w:r>
        <w:t xml:space="preserve"> </w:t>
      </w:r>
      <w:r>
        <w:t xml:space="preserve">presented an interactive installation</w:t>
      </w:r>
      <w:r>
        <w:t xml:space="preserve"> </w:t>
      </w:r>
      <w:r>
        <w:t xml:space="preserve">(Choi 2000)</w:t>
      </w:r>
      <w:r>
        <w:t xml:space="preserve"> </w:t>
      </w:r>
      <w:r>
        <w:t xml:space="preserve">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5"/>
      </w:pPr>
      <w:bookmarkStart w:id="176" w:name="involuntary-navigation"/>
      <w:r>
        <w:t xml:space="preserve">Involuntary Navigation</w:t>
      </w:r>
      <w:bookmarkEnd w:id="176"/>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through voluntary and involuntary agents that intertwine composition, interaction, and performance.</w:t>
      </w:r>
    </w:p>
    <w:p>
      <w:pPr>
        <w:pStyle w:val="Heading5"/>
      </w:pPr>
      <w:bookmarkStart w:id="177" w:name="networked-collaborations"/>
      <w:r>
        <w:t xml:space="preserve">Networked Collaborations</w:t>
      </w:r>
      <w:bookmarkEnd w:id="177"/>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such as</w:t>
      </w:r>
      <w:r>
        <w:t xml:space="preserve"> </w:t>
      </w:r>
      <w:r>
        <w:t xml:space="preserve">mysql</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5"/>
      </w:pPr>
      <w:bookmarkStart w:id="178" w:name="mobile-devices"/>
      <w:r>
        <w:t xml:space="preserve">Mobile Devices</w:t>
      </w:r>
      <w:bookmarkEnd w:id="178"/>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 phones. By accessing a website that loads custom synthesizers made with the Web Audio</w:t>
      </w:r>
      <w:r>
        <w:t xml:space="preserve"> </w:t>
      </w:r>
      <w:r>
        <w:t xml:space="preserve">api</w:t>
      </w:r>
      <w:r>
        <w:t xml:space="preserve">, the audience becomes the performer in an innovative way. While the title of the work (</w:t>
      </w:r>
      <w:r>
        <w:t xml:space="preserve">Carter (2017)</w:t>
      </w:r>
      <w:r>
        <w:t xml:space="preserve">)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79" w:name="resource-sharing"/>
      <w:r>
        <w:t xml:space="preserve">Resource Sharing</w:t>
      </w:r>
      <w:bookmarkEnd w:id="179"/>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publishing results like in research or academic communities. This is the case of the multiple datasets that exist.</w:t>
      </w:r>
      <w:r>
        <w:rPr>
          <w:rStyle w:val="FootnoteReference"/>
        </w:rPr>
        <w:footnoteReference w:id="180"/>
      </w:r>
      <w:r>
        <w:t xml:space="preserve"> </w:t>
      </w:r>
      <w:r>
        <w:t xml:space="preserve">In any case, what is common between these forms of sharing is an entropic and endless plurality.</w:t>
      </w:r>
    </w:p>
    <w:p>
      <w:pPr>
        <w:pStyle w:val="Heading5"/>
      </w:pPr>
      <w:bookmarkStart w:id="181" w:name="multimodal-datasets"/>
      <w:r>
        <w:t xml:space="preserve">Multimodal Datasets</w:t>
      </w:r>
      <w:bookmarkEnd w:id="181"/>
    </w:p>
    <w:p>
      <w:pPr>
        <w:pStyle w:val="FirstParagraph"/>
      </w:pPr>
      <w:r>
        <w:t xml:space="preserve">Among the many datasets that are available (See</w:t>
      </w:r>
      <w:r>
        <w:t xml:space="preserve"> </w:t>
      </w:r>
      <w:hyperlink w:anchor="mir">
        <w:r>
          <w:rPr>
            <w:rStyle w:val="Hyperlink"/>
          </w:rPr>
          <w:t xml:space="preserve">4.3.1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r>
        <w:t xml:space="preserve"> </w:t>
      </w:r>
      <w:r>
        <w:t xml:space="preserve">dbms</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5"/>
      </w:pPr>
      <w:bookmarkStart w:id="182" w:name="formats"/>
      <w:r>
        <w:t xml:space="preserve">Formats</w:t>
      </w:r>
      <w:bookmarkEnd w:id="182"/>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w:t>
      </w:r>
      <w:r>
        <w:t xml:space="preserve"> </w:t>
      </w:r>
      <w:r>
        <w:t xml:space="preserve">yaml</w:t>
      </w:r>
      <w:r>
        <w:t xml:space="preserve">, or</w:t>
      </w:r>
      <w:r>
        <w:t xml:space="preserve"> </w:t>
      </w:r>
      <w:r>
        <w:rPr>
          <w:rStyle w:val="VerbatimChar"/>
        </w:rPr>
        <w:t xml:space="preserve">.bib</w:t>
      </w:r>
      <w:r>
        <w:t xml:space="preserve"> </w:t>
      </w:r>
      <w:r>
        <w:t xml:space="preserve">(LaTeXbibliography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5"/>
      </w:pPr>
      <w:bookmarkStart w:id="183" w:name="live-coding"/>
      <w:r>
        <w:t xml:space="preserve">Live Coding</w:t>
      </w:r>
      <w:bookmarkEnd w:id="183"/>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84" w:name="closing-remarks"/>
      <w:r>
        <w:t xml:space="preserve">Closing Remarks</w:t>
      </w:r>
      <w:bookmarkEnd w:id="184"/>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learninc. For example, in interactive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4.13</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86"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85"/>
                    <a:stretch>
                      <a:fillRect/>
                    </a:stretch>
                  </pic:blipFill>
                  <pic:spPr bwMode="auto">
                    <a:xfrm>
                      <a:off x="0" y="0"/>
                      <a:ext cx="3759200" cy="2438400"/>
                    </a:xfrm>
                    <a:prstGeom prst="rect">
                      <a:avLst/>
                    </a:prstGeom>
                    <a:noFill/>
                    <a:ln w="9525">
                      <a:noFill/>
                      <a:headEnd/>
                      <a:tailEnd/>
                    </a:ln>
                  </pic:spPr>
                </pic:pic>
              </a:graphicData>
            </a:graphic>
          </wp:inline>
        </w:drawing>
      </w:r>
      <w:bookmarkEnd w:id="186"/>
    </w:p>
    <w:p>
      <w:pPr>
        <w:pStyle w:val="ImageCaption"/>
      </w:pPr>
      <w:r>
        <w:t xml:space="preserve">Intersection space.</w:t>
      </w:r>
    </w:p>
    <w:p>
      <w:pPr>
        <w:pStyle w:val="BodyText"/>
      </w:pPr>
      <w:r>
        <w:t xml:space="preserve">Position of the database in terms of visibility among</w:t>
      </w:r>
      <w:r>
        <w:t xml:space="preserve"> </w:t>
      </w:r>
      <w:r>
        <w:t xml:space="preserve">mir</w:t>
      </w:r>
      <w:r>
        <w:t xml:space="preserve">, Sonification, and Computer Music. Positive values indicate visibility and negative indicate invisibility.</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just one frame. At each point in time the databaser can pause for a second, analyze the frame, and perhaps describe the motion that the database has taken thus far. This has been my task until now, and it is safe to say that we have looked at the database. In what follows, I will change gears and approach the database from a different perspective, one not guided by light, but immersed within sound.</w:t>
      </w:r>
    </w:p>
    <w:p>
      <w:pPr>
        <w:pStyle w:val="Heading1"/>
      </w:pPr>
      <w:bookmarkStart w:id="187" w:name="chapter:Database_Aesthetics"/>
      <w:r>
        <w:t xml:space="preserve">Database Aesthetics</w:t>
      </w:r>
      <w:bookmarkEnd w:id="187"/>
    </w:p>
    <w:p>
      <w:pPr>
        <w:pStyle w:val="Heading2"/>
      </w:pPr>
      <w:bookmarkStart w:id="188" w:name="section:Listening_Databases"/>
      <w:r>
        <w:t xml:space="preserve">Listening Databases</w:t>
      </w:r>
      <w:bookmarkEnd w:id="188"/>
    </w:p>
    <w:p>
      <w:pPr>
        <w:pStyle w:val="Heading3"/>
      </w:pPr>
      <w:bookmarkStart w:id="189" w:name="lucierlude"/>
      <w:r>
        <w:t xml:space="preserve">Interlude: I Am Sitting In A Room</w:t>
      </w:r>
      <w:bookmarkEnd w:id="189"/>
    </w:p>
    <w:p>
      <w:pPr>
        <w:pStyle w:val="FirstParagraph"/>
      </w:pPr>
      <w:r>
        <w:t xml:space="preserve">The following transcription was made from a recording made at Lovely Music, Ltd (1981) of Alvin Lucier’s work</w:t>
      </w:r>
      <w:r>
        <w:t xml:space="preserve"> </w:t>
      </w:r>
      <w:r>
        <w:t xml:space="preserve">“</w:t>
      </w:r>
      <w:r>
        <w:t xml:space="preserve">I am sitting in a room</w:t>
      </w:r>
      <w:r>
        <w:t xml:space="preserve">”</w:t>
      </w:r>
      <w:r>
        <w:t xml:space="preserve"> </w:t>
      </w:r>
      <w:r>
        <w:t xml:space="preserve">(Lucier 1970)</w:t>
      </w:r>
      <w:r>
        <w:t xml:space="preserve">. It is meant to indicate the many</w:t>
      </w:r>
      <w:r>
        <w:t xml:space="preserve"> </w:t>
      </w:r>
      <w:r>
        <w:t xml:space="preserve">“</w:t>
      </w:r>
      <w:r>
        <w:t xml:space="preserve">irregularities</w:t>
      </w:r>
      <w:r>
        <w:t xml:space="preserve">”</w:t>
      </w:r>
      <w:r>
        <w:t xml:space="preserve"> </w:t>
      </w:r>
      <w:r>
        <w:t xml:space="preserve">that differ from the text. The recording is available online.</w:t>
      </w:r>
      <w:r>
        <w:rPr>
          <w:rStyle w:val="FootnoteReference"/>
        </w:rPr>
        <w:footnoteReference w:id="190"/>
      </w:r>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$\cancelto{kh}{c}$</w:t>
      </w:r>
      <w:r>
        <w:t xml:space="preserve">ording the</w:t>
      </w:r>
      <w:r>
        <w:t xml:space="preserve"> </w:t>
      </w:r>
      <w:r>
        <w:t xml:space="preserve">$\cancelto{ss}{s}$</w:t>
      </w:r>
      <w:r>
        <w:t xml:space="preserve">ound of my</w:t>
      </w:r>
      <w:r>
        <w:rPr>
          <w:i/>
        </w:rPr>
        <w:t xml:space="preserve">hh</w:t>
      </w:r>
      <w:r>
        <w:t xml:space="preserve"> </w:t>
      </w:r>
      <w:r>
        <w:t xml:space="preserve">speaking</w:t>
      </w:r>
      <w:r>
        <w:t xml:space="preserve"> </w:t>
      </w:r>
      <w:r>
        <w:t xml:space="preserve">$\cancelto{voisss}{voice}$</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$\cancelto{an}{and}$</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$\cancelto{tx!}{t}$</w:t>
      </w:r>
      <w:r>
        <w:t xml:space="preserve">il the</w:t>
      </w:r>
    </w:p>
    <w:p>
      <w:pPr>
        <w:pStyle w:val="BlockText"/>
      </w:pPr>
      <w:r>
        <w:t xml:space="preserve">re</w:t>
      </w:r>
      <w:r>
        <w:t xml:space="preserve">$\cancelto{ss}{s}$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$\cancelto{sss}{c}\xcancel{e}$</w:t>
      </w:r>
      <w:r>
        <w:t xml:space="preserve"> </w:t>
      </w:r>
      <w:r>
        <w:t xml:space="preserve">them</w:t>
      </w:r>
      <w:r>
        <w:t xml:space="preserve">$\cancelto{ss}{s}$</w:t>
      </w:r>
      <w:r>
        <w:t xml:space="preserve">elve</w:t>
      </w:r>
      <w:r>
        <w:t xml:space="preserve">$\cancelto{sss}{s}$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$\cancelto{sss}{s}$</w:t>
      </w:r>
      <w:r>
        <w:t xml:space="preserve">pee</w:t>
      </w:r>
      <w:r>
        <w:t xml:space="preserve">$\cancelto{ch\rightarrow shwh}{ch}$</w:t>
      </w:r>
    </w:p>
    <w:p>
      <w:pPr>
        <w:pStyle w:val="BlockText"/>
      </w:pPr>
      <w:r>
        <w:rPr>
          <w:i/>
        </w:rPr>
        <w:t xml:space="preserve">inhale</w:t>
      </w:r>
      <w:r>
        <w:t xml:space="preserve"> </w:t>
      </w:r>
      <w:r>
        <w:t xml:space="preserve">(long)</w:t>
      </w:r>
    </w:p>
    <w:p>
      <w:pPr>
        <w:pStyle w:val="BlockText"/>
      </w:pPr>
      <w:r>
        <w:t xml:space="preserve">with per</w:t>
      </w:r>
      <w:r>
        <w:t xml:space="preserve">$\cancelto{hhhh}{h}$</w:t>
      </w:r>
      <w:r>
        <w:t xml:space="preserve">ap</w:t>
      </w:r>
      <w:r>
        <w:t xml:space="preserve">$\cancelto{s!}{s}$</w:t>
      </w:r>
      <w:r>
        <w:t xml:space="preserve"> </w:t>
      </w:r>
      <w:r>
        <w:t xml:space="preserve">the excep</w:t>
      </w:r>
      <w:r>
        <w:t xml:space="preserve">$\cancelto{shh}{t}$</w:t>
      </w:r>
      <w:r>
        <w:t xml:space="preserve">ion of</w:t>
      </w:r>
    </w:p>
    <w:p>
      <w:pPr>
        <w:pStyle w:val="BlockText"/>
      </w:pPr>
      <w:r>
        <w:t xml:space="preserve">$\cancelto{rhythm}{\texttt{rwh\_\_$\cdot\cdot$.$\cdot$-ythm}}$</w:t>
      </w:r>
    </w:p>
    <w:p>
      <w:pPr>
        <w:pStyle w:val="BlockText"/>
      </w:pPr>
      <w:r>
        <w:t xml:space="preserve">is</w:t>
      </w:r>
      <w:r>
        <w:rPr>
          <w:i/>
        </w:rPr>
        <w:t xml:space="preserve">s</w:t>
      </w:r>
      <w:r>
        <w:t xml:space="preserve"> </w:t>
      </w:r>
      <w:r>
        <w:t xml:space="preserve">de</w:t>
      </w:r>
      <w:r>
        <w:t xml:space="preserve">$\cancelto{ss}{s}$</w:t>
      </w:r>
      <w:r>
        <w:t xml:space="preserve">troye</w:t>
      </w:r>
      <w:r>
        <w:t xml:space="preserve">$\cancelto{dh}{d}$</w:t>
      </w:r>
    </w:p>
    <w:p>
      <w:pPr>
        <w:pStyle w:val="BlockText"/>
      </w:pPr>
      <w:r>
        <w:t xml:space="preserve">$\cancelto{ou}{Wh}$</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$\cancelto{tzsh!}{t}$</w:t>
      </w:r>
      <w:r>
        <w:t xml:space="preserve">iculated by</w:t>
      </w:r>
      <w:r>
        <w:rPr>
          <w:i/>
        </w:rPr>
        <w:t xml:space="preserve">sss</w:t>
      </w:r>
      <w:r>
        <w:t xml:space="preserve">speech</w:t>
      </w:r>
      <w:r>
        <w:rPr>
          <w:i/>
        </w:rPr>
        <w:t xml:space="preserve">hhh</w:t>
      </w:r>
    </w:p>
    <w:p>
      <w:pPr>
        <w:pStyle w:val="BlockText"/>
      </w:pPr>
      <w:r>
        <w:t xml:space="preserve">I regard … this-</w:t>
      </w:r>
      <w:r>
        <w:t xml:space="preserve">$\cancelto{a!}{a}$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$\cancelto{ss}{s}$</w:t>
      </w:r>
      <w:r>
        <w:t xml:space="preserve">tra</w:t>
      </w:r>
      <w:r>
        <w:t xml:space="preserve">$\cancelto{shh}{t}$</w:t>
      </w:r>
      <w:r>
        <w:t xml:space="preserve">ion of a physical f</w:t>
      </w:r>
      <w:r>
        <w:t xml:space="preserve">$\cancelto{aa}{a}$</w:t>
      </w:r>
      <w:r>
        <w:t xml:space="preserve">c</w:t>
      </w:r>
      <w:r>
        <w:t xml:space="preserve">$\cancelto{t\rightarrow h}{t}$</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$\cancelto{z}{s}$</w:t>
      </w:r>
      <w:r>
        <w:t xml:space="preserve">a way to</w:t>
      </w:r>
      <w:r>
        <w:t xml:space="preserve">$\rightarrow\cancelto{smooth}{\textit{{ \normal S }{ \large S }{ \normal SS }{ \small SSss }{ \normal s }{ \footnotesize sss  }{ \scriptsize s  }{ \tiny s }}}$</w:t>
      </w:r>
      <w:r>
        <w:t xml:space="preserve"> </w:t>
      </w:r>
      <w:r>
        <w:t xml:space="preserve">out</w:t>
      </w:r>
    </w:p>
    <w:p>
      <w:pPr>
        <w:pStyle w:val="BlockText"/>
      </w:pPr>
      <w:r>
        <w:t xml:space="preserve">any irregularities</w:t>
      </w:r>
      <m:oMath>
        <m:r>
          <m:t>→</m:t>
        </m:r>
      </m:oMath>
      <w:r>
        <w:t xml:space="preserve">my</w:t>
      </w:r>
      <w:r>
        <w:rPr>
          <w:i/>
        </w:rPr>
        <w:t xml:space="preserve">hs</w:t>
      </w:r>
      <w:r>
        <w:t xml:space="preserve">speech</w:t>
      </w:r>
      <w:r>
        <w:rPr>
          <w:i/>
        </w:rPr>
        <w:t xml:space="preserve">hh</w:t>
      </w:r>
      <w:r>
        <w:t xml:space="preserve"> </w:t>
      </w:r>
      <w:r>
        <w:t xml:space="preserve">might hav</w:t>
      </w:r>
      <w:r>
        <w:t xml:space="preserve">$\cancelto{f}{e}$</w:t>
      </w:r>
    </w:p>
    <w:p>
      <w:pPr>
        <w:pStyle w:val="Heading3"/>
      </w:pPr>
      <w:bookmarkStart w:id="192" w:name="resonance_of_a_return"/>
      <w:r>
        <w:t xml:space="preserve">The Resonance Of A Return</w:t>
      </w:r>
      <w:bookmarkEnd w:id="192"/>
    </w:p>
    <w:p>
      <w:pPr>
        <w:pStyle w:val="Heading5"/>
      </w:pPr>
      <w:bookmarkStart w:id="193" w:name="a-reverb"/>
      <w:r>
        <w:t xml:space="preserve">A Reverb</w:t>
      </w:r>
      <w:bookmarkEnd w:id="193"/>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or if there is wind blowing in the same direction of a sound, it will make the sound travel faster. This means that sound waves are affected in different ways by different media, some being more (concert halls) or less (anechoic chambers) resonant.</w:t>
      </w:r>
    </w:p>
    <w:p>
      <w:pPr>
        <w:pStyle w:val="Heading5"/>
      </w:pPr>
      <w:bookmarkStart w:id="194" w:name="a-filter"/>
      <w:r>
        <w:t xml:space="preserve">A Filter</w:t>
      </w:r>
      <w:bookmarkEnd w:id="194"/>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5"/>
      </w:pPr>
      <w:bookmarkStart w:id="195" w:name="a-loop"/>
      <w:r>
        <w:t xml:space="preserve">A Loop</w:t>
      </w:r>
      <w:bookmarkEnd w:id="195"/>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5"/>
      </w:pPr>
      <w:bookmarkStart w:id="196" w:name="an-attack"/>
      <w:r>
        <w:t xml:space="preserve">An Attack</w:t>
      </w:r>
      <w:bookmarkEnd w:id="196"/>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4.1.6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itself. In this sense, the creative capacity of the body enables the body itself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5"/>
      </w:pPr>
      <w:bookmarkStart w:id="197" w:name="a-sampler"/>
      <w:r>
        <w:t xml:space="preserve">A Sampler</w:t>
      </w:r>
      <w:bookmarkEnd w:id="197"/>
    </w:p>
    <w:p>
      <w:pPr>
        <w:pStyle w:val="FirstParagraph"/>
      </w:pPr>
      <w:r>
        <w:t xml:space="preserve">Consider, for example, an acousmatic concert in which one of the music works is made with pre-recorded violin samples. When this violin begins playing sounds, an illusion may very well begin to emerge: we can imagine a violin player. If the imaginary player continues to play sounds and move them in space, this illusion continues in the direction of physical but illusory motion in space, that is, we can perceive an actual violin and an actual violin player. Therefore, this virtuality may project itself throughout the complete music work, thus grounding the music work on an imaginary force that is only alive because of the listener’s own capacitiy for virtuality. The ghostly qualities of this force will be addressed further down this text (See</w:t>
      </w:r>
      <w:r>
        <w:t xml:space="preserve"> </w:t>
      </w:r>
      <w:hyperlink w:anchor="spectrality">
        <w:r>
          <w:rPr>
            <w:rStyle w:val="Hyperlink"/>
          </w:rPr>
          <w:t xml:space="preserve">5.2.3</w:t>
        </w:r>
      </w:hyperlink>
      <w:r>
        <w:t xml:space="preserve">). Most presently is the fact that this</w:t>
      </w:r>
      <w:r>
        <w:t xml:space="preserve"> </w:t>
      </w:r>
      <w:r>
        <w:t xml:space="preserve">‘</w:t>
      </w:r>
      <w:r>
        <w:t xml:space="preserve">magic</w:t>
      </w:r>
      <w:r>
        <w:t xml:space="preserve">’</w:t>
      </w:r>
      <w:r>
        <w:t xml:space="preserve"> </w:t>
      </w:r>
      <w:r>
        <w:t xml:space="preserve">show —happening in front and because of the listener’s body-sensing mind— can be understood in terms of a resonant link between the human and the nonhuman: a web of interconnected objects that refer to each other. In this listening process, therefore, the listening subject exposes itself to itself and to the virtual self of the violin. Virtual, in this context, does not mean in opposition to the real. The virtual comes as the affective presence of a reality, and thus it becomes the possibility condition for the reality of images.</w:t>
      </w:r>
    </w:p>
    <w:p>
      <w:pPr>
        <w:pStyle w:val="Heading5"/>
      </w:pPr>
      <w:bookmarkStart w:id="198" w:name="a-texture"/>
      <w:r>
        <w:t xml:space="preserve">A Texture</w:t>
      </w:r>
      <w:bookmarkEnd w:id="198"/>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resemble each other, thus they can be understood as a spatial distribution of references.</w:t>
      </w:r>
    </w:p>
    <w:p>
      <w:pPr>
        <w:pStyle w:val="Heading5"/>
      </w:pPr>
      <w:bookmarkStart w:id="199" w:name="a-return"/>
      <w:r>
        <w:t xml:space="preserve">A Return</w:t>
      </w:r>
      <w:bookmarkEnd w:id="199"/>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their ontological condition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200" w:name="network"/>
      <w:r>
        <w:t xml:space="preserve">Resonant Network</w:t>
      </w:r>
      <w:bookmarkEnd w:id="200"/>
    </w:p>
    <w:p>
      <w:pPr>
        <w:pStyle w:val="Heading5"/>
      </w:pPr>
      <w:bookmarkStart w:id="201" w:name="the-recorded-movement-of-a-thing"/>
      <w:r>
        <w:t xml:space="preserve">The Recorded Movement of a Thing</w:t>
      </w:r>
      <w:bookmarkEnd w:id="201"/>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at</w:t>
      </w:r>
      <w:r>
        <w:t xml:space="preserve">.</w:t>
      </w:r>
      <w:r>
        <w:t xml:space="preserve"> </w:t>
      </w:r>
      <w:r>
        <w:t xml:space="preserve">at</w:t>
      </w:r>
      <w:r>
        <w:t xml:space="preserve"> </w:t>
      </w:r>
      <w:r>
        <w:t xml:space="preserve">can be understood as a way of connecting and associating entities to one another. It is a tool that builds an image of the world made of nodes along a decentralized web of meaning. Latour reformulates nodes and edges, with what he calls</w:t>
      </w:r>
      <w:r>
        <w:t xml:space="preserve"> </w:t>
      </w:r>
      <w:r>
        <w:t xml:space="preserve">‘</w:t>
      </w:r>
      <w:r>
        <w:t xml:space="preserve">semiotic actors,</w:t>
      </w:r>
      <w:r>
        <w:t xml:space="preserve">’</w:t>
      </w:r>
      <w:r>
        <w:t xml:space="preserve"> </w:t>
      </w:r>
      <w:r>
        <w:t xml:space="preserve">‘</w:t>
      </w:r>
      <w:r>
        <w:t xml:space="preserve">actants,</w:t>
      </w:r>
      <w:r>
        <w:t xml:space="preserve">’</w:t>
      </w:r>
      <w:r>
        <w:t xml:space="preserve"> </w:t>
      </w:r>
      <w:r>
        <w:t xml:space="preserve">or</w:t>
      </w:r>
      <w:r>
        <w:t xml:space="preserve"> </w:t>
      </w:r>
      <w:r>
        <w:t xml:space="preserve">‘</w:t>
      </w:r>
      <w:r>
        <w:t xml:space="preserve">agents</w:t>
      </w:r>
      <w:r>
        <w:t xml:space="preserve">’</w:t>
      </w:r>
      <w:r>
        <w:t xml:space="preserve"> </w:t>
      </w:r>
      <w:r>
        <w:t xml:space="preserve">(nodes) and of the interconnected accounts that these have of each other (edges). As I have mentioned earlier with the network model in databases (See</w:t>
      </w:r>
      <w:r>
        <w:t xml:space="preserve"> </w:t>
      </w:r>
      <w:hyperlink w:anchor="model:network">
        <w:r>
          <w:rPr>
            <w:rStyle w:val="Hyperlink"/>
          </w:rPr>
          <w:t xml:space="preserve">4.2.4.2</w:t>
        </w:r>
      </w:hyperlink>
      <w:r>
        <w:t xml:space="preserve">), navigating through networks is traversing from node to node. However, the (visual) two-dimensional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limits the understanding of its topology:</w:t>
      </w:r>
      <w:r>
        <w:t xml:space="preserve"> </w:t>
      </w:r>
      <w:r>
        <w:t xml:space="preserve">“</w:t>
      </w:r>
      <w:r>
        <w:t xml:space="preserve">instead of surfaces one gets filaments.</w:t>
      </w:r>
      <w:r>
        <w:t xml:space="preserve">”</w:t>
      </w:r>
      <w:r>
        <w:t xml:space="preserve"> </w:t>
      </w:r>
      <w:r>
        <w:t xml:space="preserve">(Latour 1990, p. 3)</w:t>
      </w:r>
      <w:r>
        <w:t xml:space="preserve"> </w:t>
      </w:r>
      <w:r>
        <w:t xml:space="preserve">In this sense, he points to a misunderstanding that comes from giving</w:t>
      </w:r>
      <w:r>
        <w:t xml:space="preserve"> </w:t>
      </w:r>
      <w:r>
        <w:t xml:space="preserve">at</w:t>
      </w:r>
      <w:r>
        <w:t xml:space="preserve"> </w:t>
      </w:r>
      <w:r>
        <w:t xml:space="preserve">a technical definition such as the one described with the database model:</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r>
        <w:t xml:space="preserve"> </w:t>
      </w:r>
      <w:r>
        <w:t xml:space="preserve">at</w:t>
      </w:r>
      <w:r>
        <w:t xml:space="preserve"> </w:t>
      </w:r>
      <w:r>
        <w:t xml:space="preserve">points towards a topological shift. Nevertheless, the navigational paradigm advanced by</w:t>
      </w:r>
      <w:r>
        <w:t xml:space="preserve"> </w:t>
      </w:r>
      <w:r>
        <w:t xml:space="preserve">Bachman (1973)</w:t>
      </w:r>
      <w:r>
        <w:t xml:space="preserve"> </w:t>
      </w:r>
      <w:r>
        <w:t xml:space="preserve">in relation to databases whose</w:t>
      </w:r>
      <w:r>
        <w:t xml:space="preserve"> </w:t>
      </w:r>
      <w:r>
        <w:t xml:space="preserve">‘</w:t>
      </w:r>
      <w:r>
        <w:t xml:space="preserve">keys</w:t>
      </w:r>
      <w:r>
        <w:t xml:space="preserve">’</w:t>
      </w:r>
      <w:r>
        <w:t xml:space="preserve"> </w:t>
      </w:r>
      <w:r>
        <w:t xml:space="preserve">become n-dimensional space, does translate well to Latour’s model, because nodes have</w:t>
      </w:r>
      <w:r>
        <w:t xml:space="preserve"> </w:t>
      </w:r>
      <w:r>
        <w:t xml:space="preserve">“</w:t>
      </w:r>
      <w:r>
        <w:t xml:space="preserve">as many dimensions as they have connections</w:t>
      </w:r>
      <w:r>
        <w:t xml:space="preserve">”</w:t>
      </w:r>
      <w:r>
        <w:t xml:space="preserve"> </w:t>
      </w:r>
      <w:r>
        <w:t xml:space="preserve">(Latour 1990, p. 3)</w:t>
      </w:r>
      <w:r>
        <w:t xml:space="preserve">. In any case, what this navigation points to is that</w:t>
      </w:r>
      <w:r>
        <w:t xml:space="preserve"> </w:t>
      </w:r>
      <w:r>
        <w:t xml:space="preserve">at</w:t>
      </w:r>
      <w:r>
        <w:t xml:space="preserve"> </w:t>
      </w:r>
      <w:r>
        <w:t xml:space="preserve">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w:t>
      </w:r>
      <w:r>
        <w:t xml:space="preserve"> </w:t>
      </w:r>
      <w:r>
        <w:t xml:space="preserve">“</w:t>
      </w:r>
      <w:r>
        <w:t xml:space="preserve">In order to explain, to account, to observe, to prove, to argue, to dominate and to see, [an observer] has to move around and work, I should say it has to</w:t>
      </w:r>
      <w:r>
        <w:t xml:space="preserve"> </w:t>
      </w:r>
      <w:r>
        <w:t xml:space="preserve">‘</w:t>
      </w:r>
      <w:r>
        <w:t xml:space="preserve">network</w:t>
      </w:r>
      <w:r>
        <w:t xml:space="preserve">’</w:t>
      </w:r>
      <w:r>
        <w:t xml:space="preserve">”</w:t>
      </w:r>
      <w:r>
        <w:t xml:space="preserve"> </w:t>
      </w:r>
      <w:r>
        <w:t xml:space="preserve">(Latour 1990, p. 13)</w:t>
      </w:r>
      <w:r>
        <w:t xml:space="preserve">. This work,</w:t>
      </w:r>
      <w:r>
        <w:t xml:space="preserve"> </w:t>
      </w:r>
      <w:r>
        <w:rPr>
          <w:i/>
        </w:rPr>
        <w:t xml:space="preserve">net</w:t>
      </w:r>
      <w:r>
        <w:t xml:space="preserve">-work, or</w:t>
      </w:r>
      <w:r>
        <w:t xml:space="preserve"> </w:t>
      </w:r>
      <w:r>
        <w:t xml:space="preserve">‘</w:t>
      </w:r>
      <w:r>
        <w:t xml:space="preserve">tracing,</w:t>
      </w:r>
      <w:r>
        <w:t xml:space="preserve">’</w:t>
      </w:r>
      <w:r>
        <w:t xml:space="preserve"> </w:t>
      </w:r>
      <w:r>
        <w:t xml:space="preserve">is not only the movement of associations and connections, it is also the</w:t>
      </w:r>
      <w:r>
        <w:t xml:space="preserve"> </w:t>
      </w:r>
      <w:r>
        <w:t xml:space="preserve">‘</w:t>
      </w:r>
      <w:r>
        <w:t xml:space="preserve">recording</w:t>
      </w:r>
      <w:r>
        <w:t xml:space="preserve">’</w:t>
      </w:r>
      <w:r>
        <w:t xml:space="preserve"> </w:t>
      </w:r>
      <w:r>
        <w:t xml:space="preserve">of this movement. In this sense, Latour claims that</w:t>
      </w:r>
      <w:r>
        <w:t xml:space="preserve"> </w:t>
      </w:r>
      <w:r>
        <w:t xml:space="preserve">“</w:t>
      </w:r>
      <w:r>
        <w:t xml:space="preserve">a network is not a thing but the recorded movement of a thing</w:t>
      </w:r>
      <w:r>
        <w:t xml:space="preserve">”</w:t>
      </w:r>
      <w:r>
        <w:t xml:space="preserve"> </w:t>
      </w:r>
      <w:r>
        <w:t xml:space="preserve">(Latour 1990, p. 14)</w:t>
      </w:r>
      <w:r>
        <w:t xml:space="preserve">. 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expansive motion. Most importantly,</w:t>
      </w:r>
      <w:r>
        <w:t xml:space="preserve"> </w:t>
      </w:r>
      <w:r>
        <w:t xml:space="preserve">at</w:t>
      </w:r>
      <w:r>
        <w:t xml:space="preserve"> </w:t>
      </w:r>
      <w:r>
        <w:t xml:space="preserve">is a tool aimed at describing the nature of society. However, in this description,</w:t>
      </w:r>
      <w:r>
        <w:t xml:space="preserve"> </w:t>
      </w:r>
      <w:r>
        <w:t xml:space="preserve">at</w:t>
      </w:r>
      <w:r>
        <w:t xml:space="preserve"> </w:t>
      </w:r>
      <w:r>
        <w:t xml:space="preserve">“</w:t>
      </w:r>
      <w:r>
        <w:t xml:space="preserve">does not limit itself to human individual actors but extend[s] the word actor…to non-human, non individual entities</w:t>
      </w:r>
      <w:r>
        <w:t xml:space="preserve">”</w:t>
      </w:r>
      <w:r>
        <w:t xml:space="preserve"> </w:t>
      </w:r>
      <w:r>
        <w:t xml:space="preserve">(Latour 1990, p. 2)</w:t>
      </w:r>
      <w:r>
        <w:t xml:space="preserve">.</w:t>
      </w:r>
    </w:p>
    <w:p>
      <w:pPr>
        <w:pStyle w:val="Heading5"/>
      </w:pPr>
      <w:bookmarkStart w:id="202" w:name="howling"/>
      <w:r>
        <w:t xml:space="preserve">Howling</w:t>
      </w:r>
      <w:bookmarkEnd w:id="202"/>
    </w:p>
    <w:p>
      <w:pPr>
        <w:pStyle w:val="FirstParagraph"/>
      </w:pPr>
      <w:r>
        <w:t xml:space="preserve">Thinking networks in terms of a (sonic) three-dimensional metaphor (as a mechanical wave) is thus misunderstanding it.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(impossible) positive feedback. While a network expands in redundancy, overflow, accumulation, and self-reference, a sound attenuates towards imperceptible and infinitesimal thresholds. Lending an ear to the sound of</w:t>
      </w:r>
      <w:r>
        <w:t xml:space="preserve"> </w:t>
      </w:r>
      <w:r>
        <w:t xml:space="preserve">at</w:t>
      </w:r>
      <w:r>
        <w:t xml:space="preserve"> </w:t>
      </w:r>
      <w:r>
        <w:t xml:space="preserve">we would find ourselves listening to expanding filaments. However, as an acoustic experiment that would combine the circuitry of a feedback with the accumulative quality of networks, I propose to consider</w:t>
      </w:r>
      <w:r>
        <w:t xml:space="preserve"> </w:t>
      </w:r>
      <w:r>
        <w:t xml:space="preserve">Lucier (1970)</w:t>
      </w:r>
      <w:r>
        <w:t xml:space="preserve">’s (</w:t>
      </w:r>
      <w:r>
        <w:t xml:space="preserve">(1970)</w:t>
      </w:r>
      <w:r>
        <w:t xml:space="preserve">) . I have transcribed this sound art piece at the beginning of this chapter, as it is self explanatory (See</w:t>
      </w:r>
      <w:r>
        <w:t xml:space="preserve"> </w:t>
      </w:r>
      <w:hyperlink w:anchor="lucierlude">
        <w:r>
          <w:rPr>
            <w:rStyle w:val="Hyperlink"/>
          </w:rPr>
          <w:t xml:space="preserve">5.1.1</w:t>
        </w:r>
      </w:hyperlink>
      <w:r>
        <w:t xml:space="preserve">). It can be understood as a triple crossfade, first between speech and music, gradually crossfading into a second crossfade,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w:t>
      </w:r>
      <w:r>
        <w:t xml:space="preserve">”</w:t>
      </w:r>
      <w:r>
        <w:t xml:space="preserve"> </w:t>
      </w:r>
      <w:r>
        <w:t xml:space="preserve">and thus the</w:t>
      </w:r>
      <w:r>
        <w:t xml:space="preserve"> </w:t>
      </w:r>
      <w:r>
        <w:t xml:space="preserve">“</w:t>
      </w:r>
      <w:r>
        <w:t xml:space="preserve">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However, (and here is the experiment) this does not mean that these nodes would cease to act, let alone resonate. In this sense, we can ask ourselves how would</w:t>
      </w:r>
      <w:r>
        <w:t xml:space="preserve"> </w:t>
      </w:r>
      <w:r>
        <w:rPr>
          <w:i/>
        </w:rPr>
        <w:t xml:space="preserve">this</w:t>
      </w:r>
      <w:r>
        <w:t xml:space="preserve"> </w:t>
      </w:r>
      <w:r>
        <w:t xml:space="preserve">sound like?</w:t>
      </w:r>
      <w:r>
        <w:t xml:space="preserve"> </w:t>
      </w:r>
      <w:r>
        <w:rPr>
          <w:i/>
        </w:rPr>
        <w:t xml:space="preserve">Where</w:t>
      </w:r>
      <w:r>
        <w:t xml:space="preserve"> </w:t>
      </w:r>
      <w:r>
        <w:t xml:space="preserve">would the</w:t>
      </w:r>
      <w:r>
        <w:t xml:space="preserve"> </w:t>
      </w:r>
      <w:r>
        <w:t xml:space="preserve">‘</w:t>
      </w:r>
      <w:r>
        <w:t xml:space="preserve">I</w:t>
      </w:r>
      <w:r>
        <w:t xml:space="preserve">’</w:t>
      </w:r>
      <w:r>
        <w:t xml:space="preserve"> </w:t>
      </w:r>
      <w:r>
        <w:t xml:space="preserve">be actually</w:t>
      </w:r>
      <w:r>
        <w:t xml:space="preserve"> </w:t>
      </w:r>
      <w:r>
        <w:rPr>
          <w:i/>
        </w:rPr>
        <w:t xml:space="preserve">sitting</w:t>
      </w:r>
      <w:r>
        <w:t xml:space="preserve">?</w:t>
      </w:r>
    </w:p>
    <w:p>
      <w:pPr>
        <w:pStyle w:val="Heading5"/>
      </w:pPr>
      <w:bookmarkStart w:id="203" w:name="the-resonant-movement-of-a-thing"/>
      <w:r>
        <w:t xml:space="preserve">The Resonant Movement of a Thing</w:t>
      </w:r>
      <w:bookmarkEnd w:id="203"/>
    </w:p>
    <w:p>
      <w:pPr>
        <w:pStyle w:val="FirstParagraph"/>
      </w:pPr>
      <w:r>
        <w:t xml:space="preserve">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through space. The room as a filter would resonate differently because it would be understood as a texture, a networked resonance.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Thus, Latour’s phrase can (perhaps) be reformulated:</w:t>
      </w:r>
      <w:r>
        <w:t xml:space="preserve"> </w:t>
      </w:r>
      <w:r>
        <w:rPr>
          <w:i/>
        </w:rPr>
        <w:t xml:space="preserve">the network is not a thing, but the resonant movement of a thing</w:t>
      </w:r>
      <w:r>
        <w:t xml:space="preserve">.</w:t>
      </w:r>
    </w:p>
    <w:p>
      <w:pPr>
        <w:pStyle w:val="Heading5"/>
      </w:pPr>
      <w:bookmarkStart w:id="204" w:name="i-am-sitting-in-a-loop"/>
      <w:r>
        <w:t xml:space="preserve">I am sitting in a loop</w:t>
      </w:r>
      <w:bookmarkEnd w:id="204"/>
    </w:p>
    <w:p>
      <w:pPr>
        <w:pStyle w:val="FirstParagraph"/>
      </w:pPr>
      <w:r>
        <w:t xml:space="preserve">This is the crucial leap that comes out of the idea of a resonant network: the moment the nonhuman in the network is comprehended as resonant, it is the moment that they engage with an approach to self (in Nancy’s terms). Following this logical thread, a database can be considered as a semiotic actor as well as a resonant subject. On one hand, databases are not just networks, they are actor-networks: acting, tracing, and listening. On the other hand, since databases are indeed listening, to what extent can we think of them as listening to themselves listening? Bringing back Lucier and his room, I would like to address this question with another aspect of this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fourth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w:t>
      </w:r>
      <w:r>
        <w:t xml:space="preserve"> </w:t>
      </w:r>
      <w:r>
        <w:rPr>
          <w:i/>
        </w:rPr>
        <w:t xml:space="preserve">in the loop</w:t>
      </w:r>
      <w:r>
        <w:t xml:space="preserve">. I believe this is one of the most crucial</w:t>
      </w:r>
      <w:r>
        <w:t xml:space="preserve"> </w:t>
      </w:r>
      <w:r>
        <w:t xml:space="preserve">‘</w:t>
      </w:r>
      <w:r>
        <w:t xml:space="preserve">irregularities</w:t>
      </w:r>
      <w:r>
        <w:t xml:space="preserve">’</w:t>
      </w:r>
      <w:r>
        <w:t xml:space="preserve"> </w:t>
      </w:r>
      <w:r>
        <w:t xml:space="preserve">that can be found throughout the work. In the interlude at the beginning of this chapter, I transcribe the text as Lucier reads it. I attempted to be as clear as possible, crossing out, replacing, extending all the consonants into what I thought was a more faithful score for the read fragment. I resorted to these words being</w:t>
      </w:r>
      <w:r>
        <w:t xml:space="preserve"> </w:t>
      </w:r>
      <w:r>
        <w:t xml:space="preserve">“</w:t>
      </w:r>
      <w:r>
        <w:t xml:space="preserve">under erasure,</w:t>
      </w:r>
      <w:r>
        <w:t xml:space="preserve">”</w:t>
      </w:r>
      <w:r>
        <w:t xml:space="preserve"> </w:t>
      </w:r>
      <w:r>
        <w:t xml:space="preserve">that is,</w:t>
      </w:r>
      <w:r>
        <w:t xml:space="preserve"> </w:t>
      </w:r>
      <w:r>
        <w:t xml:space="preserve">“</w:t>
      </w:r>
      <w:r>
        <w:t xml:space="preserve">to write a word, cross it out, and then print both word and deletion</w:t>
      </w:r>
      <w:r>
        <w:t xml:space="preserve">”</w:t>
      </w:r>
      <w:r>
        <w:t xml:space="preserve"> </w:t>
      </w:r>
      <w:r>
        <w:t xml:space="preserve">(Derrida &amp; Spivak 1976 xiv)</w:t>
      </w:r>
      <w:r>
        <w:t xml:space="preserve">, because in this way one would have a visual cue of both the instruction and a more verbose inscription of the voice. (To a certain extent,</w:t>
      </w:r>
      <w:r>
        <w:t xml:space="preserve"> </w:t>
      </w:r>
      <w:r>
        <w:rPr>
          <w:i/>
        </w:rPr>
        <w:t xml:space="preserve">I am sitting in a room…</w:t>
      </w:r>
      <w:r>
        <w:t xml:space="preserve"> </w:t>
      </w:r>
      <w:r>
        <w:t xml:space="preserve">can be understood as a music work</w:t>
      </w:r>
      <w:r>
        <w:t xml:space="preserve"> </w:t>
      </w:r>
      <w:r>
        <w:t xml:space="preserve">‘</w:t>
      </w:r>
      <w:r>
        <w:t xml:space="preserve">under</w:t>
      </w:r>
      <w:r>
        <w:t xml:space="preserve">’</w:t>
      </w:r>
      <w:r>
        <w:t xml:space="preserve"> </w:t>
      </w:r>
      <w:r>
        <w:t xml:space="preserve">constant</w:t>
      </w:r>
      <w:r>
        <w:t xml:space="preserve"> </w:t>
      </w:r>
      <w:r>
        <w:t xml:space="preserve">‘</w:t>
      </w:r>
      <w:r>
        <w:t xml:space="preserve">erasure.</w:t>
      </w:r>
      <w:r>
        <w:t xml:space="preserve">’</w:t>
      </w:r>
      <w:r>
        <w:t xml:space="preserve">) Thinking as a composer, this score (with all its notated irregularities) would explain the first minutes so fiercefully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5.2.3</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loop</w:t>
      </w:r>
      <w:r>
        <w:t xml:space="preserve"> </w:t>
      </w:r>
      <w:r>
        <w:t xml:space="preserve">returns to us (resonates back) putting into question a relationship (a difference): what is the difference between the two ‘I’s? Is is this same difference at stake between the human and the nonhumam? The implications of these question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205" w:name="inoperativity"/>
      <w:r>
        <w:t xml:space="preserve">The Unworking Network</w:t>
      </w:r>
      <w:bookmarkEnd w:id="205"/>
    </w:p>
    <w:p>
      <w:pPr>
        <w:pStyle w:val="Heading5"/>
      </w:pPr>
      <w:bookmarkStart w:id="206" w:name="community-as-unwork"/>
      <w:r>
        <w:t xml:space="preserve">Community as unwork</w:t>
      </w:r>
      <w:bookmarkEnd w:id="206"/>
    </w:p>
    <w:p>
      <w:pPr>
        <w:pStyle w:val="FirstParagraph"/>
      </w:pPr>
      <w:r>
        <w:t xml:space="preserve">As I have described above, for Nancy, a resonant self (self, 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understsand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w:t>
      </w:r>
    </w:p>
    <w:p>
      <w:pPr>
        <w:pStyle w:val="CaptionedFigure"/>
      </w:pPr>
      <w:bookmarkStart w:id="208" w:name="img:work"/>
      <w:r>
        <w:drawing>
          <wp:inline>
            <wp:extent cx="5016500" cy="1892300"/>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07"/>
                    <a:stretch>
                      <a:fillRect/>
                    </a:stretch>
                  </pic:blipFill>
                  <pic:spPr bwMode="auto">
                    <a:xfrm>
                      <a:off x="0" y="0"/>
                      <a:ext cx="5016500" cy="1892300"/>
                    </a:xfrm>
                    <a:prstGeom prst="rect">
                      <a:avLst/>
                    </a:prstGeom>
                    <a:noFill/>
                    <a:ln w="9525">
                      <a:noFill/>
                      <a:headEnd/>
                      <a:tailEnd/>
                    </a:ln>
                  </pic:spPr>
                </pic:pic>
              </a:graphicData>
            </a:graphic>
          </wp:inline>
        </w:drawing>
      </w:r>
      <w:bookmarkEnd w:id="208"/>
    </w:p>
    <w:p>
      <w:pPr>
        <w:pStyle w:val="ImageCaption"/>
      </w:pPr>
      <w:r>
        <w:t xml:space="preserve">Community as work</w:t>
      </w:r>
    </w:p>
    <w:p>
      <w:pPr>
        <w:pStyle w:val="BodyText"/>
      </w:pPr>
      <w:r>
        <w:t xml:space="preserve">A graph displaying the teleology of the work (arrows) of selves (dots) in community (dots joined by lines)</w:t>
      </w:r>
    </w:p>
    <w:p>
      <w:pPr>
        <w:pStyle w:val="BodyText"/>
      </w:pPr>
      <w:r>
        <w:t xml:space="preserve">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5.1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Furhtermore,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or a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(See Figure</w:t>
      </w:r>
      <w:r>
        <w:t xml:space="preserve"> </w:t>
      </w:r>
      <w:hyperlink w:anchor="img:unwork">
        <w:r>
          <w:rPr>
            <w:rStyle w:val="Hyperlink"/>
          </w:rPr>
          <w:t xml:space="preserve">5.2</w:t>
        </w:r>
      </w:hyperlink>
      <w:r>
        <w:t xml:space="preserve">). Is this not the resonance of a return? Work returning as the interrupted resonance of its own unworking?</w:t>
      </w:r>
    </w:p>
    <w:p>
      <w:pPr>
        <w:pStyle w:val="Heading5"/>
      </w:pPr>
      <w:bookmarkStart w:id="209" w:name="at-the-limit"/>
      <w:r>
        <w:t xml:space="preserve">At the Limit</w:t>
      </w:r>
      <w:bookmarkEnd w:id="209"/>
    </w:p>
    <w:p>
      <w:pPr>
        <w:pStyle w:val="FirstParagraph"/>
      </w:pPr>
      <w:r>
        <w:t xml:space="preserve">Nancy’s concept of community can be recognized within his later and broader concept of</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a limit. We can think of this limit as an edge in the resonant network that, in Nancy’s terms, exposes selves to themselves and to one another.</w:t>
      </w:r>
    </w:p>
    <w:p>
      <w:pPr>
        <w:pStyle w:val="CaptionedFigure"/>
      </w:pPr>
      <w:bookmarkStart w:id="211" w:name="img:unwork"/>
      <w:r>
        <w:drawing>
          <wp:inline>
            <wp:extent cx="2184400" cy="1866900"/>
            <wp:effectExtent b="0" l="0" r="0" t="0"/>
            <wp:docPr descr="Community as unwork" title="" id="1" name="Picture"/>
            <a:graphic>
              <a:graphicData uri="http://schemas.openxmlformats.org/drawingml/2006/picture">
                <pic:pic>
                  <pic:nvPicPr>
                    <pic:cNvPr descr="/Users/federicocamarahalac/Documents/fd_work/text/waves/bin/img/unwork.png" id="0" name="Picture"/>
                    <pic:cNvPicPr>
                      <a:picLocks noChangeArrowheads="1" noChangeAspect="1"/>
                    </pic:cNvPicPr>
                  </pic:nvPicPr>
                  <pic:blipFill>
                    <a:blip r:embed="rId210"/>
                    <a:stretch>
                      <a:fillRect/>
                    </a:stretch>
                  </pic:blipFill>
                  <pic:spPr bwMode="auto">
                    <a:xfrm>
                      <a:off x="0" y="0"/>
                      <a:ext cx="2184400" cy="1866900"/>
                    </a:xfrm>
                    <a:prstGeom prst="rect">
                      <a:avLst/>
                    </a:prstGeom>
                    <a:noFill/>
                    <a:ln w="9525">
                      <a:noFill/>
                      <a:headEnd/>
                      <a:tailEnd/>
                    </a:ln>
                  </pic:spPr>
                </pic:pic>
              </a:graphicData>
            </a:graphic>
          </wp:inline>
        </w:drawing>
      </w:r>
      <w:bookmarkEnd w:id="211"/>
    </w:p>
    <w:p>
      <w:pPr>
        <w:pStyle w:val="ImageCaption"/>
      </w:pPr>
      <w:r>
        <w:t xml:space="preserve">Community as unwork</w:t>
      </w:r>
    </w:p>
    <w:p>
      <w:pPr>
        <w:pStyle w:val="BodyText"/>
      </w:pPr>
      <w:r>
        <w:t xml:space="preserve">A graph displaying community as an ontology of unworking.</w:t>
      </w:r>
    </w:p>
    <w:p>
      <w:pPr>
        <w:pStyle w:val="BodyText"/>
      </w:pPr>
      <w:r>
        <w:t xml:space="preserve">Further, Nancy provides us with an essential insight, suggesting that</w:t>
      </w:r>
      <w:r>
        <w:t xml:space="preserve"> </w:t>
      </w:r>
      <w:r>
        <w:t xml:space="preserve">“</w:t>
      </w:r>
      <w:r>
        <w:t xml:space="preserve">it is not obvious that the community of singularities is limited to</w:t>
      </w:r>
      <w:r>
        <w:t xml:space="preserve"> </w:t>
      </w:r>
      <w:r>
        <w:t xml:space="preserve">‘</w:t>
      </w:r>
      <w:r>
        <w:t xml:space="preserve">man</w:t>
      </w:r>
      <w:r>
        <w:t xml:space="preserve">’</w:t>
      </w:r>
      <w:r>
        <w:t xml:space="preserve"> </w:t>
      </w:r>
      <w:r>
        <w:t xml:space="preserve">and excludes, for example, the</w:t>
      </w:r>
      <w:r>
        <w:t xml:space="preserve"> </w:t>
      </w:r>
      <w:r>
        <w:t xml:space="preserve">‘</w:t>
      </w:r>
      <w:r>
        <w:t xml:space="preserve">animal</w:t>
      </w:r>
      <w:r>
        <w:t xml:space="preserve">’</w:t>
      </w:r>
      <w:r>
        <w:t xml:space="preserve">”</w:t>
      </w:r>
      <w:r>
        <w:t xml:space="preserve"> </w:t>
      </w:r>
      <w:r>
        <w:t xml:space="preserve">(Nancy 1991, p. 28)</w:t>
      </w:r>
      <w:r>
        <w:t xml:space="preserve">. Therefore, by understanding resonant networks in terms of community we can speak of an exposure of selves, or a self-exposure, between humans and nonhumans in a liminality can be thought of as a skin:</w:t>
      </w:r>
      <w:r>
        <w:t xml:space="preserve"> </w:t>
      </w:r>
      <w:r>
        <w:t xml:space="preserve">“</w:t>
      </w:r>
      <w:r>
        <w:t xml:space="preserve">a singular being</w:t>
      </w:r>
      <w:r>
        <w:t xml:space="preserve"> </w:t>
      </w:r>
      <w:r>
        <w:rPr>
          <w:i/>
        </w:rPr>
        <w:t xml:space="preserve">appears</w:t>
      </w:r>
      <w:r>
        <w:t xml:space="preserve">, as finitud itself: at the end (or at the beginning), with the contact of the skin (or the heart) of another singular being…</w:t>
      </w:r>
      <w:r>
        <w:t xml:space="preserve">”</w:t>
      </w:r>
      <w:r>
        <w:t xml:space="preserve"> </w:t>
      </w:r>
      <w:r>
        <w:t xml:space="preserve">(Nancy 1991, p. 28)</w:t>
      </w:r>
      <w:r>
        <w:t xml:space="preserve">. This skin (or heart) makes at least two references, one to the affective presence of the body in relation to touch, and another to the finitud that singular beings are, that is, what (for Nancy) is the being in common of beings: their life, but fundamentally, their death. First, with this latter reference, we can depart a bit from Nancy’s</w:t>
      </w:r>
      <w:r>
        <w:t xml:space="preserve"> </w:t>
      </w:r>
      <w:r>
        <w:t xml:space="preserve">‘</w:t>
      </w:r>
      <w:r>
        <w:t xml:space="preserve">skin,</w:t>
      </w:r>
      <w:r>
        <w:t xml:space="preserve">’</w:t>
      </w:r>
      <w:r>
        <w:t xml:space="preserve"> </w:t>
      </w:r>
      <w:r>
        <w:t xml:space="preserve">and stretch it away from this living/nonliving distinction altogether. Latour’s ontological hybrid can thus enter into the considerations I am proposing here:</w:t>
      </w:r>
      <w:r>
        <w:t xml:space="preserve"> </w:t>
      </w:r>
      <w:r>
        <w:t xml:space="preserve">“</w:t>
      </w:r>
      <w:r>
        <w:t xml:space="preserve">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w:t>
      </w:r>
      <w:r>
        <w:t xml:space="preserve"> </w:t>
      </w:r>
      <w:r>
        <w:t xml:space="preserve">(Latour 1990, p. 7)</w:t>
      </w:r>
      <w:r>
        <w:t xml:space="preserve">. Therefore, what is in common along the network is not finitud in terms of death, but in terms of the very condition of liminality itself: actor-network at the limit.</w:t>
      </w:r>
    </w:p>
    <w:p>
      <w:pPr>
        <w:pStyle w:val="Heading5"/>
      </w:pPr>
      <w:bookmarkStart w:id="212" w:name="infralanguage"/>
      <w:r>
        <w:t xml:space="preserve">Infralanguage</w:t>
      </w:r>
      <w:bookmarkEnd w:id="212"/>
    </w:p>
    <w:p>
      <w:pPr>
        <w:pStyle w:val="FirstParagraph"/>
      </w:pPr>
      <w:r>
        <w:t xml:space="preserve">Latour considers that the descriptive project in</w:t>
      </w:r>
      <w:r>
        <w:t xml:space="preserve"> </w:t>
      </w:r>
      <w:r>
        <w:t xml:space="preserve">at</w:t>
      </w:r>
      <w:r>
        <w:t xml:space="preserve"> </w:t>
      </w:r>
      <w:r>
        <w:t xml:space="preserve">does not compose a metalanguage with which to define overarching explanations. Instead,</w:t>
      </w:r>
      <w:r>
        <w:t xml:space="preserve"> </w:t>
      </w:r>
      <w:r>
        <w:t xml:space="preserve">at</w:t>
      </w:r>
      <w:r>
        <w:t xml:space="preserve"> </w:t>
      </w:r>
      <w:r>
        <w:t xml:space="preserve">searches for explications by retaining</w:t>
      </w:r>
      <w:r>
        <w:t xml:space="preserve"> </w:t>
      </w:r>
      <w:r>
        <w:t xml:space="preserve">“</w:t>
      </w:r>
      <w:r>
        <w:t xml:space="preserve">only a very few terms —its</w:t>
      </w:r>
      <w:r>
        <w:t xml:space="preserve"> </w:t>
      </w:r>
      <w:r>
        <w:rPr>
          <w:i/>
        </w:rPr>
        <w:t xml:space="preserve">infra</w:t>
      </w:r>
      <w:r>
        <w:t xml:space="preserve">language— which are just enough to sail in between frames of reference</w:t>
      </w:r>
      <w:r>
        <w:t xml:space="preserve">”</w:t>
      </w:r>
      <w:r>
        <w:t xml:space="preserve"> </w:t>
      </w:r>
      <w:r>
        <w:t xml:space="preserve">[emphasis added]</w:t>
      </w:r>
      <w:r>
        <w:t xml:space="preserve"> </w:t>
      </w:r>
      <w:r>
        <w:t xml:space="preserve">(Latour 1990, p. 16)</w:t>
      </w:r>
      <w:r>
        <w:t xml:space="preserve">. On the one hand, with this infralanguage</w:t>
      </w:r>
      <w:r>
        <w:t xml:space="preserve"> </w:t>
      </w:r>
      <w:r>
        <w:t xml:space="preserve">at</w:t>
      </w:r>
      <w:r>
        <w:t xml:space="preserve"> </w:t>
      </w:r>
      <w:r>
        <w:t xml:space="preserve">arrives at an</w:t>
      </w:r>
      <w:r>
        <w:t xml:space="preserve"> </w:t>
      </w:r>
      <w:r>
        <w:t xml:space="preserve">“</w:t>
      </w:r>
      <w:r>
        <w:t xml:space="preserve">empty frame for describing how any entity builds its world</w:t>
      </w:r>
      <w:r>
        <w:t xml:space="preserve">”</w:t>
      </w:r>
      <w:r>
        <w:t xml:space="preserve"> </w:t>
      </w:r>
      <w:r>
        <w:t xml:space="preserve">(Latour 1990, p. 16)</w:t>
      </w:r>
      <w:r>
        <w:t xml:space="preserve">. That is to say, it is a descriptive project focused on</w:t>
      </w:r>
      <w:r>
        <w:t xml:space="preserve"> </w:t>
      </w:r>
      <w:r>
        <w:t xml:space="preserve">“</w:t>
      </w:r>
      <w:r>
        <w:t xml:space="preserve">meaning-production,</w:t>
      </w:r>
      <w:r>
        <w:t xml:space="preserve">”</w:t>
      </w:r>
      <w:r>
        <w:t xml:space="preserve"> </w:t>
      </w:r>
      <w:r>
        <w:t xml:space="preserve">that is, creating associations and connections. On the other hand, with this infralanguage</w:t>
      </w:r>
      <w:r>
        <w:t xml:space="preserve"> </w:t>
      </w:r>
      <w:r>
        <w:t xml:space="preserve">at</w:t>
      </w:r>
      <w:r>
        <w:t xml:space="preserve"> </w:t>
      </w:r>
      <w:r>
        <w:t xml:space="preserve">“</w:t>
      </w:r>
      <w:r>
        <w:t xml:space="preserve">grants back to the actors themselves the ability to build precise accounts of one another by the very way they behave</w:t>
      </w:r>
      <w:r>
        <w:t xml:space="preserve">”</w:t>
      </w:r>
      <w:r>
        <w:t xml:space="preserve"> </w:t>
      </w:r>
      <w:r>
        <w:t xml:space="preserve">(Latour 1990, p. 16)</w:t>
      </w:r>
      <w:r>
        <w:t xml:space="preserve">. That is to say, precisely by disarticulating the search for</w:t>
      </w:r>
      <w:r>
        <w:t xml:space="preserve"> </w:t>
      </w:r>
      <w:r>
        <w:t xml:space="preserve">‘</w:t>
      </w:r>
      <w:r>
        <w:t xml:space="preserve">overarching</w:t>
      </w:r>
      <w:r>
        <w:t xml:space="preserve">’</w:t>
      </w:r>
      <w:r>
        <w:t xml:space="preserve"> </w:t>
      </w:r>
      <w:r>
        <w:t xml:space="preserve">explanations by means of a</w:t>
      </w:r>
      <w:r>
        <w:t xml:space="preserve"> </w:t>
      </w:r>
      <w:r>
        <w:rPr>
          <w:i/>
        </w:rPr>
        <w:t xml:space="preserve">meta</w:t>
      </w:r>
      <w:r>
        <w:t xml:space="preserve">language (</w:t>
      </w:r>
      <w:r>
        <w:rPr>
          <w:i/>
        </w:rPr>
        <w:t xml:space="preserve">the</w:t>
      </w:r>
      <w:r>
        <w:t xml:space="preserve"> </w:t>
      </w:r>
      <w:r>
        <w:t xml:space="preserve">key to open</w:t>
      </w:r>
      <w:r>
        <w:t xml:space="preserve"> </w:t>
      </w:r>
      <w:r>
        <w:rPr>
          <w:i/>
        </w:rPr>
        <w:t xml:space="preserve">the</w:t>
      </w:r>
      <w:r>
        <w:t xml:space="preserve"> </w:t>
      </w:r>
      <w:r>
        <w:t xml:space="preserve">door), this infralanguage is a keychain (of tiny keys) that opens many doors for the new</w:t>
      </w:r>
      <w:r>
        <w:t xml:space="preserve"> </w:t>
      </w:r>
      <w:r>
        <w:t xml:space="preserve">“</w:t>
      </w:r>
      <w:r>
        <w:t xml:space="preserve">ontological hybrid</w:t>
      </w:r>
      <w:r>
        <w:t xml:space="preserve">”</w:t>
      </w:r>
      <w:r>
        <w:t xml:space="preserve"> </w:t>
      </w:r>
      <w:r>
        <w:t xml:space="preserve">that is the actor-network, because it is what allows actors themselves to build their own account, that is, their own world:</w:t>
      </w:r>
      <w:r>
        <w:t xml:space="preserve"> </w:t>
      </w:r>
      <w:r>
        <w:t xml:space="preserve">“</w:t>
      </w:r>
      <w:r>
        <w:t xml:space="preserve">world making entities</w:t>
      </w:r>
      <w:r>
        <w:t xml:space="preserve">”</w:t>
      </w:r>
      <w:r>
        <w:t xml:space="preserve"> </w:t>
      </w:r>
      <w:r>
        <w:t xml:space="preserve">(Latour 1990, p. 16)</w:t>
      </w:r>
      <w:r>
        <w:t xml:space="preserve">.</w:t>
      </w:r>
    </w:p>
    <w:p>
      <w:pPr>
        <w:pStyle w:val="CaptionedFigure"/>
      </w:pPr>
      <w:bookmarkStart w:id="214" w:name="img:expand"/>
      <w:r>
        <w:drawing>
          <wp:inline>
            <wp:extent cx="2446555" cy="1837974"/>
            <wp:effectExtent b="0" l="0" r="0" t="0"/>
            <wp:docPr descr="Spandex fibers under an optical microscope" title="" id="1" name="Picture"/>
            <a:graphic>
              <a:graphicData uri="http://schemas.openxmlformats.org/drawingml/2006/picture">
                <pic:pic>
                  <pic:nvPicPr>
                    <pic:cNvPr descr="/Users/federicocamarahalac/Documents/fd_work/text/waves/bin/img/expand.png" id="0" name="Picture"/>
                    <pic:cNvPicPr>
                      <a:picLocks noChangeArrowheads="1" noChangeAspect="1"/>
                    </pic:cNvPicPr>
                  </pic:nvPicPr>
                  <pic:blipFill>
                    <a:blip r:embed="rId213"/>
                    <a:stretch>
                      <a:fillRect/>
                    </a:stretch>
                  </pic:blipFill>
                  <pic:spPr bwMode="auto">
                    <a:xfrm>
                      <a:off x="0" y="0"/>
                      <a:ext cx="2446555" cy="1837974"/>
                    </a:xfrm>
                    <a:prstGeom prst="rect">
                      <a:avLst/>
                    </a:prstGeom>
                    <a:noFill/>
                    <a:ln w="9525">
                      <a:noFill/>
                      <a:headEnd/>
                      <a:tailEnd/>
                    </a:ln>
                  </pic:spPr>
                </pic:pic>
              </a:graphicData>
            </a:graphic>
          </wp:inline>
        </w:drawing>
      </w:r>
      <w:bookmarkEnd w:id="214"/>
    </w:p>
    <w:p>
      <w:pPr>
        <w:pStyle w:val="ImageCaption"/>
      </w:pPr>
      <w:r>
        <w:t xml:space="preserve">Spandex fibers under an optical microscope</w:t>
      </w:r>
    </w:p>
    <w:p>
      <w:pPr>
        <w:pStyle w:val="BodyText"/>
      </w:pPr>
      <w:r>
        <w:t xml:space="preserve">“</w:t>
      </w:r>
      <w:r>
        <w:t xml:space="preserve">We required the material for the head to be elastic, to have a contrasting dark color, and to resist deformation and breaking. We are currently using spandex</w:t>
      </w:r>
      <w:r>
        <w:t xml:space="preserve">”</w:t>
      </w:r>
      <w:r>
        <w:t xml:space="preserve"> </w:t>
      </w:r>
      <w:r>
        <w:t xml:space="preserve">(Oliver &amp; Jenkins 2008, p. 3)</w:t>
      </w:r>
      <w:r>
        <w:t xml:space="preserve">. Image taken from the</w:t>
      </w:r>
      <w:r>
        <w:t xml:space="preserve"> </w:t>
      </w:r>
      <w:r>
        <w:t xml:space="preserve">“</w:t>
      </w:r>
      <w:r>
        <w:t xml:space="preserve">Spandex</w:t>
      </w:r>
      <w:r>
        <w:t xml:space="preserve">”</w:t>
      </w:r>
      <w:r>
        <w:t xml:space="preserve"> </w:t>
      </w:r>
      <w:r>
        <w:t xml:space="preserve">entry of Wikipedia:</w:t>
      </w:r>
      <w:r>
        <w:t xml:space="preserve"> </w:t>
      </w:r>
      <w:r>
        <w:t xml:space="preserve">“</w:t>
      </w:r>
      <w:r>
        <w:t xml:space="preserve">Polyurethane Fibers Optical microscopy Polarized Light Magnification 100x (cross-polarized light illumination, magnification 100x). Created: 1 January 2015.</w:t>
      </w:r>
      <w:r>
        <w:t xml:space="preserve">”</w:t>
      </w:r>
    </w:p>
    <w:p>
      <w:pPr>
        <w:pStyle w:val="Heading5"/>
      </w:pPr>
      <w:bookmarkStart w:id="215" w:name="infraskin"/>
      <w:r>
        <w:t xml:space="preserve">Infraskin</w:t>
      </w:r>
      <w:bookmarkEnd w:id="215"/>
    </w:p>
    <w:p>
      <w:pPr>
        <w:pStyle w:val="FirstParagraph"/>
      </w:pPr>
      <w:r>
        <w:t xml:space="preserve">Unlike in Latour’s network, affectivity appears in Nancy’s</w:t>
      </w:r>
      <w:r>
        <w:t xml:space="preserve"> </w:t>
      </w:r>
      <w:r>
        <w:t xml:space="preserve">‘</w:t>
      </w:r>
      <w:r>
        <w:t xml:space="preserve">sense,</w:t>
      </w:r>
      <w:r>
        <w:t xml:space="preserve">’</w:t>
      </w:r>
      <w:r>
        <w:t xml:space="preserve"> </w:t>
      </w:r>
      <w:r>
        <w:t xml:space="preserve">that is, on the body, its touch, and as before, in listening.</w:t>
      </w:r>
      <w:r>
        <w:t xml:space="preserve"> </w:t>
      </w:r>
      <w:r>
        <w:t xml:space="preserve">at</w:t>
      </w:r>
      <w:r>
        <w:t xml:space="preserve"> </w:t>
      </w:r>
      <w:r>
        <w:t xml:space="preserve">quite literally forbids this, treating any</w:t>
      </w:r>
      <w:r>
        <w:t xml:space="preserve"> </w:t>
      </w:r>
      <w:r>
        <w:t xml:space="preserve">“</w:t>
      </w:r>
      <w:r>
        <w:t xml:space="preserve">homogenous morphism</w:t>
      </w:r>
      <w:r>
        <w:t xml:space="preserve">”</w:t>
      </w:r>
      <w:r>
        <w:t xml:space="preserve"> </w:t>
      </w:r>
      <w:r>
        <w:t xml:space="preserve">as</w:t>
      </w:r>
      <w:r>
        <w:t xml:space="preserve"> </w:t>
      </w:r>
      <w:r>
        <w:t xml:space="preserve">“</w:t>
      </w:r>
      <w:r>
        <w:t xml:space="preserve">exceptions which should be accounted for</w:t>
      </w:r>
      <w:r>
        <w:t xml:space="preserve">”</w:t>
      </w:r>
      <w:r>
        <w:t xml:space="preserve"> </w:t>
      </w:r>
      <w:r>
        <w:t xml:space="preserve">(Latour 1990, p. 16)</w:t>
      </w:r>
      <w:r>
        <w:t xml:space="preserve">. That is to say, if we may think of a skin upon which we (humans) resonate in self-exposure (community as unwork), then this skin must be an exception, because it is only human, or animal, or reduced to living entities with affective bodies. However, perhaps we can</w:t>
      </w:r>
      <w:r>
        <w:t xml:space="preserve"> </w:t>
      </w:r>
      <w:r>
        <w:t xml:space="preserve">“</w:t>
      </w:r>
      <w:r>
        <w:t xml:space="preserve">account for</w:t>
      </w:r>
      <w:r>
        <w:t xml:space="preserve">”</w:t>
      </w:r>
      <w:r>
        <w:t xml:space="preserve"> </w:t>
      </w:r>
      <w:r>
        <w:t xml:space="preserve">this skin as exceptional, and consider it</w:t>
      </w:r>
      <w:r>
        <w:t xml:space="preserve"> </w:t>
      </w:r>
      <w:r>
        <w:t xml:space="preserve">“</w:t>
      </w:r>
      <w:r>
        <w:t xml:space="preserve">x-morphic,</w:t>
      </w:r>
      <w:r>
        <w:t xml:space="preserve">”</w:t>
      </w:r>
      <w:r>
        <w:t xml:space="preserve"> </w:t>
      </w:r>
      <w:r>
        <w:t xml:space="preserve">that is,</w:t>
      </w:r>
      <w:r>
        <w:t xml:space="preserve"> </w:t>
      </w:r>
      <w:r>
        <w:t xml:space="preserve">“</w:t>
      </w:r>
      <w:r>
        <w:t xml:space="preserve">anthropo-morphic, but also zoo-morphic, phusi-morphic, logo-morphic, techno-morphic, ideo-morphic</w:t>
      </w:r>
      <w:r>
        <w:t xml:space="preserve">”</w:t>
      </w:r>
      <w:r>
        <w:t xml:space="preserve"> </w:t>
      </w:r>
      <w:r>
        <w:t xml:space="preserve">(Latour 1990, p. 16)</w:t>
      </w:r>
      <w:r>
        <w:t xml:space="preserve">. This x-morphic skin is what we (humands and nonhumans) have in common as singular beings in the network, what for Nancy is</w:t>
      </w:r>
      <w:r>
        <w:t xml:space="preserve"> </w:t>
      </w:r>
      <w:r>
        <w:t xml:space="preserve">“</w:t>
      </w:r>
      <w:r>
        <w:t xml:space="preserve">at the confines of the</w:t>
      </w:r>
      <w:r>
        <w:t xml:space="preserve"> </w:t>
      </w:r>
      <w:r>
        <w:rPr>
          <w:i/>
        </w:rPr>
        <w:t xml:space="preserve">same</w:t>
      </w:r>
      <w:r>
        <w:t xml:space="preserve"> </w:t>
      </w:r>
      <w:r>
        <w:t xml:space="preserve">singularity</w:t>
      </w:r>
      <w:r>
        <w:t xml:space="preserve">”</w:t>
      </w:r>
      <w:r>
        <w:t xml:space="preserve"> </w:t>
      </w:r>
      <w:r>
        <w:t xml:space="preserve">(Nancy 1991, p. 28)</w:t>
      </w:r>
      <w:r>
        <w:t xml:space="preserve"> </w:t>
      </w:r>
      <w:r>
        <w:t xml:space="preserve">would be at the irreducible limit of an</w:t>
      </w:r>
      <w:r>
        <w:t xml:space="preserve"> </w:t>
      </w:r>
      <w:r>
        <w:t xml:space="preserve">‘</w:t>
      </w:r>
      <w:r>
        <w:t xml:space="preserve">infra</w:t>
      </w:r>
      <w:r>
        <w:t xml:space="preserve">’</w:t>
      </w:r>
      <w:r>
        <w:t xml:space="preserve"> </w:t>
      </w:r>
      <w:r>
        <w:t xml:space="preserve">skin. Nancy is aware the this skin is not a total, complete, or superior skin:</w:t>
      </w:r>
      <w:r>
        <w:rPr>
          <w:rStyle w:val="FootnoteReference"/>
        </w:rPr>
        <w:footnoteReference w:id="216"/>
      </w:r>
      <w:r>
        <w:t xml:space="preserve"> </w:t>
      </w:r>
      <w:r>
        <w:t xml:space="preserve">like selves and community, it is interrupted. Interruption, however, in Latour’s terminology relates to an ethics of the network where</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are understood in terms of navigation, mediation, and reduction. More connectivity is good, less is bad:</w:t>
      </w:r>
      <w:r>
        <w:t xml:space="preserve"> </w:t>
      </w:r>
      <w:r>
        <w:t xml:space="preserve">“</w:t>
      </w:r>
      <w:r>
        <w:t xml:space="preserve">either an account leads you to all the other accounts…or it interrupts constantly the movement, letting frames of reference distant and foreign…</w:t>
      </w:r>
      <w:r>
        <w:t xml:space="preserve">”</w:t>
      </w:r>
      <w:r>
        <w:t xml:space="preserve"> </w:t>
      </w:r>
      <w:r>
        <w:t xml:space="preserve">(Latour 1990, pp. 13–14)</w:t>
      </w:r>
      <w:r>
        <w:t xml:space="preserve">. Nevertheless, we can understand interruptedness as a general condition of irreducibility, which is, contradictorily enough “the highest ethical standard for</w:t>
      </w:r>
      <w:r>
        <w:t xml:space="preserve"> </w:t>
      </w:r>
      <w:r>
        <w:t xml:space="preserve">at</w:t>
      </w:r>
      <w:r>
        <w:t xml:space="preserve"> </w:t>
      </w:r>
      <w:r>
        <w:t xml:space="preserve">(Latour 1990, p. 14)</w:t>
      </w:r>
      <w:r>
        <w:t xml:space="preserve">. In being interrupted, the relation itself becomes ontological, since it is thus the unworking of the work of actors. The new</w:t>
      </w:r>
      <w:r>
        <w:t xml:space="preserve"> </w:t>
      </w:r>
      <w:r>
        <w:t xml:space="preserve">‘</w:t>
      </w:r>
      <w:r>
        <w:t xml:space="preserve">ontological hybrid</w:t>
      </w:r>
      <w:r>
        <w:t xml:space="preserve">’</w:t>
      </w:r>
      <w:r>
        <w:t xml:space="preserve"> </w:t>
      </w:r>
      <w:r>
        <w:t xml:space="preserve">actor-network can be understood, then, as comprised of te</w:t>
      </w:r>
      <w:r>
        <w:t xml:space="preserve"> </w:t>
      </w:r>
      <w:r>
        <w:rPr>
          <w:i/>
        </w:rPr>
        <w:t xml:space="preserve">unwork</w:t>
      </w:r>
      <w:r>
        <w:t xml:space="preserve"> </w:t>
      </w:r>
      <w:r>
        <w:t xml:space="preserve">of actors. This is the suspension at the limit: within the irreducibility of this interruptedness, this infraskin is simultaneously</w:t>
      </w:r>
      <w:r>
        <w:t xml:space="preserve"> </w:t>
      </w:r>
      <w:r>
        <w:t xml:space="preserve">“</w:t>
      </w:r>
      <w:r>
        <w:t xml:space="preserve">always</w:t>
      </w:r>
      <w:r>
        <w:t xml:space="preserve"> </w:t>
      </w:r>
      <w:r>
        <w:rPr>
          <w:i/>
        </w:rPr>
        <w:t xml:space="preserve">other</w:t>
      </w:r>
      <w:r>
        <w:t xml:space="preserve">, always shared, always exposed</w:t>
      </w:r>
      <w:r>
        <w:t xml:space="preserve">”</w:t>
      </w:r>
      <w:r>
        <w:t xml:space="preserve"> </w:t>
      </w:r>
      <w:r>
        <w:t xml:space="preserve">(Nancy 1991, p. 28)</w:t>
      </w:r>
      <w:r>
        <w:t xml:space="preserve">. Like the skin of the Silent Drum Controller (See</w:t>
      </w:r>
      <w:r>
        <w:t xml:space="preserve"> </w:t>
      </w:r>
      <w:hyperlink w:anchor="applications:hybrid_queries">
        <w:r>
          <w:rPr>
            <w:rStyle w:val="Hyperlink"/>
          </w:rPr>
          <w:t xml:space="preserve">4.3.4.2.3</w:t>
        </w:r>
      </w:hyperlink>
      <w:r>
        <w:t xml:space="preserve">), suspended along the rims, stretching and compressing to touch, and making mechanical waves through the resonances of its silence, this infraskin would resonate at the limit. The Slient Drum tracks shapes made with the elastic fabric folding and unfolding against the human skin, therefore it</w:t>
      </w:r>
      <w:r>
        <w:t xml:space="preserve"> </w:t>
      </w:r>
      <w:r>
        <w:t xml:space="preserve">“</w:t>
      </w:r>
      <w:r>
        <w:t xml:space="preserve">acts as the limits, but also as an extension of the human body</w:t>
      </w:r>
      <w:r>
        <w:t xml:space="preserve">”</w:t>
      </w:r>
      <w:r>
        <w:t xml:space="preserve"> </w:t>
      </w:r>
      <w:r>
        <w:t xml:space="preserve">(Oliver &amp; Jenkins 2008, p. 2)</w:t>
      </w:r>
      <w:r>
        <w:t xml:space="preserve">. I would interject here, and propose that instead of an</w:t>
      </w:r>
      <w:r>
        <w:t xml:space="preserve"> </w:t>
      </w:r>
      <w:r>
        <w:t xml:space="preserve">“</w:t>
      </w:r>
      <w:r>
        <w:t xml:space="preserve">extension of the human body</w:t>
      </w:r>
      <w:r>
        <w:t xml:space="preserve">”</w:t>
      </w:r>
      <w:r>
        <w:t xml:space="preserve">, the Silent Drum can be thought of as extending Latour’s network</w:t>
      </w:r>
      <w:r>
        <w:t xml:space="preserve"> </w:t>
      </w:r>
      <w:r>
        <w:rPr>
          <w:i/>
        </w:rPr>
        <w:t xml:space="preserve">with</w:t>
      </w:r>
      <w:r>
        <w:t xml:space="preserve"> </w:t>
      </w:r>
      <w:r>
        <w:t xml:space="preserve">the body, that is, it grants affectivity to the network. In this sense, this infraskin is not a layer that separates the interior form the exterior of a body, or a surface under which or over which two selves can connect or extend. This infraskin is not just the promise of a new cultural algorithm (in Manovich’s sense). This skin is not a surface, but it can be thought of as a texture; not a layer, but an interweaving of elastic fibers (See Figure</w:t>
      </w:r>
      <w:r>
        <w:t xml:space="preserve"> </w:t>
      </w:r>
      <w:hyperlink w:anchor="img:expand">
        <w:r>
          <w:rPr>
            <w:rStyle w:val="Hyperlink"/>
          </w:rPr>
          <w:t xml:space="preserve">5.3</w:t>
        </w:r>
      </w:hyperlink>
      <w:r>
        <w:t xml:space="preserve">) that, in their own locality are fragile, but due to their reticulated structure expand into a redundancy of fragilities. And we can listen to it.</w:t>
      </w:r>
    </w:p>
    <w:p>
      <w:pPr>
        <w:pStyle w:val="Heading5"/>
      </w:pPr>
      <w:bookmarkStart w:id="217" w:name="database-community"/>
      <w:r>
        <w:t xml:space="preserve">Database Community</w:t>
      </w:r>
      <w:bookmarkEnd w:id="217"/>
    </w:p>
    <w:p>
      <w:pPr>
        <w:pStyle w:val="FirstParagraph"/>
      </w:pPr>
      <w:r>
        <w:t xml:space="preserve">With resonant networks as an instantiation of a process of unworking, we can think of database communities. That is to say, the database and the databaser engage in a form of touch. This touch is easy to feel in the case of the Silent Drum because of the elasticity of the drumhead resisting the pressure of the hand. The material resistance of the skin represents, thus, the evidence of the strenghth of connectivity itself:</w:t>
      </w:r>
      <w:r>
        <w:t xml:space="preserve"> </w:t>
      </w:r>
      <w:r>
        <w:t xml:space="preserve">“</w:t>
      </w:r>
      <w:r>
        <w:t xml:space="preserve">strenght does not come from concentration, purity and unity, but from dissemination, heterogeneity and the careful plaiting of weak ties</w:t>
      </w:r>
      <w:r>
        <w:t xml:space="preserve">”</w:t>
      </w:r>
      <w:r>
        <w:t xml:space="preserve"> </w:t>
      </w:r>
      <w:r>
        <w:t xml:space="preserve">(Latour 1990, p. 3)</w:t>
      </w:r>
      <w:r>
        <w:t xml:space="preserve">. In this sense, if one removes the skin one would be left with no resistance. Hence, the Silent Drum would be rendered weak. But, this infraskin or its resistance does not need to be visible for the community of the human and the non to exist. This is the case of the MANO controller</w:t>
      </w:r>
      <w:r>
        <w:t xml:space="preserve"> </w:t>
      </w:r>
      <w:r>
        <w:t xml:space="preserve">(Oliver 2010)</w:t>
      </w:r>
      <w:r>
        <w:t xml:space="preserve">, where the elastic tissue that was tracked in the Silent Drum is removed, and what is tracked is now the skin of the hand (</w:t>
      </w:r>
      <w:r>
        <w:rPr>
          <w:i/>
        </w:rPr>
        <w:t xml:space="preserve">mano</w:t>
      </w:r>
      <w:r>
        <w:t xml:space="preserve"> </w:t>
      </w:r>
      <w:r>
        <w:t xml:space="preserve">in spanish) directly. This physical elision points equally to the (human) invisibility of the infraskin, as to the sonorous presence of its resonance. In making this controller, it can be argued that Oliver La Rosa was precisely making audible not only the gap between the sensor and the dark background interrupted by manipulation, and not only the different gestures recognized and tracked by the algorithm, but also the gap (the limit) between the human and the nonhuman, what I am calling here the infraskin. In making this skin resonate with a database, the result is a sonic event that instantiates the community of this limit. That is to say, all the elements that compose the multiplicity of the construction (sensor, video stream, C++, C, Pure Data, the parameters obtained from video analysis, etc.) enter into resonance with each other, and thus manifests the sound of a community. The</w:t>
      </w:r>
      <w:r>
        <w:t xml:space="preserve"> </w:t>
      </w:r>
      <w:r>
        <w:t xml:space="preserve">“</w:t>
      </w:r>
      <w:r>
        <w:t xml:space="preserve">trace of the edge of the hand</w:t>
      </w:r>
      <w:r>
        <w:t xml:space="preserve">”</w:t>
      </w:r>
      <w:r>
        <w:t xml:space="preserve"> </w:t>
      </w:r>
      <w:r>
        <w:t xml:space="preserve">(Oliver 2010, p. 2)</w:t>
      </w:r>
      <w:r>
        <w:t xml:space="preserve"> </w:t>
      </w:r>
      <w:r>
        <w:t xml:space="preserve">becomes the trace of the resonance of a database community. Or simply, database music.</w:t>
      </w:r>
    </w:p>
    <w:p>
      <w:pPr>
        <w:pStyle w:val="BodyText"/>
      </w:pPr>
      <w:r>
        <w:t xml:space="preserve">In a database community, database music can be understood as a hybridly social and communicative event. As an unworking of databasers and databases, it can be considered as the infraskin upon which we (human and nonhuman) resonate, as well as the trace and the tracing of its resonance. The qualities of the music work that result from it can also relate to incompleteness, suspension, as well as to fracture, instability, and interruption. In this sense, databaser and a database can be heard in resonance with each other, as well as in communication with each other, but it is a resonance or a communication that is not teleological. Communication, in this context, refers not to language, or to information, but to a property of being in common. In Nancy’s sense, the being in common of singularities; in Latour’s sense, the connectivity and associations of actors. For Nancy, “communication is the unworking of work that is social, economic, technical, and institutional</w:t>
      </w:r>
      <w:r>
        <w:t xml:space="preserve"> </w:t>
      </w:r>
      <w:r>
        <w:t xml:space="preserve">(Nancy 1991, p. 31)</w:t>
      </w:r>
      <w:r>
        <w:t xml:space="preserve">. Communication, in this sense, is also the unworking of work that is resonant, and thus it can be considered as a music unwork. I will refer to this in later sections (See</w:t>
      </w:r>
      <w:r>
        <w:t xml:space="preserve"> </w:t>
      </w:r>
      <w:hyperlink w:anchor="anarchy">
        <w:r>
          <w:rPr>
            <w:rStyle w:val="Hyperlink"/>
          </w:rPr>
          <w:t xml:space="preserve">5.4.6</w:t>
        </w:r>
      </w:hyperlink>
      <w:r>
        <w:t xml:space="preserve">). In what follows, I will focus on the</w:t>
      </w:r>
      <w:r>
        <w:t xml:space="preserve"> </w:t>
      </w:r>
      <w:r>
        <w:t xml:space="preserve">‘</w:t>
      </w:r>
      <w:r>
        <w:t xml:space="preserve">trace</w:t>
      </w:r>
      <w:r>
        <w:t xml:space="preserve">’</w:t>
      </w:r>
      <w:r>
        <w:t xml:space="preserve"> </w:t>
      </w:r>
      <w:r>
        <w:t xml:space="preserve">of this resonance.</w:t>
      </w:r>
    </w:p>
    <w:p>
      <w:pPr>
        <w:pStyle w:val="Heading2"/>
      </w:pPr>
      <w:bookmarkStart w:id="218" w:name="section:Databases_And Memory"/>
      <w:r>
        <w:t xml:space="preserve">Databases And Memory</w:t>
      </w:r>
      <w:bookmarkEnd w:id="218"/>
    </w:p>
    <w:p>
      <w:pPr>
        <w:pStyle w:val="Heading3"/>
      </w:pPr>
      <w:bookmarkStart w:id="219" w:name="human"/>
      <w:r>
        <w:t xml:space="preserve">The Effraction Of The Trace</w:t>
      </w:r>
      <w:bookmarkEnd w:id="219"/>
    </w:p>
    <w:p>
      <w:pPr>
        <w:pStyle w:val="FirstParagraph"/>
      </w:pPr>
      <w:r>
        <w:t xml:space="preserve">According to Jaques</w:t>
      </w:r>
      <w:r>
        <w:t xml:space="preserve"> </w:t>
      </w:r>
      <w:r>
        <w:t xml:space="preserve">Derrida (1978)</w:t>
      </w:r>
      <w:r>
        <w:t xml:space="preserve">, Freud understood memory as the essence of the psyche:</w:t>
      </w:r>
      <w:r>
        <w:t xml:space="preserve"> </w:t>
      </w:r>
      <w:r>
        <w:t xml:space="preserve">“</w:t>
      </w:r>
      <w:r>
        <w:t xml:space="preserve">Memory…is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w:t>
      </w:r>
      <w:r>
        <w:t xml:space="preserve"> </w:t>
      </w:r>
      <w:r>
        <w:t xml:space="preserve">‘</w:t>
      </w:r>
      <w:r>
        <w:t xml:space="preserve">Effraction</w:t>
      </w:r>
      <w:r>
        <w:t xml:space="preserve">’</w:t>
      </w:r>
      <w:r>
        <w:t xml:space="preserve"> </w:t>
      </w:r>
      <w:r>
        <w:t xml:space="preserve">is a legal term that refers to making a forcible entry into a house. Derrida uses it in relation to the process of impression (pressing</w:t>
      </w:r>
      <w:r>
        <w:t xml:space="preserve"> </w:t>
      </w:r>
      <w:r>
        <w:rPr>
          <w:i/>
        </w:rPr>
        <w:t xml:space="preserve">in</w:t>
      </w:r>
      <w:r>
        <w:t xml:space="preserve">) with which memories are unconsciously inscribed. The inscription of a trace relates thusly to a certain violence. This does not mean that memories are violent in themselves, but that in order for something to leave a mark (a trace), there has to be a force acting against a certain resistance. If traces can be thought of as</w:t>
      </w:r>
      <w:r>
        <w:t xml:space="preserve"> </w:t>
      </w:r>
      <w:r>
        <w:t xml:space="preserve">‘</w:t>
      </w:r>
      <w:r>
        <w:t xml:space="preserve">paths</w:t>
      </w:r>
      <w:r>
        <w:t xml:space="preserve">’</w:t>
      </w:r>
      <w:r>
        <w:t xml:space="preserve"> </w:t>
      </w:r>
      <w:r>
        <w:t xml:space="preserve">or tracks along which memories are inscribed, then making these paths is a form of</w:t>
      </w:r>
      <w:r>
        <w:t xml:space="preserve"> </w:t>
      </w:r>
      <w:r>
        <w:t xml:space="preserve">‘</w:t>
      </w:r>
      <w:r>
        <w:t xml:space="preserve">breaching</w:t>
      </w:r>
      <w:r>
        <w:t xml:space="preserve">’</w:t>
      </w:r>
      <w:r>
        <w:t xml:space="preserve"> </w:t>
      </w:r>
      <w:r>
        <w:t xml:space="preserve">or path breaking. Derrida points to a crucial issue with Freud’s idea of opposing forces: if resisting forces met equally strong resistive forces, the result would be a</w:t>
      </w:r>
      <w:r>
        <w:t xml:space="preserve"> </w:t>
      </w:r>
      <w:r>
        <w:t xml:space="preserve">‘</w:t>
      </w:r>
      <w:r>
        <w:t xml:space="preserve">paralysis</w:t>
      </w:r>
      <w:r>
        <w:t xml:space="preserve">’</w:t>
      </w:r>
      <w:r>
        <w:t xml:space="preserve"> </w:t>
      </w:r>
      <w:r>
        <w:t xml:space="preserve">of memory. Upon this possibility, he recognizes that</w:t>
      </w:r>
      <w:r>
        <w:t xml:space="preserve"> </w:t>
      </w:r>
      <w:r>
        <w:t xml:space="preserve">“</w:t>
      </w:r>
      <w:r>
        <w:t xml:space="preserve">trace as memory is not a pure breaching…it is rather the ungraspable and invisible difference between breaches [traces]</w:t>
      </w:r>
      <w:r>
        <w:t xml:space="preserve">”</w:t>
      </w:r>
      <w:r>
        <w:t xml:space="preserve"> </w:t>
      </w:r>
      <w:r>
        <w:t xml:space="preserve">(Derrida 1978, p. 201)</w:t>
      </w:r>
      <w:r>
        <w:t xml:space="preserve">, a difference that exists both in space and in time. This spatio-temporal play of difference is what Derrida calls</w:t>
      </w:r>
      <w:r>
        <w:t xml:space="preserve"> </w:t>
      </w:r>
      <w:r>
        <w:rPr>
          <w:i/>
        </w:rPr>
        <w:t xml:space="preserve">différance</w:t>
      </w:r>
      <w:r>
        <w:t xml:space="preserve">, and how he understands the</w:t>
      </w:r>
      <w:r>
        <w:t xml:space="preserve"> </w:t>
      </w:r>
      <w:r>
        <w:t xml:space="preserve">“</w:t>
      </w:r>
      <w:r>
        <w:t xml:space="preserve">work of memory</w:t>
      </w:r>
      <w:r>
        <w:t xml:space="preserve">”</w:t>
      </w:r>
      <w:r>
        <w:t xml:space="preserve"> </w:t>
      </w:r>
      <w:r>
        <w:t xml:space="preserve">itself</w:t>
      </w:r>
      <w:r>
        <w:t xml:space="preserve"> </w:t>
      </w:r>
      <w:r>
        <w:t xml:space="preserve">(Derrida 1978, p. 226)</w:t>
      </w:r>
      <w:r>
        <w:t xml:space="preserve">.</w:t>
      </w:r>
      <w:r>
        <w:t xml:space="preserve"> </w:t>
      </w:r>
      <w:r>
        <w:rPr>
          <w:i/>
        </w:rPr>
        <w:t xml:space="preserve">Différance</w:t>
      </w:r>
      <w:r>
        <w:t xml:space="preserve"> </w:t>
      </w:r>
      <w:r>
        <w:t xml:space="preserve">has many names throughout Derrida’s text, making any attempt to address it an extensive process.</w:t>
      </w:r>
      <w:r>
        <w:rPr>
          <w:rStyle w:val="FootnoteReference"/>
        </w:rPr>
        <w:footnoteReference w:id="220"/>
      </w:r>
      <w:r>
        <w:t xml:space="preserve"> </w:t>
      </w:r>
      <w:r>
        <w:t xml:space="preserve">In what follows, I will briefly delineate what I consider its most important qualities for the purpose of discussing the database in relation to memory.</w:t>
      </w:r>
    </w:p>
    <w:p>
      <w:pPr>
        <w:pStyle w:val="Heading5"/>
      </w:pPr>
      <w:bookmarkStart w:id="221" w:name="différance"/>
      <w:r>
        <w:t xml:space="preserve">Différance</w:t>
      </w:r>
      <w:bookmarkEnd w:id="221"/>
    </w:p>
    <w:p>
      <w:pPr>
        <w:pStyle w:val="FirstParagraph"/>
      </w:pPr>
      <w:r>
        <w:t xml:space="preserve">The play of difference with which Derrida describes the psyche can be understood in terms of how it applies to language. For example, in order to describe an object (</w:t>
      </w:r>
      <w:r>
        <w:t xml:space="preserve">‘</w:t>
      </w:r>
      <w:r>
        <w:t xml:space="preserve">database</w:t>
      </w:r>
      <w:r>
        <w:t xml:space="preserve">’</w:t>
      </w:r>
      <w:r>
        <w:t xml:space="preserve">), one needs another word (e.g.</w:t>
      </w:r>
      <w:r>
        <w:t xml:space="preserve"> </w:t>
      </w:r>
      <w:r>
        <w:t xml:space="preserve">‘</w:t>
      </w:r>
      <w:r>
        <w:t xml:space="preserve">data,</w:t>
      </w:r>
      <w:r>
        <w:t xml:space="preserve">’</w:t>
      </w:r>
      <w:r>
        <w:t xml:space="preserve"> </w:t>
      </w:r>
      <w:r>
        <w:t xml:space="preserve">‘</w:t>
      </w:r>
      <w:r>
        <w:t xml:space="preserve">algorithm,</w:t>
      </w:r>
      <w:r>
        <w:t xml:space="preserve">’</w:t>
      </w:r>
      <w:r>
        <w:t xml:space="preserve"> </w:t>
      </w:r>
      <w:r>
        <w:t xml:space="preserve">‘</w:t>
      </w:r>
      <w:r>
        <w:t xml:space="preserve">structure</w:t>
      </w:r>
      <w:r>
        <w:t xml:space="preserve">’</w:t>
      </w:r>
      <w:r>
        <w:t xml:space="preserve">), which in turn demands yet another word (e.g.</w:t>
      </w:r>
      <w:r>
        <w:t xml:space="preserve"> </w:t>
      </w:r>
      <w:r>
        <w:t xml:space="preserve">‘</w:t>
      </w:r>
      <w:r>
        <w:t xml:space="preserve">bit</w:t>
      </w:r>
      <w:r>
        <w:t xml:space="preserve">’</w:t>
      </w:r>
      <w:r>
        <w:t xml:space="preserve">,</w:t>
      </w:r>
      <w:r>
        <w:t xml:space="preserve"> </w:t>
      </w:r>
      <w:r>
        <w:t xml:space="preserve">‘</w:t>
      </w:r>
      <w:r>
        <w:t xml:space="preserve">computer,</w:t>
      </w:r>
      <w:r>
        <w:t xml:space="preserve">’</w:t>
      </w:r>
      <w:r>
        <w:t xml:space="preserve"> </w:t>
      </w:r>
      <w:r>
        <w:t xml:space="preserve">‘</w:t>
      </w:r>
      <w:r>
        <w:t xml:space="preserve">model</w:t>
      </w:r>
      <w:r>
        <w:t xml:space="preserve">’</w:t>
      </w:r>
      <w:r>
        <w:t xml:space="preserve">). Up to this point, we still don’t know what the word means in the first place, or if one means</w:t>
      </w:r>
      <w:r>
        <w:t xml:space="preserve"> </w:t>
      </w:r>
      <w:r>
        <w:rPr>
          <w:i/>
        </w:rPr>
        <w:t xml:space="preserve">this</w:t>
      </w:r>
      <w:r>
        <w:t xml:space="preserve"> </w:t>
      </w:r>
      <w:r>
        <w:t xml:space="preserve">or</w:t>
      </w:r>
      <w:r>
        <w:t xml:space="preserve"> </w:t>
      </w:r>
      <w:r>
        <w:rPr>
          <w:i/>
        </w:rPr>
        <w:t xml:space="preserve">that</w:t>
      </w:r>
      <w:r>
        <w:t xml:space="preserve"> </w:t>
      </w:r>
      <w:r>
        <w:t xml:space="preserve">database, or if one will ever describe the object in question. To explain fully the point, for instance, the reference would need to</w:t>
      </w:r>
      <w:r>
        <w:t xml:space="preserve"> </w:t>
      </w:r>
      <w:r>
        <w:rPr>
          <w:i/>
        </w:rPr>
        <w:t xml:space="preserve">become</w:t>
      </w:r>
      <w:r>
        <w:t xml:space="preserve"> </w:t>
      </w:r>
      <w:r>
        <w:t xml:space="preserve">the object. In fact, the reference will</w:t>
      </w:r>
      <w:r>
        <w:t xml:space="preserve"> </w:t>
      </w:r>
      <w:r>
        <w:rPr>
          <w:i/>
        </w:rPr>
        <w:t xml:space="preserve">never</w:t>
      </w:r>
      <w:r>
        <w:t xml:space="preserve"> </w:t>
      </w:r>
      <w:r>
        <w:t xml:space="preserve">become the object, hence the moment of deferral that plays</w:t>
      </w:r>
      <w:r>
        <w:t xml:space="preserve"> </w:t>
      </w:r>
      <w:r>
        <w:rPr>
          <w:i/>
        </w:rPr>
        <w:t xml:space="preserve">in time</w:t>
      </w:r>
      <w:r>
        <w:t xml:space="preserve">. Likewise, the word</w:t>
      </w:r>
      <w:r>
        <w:t xml:space="preserve"> </w:t>
      </w:r>
      <w:r>
        <w:t xml:space="preserve">‘</w:t>
      </w:r>
      <w:r>
        <w:t xml:space="preserve">database</w:t>
      </w:r>
      <w:r>
        <w:t xml:space="preserve">’</w:t>
      </w:r>
      <w:r>
        <w:t xml:space="preserve"> </w:t>
      </w:r>
      <w:r>
        <w:t xml:space="preserve">is not the same as, for example,</w:t>
      </w:r>
      <w:r>
        <w:t xml:space="preserve"> </w:t>
      </w:r>
      <w:r>
        <w:t xml:space="preserve">‘</w:t>
      </w:r>
      <w:r>
        <w:t xml:space="preserve">archive,</w:t>
      </w:r>
      <w:r>
        <w:t xml:space="preserve">’</w:t>
      </w:r>
      <w:r>
        <w:t xml:space="preserve"> </w:t>
      </w:r>
      <w:r>
        <w:t xml:space="preserve">‘</w:t>
      </w:r>
      <w:r>
        <w:t xml:space="preserve">library,</w:t>
      </w:r>
      <w:r>
        <w:t xml:space="preserve">’</w:t>
      </w:r>
      <w:r>
        <w:t xml:space="preserve"> </w:t>
      </w:r>
      <w:r>
        <w:t xml:space="preserve">or</w:t>
      </w:r>
      <w:r>
        <w:t xml:space="preserve"> </w:t>
      </w:r>
      <w:r>
        <w:t xml:space="preserve">‘</w:t>
      </w:r>
      <w:r>
        <w:t xml:space="preserve">dictionary,</w:t>
      </w:r>
      <w:r>
        <w:t xml:space="preserve">’</w:t>
      </w:r>
      <w:r>
        <w:t xml:space="preserve"> </w:t>
      </w:r>
      <w:r>
        <w:t xml:space="preserve">pointing at the differing references that play</w:t>
      </w:r>
      <w:r>
        <w:t xml:space="preserve"> </w:t>
      </w:r>
      <w:r>
        <w:rPr>
          <w:i/>
        </w:rPr>
        <w:t xml:space="preserve">spatially</w:t>
      </w:r>
      <w:r>
        <w:t xml:space="preserve">, across the multiple meanings to which each word points. In any case, the play of difference engages us with an adventure that makes us think about</w:t>
      </w:r>
      <w:r>
        <w:t xml:space="preserve"> </w:t>
      </w:r>
      <w:r>
        <w:t xml:space="preserve">‘</w:t>
      </w:r>
      <w:r>
        <w:t xml:space="preserve">database</w:t>
      </w:r>
      <w:r>
        <w:t xml:space="preserve">’</w:t>
      </w:r>
      <w:r>
        <w:t xml:space="preserve"> </w:t>
      </w:r>
      <w:r>
        <w:t xml:space="preserve">without necessarily aiming at one answer, but might help us</w:t>
      </w:r>
      <w:r>
        <w:t xml:space="preserve"> </w:t>
      </w:r>
      <w:r>
        <w:t xml:space="preserve">‘</w:t>
      </w:r>
      <w:r>
        <w:t xml:space="preserve">traverse</w:t>
      </w:r>
      <w:r>
        <w:t xml:space="preserve">’</w:t>
      </w:r>
      <w:r>
        <w:t xml:space="preserve"> </w:t>
      </w:r>
      <w:r>
        <w:t xml:space="preserve">its trace. Within this traversal we can find the two meanings of the the French word for difference: to defer and to differ. Derrida makes this distinction</w:t>
      </w:r>
      <w:r>
        <w:t xml:space="preserve"> </w:t>
      </w:r>
      <w:r>
        <w:t xml:space="preserve">‘</w:t>
      </w:r>
      <w:r>
        <w:t xml:space="preserve">evident</w:t>
      </w:r>
      <w:r>
        <w:t xml:space="preserve">’</w:t>
      </w:r>
      <w:r>
        <w:t xml:space="preserve"> </w:t>
      </w:r>
      <w:r>
        <w:t xml:space="preserve">with the use of the</w:t>
      </w:r>
      <w:r>
        <w:t xml:space="preserve"> </w:t>
      </w:r>
      <w:r>
        <w:t xml:space="preserve">‘</w:t>
      </w:r>
      <w:r>
        <w:t xml:space="preserve">a</w:t>
      </w:r>
      <w:r>
        <w:t xml:space="preserve">’</w:t>
      </w:r>
      <w:r>
        <w:t xml:space="preserve"> </w:t>
      </w:r>
      <w:r>
        <w:t xml:space="preserve">on the spelling of the word</w:t>
      </w:r>
      <w:r>
        <w:t xml:space="preserve"> </w:t>
      </w:r>
      <w:r>
        <w:t xml:space="preserve">‘</w:t>
      </w:r>
      <w:r>
        <w:t xml:space="preserve">différance,</w:t>
      </w:r>
      <w:r>
        <w:t xml:space="preserve">’</w:t>
      </w:r>
      <w:r>
        <w:t xml:space="preserve"> </w:t>
      </w:r>
      <w:r>
        <w:t xml:space="preserve">which in French makes no audible change. In doing this, he points to the distinction between spoken and written words, while emphasizing the dual meaning of the play in question: deffering-differing. In relation to the psyche, the play is between the traces. On one hand, the</w:t>
      </w:r>
      <w:r>
        <w:t xml:space="preserve"> </w:t>
      </w:r>
      <w:r>
        <w:t xml:space="preserve">‘</w:t>
      </w:r>
      <w:r>
        <w:t xml:space="preserve">spacing</w:t>
      </w:r>
      <w:r>
        <w:t xml:space="preserve">’</w:t>
      </w:r>
      <w:r>
        <w:t xml:space="preserve"> </w:t>
      </w:r>
      <w:r>
        <w:t xml:space="preserve">of memory traces relates to the difference among traces, how they relate to each other in terms of their identity, and also to the difference between consciousness and unconsciousness. On the other, difference relates to the deferment, delays, or the postponement of the inscription of traces. In this sense, he understands Freud’s concept of</w:t>
      </w:r>
      <w:r>
        <w:t xml:space="preserve"> </w:t>
      </w:r>
      <w:r>
        <w:t xml:space="preserve">‘</w:t>
      </w:r>
      <w:r>
        <w:t xml:space="preserve">death drive,</w:t>
      </w:r>
      <w:r>
        <w:t xml:space="preserve">’</w:t>
      </w:r>
      <w:r>
        <w:t xml:space="preserve"> </w:t>
      </w:r>
      <w:r>
        <w:t xml:space="preserve">that is, the gravitational pull that the inorganic exerts on the organic:</w:t>
      </w:r>
      <w:r>
        <w:t xml:space="preserve"> </w:t>
      </w:r>
      <w:r>
        <w:t xml:space="preserve">“</w:t>
      </w:r>
      <w:r>
        <w:t xml:space="preserve">death at the origin of life which can defend itself against death only through an</w:t>
      </w:r>
      <w:r>
        <w:t xml:space="preserve"> </w:t>
      </w:r>
      <w:r>
        <w:rPr>
          <w:i/>
        </w:rPr>
        <w:t xml:space="preserve">economy</w:t>
      </w:r>
      <w:r>
        <w:t xml:space="preserve"> </w:t>
      </w:r>
      <w:r>
        <w:t xml:space="preserve">of death, through deferment…</w:t>
      </w:r>
      <w:r>
        <w:t xml:space="preserve">”</w:t>
      </w:r>
      <w:r>
        <w:t xml:space="preserve"> </w:t>
      </w:r>
      <w:r>
        <w:t xml:space="preserve">(Derrida 1978, p. 202)</w:t>
      </w:r>
      <w:r>
        <w:t xml:space="preserve">.</w:t>
      </w:r>
    </w:p>
    <w:p>
      <w:pPr>
        <w:pStyle w:val="Heading5"/>
      </w:pPr>
      <w:bookmarkStart w:id="222" w:name="funes"/>
      <w:r>
        <w:t xml:space="preserve">Funes</w:t>
      </w:r>
      <w:bookmarkEnd w:id="222"/>
    </w:p>
    <w:p>
      <w:pPr>
        <w:pStyle w:val="FirstParagraph"/>
      </w:pPr>
      <w:r>
        <w:t xml:space="preserve">I would like to return to one more aspect of Funes’ story that relates to</w:t>
      </w:r>
      <w:r>
        <w:t xml:space="preserve"> </w:t>
      </w:r>
      <w:r>
        <w:rPr>
          <w:i/>
        </w:rPr>
        <w:t xml:space="preserve">différance</w:t>
      </w:r>
      <w:r>
        <w:t xml:space="preserve">. Consider how the narrator writes about his own unfinished project of learning Latin:</w:t>
      </w:r>
      <w:r>
        <w:t xml:space="preserve"> </w:t>
      </w:r>
      <w:r>
        <w:t xml:space="preserve">“</w:t>
      </w:r>
      <w:r>
        <w:t xml:space="preserve">The truth is that we all live by</w:t>
      </w:r>
      <w:r>
        <w:t xml:space="preserve"> </w:t>
      </w:r>
      <w:r>
        <w:rPr>
          <w:i/>
        </w:rPr>
        <w:t xml:space="preserve">leaving behind</w:t>
      </w:r>
      <w:r>
        <w:t xml:space="preserve">; no doubt we all profoundly know that we are immortal and that sooner or later every man will do all things and know everything</w:t>
      </w:r>
      <w:r>
        <w:t xml:space="preserve">”</w:t>
      </w:r>
      <w:r>
        <w:t xml:space="preserve"> </w:t>
      </w:r>
      <w:r>
        <w:t xml:space="preserve">[emphasis added]</w:t>
      </w:r>
      <w:r>
        <w:t xml:space="preserve"> </w:t>
      </w:r>
      <w:r>
        <w:t xml:space="preserve">(Borges 1994, p. 113)</w:t>
      </w:r>
      <w:r>
        <w:t xml:space="preserve">. A more literal translation of the first sentence would read:</w:t>
      </w:r>
      <w:r>
        <w:t xml:space="preserve"> </w:t>
      </w:r>
      <w:r>
        <w:rPr>
          <w:i/>
        </w:rPr>
        <w:t xml:space="preserve">what is certain is that we live deferring all that can be deferred</w:t>
      </w:r>
      <w:r>
        <w:t xml:space="preserve"> </w:t>
      </w:r>
      <w:r>
        <w:t xml:space="preserve">[Lo cierto es que vivimos postergando todo lo postergable</w:t>
      </w:r>
      <w:r>
        <w:t xml:space="preserve"> </w:t>
      </w:r>
      <w:r>
        <w:t xml:space="preserve">(Borges 1942)</w:t>
      </w:r>
      <w:r>
        <w:t xml:space="preserve">] The narrator touches upon two crucial points with which we can understand</w:t>
      </w:r>
      <w:r>
        <w:t xml:space="preserve"> </w:t>
      </w:r>
      <w:r>
        <w:rPr>
          <w:i/>
        </w:rPr>
        <w:t xml:space="preserve">différance</w:t>
      </w:r>
      <w:r>
        <w:t xml:space="preserve">. On one hand, the postponement that is assigned to</w:t>
      </w:r>
      <w:r>
        <w:t xml:space="preserve"> </w:t>
      </w:r>
      <w:r>
        <w:t xml:space="preserve">‘</w:t>
      </w:r>
      <w:r>
        <w:t xml:space="preserve">every man</w:t>
      </w:r>
      <w:r>
        <w:t xml:space="preserve">’</w:t>
      </w:r>
      <w:r>
        <w:t xml:space="preserve"> </w:t>
      </w:r>
      <w:r>
        <w:t xml:space="preserve">but that is deprived from Funes who cannot afford to defer given his condition of total temporality. On the other hand, the absolute knowledge that the narrator assigns to the multiplicity of man and the multiplicity of things, that is nonetheless made present in a certain sameness that Funes represent (a cancelling out of that which differs). Thus, extending Oviedo’s consideration of Funes as the</w:t>
      </w:r>
      <w:r>
        <w:t xml:space="preserve"> </w:t>
      </w:r>
      <w:r>
        <w:t xml:space="preserve">‘</w:t>
      </w:r>
      <w:r>
        <w:t xml:space="preserve">antithesis of the writer,</w:t>
      </w:r>
      <w:r>
        <w:t xml:space="preserve">’</w:t>
      </w:r>
      <w:r>
        <w:t xml:space="preserve"> </w:t>
      </w:r>
      <w:r>
        <w:t xml:space="preserve">Funes can be further thought of as comprising an antithesis of</w:t>
      </w:r>
      <w:r>
        <w:t xml:space="preserve"> </w:t>
      </w:r>
      <w:r>
        <w:rPr>
          <w:i/>
        </w:rPr>
        <w:t xml:space="preserve">différance</w:t>
      </w:r>
      <w:r>
        <w:t xml:space="preserve">, a man whose psyche has no resisting unconscious. For Spivak, what Derrida’s reading of Freud allows him is to understand how forgetfulness is</w:t>
      </w:r>
      <w:r>
        <w:t xml:space="preserve"> </w:t>
      </w:r>
      <w:r>
        <w:t xml:space="preserve">“</w:t>
      </w:r>
      <w:r>
        <w:t xml:space="preserve">active in the shaping of our</w:t>
      </w:r>
      <w:r>
        <w:t xml:space="preserve"> </w:t>
      </w:r>
      <w:r>
        <w:t xml:space="preserve">‘</w:t>
      </w:r>
      <w:r>
        <w:t xml:space="preserve">selves</w:t>
      </w:r>
      <w:r>
        <w:t xml:space="preserve">’</w:t>
      </w:r>
      <w:r>
        <w:t xml:space="preserve"> </w:t>
      </w:r>
      <w:r>
        <w:t xml:space="preserve">in spite of</w:t>
      </w:r>
      <w:r>
        <w:t xml:space="preserve"> </w:t>
      </w:r>
      <w:r>
        <w:t xml:space="preserve">‘</w:t>
      </w:r>
      <w:r>
        <w:t xml:space="preserve">ourselves</w:t>
      </w:r>
      <w:r>
        <w:t xml:space="preserve">’</w:t>
      </w:r>
      <w:r>
        <w:t xml:space="preserve">”</w:t>
      </w:r>
      <w:r>
        <w:t xml:space="preserve"> </w:t>
      </w:r>
      <w:r>
        <w:t xml:space="preserve">(Derrida &amp; Spivak 1976 xlv)</w:t>
      </w:r>
      <w:r>
        <w:t xml:space="preserve">. That is to say, because of the unknowable forces of the unconscious, we have no control on neither tracing nor the undoing of traces:</w:t>
      </w:r>
      <w:r>
        <w:t xml:space="preserve"> </w:t>
      </w:r>
      <w:r>
        <w:t xml:space="preserve">“</w:t>
      </w:r>
      <w:r>
        <w:t xml:space="preserve">we are surrendered to its inscription</w:t>
      </w:r>
      <w:r>
        <w:t xml:space="preserve">”</w:t>
      </w:r>
      <w:r>
        <w:t xml:space="preserve"> </w:t>
      </w:r>
      <w:r>
        <w:t xml:space="preserve">(Derrida &amp; Spivak 1976 xlv)</w:t>
      </w:r>
      <w:r>
        <w:t xml:space="preserve">. Furthermore, in contrast to a Nietzscean view of an active search for forgetfulness</w:t>
      </w:r>
      <w:r>
        <w:t xml:space="preserve"> </w:t>
      </w:r>
      <w:r>
        <w:t xml:space="preserve">“</w:t>
      </w:r>
      <w:r>
        <w:t xml:space="preserve">or the love of chance,</w:t>
      </w:r>
      <w:r>
        <w:t xml:space="preserve">”</w:t>
      </w:r>
      <w:r>
        <w:t xml:space="preserve"> </w:t>
      </w:r>
      <w:r>
        <w:t xml:space="preserve">what Derrida finds is that “we are the play of chance and necessity [and] there is no harm in the will to knowledge</w:t>
      </w:r>
      <w:r>
        <w:t xml:space="preserve"> </w:t>
      </w:r>
      <w:r>
        <w:t xml:space="preserve">(Derrida &amp; Spivak 1976 xliv)</w:t>
      </w:r>
      <w:r>
        <w:t xml:space="preserve">. Unlike Funes, we are already immersed in (and shaped by) a world of</w:t>
      </w:r>
      <w:r>
        <w:t xml:space="preserve"> </w:t>
      </w:r>
      <w:r>
        <w:rPr>
          <w:i/>
        </w:rPr>
        <w:t xml:space="preserve">différance</w:t>
      </w:r>
      <w:r>
        <w:t xml:space="preserve">. Therefore, we can now ask ourselves in what way does</w:t>
      </w:r>
      <w:r>
        <w:t xml:space="preserve"> </w:t>
      </w:r>
      <w:r>
        <w:rPr>
          <w:i/>
        </w:rPr>
        <w:t xml:space="preserve">différance</w:t>
      </w:r>
      <w:r>
        <w:t xml:space="preserve"> </w:t>
      </w:r>
      <w:r>
        <w:t xml:space="preserve">change our understanding of the database? Databasing can perhaps be understood as one way of traversing</w:t>
      </w:r>
      <w:r>
        <w:t xml:space="preserve"> </w:t>
      </w:r>
      <w:r>
        <w:rPr>
          <w:i/>
        </w:rPr>
        <w:t xml:space="preserve">différance</w:t>
      </w:r>
      <w:r>
        <w:t xml:space="preserve">, not as an aim, but simply as something you are: in databasing, you</w:t>
      </w:r>
      <w:r>
        <w:t xml:space="preserve"> </w:t>
      </w:r>
      <w:r>
        <w:rPr>
          <w:i/>
        </w:rPr>
        <w:t xml:space="preserve">are</w:t>
      </w:r>
      <w:r>
        <w:t xml:space="preserve"> </w:t>
      </w:r>
      <w:r>
        <w:t xml:space="preserve">databasing. Funes, in this sense, it not databasing, he simply is the database. To be databasing one must be in a loop, in resonance, differed-deffered in time and space</w:t>
      </w:r>
      <w:r>
        <w:t xml:space="preserve"> </w:t>
      </w:r>
      <w:r>
        <w:rPr>
          <w:i/>
        </w:rPr>
        <w:t xml:space="preserve">with</w:t>
      </w:r>
      <w:r>
        <w:t xml:space="preserve"> </w:t>
      </w:r>
      <w:r>
        <w:t xml:space="preserve">a database.</w:t>
      </w:r>
    </w:p>
    <w:p>
      <w:pPr>
        <w:pStyle w:val="Heading5"/>
      </w:pPr>
      <w:bookmarkStart w:id="223" w:name="writing-and-databasing"/>
      <w:r>
        <w:t xml:space="preserve">Writing and Databasing</w:t>
      </w:r>
      <w:bookmarkEnd w:id="223"/>
    </w:p>
    <w:p>
      <w:pPr>
        <w:pStyle w:val="FirstParagraph"/>
      </w:pPr>
      <w:r>
        <w:t xml:space="preserve">As Derrida points out, western philosophy has construed writing as a process of</w:t>
      </w:r>
      <w:r>
        <w:t xml:space="preserve"> </w:t>
      </w:r>
      <w:r>
        <w:rPr>
          <w:i/>
        </w:rPr>
        <w:t xml:space="preserve">hypomnesis</w:t>
      </w:r>
      <w:r>
        <w:t xml:space="preserve"> </w:t>
      </w:r>
      <w:r>
        <w:t xml:space="preserve">or an externalization of memory</w:t>
      </w:r>
      <w:r>
        <w:t xml:space="preserve"> </w:t>
      </w:r>
      <w:r>
        <w:t xml:space="preserve">(Derrida 1978, p. 221)</w:t>
      </w:r>
      <w:r>
        <w:t xml:space="preserve">. Writing media can be considered hypomnesic or an externalization of our memory that on one hand materializes our memories and on the other constitutes a operable tool. Furthermore, Freud’s metaphor of writing to define the apparatus of the psyche as tracing and erasure indicated that “</w:t>
      </w:r>
      <w:r>
        <w:t xml:space="preserve">‘</w:t>
      </w:r>
      <w:r>
        <w:t xml:space="preserve">Writing…is the name of the structure always already inhabited by the trace,</w:t>
      </w:r>
      <w:r>
        <w:t xml:space="preserve">’</w:t>
      </w:r>
      <w:r>
        <w:t xml:space="preserve">’ meaning that it is a broader concept that goes beyond writing itself, that is, beyond a</w:t>
      </w:r>
      <w:r>
        <w:t xml:space="preserve"> </w:t>
      </w:r>
      <w:r>
        <w:t xml:space="preserve">“</w:t>
      </w:r>
      <w:r>
        <w:t xml:space="preserve">system of notations on a material sub</w:t>
      </w:r>
      <w:r>
        <w:softHyphen/>
      </w:r>
      <w:r>
        <w:t xml:space="preserve">stance</w:t>
      </w:r>
      <w:r>
        <w:t xml:space="preserve">”</w:t>
      </w:r>
      <w:r>
        <w:t xml:space="preserve"> </w:t>
      </w:r>
      <w:r>
        <w:t xml:space="preserve">(Derrida &amp; Spivak 1976 xxxix)</w:t>
      </w:r>
      <w:r>
        <w:t xml:space="preserve">. How does</w:t>
      </w:r>
      <w:r>
        <w:t xml:space="preserve"> </w:t>
      </w:r>
      <w:r>
        <w:t xml:space="preserve">‘</w:t>
      </w:r>
      <w:r>
        <w:t xml:space="preserve">writing</w:t>
      </w:r>
      <w:r>
        <w:t xml:space="preserve">’</w:t>
      </w:r>
      <w:r>
        <w:t xml:space="preserve"> </w:t>
      </w:r>
      <w:r>
        <w:t xml:space="preserve">relate to the resonant network I described earlier? We can approach this question in two ways. On the one hand, we can find in Latour’s</w:t>
      </w:r>
      <w:r>
        <w:t xml:space="preserve"> </w:t>
      </w:r>
      <w:r>
        <w:t xml:space="preserve">‘</w:t>
      </w:r>
      <w:r>
        <w:t xml:space="preserve">tracing</w:t>
      </w:r>
      <w:r>
        <w:t xml:space="preserve">’</w:t>
      </w:r>
      <w:r>
        <w:t xml:space="preserve"> </w:t>
      </w:r>
      <w:r>
        <w:t xml:space="preserve">of the network a relation to the</w:t>
      </w:r>
      <w:r>
        <w:t xml:space="preserve"> </w:t>
      </w:r>
      <w:r>
        <w:t xml:space="preserve">‘</w:t>
      </w:r>
      <w:r>
        <w:t xml:space="preserve">trace</w:t>
      </w:r>
      <w:r>
        <w:t xml:space="preserve">’</w:t>
      </w:r>
      <w:r>
        <w:t xml:space="preserve"> </w:t>
      </w:r>
      <w:r>
        <w:t xml:space="preserve">as described by Derrida, insofar as they both relate to meaning. Latour’s project, however, leaves behind the (human) body so as to only maintain this</w:t>
      </w:r>
      <w:r>
        <w:t xml:space="preserve"> </w:t>
      </w:r>
      <w:r>
        <w:t xml:space="preserve">‘</w:t>
      </w:r>
      <w:r>
        <w:t xml:space="preserve">tracing</w:t>
      </w:r>
      <w:r>
        <w:t xml:space="preserve">’</w:t>
      </w:r>
      <w:r>
        <w:t xml:space="preserve"> </w:t>
      </w:r>
      <w:r>
        <w:t xml:space="preserve">of the network, thus making it exceptional to think of memory in terms of networks. Nevertheless, there is an activity of tracing that takes place in the resisting forces of the unconscious. On the other hand, with his conceptualization of memory as writing, Derrida reconfigures the notion of authorship within writing. In this sense, when memory is thought of as writing, the classical notion of</w:t>
      </w:r>
      <w:r>
        <w:t xml:space="preserve"> </w:t>
      </w:r>
      <w:r>
        <w:t xml:space="preserve">‘</w:t>
      </w:r>
      <w:r>
        <w:t xml:space="preserve">self</w:t>
      </w:r>
      <w:r>
        <w:t xml:space="preserve">’</w:t>
      </w:r>
      <w:r>
        <w:t xml:space="preserve"> </w:t>
      </w:r>
      <w:r>
        <w:t xml:space="preserve">begins to disappear, opening up the space for the nonhuman. In what sense can this disappearance of the self be accounted for in databasing? Along the trace of the resonant network (what I called infraskin) every resonant node of its trace can be considered an agent in the constitution of selves. The database becomes an agent of self-hood as well as an agent of authorship relating to the resulting work of database music. Further, as an instance of hypomnesis, the database appropriates the qualities relating to memory and</w:t>
      </w:r>
      <w:r>
        <w:t xml:space="preserve"> </w:t>
      </w:r>
      <w:r>
        <w:rPr>
          <w:i/>
        </w:rPr>
        <w:t xml:space="preserve">différance</w:t>
      </w:r>
      <w:r>
        <w:t xml:space="preserve">. Thus, not only can the nonhuman be reconceptualized within these qualities, also the human itself becomes reconfigured when faced upon this common linkage. This is how a further step into the conceptualization of memory can be of aid, one that extends</w:t>
      </w:r>
      <w:r>
        <w:t xml:space="preserve"> </w:t>
      </w:r>
      <w:r>
        <w:t xml:space="preserve">‘</w:t>
      </w:r>
      <w:r>
        <w:t xml:space="preserve">tracing</w:t>
      </w:r>
      <w:r>
        <w:t xml:space="preserve">’</w:t>
      </w:r>
      <w:r>
        <w:t xml:space="preserve"> </w:t>
      </w:r>
      <w:r>
        <w:t xml:space="preserve">or</w:t>
      </w:r>
      <w:r>
        <w:t xml:space="preserve"> </w:t>
      </w:r>
      <w:r>
        <w:t xml:space="preserve">‘</w:t>
      </w:r>
      <w:r>
        <w:t xml:space="preserve">writing</w:t>
      </w:r>
      <w:r>
        <w:t xml:space="preserve">’</w:t>
      </w:r>
      <w:r>
        <w:t xml:space="preserve"> </w:t>
      </w:r>
      <w:r>
        <w:t xml:space="preserve">into what I am calling</w:t>
      </w:r>
      <w:r>
        <w:t xml:space="preserve"> </w:t>
      </w:r>
      <w:r>
        <w:t xml:space="preserve">‘</w:t>
      </w:r>
      <w:r>
        <w:t xml:space="preserve">databasing.</w:t>
      </w:r>
      <w:r>
        <w:t xml:space="preserve">’</w:t>
      </w:r>
      <w:r>
        <w:t xml:space="preserve"> </w:t>
      </w:r>
      <w:r>
        <w:t xml:space="preserve">‘</w:t>
      </w:r>
      <w:r>
        <w:t xml:space="preserve">Writing</w:t>
      </w:r>
      <w:r>
        <w:t xml:space="preserve">’</w:t>
      </w:r>
      <w:r>
        <w:t xml:space="preserve"> </w:t>
      </w:r>
      <w:r>
        <w:t xml:space="preserve">can thus function as a link between human and nonhuman memory. For example, from the beginning of the process of impression, traces are</w:t>
      </w:r>
      <w:r>
        <w:t xml:space="preserve"> </w:t>
      </w:r>
      <w:r>
        <w:t xml:space="preserve">“</w:t>
      </w:r>
      <w:r>
        <w:t xml:space="preserve">constituted by the double force of repetition and erasure</w:t>
      </w:r>
      <w:r>
        <w:t xml:space="preserve">”</w:t>
      </w:r>
      <w:r>
        <w:t xml:space="preserve"> </w:t>
      </w:r>
      <w:r>
        <w:t xml:space="preserve">(Derrida 1978, p. 226)</w:t>
      </w:r>
      <w:r>
        <w:t xml:space="preserve">. Memories are inscribed with the very structure that enables their own effacing, they</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Programming languages imply writing in terms of symbols (words and characters) that call certain functions. However, the structures that can be instantiated with code, such as data structures, appropriate the concepts of writing and erasing as well. This is known as memory management. Erasure is embedded within the structure of coding. For instance,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w:t>
      </w:r>
      <w:r>
        <w:t xml:space="preserve"> </w:t>
      </w:r>
      <w:r>
        <w:t xml:space="preserve">‘</w:t>
      </w:r>
      <w:r>
        <w:t xml:space="preserve">lifetime.</w:t>
      </w:r>
      <w:r>
        <w:t xml:space="preserve">’</w:t>
      </w:r>
      <w:r>
        <w:t xml:space="preserve"> </w:t>
      </w:r>
      <w:r>
        <w:t xml:space="preserve">This comparison between</w:t>
      </w:r>
      <w:r>
        <w:t xml:space="preserve"> </w:t>
      </w:r>
      <w:r>
        <w:rPr>
          <w:rStyle w:val="VerbatimChar"/>
        </w:rPr>
        <w:t xml:space="preserve">destructor</w:t>
      </w:r>
      <w:r>
        <w:t xml:space="preserve">s and erasure serves as a starting point to determine the extent to which computer memory (data structure handling in restricted, discrete space) can be thought of as human memory itself, and, if so, the extent to which it also constitutes an instance of an unconscious structure. We can imagine a (useless?) program written in C++ with self-destructing classes that instantiate and destroy themselves at their own pace. Considering the</w:t>
      </w:r>
      <w:r>
        <w:t xml:space="preserve"> </w:t>
      </w:r>
      <w:r>
        <w:rPr>
          <w:rStyle w:val="VerbatimChar"/>
        </w:rPr>
        <w:t xml:space="preserve">destructor</w:t>
      </w:r>
      <w:r>
        <w:t xml:space="preserve"> </w:t>
      </w:r>
      <w:r>
        <w:t xml:space="preserve">itself, it is simply an automation of the otherwise manual memory allocation or deallocation. In a practical sense, allocating memory is like calculating how much and what kind of paper you will need to write your next short story, ordering it online, and then throwing it in the recycling bin, I presume, only after you have written and digitized your story. In any case, we can think of this</w:t>
      </w:r>
      <w:r>
        <w:t xml:space="preserve"> </w:t>
      </w:r>
      <w:r>
        <w:t xml:space="preserve">‘</w:t>
      </w:r>
      <w:r>
        <w:t xml:space="preserve">paper</w:t>
      </w:r>
      <w:r>
        <w:t xml:space="preserve">’</w:t>
      </w:r>
      <w:r>
        <w:t xml:space="preserve"> </w:t>
      </w:r>
      <w:r>
        <w:t xml:space="preserve">as the space that is needed for writing, as well as the resisting force against the pen, but also as a base upon which data is stored in relation to its size. Memory management is a feature with which databasing relates at the level of writing code.</w:t>
      </w:r>
    </w:p>
    <w:p>
      <w:pPr>
        <w:pStyle w:val="Heading3"/>
      </w:pPr>
      <w:bookmarkStart w:id="224" w:name="archontic"/>
      <w:r>
        <w:t xml:space="preserve">The Archontic Principle</w:t>
      </w:r>
      <w:bookmarkEnd w:id="224"/>
    </w:p>
    <w:p>
      <w:pPr>
        <w:pStyle w:val="FirstParagraph"/>
      </w:pPr>
      <w:r>
        <w:t xml:space="preserve">Derrida’s broader notion of</w:t>
      </w:r>
      <w:r>
        <w:t xml:space="preserve"> </w:t>
      </w:r>
      <w:r>
        <w:t xml:space="preserve">‘</w:t>
      </w:r>
      <w:r>
        <w:t xml:space="preserve">writing</w:t>
      </w:r>
      <w:r>
        <w:t xml:space="preserve">’</w:t>
      </w:r>
      <w:r>
        <w:t xml:space="preserve"> </w:t>
      </w:r>
      <w:r>
        <w:t xml:space="preserve">relates to what he calls an</w:t>
      </w:r>
      <w:r>
        <w:t xml:space="preserve"> </w:t>
      </w:r>
      <w:r>
        <w:t xml:space="preserve">‘</w:t>
      </w:r>
      <w:r>
        <w:t xml:space="preserve">originary</w:t>
      </w:r>
      <w:r>
        <w:t xml:space="preserve">’</w:t>
      </w:r>
      <w:r>
        <w:t xml:space="preserve"> </w:t>
      </w:r>
      <w:r>
        <w:t xml:space="preserve">trace. As I described earlier, the inscription of the trace contains from the start its own erasure. This means that, in a reciprocal motion, the origin of the trace is itself originary and non-originary: the origin of a disappearance and the disappearance of the origin. This apparent contradiction can be approached by the actual process of writing something on a page: where or when does the writting begin, when the pen touches the paper or when the paper lends itself for writing? The same question applies to the crossfade between the ‘I’s in the case of Alvin Lucier’s work (See</w:t>
      </w:r>
      <w:r>
        <w:t xml:space="preserve"> </w:t>
      </w:r>
      <w:hyperlink w:anchor="network">
        <w:r>
          <w:rPr>
            <w:rStyle w:val="Hyperlink"/>
          </w:rPr>
          <w:t xml:space="preserve">5.1.3</w:t>
        </w:r>
      </w:hyperlink>
      <w:r>
        <w:t xml:space="preserve">), where or when does the</w:t>
      </w:r>
      <w:r>
        <w:t xml:space="preserve"> </w:t>
      </w:r>
      <w:r>
        <w:t xml:space="preserve">‘</w:t>
      </w:r>
      <w:r>
        <w:t xml:space="preserve">I</w:t>
      </w:r>
      <w:r>
        <w:t xml:space="preserve">’</w:t>
      </w:r>
      <w:r>
        <w:t xml:space="preserve"> </w:t>
      </w:r>
      <w:r>
        <w:t xml:space="preserve">begin</w:t>
      </w:r>
      <w:r>
        <w:t xml:space="preserve"> </w:t>
      </w:r>
      <w:r>
        <w:t xml:space="preserve">‘</w:t>
      </w:r>
      <w:r>
        <w:t xml:space="preserve">sitting</w:t>
      </w:r>
      <w:r>
        <w:t xml:space="preserve">’</w:t>
      </w:r>
      <w:r>
        <w:t xml:space="preserve"> </w:t>
      </w:r>
      <w:r>
        <w:t xml:space="preserve">in the loop? Further, no matter how many metaphors we may give to this paradox, it simply falls out of empirical quests. Therefore, this paradox of the trace is understood by the concept of</w:t>
      </w:r>
      <w:r>
        <w:t xml:space="preserve"> </w:t>
      </w:r>
      <w:r>
        <w:rPr>
          <w:i/>
        </w:rPr>
        <w:t xml:space="preserve">différance</w:t>
      </w:r>
      <w:r>
        <w:t xml:space="preserve"> </w:t>
      </w:r>
      <w:r>
        <w:t xml:space="preserve">that we outlined above. The repercussions of this word that</w:t>
      </w:r>
      <w:r>
        <w:t xml:space="preserve"> </w:t>
      </w:r>
      <w:r>
        <w:t xml:space="preserve">“</w:t>
      </w:r>
      <w:r>
        <w:t xml:space="preserve">is not a word and it not a concept</w:t>
      </w:r>
      <w:r>
        <w:t xml:space="preserve">”</w:t>
      </w:r>
      <w:r>
        <w:t xml:space="preserve"> </w:t>
      </w:r>
      <w:r>
        <w:t xml:space="preserve">have now a long history that does not interest us fully, therefore we can will simply jump thirty years ahead in time, after computers entered the scene, and after the Internet became popularized by the World Wide Web.</w:t>
      </w:r>
    </w:p>
    <w:p>
      <w:pPr>
        <w:pStyle w:val="BodyText"/>
      </w:pPr>
      <w:r>
        <w:t xml:space="preserve">Derrida &amp; Prenowitz (1995)</w:t>
      </w:r>
      <w:r>
        <w:t xml:space="preserve"> </w:t>
      </w:r>
      <w:r>
        <w:t xml:space="preserve">exemplified the intricacies that come out of the process of archivization, delineating an economy of archives into he calls the</w:t>
      </w:r>
      <w:r>
        <w:t xml:space="preserve"> </w:t>
      </w:r>
      <w:r>
        <w:rPr>
          <w:i/>
        </w:rPr>
        <w:t xml:space="preserve">archontic</w:t>
      </w:r>
      <w:r>
        <w:t xml:space="preserve"> </w:t>
      </w:r>
      <w:r>
        <w:t xml:space="preserve">principle.</w:t>
      </w:r>
      <w:r>
        <w:rPr>
          <w:rStyle w:val="FootnoteReference"/>
        </w:rPr>
        <w:footnoteReference w:id="225"/>
      </w:r>
      <w:r>
        <w:t xml:space="preserve"> </w:t>
      </w:r>
      <w:r>
        <w:t xml:space="preserve">A brief etymological impass, coming from Derrida’s text, might be pertinent here.</w:t>
      </w:r>
      <w:r>
        <w:t xml:space="preserve"> </w:t>
      </w:r>
      <w:r>
        <w:t xml:space="preserve">‘</w:t>
      </w:r>
      <w:r>
        <w:t xml:space="preserve">Economy</w:t>
      </w:r>
      <w:r>
        <w:t xml:space="preserve">’</w:t>
      </w:r>
      <w:r>
        <w:t xml:space="preserve"> </w:t>
      </w:r>
      <w:r>
        <w:t xml:space="preserve">is related to the greek word</w:t>
      </w:r>
      <w:r>
        <w:t xml:space="preserve"> </w:t>
      </w:r>
      <w:r>
        <w:rPr>
          <w:i/>
        </w:rPr>
        <w:t xml:space="preserve">oikos</w:t>
      </w:r>
      <w:r>
        <w:t xml:space="preserve"> </w:t>
      </w:r>
      <w:r>
        <w:t xml:space="preserve">(house), and</w:t>
      </w:r>
      <w:r>
        <w:t xml:space="preserve"> </w:t>
      </w:r>
      <w:r>
        <w:rPr>
          <w:i/>
        </w:rPr>
        <w:t xml:space="preserve">nomos</w:t>
      </w:r>
      <w:r>
        <w:t xml:space="preserve"> </w:t>
      </w:r>
      <w:r>
        <w:t xml:space="preserve">(man-made law). In ancient Greece, the official documents of the law were kept under guard in the house of the magistrates (</w:t>
      </w:r>
      <w:r>
        <w:rPr>
          <w:i/>
        </w:rPr>
        <w:t xml:space="preserve">arkheion</w:t>
      </w:r>
      <w:r>
        <w:t xml:space="preserve">), in a form of house arrest. Funes, as I have described earlier (See</w:t>
      </w:r>
      <w:r>
        <w:t xml:space="preserve"> </w:t>
      </w:r>
      <w:hyperlink w:anchor="funeslude">
        <w:r>
          <w:rPr>
            <w:rStyle w:val="Hyperlink"/>
          </w:rPr>
          <w:t xml:space="preserve">4.1.7</w:t>
        </w:r>
      </w:hyperlink>
      <w:r>
        <w:t xml:space="preserve">), was in a similar form of house arrest (arrested from the outside world). The archive condenses this economy, however, within the confines of a public place. The word</w:t>
      </w:r>
      <w:r>
        <w:t xml:space="preserve"> </w:t>
      </w:r>
      <w:r>
        <w:t xml:space="preserve">‘</w:t>
      </w:r>
      <w:r>
        <w:t xml:space="preserve">archive</w:t>
      </w:r>
      <w:r>
        <w:t xml:space="preserve">’</w:t>
      </w:r>
      <w:r>
        <w:t xml:space="preserve"> </w:t>
      </w:r>
      <w:r>
        <w:t xml:space="preserve">(</w:t>
      </w:r>
      <w:r>
        <w:rPr>
          <w:i/>
        </w:rPr>
        <w:t xml:space="preserve">arkheion</w:t>
      </w:r>
      <w:r>
        <w:t xml:space="preserve">) comes from the greek</w:t>
      </w:r>
      <w:r>
        <w:t xml:space="preserve"> </w:t>
      </w:r>
      <w:r>
        <w:rPr>
          <w:i/>
        </w:rPr>
        <w:t xml:space="preserve">archē</w:t>
      </w:r>
      <w:r>
        <w:t xml:space="preserve"> </w:t>
      </w:r>
      <w:r>
        <w:t xml:space="preserve">which relates, on the one hand, to the originary, as well as to the ruling. Thus, the archontic principle is a type of authority that the archive exerts, which can be understood as the law of the house, or the law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(principal or prince). As hypomnesis, archives represent for Derrida another instance of the movement of technology. This movement consists in</w:t>
      </w:r>
      <w:r>
        <w:t xml:space="preserve"> </w:t>
      </w:r>
      <w:r>
        <w:t xml:space="preserve">“</w:t>
      </w:r>
      <w:r>
        <w:t xml:space="preserve">a transformation of the techniques of archivization, of printing, of inscription…</w:t>
      </w:r>
      <w:r>
        <w:t xml:space="preserve">”</w:t>
      </w:r>
      <w:r>
        <w:t xml:space="preserve"> </w:t>
      </w:r>
      <w:r>
        <w:t xml:space="preserve">(Derrida &amp; Prenowitz 1995, p. 16)</w:t>
      </w:r>
      <w:r>
        <w:t xml:space="preserve">. These</w:t>
      </w:r>
      <w:r>
        <w:t xml:space="preserve"> </w:t>
      </w:r>
      <w:r>
        <w:t xml:space="preserve">‘</w:t>
      </w:r>
      <w:r>
        <w:t xml:space="preserve">archival machines</w:t>
      </w:r>
      <w:r>
        <w:t xml:space="preserve">’</w:t>
      </w:r>
      <w:r>
        <w:t xml:space="preserve"> </w:t>
      </w:r>
      <w:r>
        <w:t xml:space="preserve">which developed in the thirty years since he first considered Freud’s</w:t>
      </w:r>
      <w:r>
        <w:t xml:space="preserve"> </w:t>
      </w:r>
      <w:r>
        <w:rPr>
          <w:i/>
        </w:rPr>
        <w:t xml:space="preserve">Note on the Mystic Pad</w:t>
      </w:r>
      <w:r>
        <w:t xml:space="preserve"> </w:t>
      </w:r>
      <w:r>
        <w:t xml:space="preserve">had reached Derrida’s e-mail inbox: his comments on how e-mail technology would have (and will) affect psychoanalysis attest to this fact. Further, they pose a question that he leaves nonetheless unanswered, which is why I consider his discussion of the archive relevant to our discussion of database aesthetics. Derrida finds in Freud’s metaphor for the psychic apparatus a point of departure to the question of how psychoanalisis changed by the presence of a technological device. In this case, the device was a toy called the Mystic Pad, a children’s writing board made of wax and a thin layer on top: upon impression it leaves a trace; when one lifts the layer, the trace erases. The structure of the psyche for Freud could thus be understood by using both hands simultaneously, one pressing (writing), while the other was lifting (erasing). Writting in 1995, Derrida posed the following question:</w:t>
      </w:r>
    </w:p>
    <w:p>
      <w:pPr>
        <w:pStyle w:val="BlockText"/>
      </w:pPr>
      <w:r>
        <w:t xml:space="preserve">Is the psychic apparatus better represented or is it affected differently by all the technical mechanisms for archivization and for reproduction, for prostheses of so-called live memory, for simulacrums of living things which already are, and will increasingly be, more refined, complicated, powerful than the</w:t>
      </w:r>
      <w:r>
        <w:t xml:space="preserve"> </w:t>
      </w:r>
      <w:r>
        <w:t xml:space="preserve">‘</w:t>
      </w:r>
      <w:r>
        <w:t xml:space="preserve">mystic pad</w:t>
      </w:r>
      <w:r>
        <w:t xml:space="preserve">’</w:t>
      </w:r>
      <w:r>
        <w:t xml:space="preserve"> </w:t>
      </w:r>
      <w:r>
        <w:t xml:space="preserve">(microcomputing, electronization, computerization, etc.)?</w:t>
      </w:r>
      <w:r>
        <w:t xml:space="preserve"> </w:t>
      </w:r>
      <w:r>
        <w:t xml:space="preserve">(Derrida &amp; Prenowitz 1995, p. 16)</w:t>
      </w:r>
    </w:p>
    <w:p>
      <w:pPr>
        <w:pStyle w:val="FirstParagraph"/>
      </w:pPr>
      <w:r>
        <w:t xml:space="preserve">“</w:t>
      </w:r>
      <w:r>
        <w:t xml:space="preserve">Is the psychic apparatus better represented or is it affected differently?</w:t>
      </w:r>
      <w:r>
        <w:t xml:space="preserve">”</w:t>
      </w:r>
      <w:r>
        <w:t xml:space="preserve"> </w:t>
      </w:r>
      <w:r>
        <w:t xml:space="preserve">The structure of this question points to two possible answers. Either technology is a representation of the psyche, or the understanding of the psyche is changed by technology. On one hand, the question refers to how distant we are in the movement with which we can arrive at the object (psychic apparatus). This is a temporal movement which relates to deferral: how much longer until we get our object? The answer, as we have seen, is simply never. In order for the represented to be fully represented it must become present. On the other hand, the</w:t>
      </w:r>
      <w:r>
        <w:t xml:space="preserve"> </w:t>
      </w:r>
      <w:r>
        <w:t xml:space="preserve">‘</w:t>
      </w:r>
      <w:r>
        <w:t xml:space="preserve">technical device</w:t>
      </w:r>
      <w:r>
        <w:t xml:space="preserve">’</w:t>
      </w:r>
      <w:r>
        <w:t xml:space="preserve"> </w:t>
      </w:r>
      <w:r>
        <w:t xml:space="preserve">has the potential to affect the object: it differs from and might reformulate thus the psychic apparatus. To a certain extent, this suggests that these</w:t>
      </w:r>
      <w:r>
        <w:t xml:space="preserve"> </w:t>
      </w:r>
      <w:r>
        <w:t xml:space="preserve">‘</w:t>
      </w:r>
      <w:r>
        <w:t xml:space="preserve">prosthesis</w:t>
      </w:r>
      <w:r>
        <w:t xml:space="preserve">’</w:t>
      </w:r>
      <w:r>
        <w:t xml:space="preserve"> </w:t>
      </w:r>
      <w:r>
        <w:t xml:space="preserve">of</w:t>
      </w:r>
      <w:r>
        <w:t xml:space="preserve"> </w:t>
      </w:r>
      <w:r>
        <w:t xml:space="preserve">‘</w:t>
      </w:r>
      <w:r>
        <w:t xml:space="preserve">live</w:t>
      </w:r>
      <w:r>
        <w:t xml:space="preserve">’</w:t>
      </w:r>
      <w:r>
        <w:t xml:space="preserve"> </w:t>
      </w:r>
      <w:r>
        <w:t xml:space="preserve">memory, or</w:t>
      </w:r>
      <w:r>
        <w:t xml:space="preserve"> </w:t>
      </w:r>
      <w:r>
        <w:t xml:space="preserve">‘</w:t>
      </w:r>
      <w:r>
        <w:t xml:space="preserve">simulacrums of living things</w:t>
      </w:r>
      <w:r>
        <w:t xml:space="preserve">’</w:t>
      </w:r>
      <w:r>
        <w:t xml:space="preserve"> </w:t>
      </w:r>
      <w:r>
        <w:t xml:space="preserve">represent some form of (disembodied) nonhuman (life) against which the question is asked. We can only guess. In any case, Derrida claims it is a question of progress or evolution, in which</w:t>
      </w:r>
      <w:r>
        <w:t xml:space="preserve"> </w:t>
      </w:r>
      <w:r>
        <w:t xml:space="preserve">“</w:t>
      </w:r>
      <w:r>
        <w:t xml:space="preserve">neither of these hypothesis can be reduced to the other</w:t>
      </w:r>
      <w:r>
        <w:t xml:space="preserve">”</w:t>
      </w:r>
      <w:r>
        <w:t xml:space="preserve"> </w:t>
      </w:r>
      <w:r>
        <w:t xml:space="preserve">(Derrida &amp; Prenowitz 1995, p. 16)</w:t>
      </w:r>
      <w:r>
        <w:t xml:space="preserve">. It appears, therefore, that this quest reaches a dead end. Derrida does not continue on this quest, and instead takes the text in directions that are not pertinent for our purposes here. Therefore we can stress on this question for a while.</w:t>
      </w:r>
    </w:p>
    <w:p>
      <w:pPr>
        <w:pStyle w:val="BodyText"/>
      </w:pPr>
      <w:r>
        <w:t xml:space="preserve">The structure of the memory (</w:t>
      </w:r>
      <w:r>
        <w:t xml:space="preserve">“</w:t>
      </w:r>
      <w:r>
        <w:t xml:space="preserve">the essence of the psyche</w:t>
      </w:r>
      <w:r>
        <w:t xml:space="preserve">”</w:t>
      </w:r>
      <w:r>
        <w:t xml:space="preserve">) in opposition to the archive can be understood with the opposition of</w:t>
      </w:r>
      <w:r>
        <w:t xml:space="preserve"> </w:t>
      </w:r>
      <w:r>
        <w:rPr>
          <w:i/>
        </w:rPr>
        <w:t xml:space="preserve">anamnesis</w:t>
      </w:r>
      <w:r>
        <w:t xml:space="preserve"> </w:t>
      </w:r>
      <w:r>
        <w:t xml:space="preserve">(the act of recalling, remembering) and</w:t>
      </w:r>
      <w:r>
        <w:t xml:space="preserve"> </w:t>
      </w:r>
      <w:r>
        <w:rPr>
          <w:i/>
        </w:rPr>
        <w:t xml:space="preserve">hypomnesis</w:t>
      </w:r>
      <w:r>
        <w:t xml:space="preserve"> </w:t>
      </w:r>
      <w:r>
        <w:t xml:space="preserve">(the technical storage device); the former internal, the latter external. We can advance now that, like the archive, the database is hypomnesis and external (to the psyche), just as well as it exerts the principles of the archontic. As I have described earlier (See</w:t>
      </w:r>
      <w:r>
        <w:t xml:space="preserve"> </w:t>
      </w:r>
      <w:hyperlink w:anchor="chapter:part-2">
        <w:r>
          <w:rPr>
            <w:rStyle w:val="Hyperlink"/>
          </w:rPr>
          <w:t xml:space="preserve">[chapter:part-2]</w:t>
        </w:r>
      </w:hyperlink>
      <w:r>
        <w:t xml:space="preserve">), a database comprises the partition within computer memory where data is stored. However, in order to store data, one has to assign data types and strucures, thus providing with the necessary structural frame that indicates how to access the data. One of the key concepts of the</w:t>
      </w:r>
      <w:r>
        <w:t xml:space="preserve"> </w:t>
      </w:r>
      <w:r>
        <w:t xml:space="preserve">‘</w:t>
      </w:r>
      <w:r>
        <w:t xml:space="preserve">archontic principle</w:t>
      </w:r>
      <w:r>
        <w:t xml:space="preserve">’</w:t>
      </w:r>
      <w:r>
        <w:t xml:space="preserve"> </w:t>
      </w:r>
      <w:r>
        <w:t xml:space="preserve">is</w:t>
      </w:r>
      <w:r>
        <w:t xml:space="preserve"> </w:t>
      </w:r>
      <w:r>
        <w:t xml:space="preserve">‘</w:t>
      </w:r>
      <w:r>
        <w:t xml:space="preserve">consignation,</w:t>
      </w:r>
      <w:r>
        <w:t xml:space="preserve">’</w:t>
      </w:r>
      <w:r>
        <w:t xml:space="preserve"> </w:t>
      </w:r>
      <w:r>
        <w:t xml:space="preserve">which has at least three meanings: assigning residence, entrusting something in reserve or deposit, and what Derrida calls</w:t>
      </w:r>
      <w:r>
        <w:t xml:space="preserve"> </w:t>
      </w:r>
      <w:r>
        <w:t xml:space="preserve">“</w:t>
      </w:r>
      <w:r>
        <w:t xml:space="preserve">gathering together signs</w:t>
      </w:r>
      <w:r>
        <w:t xml:space="preserve">”</w:t>
      </w:r>
      <w:r>
        <w:t xml:space="preserve"> </w:t>
      </w:r>
      <w:r>
        <w:t xml:space="preserve">(Derrida &amp; Prenowitz 1995, p. 10)</w:t>
      </w:r>
      <w:r>
        <w:t xml:space="preserve">. All of these can be represented with memory management, that is, by</w:t>
      </w:r>
      <w:r>
        <w:t xml:space="preserve"> </w:t>
      </w:r>
      <w:r>
        <w:t xml:space="preserve">‘</w:t>
      </w:r>
      <w:r>
        <w:t xml:space="preserve">declaring</w:t>
      </w:r>
      <w:r>
        <w:t xml:space="preserve">’</w:t>
      </w:r>
      <w:r>
        <w:t xml:space="preserve"> </w:t>
      </w:r>
      <w:r>
        <w:t xml:space="preserve">and</w:t>
      </w:r>
      <w:r>
        <w:t xml:space="preserve"> </w:t>
      </w:r>
      <w:r>
        <w:t xml:space="preserve">‘</w:t>
      </w:r>
      <w:r>
        <w:t xml:space="preserve">initializing</w:t>
      </w:r>
      <w:r>
        <w:t xml:space="preserve">’</w:t>
      </w:r>
      <w:r>
        <w:t xml:space="preserve"> </w:t>
      </w:r>
      <w:r>
        <w:t xml:space="preserve">variables, as well as by making</w:t>
      </w:r>
      <w:r>
        <w:t xml:space="preserve"> </w:t>
      </w:r>
      <w:r>
        <w:t xml:space="preserve">‘</w:t>
      </w:r>
      <w:r>
        <w:t xml:space="preserve">unions</w:t>
      </w:r>
      <w:r>
        <w:t xml:space="preserve">’</w:t>
      </w:r>
      <w:r>
        <w:t xml:space="preserve"> </w:t>
      </w:r>
      <w:r>
        <w:t xml:space="preserve">or more complex data structures. Consignation in archives has, for Derrida, a presupposing aim: to</w:t>
      </w:r>
      <w:r>
        <w:t xml:space="preserve"> </w:t>
      </w:r>
      <w:r>
        <w:t xml:space="preserve">“</w:t>
      </w:r>
      <w:r>
        <w:t xml:space="preserve">coordinate a single corpus</w:t>
      </w:r>
      <w:r>
        <w:t xml:space="preserve">”</w:t>
      </w:r>
      <w:r>
        <w:t xml:space="preserve"> </w:t>
      </w:r>
      <w:r>
        <w:t xml:space="preserve">(Derrida &amp; Prenowitz 1995, p. 10)</w:t>
      </w:r>
      <w:r>
        <w:t xml:space="preserve">. This is exactly the case of a database, which extends this coordination with the posibility of networks. The various database models that I have shown in previous sections point to the different ways with which to coordinate the economy of database systems. In order to flip Derrida’s question upside down, we can ask ourselves what to do with all these technical mechanisms that microcomputing enables? How do we make something out of them? And further, what is in them that we can call aesthetic? Instead of thinking how memory is represented in the database, we can ask how we can represent the database within memory. Further, instead of asking how memory is affected by the database, we can ask ourselves how can memory affect databases. The theoretical and aesthetical aspects of this reversal can be seen as follows. On one hand, this reversal points to a reconceptualization of databases within the</w:t>
      </w:r>
      <w:r>
        <w:t xml:space="preserve"> </w:t>
      </w:r>
      <w:r>
        <w:t xml:space="preserve">“</w:t>
      </w:r>
      <w:r>
        <w:t xml:space="preserve">evolution of archival techno-science</w:t>
      </w:r>
      <w:r>
        <w:t xml:space="preserve">”</w:t>
      </w:r>
      <w:r>
        <w:t xml:space="preserve"> </w:t>
      </w:r>
      <w:r>
        <w:t xml:space="preserve">(Derrida &amp; Prenowitz 1995, p. 16)</w:t>
      </w:r>
      <w:r>
        <w:t xml:space="preserve">. On the other, this reversal calls for a restructuring or a technical reconstruction of the database in relation to memory.</w:t>
      </w:r>
    </w:p>
    <w:p>
      <w:pPr>
        <w:pStyle w:val="Heading3"/>
      </w:pPr>
      <w:bookmarkStart w:id="227" w:name="spectrality"/>
      <w:r>
        <w:t xml:space="preserve">The Spectral Database</w:t>
      </w:r>
      <w:bookmarkEnd w:id="227"/>
    </w:p>
    <w:p>
      <w:pPr>
        <w:pStyle w:val="BlockText"/>
      </w:pP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 </w:t>
      </w:r>
      <w:r>
        <w:t xml:space="preserve">(Derrida &amp; Prenowitz 1995, p. 54)</w:t>
      </w:r>
    </w:p>
    <w:p>
      <w:pPr>
        <w:pStyle w:val="Heading5"/>
      </w:pPr>
      <w:bookmarkStart w:id="228" w:name="computer-memory-and-writing"/>
      <w:r>
        <w:t xml:space="preserve">Computer Memory and Writing</w:t>
      </w:r>
      <w:bookmarkEnd w:id="228"/>
    </w:p>
    <w:p>
      <w:pPr>
        <w:pStyle w:val="FirstParagraph"/>
      </w:pPr>
      <w:r>
        <w:t xml:space="preserve">Despite the multiplicity of elements that constitute software programming, such as compiler instructions, hardware stipulations, collaboration platforms, etc., the concepts of inscription and erasure (writing) are still in place. Because of this, the concept of the Derridean trace applies to programming. This fact can be linked further back to the conception of the computer itself, as it was previously discussed (See</w:t>
      </w:r>
      <w:r>
        <w:t xml:space="preserve"> </w:t>
      </w:r>
      <w:hyperlink w:anchor="databasing">
        <w:r>
          <w:rPr>
            <w:rStyle w:val="Hyperlink"/>
          </w:rPr>
          <w:t xml:space="preserve">4.2.1</w:t>
        </w:r>
      </w:hyperlink>
      <w:r>
        <w:t xml:space="preserve">). In his architecture, Von Neumann proposed that the storage unit of the computer would allow for data to be written and erased in different locations and times. In fact,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These setting and unsetting movements represent inscription and erasure, to the point that, as Kittler notes:</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w:t>
      </w:r>
    </w:p>
    <w:p>
      <w:pPr>
        <w:pStyle w:val="Heading5"/>
      </w:pPr>
      <w:bookmarkStart w:id="229" w:name="memory-replacement"/>
      <w:r>
        <w:t xml:space="preserve">Memory Replacement</w:t>
      </w:r>
      <w:bookmarkEnd w:id="229"/>
    </w:p>
    <w:p>
      <w:pPr>
        <w:pStyle w:val="FirstParagraph"/>
      </w:pPr>
      <w:r>
        <w:t xml:space="preserve">However, an important distinction needs to be made here. While I am arguing for the similarities that exist between memory and database, Ernst proposes that databases —i.e., what he refers to as digital an-archives— enter as a form of replacement. This is to say that, given the convergence of all media into digital media,</w:t>
      </w:r>
      <w:r>
        <w:t xml:space="preserve"> </w:t>
      </w:r>
      <w:r>
        <w:t xml:space="preserve">‘</w:t>
      </w:r>
      <w:r>
        <w:t xml:space="preserve">reading</w:t>
      </w:r>
      <w:r>
        <w:t xml:space="preserve">’</w:t>
      </w:r>
      <w:r>
        <w:t xml:space="preserve"> </w:t>
      </w:r>
      <w:r>
        <w:t xml:space="preserve">is rendered null, giving way to mathematical processes that come to interpret the data. In Ernst’s words,</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is only valid within the Kittlerian, disembodied worldview (See</w:t>
      </w:r>
      <w:r>
        <w:t xml:space="preserve"> </w:t>
      </w:r>
      <w:hyperlink w:anchor="convergence">
        <w:r>
          <w:rPr>
            <w:rStyle w:val="Hyperlink"/>
          </w:rPr>
          <w:t xml:space="preserve">4.1.3</w:t>
        </w:r>
      </w:hyperlink>
      <w:r>
        <w:t xml:space="preserve">), which would also allow to convey the following: signal processing replaces</w:t>
      </w:r>
      <w:r>
        <w:t xml:space="preserve"> </w:t>
      </w:r>
      <w:r>
        <w:rPr>
          <w:i/>
        </w:rPr>
        <w:t xml:space="preserve">listening</w:t>
      </w:r>
      <w:r>
        <w:t xml:space="preserve">. Thus, in such a world where data structures and algorithms perform our own capacities to create and, by doing so, remove our bodies from ourselves, there would be no need for neither reading nor writing. Since, if the database reads itself, it also writes itself, and, in the case of music, if it listens to itself, it also sounds itself, removing listening altogether. Therefore, in order to arrive at the point of resonance that enables both the nonhuman and the human to coexist, a reconceptualization of the anarchic in relation to databases needs to be made; specifically, one that is grounded not on substitution, but on difference, and one that explains how authority enters into the sphere of databases.</w:t>
      </w:r>
    </w:p>
    <w:p>
      <w:pPr>
        <w:pStyle w:val="Heading5"/>
      </w:pPr>
      <w:bookmarkStart w:id="230" w:name="anarchic-records"/>
      <w:r>
        <w:t xml:space="preserve">Anarchic Records</w:t>
      </w:r>
      <w:bookmarkEnd w:id="230"/>
    </w:p>
    <w:p>
      <w:pPr>
        <w:pStyle w:val="FirstParagraph"/>
      </w:pPr>
      <w:r>
        <w:t xml:space="preserve">In his conceptualization of the</w:t>
      </w:r>
      <w:r>
        <w:t xml:space="preserve"> </w:t>
      </w:r>
      <w:r>
        <w:rPr>
          <w:i/>
        </w:rPr>
        <w:t xml:space="preserve">anarchoarchive</w:t>
      </w:r>
      <w:r>
        <w:t xml:space="preserve">, Ernst</w:t>
      </w:r>
      <w:r>
        <w:t xml:space="preserve"> </w:t>
      </w:r>
      <w:r>
        <w:t xml:space="preserve">(Ernst 2013)</w:t>
      </w:r>
      <w:r>
        <w:t xml:space="preserve"> </w:t>
      </w:r>
      <w:r>
        <w:t xml:space="preserve">opposes technical recording with symbolic transcription. Given the fact that a microphone captures the entire sonic environment, this involuntary memory —of</w:t>
      </w:r>
      <w:r>
        <w:t xml:space="preserve"> </w:t>
      </w:r>
      <w:r>
        <w:t xml:space="preserve">“</w:t>
      </w:r>
      <w:r>
        <w:t xml:space="preserve">past acoustic, not intended for tradition: a noisy memory</w:t>
      </w:r>
      <w:r>
        <w:t xml:space="preserve">”</w:t>
      </w:r>
      <w:r>
        <w:t xml:space="preserve"> </w:t>
      </w:r>
      <w:r>
        <w:t xml:space="preserve">(Ernst 2013, p. 174)</w:t>
      </w:r>
      <w:r>
        <w:t xml:space="preserve">— comes to be a form of anarchic archive, or</w:t>
      </w:r>
      <w:r>
        <w:t xml:space="preserve"> </w:t>
      </w:r>
      <w:r>
        <w:rPr>
          <w:i/>
        </w:rPr>
        <w:t xml:space="preserve">an-archive</w:t>
      </w:r>
      <w:r>
        <w:t xml:space="preserve">. Therefore, for example, he claims that Bela Bartok’s transcriptions to musical notation of Milman Parry’s Serbian epic song recordings</w:t>
      </w:r>
      <w:r>
        <w:rPr>
          <w:rStyle w:val="FootnoteReference"/>
        </w:rPr>
        <w:footnoteReference w:id="231"/>
      </w:r>
      <w:r>
        <w:t xml:space="preserve"> </w:t>
      </w:r>
      <w:r>
        <w:t xml:space="preserve">becomes an archivization process, that is, a process by which symbolic transcription leads to an ordered archive, i.e., a score.</w:t>
      </w:r>
      <w:r>
        <w:rPr>
          <w:rStyle w:val="FootnoteReference"/>
        </w:rPr>
        <w:footnoteReference w:id="233"/>
      </w:r>
      <w:r>
        <w:t xml:space="preserve"> </w:t>
      </w:r>
      <w:r>
        <w:t xml:space="preserve">In Ernst’s sense, a sound file storing samples of the recorded world is anarchic because of the unfiltered (</w:t>
      </w:r>
      <w:r>
        <w:t xml:space="preserve">‘</w:t>
      </w:r>
      <w:r>
        <w:t xml:space="preserve">pure</w:t>
      </w:r>
      <w:r>
        <w:t xml:space="preserve">’</w:t>
      </w:r>
      <w:r>
        <w:t xml:space="preserve">) way in which the world is inscribed by the recorder. He bases this idea on another media theorist, Sven Spieker, who claims that, following Derrida’s conceptualization of the archive, a central feature of archives is not memory, but a need to</w:t>
      </w:r>
      <w:r>
        <w:t xml:space="preserve"> </w:t>
      </w:r>
      <w:r>
        <w:t xml:space="preserve">“</w:t>
      </w:r>
      <w:r>
        <w:t xml:space="preserve">discard, erase, eliminate</w:t>
      </w:r>
      <w:r>
        <w:t xml:space="preserve">”</w:t>
      </w:r>
      <w:r>
        <w:t xml:space="preserve"> </w:t>
      </w:r>
      <w:r>
        <w:t xml:space="preserve">that which is not intended for archivization</w:t>
      </w:r>
      <w:r>
        <w:t xml:space="preserve"> </w:t>
      </w:r>
      <w:r>
        <w:t xml:space="preserve">(Ernst 2013, p. 113)</w:t>
      </w:r>
      <w:r>
        <w:t xml:space="preserve">. In other words, the possibility condition of an archive is filtering, or better: framing. The problem is that, the moment Ernst deposits on the recording technology the disappearance of the body, he dislocates framing altogether, and thus is how the concept of</w:t>
      </w:r>
      <w:r>
        <w:t xml:space="preserve"> </w:t>
      </w:r>
      <w:r>
        <w:t xml:space="preserve">‘</w:t>
      </w:r>
      <w:r>
        <w:t xml:space="preserve">pure</w:t>
      </w:r>
      <w:r>
        <w:t xml:space="preserve">’</w:t>
      </w:r>
      <w:r>
        <w:t xml:space="preserve"> </w:t>
      </w:r>
      <w:r>
        <w:t xml:space="preserve">recording comes in. Therefore, if for Ernst, Parry’s audio recordings are anarchic, this is because they are constructed upon a Kittlerian idea of purity that leaves the human out of the equation.</w:t>
      </w:r>
    </w:p>
    <w:p>
      <w:pPr>
        <w:pStyle w:val="Heading5"/>
      </w:pPr>
      <w:bookmarkStart w:id="234" w:name="memory-and-framing"/>
      <w:r>
        <w:t xml:space="preserve">Memory and Framing</w:t>
      </w:r>
      <w:bookmarkEnd w:id="234"/>
    </w:p>
    <w:p>
      <w:pPr>
        <w:pStyle w:val="FirstParagraph"/>
      </w:pPr>
      <w:r>
        <w:t xml:space="preserve">If we consider the body’s capacity to create images from the world of images, then framing is also a possibility condition for human memory. In fact, we have seen with the Derridean trace that it is a resisting force what first enables the violent rupture of traces, and thus, this force can also be considered as an instance of framing itself. Resistance of the psyche as creativity taking action as the moment of framing. In the an-archic memory graph that I am conceptualizing here, framing can be thought of as the edge (the arrow) that thus connects the public to the private. Furthermore, framing can also be inversely considered as the arrow between the private and the public in the case of archives, since, for example, in the case of a contract, only a limited amount of signatures are needed, thus a frame needs to be an active part of the process of archivization.</w:t>
      </w:r>
    </w:p>
    <w:p>
      <w:pPr>
        <w:pStyle w:val="Heading5"/>
      </w:pPr>
      <w:bookmarkStart w:id="235" w:name="nonhuman-tympans"/>
      <w:r>
        <w:t xml:space="preserve">Nonhuman Tympans</w:t>
      </w:r>
      <w:bookmarkEnd w:id="235"/>
    </w:p>
    <w:p>
      <w:pPr>
        <w:pStyle w:val="FirstParagraph"/>
      </w:pPr>
      <w:r>
        <w:t xml:space="preserve">Therefore, given that framing is in between the public and the private, in order to consider the case of audio recording as either memory or archive, these two categories, privacy and publicness need to be taken into account in relation to nonhumans. In other words, given that the world can be considered public, because it is in a constant state of availability at any time, then, a microphone can be considered an actor of privacy, since it deprives some sounds from being recorded —e.g., because it has not been designed for certain frequency bands— while recording other sounds. Therefore, if transducers have a filtering capacity, they engage with the passage from the public to the private —and vice versa, since both speakers and microphones are transducers. Consider, for example, Jonathan Sterne’s definition of the</w:t>
      </w:r>
      <w:r>
        <w:t xml:space="preserve"> </w:t>
      </w:r>
      <w:r>
        <w:t xml:space="preserve">‘</w:t>
      </w:r>
      <w:r>
        <w:t xml:space="preserve">tympanic</w:t>
      </w:r>
      <w:r>
        <w:t xml:space="preserve">’</w:t>
      </w:r>
      <w:r>
        <w:t xml:space="preserve"> </w:t>
      </w:r>
      <w:r>
        <w:t xml:space="preserve">function of transducers, as quoted by Cathy Van Eyck in her PhD dissertation on microphones and loudspeakers:</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(Eck 2013, p. 107)</w:t>
      </w:r>
      <w:r>
        <w:t xml:space="preserve">. Therefore, considering these nonhuman tympans as actors of privacy and publicness, audio reproduction technology can be compared to the structure of memory and archives. For example, audio recording can be conceived as a form of memory, only to the extent that its inscription is singular yet reproducible. This is because a magnetic tape or a hard drive cannot be considered in the same (plural) way as Derridean traces, since once data is stored, it exists only once in discrete, limited space, unless copied to another location, in which case it becomes a duplicate, an identical (in-different) clone of itself. Furthermore, the case of audio playback can be a form of archive, since it consists of the passage from the private —the stored air pressure waves— to the public —the reproduced air pressure waves in space—, only to the extent that the latter is not considered space as such, but resonance within space. In this sense, Ernst’ consideration of the Parry’s recordings as anarchic needs to be reconfigured.</w:t>
      </w:r>
    </w:p>
    <w:p>
      <w:pPr>
        <w:pStyle w:val="Heading5"/>
      </w:pPr>
      <w:bookmarkStart w:id="236" w:name="spectrality-of-archives"/>
      <w:r>
        <w:t xml:space="preserve">Spectrality of Archives</w:t>
      </w:r>
      <w:bookmarkEnd w:id="236"/>
    </w:p>
    <w:p>
      <w:pPr>
        <w:pStyle w:val="FirstParagraph"/>
      </w:pPr>
      <w:r>
        <w:t xml:space="preserve">Given that these nonhuman tympans constitute the limit between sonic —but also tactile</w:t>
      </w:r>
      <w:r>
        <w:t xml:space="preserve"> </w:t>
      </w:r>
      <w:r>
        <w:t xml:space="preserve">(Eck 2013, p. 223)</w:t>
      </w:r>
      <w:r>
        <w:t xml:space="preserve">— world and the binary world of databases, their comparison to memory and archives renders a hybrid object: one that, on the one side, becomes a private and singular</w:t>
      </w:r>
      <w:r>
        <w:t xml:space="preserve"> </w:t>
      </w:r>
      <w:r>
        <w:t xml:space="preserve">‘</w:t>
      </w:r>
      <w:r>
        <w:t xml:space="preserve">trace</w:t>
      </w:r>
      <w:r>
        <w:t xml:space="preserve">’</w:t>
      </w:r>
      <w:r>
        <w:t xml:space="preserve">, and, on the other, becomes a public, resonant</w:t>
      </w:r>
      <w:r>
        <w:t xml:space="preserve"> </w:t>
      </w:r>
      <w:r>
        <w:t xml:space="preserve">‘</w:t>
      </w:r>
      <w:r>
        <w:t xml:space="preserve">space.</w:t>
      </w:r>
      <w:r>
        <w:t xml:space="preserve">’</w:t>
      </w:r>
      <w:r>
        <w:t xml:space="preserve"> </w:t>
      </w:r>
      <w:r>
        <w:t xml:space="preserve">Thus, databases represent neither a trace nor a space. At this point it is important to address the quote at the beginning of this section, that is, the structure of the archontic that Derrida assigned to archives: spectrality. 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—Derrida points to the greek root</w:t>
      </w:r>
      <w:r>
        <w:t xml:space="preserve"> </w:t>
      </w:r>
      <w:r>
        <w:rPr>
          <w:i/>
        </w:rPr>
        <w:t xml:space="preserve">oikos</w:t>
      </w:r>
      <w:r>
        <w:t xml:space="preserve">, meaning</w:t>
      </w:r>
      <w:r>
        <w:t xml:space="preserve"> </w:t>
      </w:r>
      <w:r>
        <w:t xml:space="preserve">‘</w:t>
      </w:r>
      <w:r>
        <w:t xml:space="preserve">house</w:t>
      </w:r>
      <w:r>
        <w:t xml:space="preserve">’</w:t>
      </w:r>
      <w:r>
        <w:t xml:space="preserve">—, that is, to the passing through (trans-action) of signs, but also de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 addressing, that is of transaction. Finally, what this uncanniness of the ghost entails is nothing other than the haunting itself, as Derrida writes:</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To bring back our database, the hybridity that the database projects when compared to memory or archives points to a certain uncanniness, that is, precisely to the hauntedness that comes from its spectrality. Furthermore, it can be argued that considering the database in such way is plain and simple delusion, that is, insanity at its best. Not surprisingly, this is the point exactly; within this delusion exists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5"/>
      </w:pPr>
      <w:bookmarkStart w:id="237" w:name="spectrality-of-databases"/>
      <w:r>
        <w:t xml:space="preserve">Spectrality of Databases</w:t>
      </w:r>
      <w:bookmarkEnd w:id="237"/>
    </w:p>
    <w:p>
      <w:pPr>
        <w:pStyle w:val="FirstParagraph"/>
      </w:pPr>
      <w:r>
        <w:t xml:space="preserve">Therefore, given that Derrida considers the structure of the archive to be indeed spectral, I can bring this spectrality to the database itself, and consider it just as spectral but in a different sense. The spectrality of the database comes not from its hauntedness, that is, it is not domiciled since, as humans, we have no access to data space (address space) directly with our bodies. As humans, we cannot engage in transaction with the specter directly: we need transducers. In the case of audio playback, we need loudspeakers because we need to create, with our bodies, the image that was recorded in the first place. In consequence, while embodying stored data, we embody its specter. Therefore, the hauntedness needs to be</w:t>
      </w:r>
      <w:r>
        <w:t xml:space="preserve"> </w:t>
      </w:r>
      <w:r>
        <w:t xml:space="preserve">‘</w:t>
      </w:r>
      <w:r>
        <w:t xml:space="preserve">transduced</w:t>
      </w:r>
      <w:r>
        <w:t xml:space="preserve">’</w:t>
      </w:r>
      <w:r>
        <w:t xml:space="preserve"> </w:t>
      </w:r>
      <w:r>
        <w:t xml:space="preserve">into space, and with this transduction the agency of the database can be effectively felt. Likewise, the uncanniness of the case of audio recording can be felt as the ghost that will</w:t>
      </w:r>
      <w:r>
        <w:t xml:space="preserve"> </w:t>
      </w:r>
      <w:r>
        <w:t xml:space="preserve">‘</w:t>
      </w:r>
      <w:r>
        <w:t xml:space="preserve">remember us,</w:t>
      </w:r>
      <w:r>
        <w:t xml:space="preserve">’</w:t>
      </w:r>
      <w:r>
        <w:t xml:space="preserve"> </w:t>
      </w:r>
      <w:r>
        <w:t xml:space="preserve">because of this computer</w:t>
      </w:r>
      <w:r>
        <w:t xml:space="preserve"> </w:t>
      </w:r>
      <w:r>
        <w:t xml:space="preserve">‘</w:t>
      </w:r>
      <w:r>
        <w:t xml:space="preserve">memory</w:t>
      </w:r>
      <w:r>
        <w:t xml:space="preserve">’</w:t>
      </w:r>
      <w:r>
        <w:t xml:space="preserve"> </w:t>
      </w:r>
      <w:r>
        <w:t xml:space="preserve">that will keep (to its own privacy) the sonic environment that attests to our presence in space —because we sing, we make sounds, etc. Hence, the haunting that resides in-memory, together with the stored data and pointers.</w:t>
      </w:r>
    </w:p>
    <w:p>
      <w:pPr>
        <w:pStyle w:val="Heading5"/>
      </w:pPr>
      <w:bookmarkStart w:id="238" w:name="agency-of-the-uncanny"/>
      <w:r>
        <w:t xml:space="preserve">Agency of the Uncanny</w:t>
      </w:r>
      <w:bookmarkEnd w:id="238"/>
    </w:p>
    <w:p>
      <w:pPr>
        <w:pStyle w:val="FirstParagraph"/>
      </w:pPr>
      <w:r>
        <w:t xml:space="preserve">In recognizing this presence, which is the archontic specter of the database, comes the recognition of the agency of the database itself, and, furthermore, of the quality of the aesthetic experience that we encounter whenever there is a database in art. As Timothy Morton</w:t>
      </w:r>
      <w:r>
        <w:t xml:space="preserve"> </w:t>
      </w:r>
      <w:r>
        <w:t xml:space="preserve">(Morton 2013)</w:t>
      </w:r>
      <w:r>
        <w:t xml:space="preserve"> </w:t>
      </w:r>
      <w:r>
        <w:t xml:space="preserve">writes in relation to what he calls hyperobjects:</w:t>
      </w:r>
    </w:p>
    <w:p>
      <w:pPr>
        <w:pStyle w:val="BlockText"/>
      </w:pPr>
      <w:r>
        <w:t xml:space="preserve">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 as Adorno says, the primordial aesthetic experience is goose bumps. Yet this is precisely the aesthetic experience of the hyperobject, which can only be detected as a ghostly spectrality that comes in and out of phase with normalized human spacetime.</w:t>
      </w:r>
      <w:r>
        <w:t xml:space="preserve"> </w:t>
      </w:r>
      <w:r>
        <w:t xml:space="preserve">(Morton 2013, p. 169)</w:t>
      </w:r>
    </w:p>
    <w:p>
      <w:pPr>
        <w:pStyle w:val="FirstParagraph"/>
      </w:pPr>
      <w:r>
        <w:t xml:space="preserve">To the point that databases are spectral, they can be considered hyperobjects in Morton’s sense, and thus, agents translating through aesthetic networks. However, I will not dwell much longer on this definition in this text. If we consider the</w:t>
      </w:r>
      <w:r>
        <w:t xml:space="preserve"> </w:t>
      </w:r>
      <w:r>
        <w:t xml:space="preserve">“</w:t>
      </w:r>
      <w:r>
        <w:t xml:space="preserve">recorded movement of a thing</w:t>
      </w:r>
      <w:r>
        <w:t xml:space="preserve">”</w:t>
      </w:r>
      <w:r>
        <w:t xml:space="preserve"> </w:t>
      </w:r>
      <w:r>
        <w:t xml:space="preserve">with which Latour identified his concept of the network, databases are agents not only of recording, also of motility, and of thing-hood itself. This is to say that, in the constitution of networks, the spectrality of the database expands in multiple directions. Bringing back the illusory violin of the acousmatic concert I mentioned earlier (See</w:t>
      </w:r>
      <w:r>
        <w:t xml:space="preserve"> </w:t>
      </w:r>
      <w:hyperlink w:anchor="resonance_of_a_return">
        <w:r>
          <w:rPr>
            <w:rStyle w:val="Hyperlink"/>
          </w:rPr>
          <w:t xml:space="preserve">5.1.2</w:t>
        </w:r>
      </w:hyperlink>
      <w:r>
        <w:t xml:space="preserve">), it exemplified Hansen’s concept of the creation of images our brain’s capacity for virtuality has, that is, our imagination. The sound of a violin can be recorded —but also synthesized— into the privacy of a database. Then, it can be played back with loudspeakers located in such a way that they emulate the location of an actual violin player. As a result, the listener could very likely imagine a physically present violin in the room, that is, a ghost. This ghost comes in as the phantom of a human player; of the violin itself; of the histories and traditions that those two elements bring forth; of the presence of the nonhuman that the database implies; of the privacy that is not human but that it is still uncannily private; of the plurality that is embedded in the construction of databases;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In what follows, a crucial aspect of the database will be addressed, one that defines the condition of possibility of this hauntedness to be indeed instantiated into appearance, not only in the form of authority, as I have shown in the case of its archontic presence, but also in the form of style, and most important, gender: the performativity of the database.</w:t>
      </w:r>
    </w:p>
    <w:p>
      <w:pPr>
        <w:pStyle w:val="Heading2"/>
      </w:pPr>
      <w:bookmarkStart w:id="239" w:name="section:Performativity_Of Databases"/>
      <w:r>
        <w:t xml:space="preserve">Performativity Of Databases</w:t>
      </w:r>
      <w:bookmarkEnd w:id="239"/>
    </w:p>
    <w:p>
      <w:pPr>
        <w:pStyle w:val="Heading3"/>
      </w:pPr>
      <w:bookmarkStart w:id="240" w:name="gender"/>
      <w:r>
        <w:t xml:space="preserve">Gendered Database</w:t>
      </w:r>
      <w:bookmarkEnd w:id="240"/>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 mistaken for a natural or linguistic given, power is relinquished to expand the cultural field bodily through subversive performances of various kinds.</w:t>
      </w:r>
      <w:r>
        <w:t xml:space="preserve"> </w:t>
      </w:r>
      <w:r>
        <w:t xml:space="preserve">(Butler 1988, p. 531)</w:t>
      </w:r>
    </w:p>
    <w:p>
      <w:pPr>
        <w:pStyle w:val="FirstParagraph"/>
      </w:pPr>
      <w:r>
        <w:t xml:space="preserve">Judith Butler</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section:Listening_Databases">
        <w:r>
          <w:rPr>
            <w:rStyle w:val="Hyperlink"/>
          </w:rPr>
          <w:t xml:space="preserve">5.1</w:t>
        </w:r>
      </w:hyperlink>
      <w:r>
        <w:t xml:space="preserve">).</w:t>
      </w:r>
    </w:p>
    <w:p>
      <w:pPr>
        <w:pStyle w:val="Heading5"/>
      </w:pPr>
      <w:bookmarkStart w:id="241" w:name="skin-of-the-database"/>
      <w:r>
        <w:t xml:space="preserve">Skin of the Database</w:t>
      </w:r>
      <w:bookmarkEnd w:id="241"/>
    </w:p>
    <w:p>
      <w:pPr>
        <w:pStyle w:val="FirstParagraph"/>
      </w:pPr>
      <w:r>
        <w:t xml:space="preserve">In the performativity of databasing resides the possibility for the skin of the database to emerge. On the one hand, this skin is the spectral surface of the database’s illusory self. On the other, it is the limit towards which the human and the nonhuman engage in resonance. The skin of the database carries the mark of a style. That is to say, in defining style as a repetition of acts, it is a form of embodiment that is ascribed to databases. Because the self of the database is inscribed on its skin, we can assign yet another quality of the database: an authorial subject. This subject relates to the uncanny, not only because of its nonhuman spectrality, also because of its gendered appearance which comes to redefine our own social categories such as reality itself. Therefore, I claim that, given that databasing is the performative condition of databases, the database becomes gendered.</w:t>
      </w:r>
    </w:p>
    <w:p>
      <w:pPr>
        <w:pStyle w:val="Heading5"/>
      </w:pPr>
      <w:bookmarkStart w:id="242" w:name="expressing-nothing"/>
      <w:r>
        <w:t xml:space="preserve">Expressing Nothing</w:t>
      </w:r>
      <w:bookmarkEnd w:id="242"/>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Furthermore,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this terms of performativity, to the point that, while having the capacity to store millions of data, a database can in deed express nothing?</w:t>
      </w:r>
    </w:p>
    <w:p>
      <w:pPr>
        <w:pStyle w:val="Heading5"/>
      </w:pPr>
      <w:bookmarkStart w:id="243" w:name="a-historical-situation"/>
      <w:r>
        <w:t xml:space="preserve">A Historical Situation</w:t>
      </w:r>
      <w:bookmarkEnd w:id="243"/>
    </w:p>
    <w:p>
      <w:pPr>
        <w:pStyle w:val="FirstParagraph"/>
      </w:pPr>
      <w:r>
        <w:t xml:space="preserve">Butler defined gender identity as a historical situation, distinguishing between physiological facticity of the body (sex) and the cultural significance of such facticity in terms of gender. Added to this distance between body and identity, Butler speaks of the body as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itself.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 ’woman,’ 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5"/>
      </w:pPr>
      <w:bookmarkStart w:id="244" w:name="subversive-repetition"/>
      <w:r>
        <w:t xml:space="preserve">Subversive Repetition</w:t>
      </w:r>
      <w:bookmarkEnd w:id="244"/>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layerers that deposit themselves in time. Furthermore, within this notion of temporality there is the need for repetition, but a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 these acts are necessarily discontinuous, and it is because of this discontinuity that exists the possibility of gender transformation. In this sense, gender performance is neither linear nor nonlinear. It resides along an anarachic temporality that replaces teleology with the multiplicity of resonant nows. It is an inline iterative function with random breaks.</w:t>
      </w:r>
    </w:p>
    <w:p>
      <w:pPr>
        <w:pStyle w:val="Heading5"/>
      </w:pPr>
      <w:bookmarkStart w:id="245" w:name="gendered-database"/>
      <w:r>
        <w:t xml:space="preserve">Gendered Database</w:t>
      </w:r>
      <w:bookmarkEnd w:id="245"/>
    </w:p>
    <w:p>
      <w:pPr>
        <w:pStyle w:val="FirstParagraph"/>
      </w:pPr>
      <w:r>
        <w:t xml:space="preserve">The database is a collection of facts. It is facticity itself. This is what Butler’s gendered self can teach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human. It is simply a nonhuman fabrication of selfhood: there, around, making its way through the rupture of the permanent condition of performativity to which we (humans and nonhumans) are phenomenologically bound. That is the how the style of the database appears. This nonhuman self, like Butler’s gendered self, is equally</w:t>
      </w:r>
      <w:r>
        <w:t xml:space="preserve"> </w:t>
      </w:r>
      <w:r>
        <w:t xml:space="preserve">‘</w:t>
      </w:r>
      <w:r>
        <w:t xml:space="preserve">outside,</w:t>
      </w:r>
      <w:r>
        <w:t xml:space="preserve">’</w:t>
      </w:r>
      <w:r>
        <w:t xml:space="preserve"> </w:t>
      </w:r>
      <w:r>
        <w:t xml:space="preserve">that is,</w:t>
      </w:r>
      <w:r>
        <w:t xml:space="preserve"> </w:t>
      </w:r>
      <w:r>
        <w:t xml:space="preserve">“</w:t>
      </w:r>
      <w:r>
        <w:t xml:space="preserve">constituted in social discourse</w:t>
      </w:r>
      <w:r>
        <w:t xml:space="preserve">”</w:t>
      </w:r>
      <w:r>
        <w:t xml:space="preserve"> </w:t>
      </w:r>
      <w:r>
        <w:t xml:space="preserve">(Butler 1988, p. 528)</w:t>
      </w:r>
      <w:r>
        <w:t xml:space="preserve">. That is to say, the skin of the database is open for perception outside of itself, and in fact, nothing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Turing himself:</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46" w:name="limits"/>
      <w:r>
        <w:t xml:space="preserve">Towards The Limits</w:t>
      </w:r>
      <w:bookmarkEnd w:id="246"/>
    </w:p>
    <w:p>
      <w:pPr>
        <w:pStyle w:val="Heading5"/>
      </w:pPr>
      <w:bookmarkStart w:id="247" w:name="exposure"/>
      <w:r>
        <w:t xml:space="preserve">Exposure</w:t>
      </w:r>
      <w:bookmarkEnd w:id="247"/>
    </w:p>
    <w:p>
      <w:pPr>
        <w:pStyle w:val="FirstParagraph"/>
      </w:pPr>
      <w:r>
        <w:t xml:space="preserve">The performativity of databasing can be understood in terms of what Nancy calls exposure</w:t>
      </w:r>
      <w:r>
        <w:t xml:space="preserve"> </w:t>
      </w:r>
      <w:r>
        <w:t xml:space="preserve">(Nancy 1991)</w:t>
      </w:r>
      <w:r>
        <w:t xml:space="preserve">. Exposure is the appearance of a limit and the finitud of a singularity. With this limit instantiated in the (public) moment of the performative act, is how communication emerges as that which is in common among singularities. That is to say, because it is itself nothing (</w:t>
      </w:r>
      <w:r>
        <w:t xml:space="preserve">“</w:t>
      </w:r>
      <w:r>
        <w:t xml:space="preserve">neither a ground, nor an essence, nor a substance</w:t>
      </w:r>
      <w:r>
        <w:t xml:space="preserve">”</w:t>
      </w:r>
      <w:r>
        <w:t xml:space="preserve"> </w:t>
      </w:r>
      <w:r>
        <w:t xml:space="preserve">(Nancy 1991, p. 31)</w:t>
      </w:r>
      <w:r>
        <w:t xml:space="preserve">) Nancy considers finitud to just appear in the form of communication:</w:t>
      </w:r>
      <w:r>
        <w:t xml:space="preserve"> </w:t>
      </w:r>
      <w:r>
        <w:t xml:space="preserve">“</w:t>
      </w:r>
      <w:r>
        <w:t xml:space="preserve">it presents itself, it exposes itself, and thus it exists as communication</w:t>
      </w:r>
      <w:r>
        <w:t xml:space="preserve">”</w:t>
      </w:r>
      <w:r>
        <w:t xml:space="preserve"> </w:t>
      </w:r>
      <w:r>
        <w:t xml:space="preserve">(Nancy 1991, p. 31)</w:t>
      </w:r>
      <w:r>
        <w:t xml:space="preserve">. His emphasis on communication as exposure marks a crucial distinction on the concept of community. For Nancy, as I have described above (See</w:t>
      </w:r>
      <w:r>
        <w:t xml:space="preserve"> </w:t>
      </w:r>
      <w:hyperlink w:anchor="inoperativity">
        <w:r>
          <w:rPr>
            <w:rStyle w:val="Hyperlink"/>
          </w:rPr>
          <w:t xml:space="preserve">5.1.4</w:t>
        </w:r>
      </w:hyperlink>
      <w:r>
        <w:t xml:space="preserve">), community cannot come from an instance of work: it emerges as an instance of the communicative action which is</w:t>
      </w:r>
      <w:r>
        <w:t xml:space="preserve"> </w:t>
      </w:r>
      <w:r>
        <w:t xml:space="preserve">“</w:t>
      </w:r>
      <w:r>
        <w:t xml:space="preserve">the unworking of a work that is social, economic, technical, and institutional</w:t>
      </w:r>
      <w:r>
        <w:t xml:space="preserve">”</w:t>
      </w:r>
      <w:r>
        <w:t xml:space="preserve"> </w:t>
      </w:r>
      <w:r>
        <w:t xml:space="preserve">(Nancy 1991, p. 31)</w:t>
      </w:r>
      <w:r>
        <w:t xml:space="preserve">. In other words, the performativity of this communicative act, the publicness and dramatic qualities with which it unfolds, result in exposure. This is why, in the case of databasing, what is exposed at the limit of its performance is the finitud of the database itself. Through this exposition of the limit is how the singularity of the database can be communicated; or, better, through this exposure is how communication expands our concept of community towards one that includes the database as an agent of community itself.</w:t>
      </w:r>
    </w:p>
    <w:p>
      <w:pPr>
        <w:pStyle w:val="Heading5"/>
      </w:pPr>
      <w:bookmarkStart w:id="248" w:name="anarchic-touch"/>
      <w:r>
        <w:t xml:space="preserve">Anarchic Touch</w:t>
      </w:r>
      <w:bookmarkEnd w:id="248"/>
    </w:p>
    <w:p>
      <w:pPr>
        <w:pStyle w:val="FirstParagraph"/>
      </w:pPr>
      <w:r>
        <w:t xml:space="preserve">As Nancy writes,</w:t>
      </w:r>
      <w:r>
        <w:t xml:space="preserve"> </w:t>
      </w:r>
      <w:r>
        <w:t xml:space="preserve">“</w:t>
      </w:r>
      <w:r>
        <w:t xml:space="preserve">a singular being does not emerge or rise up against the background of a chaotic, undifferentiated identity of beings</w:t>
      </w:r>
      <w:r>
        <w:t xml:space="preserve">”</w:t>
      </w:r>
      <w:r>
        <w:t xml:space="preserve"> </w:t>
      </w:r>
      <w:r>
        <w:t xml:space="preserve">(Nancy 1991, p. 28)</w:t>
      </w:r>
      <w:r>
        <w:t xml:space="preserve">. This is to say that, like Butler’s gendered self, there is no substance within singularity. The appearance of a database as finitud comes not from an originary</w:t>
      </w:r>
      <w:r>
        <w:t xml:space="preserve"> </w:t>
      </w:r>
      <w:r>
        <w:rPr>
          <w:i/>
        </w:rPr>
        <w:t xml:space="preserve">archē</w:t>
      </w:r>
      <w:r>
        <w:t xml:space="preserve"> </w:t>
      </w:r>
      <w:r>
        <w:t xml:space="preserve">which would impose its archontic power as is the case of archives. Further, the limit of the database is not instantiated out of the one, a</w:t>
      </w:r>
      <w:r>
        <w:t xml:space="preserve"> </w:t>
      </w:r>
      <w:r>
        <w:t xml:space="preserve">“</w:t>
      </w:r>
      <w:r>
        <w:t xml:space="preserve">unitary assumption</w:t>
      </w:r>
      <w:r>
        <w:t xml:space="preserve">”</w:t>
      </w:r>
      <w:r>
        <w:t xml:space="preserve"> </w:t>
      </w:r>
      <w:r>
        <w:t xml:space="preserve">(Nancy 1991, p. 28)</w:t>
      </w:r>
      <w:r>
        <w:t xml:space="preserve">, or the wholeness of a single one. This finitud does not come from intentionality or any essentialist notions: it simply appears, for Nancy, in the form of touch:</w:t>
      </w:r>
      <w:r>
        <w:t xml:space="preserve"> </w:t>
      </w:r>
      <w:r>
        <w:t xml:space="preserve">“</w:t>
      </w:r>
      <w:r>
        <w:t xml:space="preserve">…as finitude itself: at the end (or at the beginning), with the contact of the</w:t>
      </w:r>
      <w:r>
        <w:t xml:space="preserve"> </w:t>
      </w:r>
      <w:r>
        <w:rPr>
          <w:i/>
        </w:rPr>
        <w:t xml:space="preserve">skin</w:t>
      </w:r>
      <w:r>
        <w:t xml:space="preserve"> </w:t>
      </w:r>
      <w:r>
        <w:t xml:space="preserve">(or the heart) of another singular being, at the confines of the same singularity that is, as such, always other, always shared, always exposed…</w:t>
      </w:r>
      <w:r>
        <w:t xml:space="preserve">”</w:t>
      </w:r>
      <w:r>
        <w:t xml:space="preserve"> </w:t>
      </w:r>
      <w:r>
        <w:t xml:space="preserve">[emphasis added]</w:t>
      </w:r>
      <w:r>
        <w:t xml:space="preserve"> </w:t>
      </w:r>
      <w:r>
        <w:t xml:space="preserve">(Nancy 1991, p. 28)</w:t>
      </w:r>
      <w:r>
        <w:t xml:space="preserve">. The temporality of this touch, like that of gender, is anarchic.</w:t>
      </w:r>
    </w:p>
    <w:p>
      <w:pPr>
        <w:pStyle w:val="Heading5"/>
      </w:pPr>
      <w:bookmarkStart w:id="249" w:name="communities-of-skin"/>
      <w:r>
        <w:t xml:space="preserve">Communities of Skin</w:t>
      </w:r>
      <w:bookmarkEnd w:id="249"/>
    </w:p>
    <w:p>
      <w:pPr>
        <w:pStyle w:val="FirstParagraph"/>
      </w:pPr>
      <w:r>
        <w:t xml:space="preserve">The limit of the database, as performative, spectral skin, is the condition for community to emerges between the human and the nonhuman. This means that the agency locus of the database needs to be placed precisely on its skin, because it is what becomes public of itself. In other words, given that this skin is available to the perception of others, it becomes touchable, it reaches our own limit as databasers. By doing so, that is, by exposing our own limits to ourselves and to each other, the database changes our definition, or, better, delimits the extent of our own singularity. However, this does not mean that it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—or, more accurately, anything that is not</w:t>
      </w:r>
      <w:r>
        <w:t xml:space="preserve"> </w:t>
      </w:r>
      <w:r>
        <w:t xml:space="preserve">‘</w:t>
      </w:r>
      <w:r>
        <w:t xml:space="preserve">man.</w:t>
      </w:r>
      <w:r>
        <w:t xml:space="preserve">’</w:t>
      </w:r>
      <w:r>
        <w:t xml:space="preserve"> </w:t>
      </w:r>
      <w:r>
        <w:t xml:space="preserve">As Nancy rightfully claims,</w:t>
      </w:r>
      <w:r>
        <w:t xml:space="preserve"> </w:t>
      </w:r>
      <w:r>
        <w:t xml:space="preserve">“</w:t>
      </w:r>
      <w:r>
        <w:t xml:space="preserve"> </w:t>
      </w:r>
      <w:r>
        <w:t xml:space="preserve">it is not obvious that the community of singularities is limited to</w:t>
      </w:r>
      <w:r>
        <w:t xml:space="preserve"> </w:t>
      </w:r>
      <w:r>
        <w:t xml:space="preserve">‘</w:t>
      </w:r>
      <w:r>
        <w:t xml:space="preserve">man</w:t>
      </w:r>
      <w:r>
        <w:t xml:space="preserve">’</w:t>
      </w:r>
      <w:r>
        <w:t xml:space="preserve">”</w:t>
      </w:r>
      <w:r>
        <w:t xml:space="preserve"> </w:t>
      </w:r>
      <w:r>
        <w:t xml:space="preserve">(Nancy 1991, p. 28)</w:t>
      </w:r>
      <w:r>
        <w:t xml:space="preserve">.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a resonant spectrality. This is the community of resonance, the community of the resonant network, which has no purpose, no intentionality behind, no essence; only appearance and motility, performance and repetition: an activity that is the unworking with which community exposes itself.</w:t>
      </w:r>
    </w:p>
    <w:p>
      <w:pPr>
        <w:pStyle w:val="Heading5"/>
      </w:pPr>
      <w:bookmarkStart w:id="250" w:name="hybrid-pluralities"/>
      <w:r>
        <w:t xml:space="preserve">Hybrid Pluralities</w:t>
      </w:r>
      <w:bookmarkEnd w:id="250"/>
    </w:p>
    <w:p>
      <w:pPr>
        <w:pStyle w:val="FirstParagraph"/>
      </w:pPr>
      <w:r>
        <w:t xml:space="preserve">Database models tend to reside next to each other, either within a single database system or within an interconnected networked system. With this plurality of the model,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resonanting in such performativity, databasers approach (but do not reach) the limit of the database. This approach to the skin of the database exposes simultaneously the skin of the databaser to the database. What this exposure amounts to is not, however, an opposition of forces. It results in the fragmented state of community that resides in the different degrees of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51" w:name="style"/>
      <w:r>
        <w:t xml:space="preserve">Contingencies Of Style</w:t>
      </w:r>
      <w:bookmarkEnd w:id="251"/>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itself. Databasing projects its own style as a result of its performance, and through this projection comes the exposure of its skin. The</w:t>
      </w:r>
      <w:r>
        <w:t xml:space="preserve"> </w:t>
      </w:r>
      <w:r>
        <w:t xml:space="preserve">“</w:t>
      </w:r>
      <w:r>
        <w:t xml:space="preserve">stylistic repetition of acts</w:t>
      </w:r>
      <w:r>
        <w:t xml:space="preserve">”</w:t>
      </w:r>
      <w:r>
        <w:t xml:space="preserve"> </w:t>
      </w:r>
      <w:r>
        <w:t xml:space="preserve">in the dramatic case of the gendered database is now revealed as style itself. Like skin and voice, singularity emerges as style and timbre.</w:t>
      </w:r>
    </w:p>
    <w:p>
      <w:pPr>
        <w:pStyle w:val="Heading5"/>
      </w:pPr>
      <w:bookmarkStart w:id="252" w:name="style-and-timbre"/>
      <w:r>
        <w:t xml:space="preserve">Style and Timbre</w:t>
      </w:r>
      <w:bookmarkEnd w:id="252"/>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itself, hence resulting in the style of a certain text, or, for that matter, a programming style, or even the style of an author. Beyond writing, style becomes the way in which the body moves, how it looks, whether it is human or nonhuman: the style of a music work, the style of a composer; and beyond, the style of an entire musical period, thus extending style in time and space. Most important,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itself: timbre. That is to say, style and timbre can be understood equally as the presence of the singular: the signature that comes with the unique and irreproducible timbral quality:</w:t>
      </w:r>
      <w:r>
        <w:rPr>
          <w:rStyle w:val="FootnoteReference"/>
        </w:rPr>
        <w:footnoteReference w:id="253"/>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5"/>
      </w:pPr>
      <w:bookmarkStart w:id="254" w:name="endless-databases"/>
      <w:r>
        <w:t xml:space="preserve">Endless Databases</w:t>
      </w:r>
      <w:bookmarkEnd w:id="254"/>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4.2.2</w:t>
        </w:r>
      </w:hyperlink>
      <w:r>
        <w:t xml:space="preserve">). Considering databasing as chaotic systems brings yet another aspect to the contingency of style.</w:t>
      </w:r>
    </w:p>
    <w:p>
      <w:pPr>
        <w:pStyle w:val="Heading5"/>
      </w:pPr>
      <w:bookmarkStart w:id="255" w:name="database-and-chaos"/>
      <w:r>
        <w:t xml:space="preserve">Database and Chaos</w:t>
      </w:r>
      <w:bookmarkEnd w:id="255"/>
    </w:p>
    <w:p>
      <w:pPr>
        <w:pStyle w:val="FirstParagraph"/>
      </w:pPr>
      <w:r>
        <w:t xml:space="preserve">Given that this style can be considered as an emergent singularity of databasing, this singularity can be considered as well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which is also related to the concept of the</w:t>
      </w:r>
      <w:r>
        <w:t xml:space="preserve"> </w:t>
      </w:r>
      <w:r>
        <w:t xml:space="preserve">‘</w:t>
      </w:r>
      <w:r>
        <w:t xml:space="preserve">butterfly effect</w:t>
      </w:r>
      <w:r>
        <w:t xml:space="preserve">’</w:t>
      </w:r>
      <w:r>
        <w:t xml:space="preserve"> </w:t>
      </w:r>
      <w:r>
        <w:t xml:space="preserve">(See Figure</w:t>
      </w:r>
      <w:r>
        <w:t xml:space="preserve"> </w:t>
      </w:r>
      <w:hyperlink w:anchor="img:lorenz_plotter">
        <w:r>
          <w:rPr>
            <w:rStyle w:val="Hyperlink"/>
          </w:rPr>
          <w:t xml:space="preserve">[img:lorenz_plotter]</w:t>
        </w:r>
      </w:hyperlink>
      <w:r>
        <w:t xml:space="preserve">). The Lorenz attractor is a dynamic system, which means that it can render very different and quite unpredictable results by minimal changes on their initial conditions, despite the fact that it is indeed a deterministic system. Furthermore, a graph of a dynamic systems presents fractal properties. Considering, thus, databasing as a dynamic system, on the one hand, two performances can be exactly the same if given the same initial conditions and states. This is the case, for example, of the performance of fixed media (digital) works, which at least at the sample level, every bit of it is exactly the same of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56"/>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57" w:name="img:lorenz_plotter"/>
      <w:r>
        <w:t xml:space="preserve">[img:lorenz_plotter]</w:t>
      </w:r>
      <w:bookmarkEnd w:id="257"/>
    </w:p>
    <w:p>
      <w:pPr>
        <w:pStyle w:val="BodyText"/>
      </w:pPr>
      <w:r>
        <w:t xml:space="preserve">Plotting of the Lorenz system in Pure Data.</w:t>
      </w:r>
    </w:p>
    <w:p>
      <w:pPr>
        <w:pStyle w:val="Heading5"/>
      </w:pPr>
      <w:bookmarkStart w:id="258" w:name="fractality"/>
      <w:r>
        <w:t xml:space="preserve">Fractality</w:t>
      </w:r>
      <w:bookmarkEnd w:id="258"/>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itself, which is the possibility condition for the resonant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On the one hand, because of the fractal dimension, it expands the definition of geometric figures to the infinite. On the other, it presents an unfolding symmetry (self-similarity), which relates to their shapes being replicated nearly exactly in different scales.</w:t>
      </w:r>
    </w:p>
    <w:p>
      <w:pPr>
        <w:pStyle w:val="Heading5"/>
      </w:pPr>
      <w:bookmarkStart w:id="259" w:name="a-music-work-as-a-singularity"/>
      <w:r>
        <w:t xml:space="preserve">A Music Work as a Singularity</w:t>
      </w:r>
      <w:bookmarkEnd w:id="259"/>
    </w:p>
    <w:p>
      <w:pPr>
        <w:pStyle w:val="FirstParagraph"/>
      </w:pPr>
      <w:r>
        <w:t xml:space="preserve">This aesthetic experience, it must be noted, is of a nature that slips through the cracks of traditional conceptualizations of the work of music as a result of stylistic, or stipulated constraints on the part of the composer, or stochastic procedures. For example, composer Horacio Vaggione goes to great lengths to prove that the musical work affirms itself as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had reshaped the black-boxed approach towards composition in</w:t>
      </w:r>
      <w:r>
        <w:t xml:space="preserve"> </w:t>
      </w:r>
      <w:r>
        <w:t xml:space="preserve">cac</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for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Adorno was of course conscious of this dialectic: his statement about sound material considered not as something</w:t>
      </w:r>
      <w:r>
        <w:t xml:space="preserve"> </w:t>
      </w:r>
      <w:r>
        <w:t xml:space="preserve">“</w:t>
      </w:r>
      <w:r>
        <w:t xml:space="preserve">given</w:t>
      </w:r>
      <w:r>
        <w:t xml:space="preserve">”</w:t>
      </w:r>
      <w:r>
        <w:t xml:space="preserve"> </w:t>
      </w:r>
      <w:r>
        <w:t xml:space="preserve">but as a</w:t>
      </w:r>
      <w:r>
        <w:t xml:space="preserve"> </w:t>
      </w:r>
      <w:r>
        <w:t xml:space="preserve">“</w:t>
      </w:r>
      <w:r>
        <w:t xml:space="preserve">result</w:t>
      </w:r>
      <w:r>
        <w:t xml:space="preserve">”</w:t>
      </w:r>
      <w:r>
        <w:t xml:space="preserve"> </w:t>
      </w:r>
      <w:r>
        <w:t xml:space="preserve">of a musical thesis clearly points to this fact. [emphasis added]</w:t>
      </w:r>
      <w:r>
        <w:t xml:space="preserve"> </w:t>
      </w:r>
      <w:r>
        <w:t xml:space="preserve">(Vaggione 2001, p. 59)</w:t>
      </w:r>
    </w:p>
    <w:p>
      <w:pPr>
        <w:pStyle w:val="Heading5"/>
      </w:pPr>
      <w:bookmarkStart w:id="260" w:name="arbitrariness"/>
      <w:r>
        <w:t xml:space="preserve">Arbitrariness</w:t>
      </w:r>
      <w:bookmarkEnd w:id="260"/>
    </w:p>
    <w:p>
      <w:pPr>
        <w:pStyle w:val="FirstParagraph"/>
      </w:pPr>
      <w:r>
        <w:t xml:space="preserve">Despite the fact that, distinguishing between rules and constraints, that is, between socially and historically established canons —as stylistic conventions—, and locally established postulates to be carried out by the composer —as constraints—, is crucial in defining style in databasing, at the same time both ends collapse into the realm of arbitrariness that composition is made of, for, if any</w:t>
      </w:r>
      <w:r>
        <w:t xml:space="preserve"> </w:t>
      </w:r>
      <w:r>
        <w:t xml:space="preserve">“</w:t>
      </w:r>
      <w:r>
        <w:t xml:space="preserve">primitive</w:t>
      </w:r>
      <w:r>
        <w:t xml:space="preserve">”</w:t>
      </w:r>
      <w:r>
        <w:t xml:space="preserve"> </w:t>
      </w:r>
      <w:r>
        <w:t xml:space="preserve">of the composition is indeed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That is to say, given that style is the contingent skin that emerges out of the performative action of databasing, if it were considered productively, that is, in terms of a targeted object towards which work is oriented, then it would only result in closure, in a closed object, and thus, it cannot be considered contingent, precisely because it is stipulated from the start as a law to which every composable element abides. This is the case of, in Vaggione’s sense, formalized processes which act as global laws, and in which —comparing it with a marching army following the one-two directive:</w:t>
      </w:r>
      <w:r>
        <w:t xml:space="preserve"> </w:t>
      </w:r>
      <w:r>
        <w:t xml:space="preserve">“</w:t>
      </w:r>
      <w:r>
        <w:t xml:space="preserve">no singularities —and hence no specific formal (relational) properties— are here allowed</w:t>
      </w:r>
      <w:r>
        <w:t xml:space="preserve">”</w:t>
      </w:r>
      <w:r>
        <w:t xml:space="preserve"> </w:t>
      </w:r>
      <w:r>
        <w:t xml:space="preserve">(Vaggione 1993, p. 101)</w:t>
      </w:r>
      <w:r>
        <w:t xml:space="preserve">.</w:t>
      </w:r>
    </w:p>
    <w:p>
      <w:pPr>
        <w:pStyle w:val="Heading5"/>
      </w:pPr>
      <w:bookmarkStart w:id="261" w:name="inoperative-style"/>
      <w:r>
        <w:t xml:space="preserve">Inoperative Style</w:t>
      </w:r>
      <w:bookmarkEnd w:id="261"/>
    </w:p>
    <w:p>
      <w:pPr>
        <w:pStyle w:val="FirstParagraph"/>
      </w:pPr>
      <w:r>
        <w:t xml:space="preserve">However, if style is understood as inoperative, that is, as the unfolding of the performative act of composition, which implies equally the</w:t>
      </w:r>
      <w:r>
        <w:t xml:space="preserve"> </w:t>
      </w:r>
      <w:r>
        <w:t xml:space="preserve">‘</w:t>
      </w:r>
      <w:r>
        <w:t xml:space="preserve">composability</w:t>
      </w:r>
      <w:r>
        <w:t xml:space="preserve">’</w:t>
      </w:r>
      <w:r>
        <w:t xml:space="preserve"> </w:t>
      </w:r>
      <w:r>
        <w:t xml:space="preserve">of all primitives, then, its contingency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Like the marks on our skin, like its wounds; like the cracks of an old house, like debris, wreckages, or any form of residual mark that is the evidence of an event; with forensic intimacy, the contingent style of a musical unwork reveals itself as communication. This is what connects aesthetic experience of style with forensic (musical) analysis as well as with an encounter with the spectral. Furthermore, this is how the spectral itself cannot be but a result of the inoperative, of that which escapes the limits of the work, and that which, by releasing itself from itself, returns to itself like the timbre of the voice. This voice of the unwork is what is</w:t>
      </w:r>
      <w:r>
        <w:t xml:space="preserve"> </w:t>
      </w:r>
      <w:r>
        <w:t xml:space="preserve">‘</w:t>
      </w:r>
      <w:r>
        <w:t xml:space="preserve">invisible</w:t>
      </w:r>
      <w:r>
        <w:t xml:space="preserve">’</w:t>
      </w:r>
      <w:r>
        <w:t xml:space="preserve"> </w:t>
      </w:r>
      <w:r>
        <w:t xml:space="preserve">to it, or better, it is what it can never listen, and in being hidden or silenced from itself is how it becomes available for listening, what begins listening at the first staging of the waves.</w:t>
      </w:r>
    </w:p>
    <w:p>
      <w:pPr>
        <w:pStyle w:val="Heading3"/>
      </w:pPr>
      <w:bookmarkStart w:id="262" w:name="authority"/>
      <w:r>
        <w:t xml:space="preserve">A Specter Of Authority</w:t>
      </w:r>
      <w:bookmarkEnd w:id="262"/>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exploded as network by the complexity of the system. However, authority is reified into the name because of the interplay among work, productivity, and product. In this section I attempt an approach to the name 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5.1.3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5"/>
      </w:pPr>
      <w:bookmarkStart w:id="263" w:name="the-name"/>
      <w:r>
        <w:t xml:space="preserve">The Name</w:t>
      </w:r>
      <w:bookmarkEnd w:id="263"/>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64"/>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5.2.2</w:t>
        </w:r>
      </w:hyperlink>
      <w:r>
        <w:t xml:space="preserve">), authority can be seen as the illusory resonance of an author. It is this illusion that I attempt to address here, this ghost which haunts music composition.</w:t>
      </w:r>
    </w:p>
    <w:p>
      <w:pPr>
        <w:pStyle w:val="Heading5"/>
      </w:pPr>
      <w:bookmarkStart w:id="265" w:name="dictionaries"/>
      <w:r>
        <w:t xml:space="preserve">Dictionaries</w:t>
      </w:r>
      <w:bookmarkEnd w:id="265"/>
    </w:p>
    <w:p>
      <w:pPr>
        <w:pStyle w:val="FirstParagraph"/>
      </w:pPr>
      <w:r>
        <w:t xml:space="preserve">Consider how style is used in some cases of</w:t>
      </w:r>
      <w:r>
        <w:t xml:space="preserve"> </w:t>
      </w:r>
      <w:r>
        <w:t xml:space="preserve">cac</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w:t>
      </w:r>
      <w:r>
        <w:t xml:space="preserve"> </w:t>
      </w:r>
      <w:r>
        <w:t xml:space="preserve">emi</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hirearchical,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5"/>
      </w:pPr>
      <w:bookmarkStart w:id="266" w:name="artistry"/>
      <w:r>
        <w:t xml:space="preserve">Artistry</w:t>
      </w:r>
      <w:bookmarkEnd w:id="266"/>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(or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67"/>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abundandy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it is a point of departure to think of a branch of Argentinian electroacoustic identity that developed in France.</w:t>
      </w:r>
      <w:r>
        <w:rPr>
          <w:rStyle w:val="FootnoteReference"/>
        </w:rPr>
        <w:footnoteReference w:id="268"/>
      </w:r>
    </w:p>
    <w:p>
      <w:pPr>
        <w:pStyle w:val="Heading5"/>
      </w:pPr>
      <w:bookmarkStart w:id="269" w:name="the-work-of-mice"/>
      <w:r>
        <w:t xml:space="preserve">The Work of Mice</w:t>
      </w:r>
      <w:bookmarkEnd w:id="269"/>
    </w:p>
    <w:p>
      <w:pPr>
        <w:pStyle w:val="FirstParagraph"/>
      </w:pPr>
      <w:r>
        <w:t xml:space="preserve">Instead of being on the rule-based programming of formalization processes alone (keyboard-based input), the artistry of the composer resides in the use of the mouse. The timeline (sequence interface) workflow depends on the pointer. If the presence of the hand of the composer is evidenced by the trajectory (the course of the cursor), it shapes together with the historial of clicks, drag-n-drop motions, etc., the spectral presence of the author. This mouse, as the point of the pointer, the writing device, the ’stilus’, becomes that with which we resonate as listeners. Therefore, we perceive the marks of an authorial skin in the database music of pointers. The Vaggionian singularity-based approach to authority embeds composers and computers in a complex system, allowing for the world of music with computers to be a hybrid one. This is how the specter of the author coexists with the specter of the database, and thus, how databasing and composition reveal themselves to be instances of a performativity that resonates aesthetically through the work of music.</w:t>
      </w:r>
    </w:p>
    <w:p>
      <w:pPr>
        <w:pStyle w:val="Heading2"/>
      </w:pPr>
      <w:bookmarkStart w:id="270" w:name="section:Rethinking_Composition"/>
      <w:r>
        <w:t xml:space="preserve">Rethinking Composition</w:t>
      </w:r>
      <w:bookmarkEnd w:id="270"/>
    </w:p>
    <w:p>
      <w:pPr>
        <w:pStyle w:val="Heading3"/>
      </w:pPr>
      <w:bookmarkStart w:id="271" w:name="performance"/>
      <w:r>
        <w:t xml:space="preserve">Interlude: Hyperbolic Reactions</w:t>
      </w:r>
      <w:bookmarkEnd w:id="271"/>
    </w:p>
    <w:p>
      <w:pPr>
        <w:pStyle w:val="Heading5"/>
      </w:pPr>
      <w:bookmarkStart w:id="272" w:name="imagining-composers"/>
      <w:r>
        <w:t xml:space="preserve">Imagining Composers</w:t>
      </w:r>
      <w:bookmarkEnd w:id="272"/>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anachronic and obtrusive; anachronic, since the romantic quality of the scene would point to the fact that personal desktop computers were not available until late in the 20th century; obtrusive, in the sense that it would attempt against this composer, by interfering with the</w:t>
      </w:r>
      <w:r>
        <w:t xml:space="preserve"> </w:t>
      </w:r>
      <w:r>
        <w:t xml:space="preserve">‘</w:t>
      </w:r>
      <w:r>
        <w:t xml:space="preserve">ethereal</w:t>
      </w:r>
      <w:r>
        <w:t xml:space="preserve">’</w:t>
      </w:r>
      <w:r>
        <w:t xml:space="preserve"> </w:t>
      </w:r>
      <w:r>
        <w:t xml:space="preserve">link between imagination and notation. This reification of the composer already precludes not only the digital, also the many technological devices that have entered music composition over the years, such as tape recorders, or electronics in general. These technological devices have redefined the composer in many ways.</w:t>
      </w:r>
    </w:p>
    <w:p>
      <w:pPr>
        <w:pStyle w:val="Heading5"/>
      </w:pPr>
      <w:bookmarkStart w:id="273" w:name="composers-and-technology"/>
      <w:r>
        <w:t xml:space="preserve">Composers and Technology</w:t>
      </w:r>
      <w:bookmarkEnd w:id="273"/>
    </w:p>
    <w:p>
      <w:pPr>
        <w:pStyle w:val="FirstParagraph"/>
      </w:pPr>
      <w:r>
        <w:t xml:space="preserve">Georgina Born’s ethnography of</w:t>
      </w:r>
      <w:r>
        <w:t xml:space="preserve"> </w:t>
      </w:r>
      <w:r>
        <w:t xml:space="preserve">ircam</w:t>
      </w:r>
      <w:r>
        <w:t xml:space="preserve"> </w:t>
      </w:r>
      <w:r>
        <w:t xml:space="preserve">(Born 1995)</w:t>
      </w:r>
      <w:r>
        <w:t xml:space="preserve">, 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describes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knowing what they were doing or even whether they were working at all</w:t>
      </w:r>
      <w:r>
        <w:t xml:space="preserve">”</w:t>
      </w:r>
      <w:r>
        <w:t xml:space="preserve"> </w:t>
      </w:r>
      <w:r>
        <w:t xml:space="preserve">(Born 1995, p. 272)</w:t>
      </w:r>
      <w:r>
        <w:t xml:space="preserve">.</w:t>
      </w:r>
    </w:p>
    <w:p>
      <w:pPr>
        <w:pStyle w:val="Heading5"/>
      </w:pPr>
      <w:bookmarkStart w:id="274" w:name="playing-with-shadows"/>
      <w:r>
        <w:t xml:space="preserve">Playing with Shadows</w:t>
      </w:r>
      <w:bookmarkEnd w:id="274"/>
    </w:p>
    <w:p>
      <w:pPr>
        <w:pStyle w:val="FirstParagraph"/>
      </w:pPr>
      <w:r>
        <w:t xml:space="preserve">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anyone but Boulez on her transcriptions might attest to this shadow. The music maker has been traditionally considered an outsider, marginalized by society, but simultaneously an integrator of society itself</w:t>
      </w:r>
      <w:r>
        <w:t xml:space="preserve"> </w:t>
      </w:r>
      <w:r>
        <w:t xml:space="preserve">(Attali 2009, p. 12)</w:t>
      </w:r>
      <w:r>
        <w:t xml:space="preserve">. On the other hand, this shadow might also be that of the computer itself, the structural presence of a fictional intelligence constructed upon first wave cybernetics. That is to say, precisely because the computer projects an insurmountable power that comes from its calculations, the human is inevitably bound to be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as well as the reversal of the human-computer subordination evidenced in the social strata of the institution. In any case,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5"/>
      </w:pPr>
      <w:bookmarkStart w:id="275" w:name="composers-without-computers"/>
      <w:r>
        <w:t xml:space="preserve">Composers Without Computers</w:t>
      </w:r>
      <w:bookmarkEnd w:id="275"/>
    </w:p>
    <w:p>
      <w:pPr>
        <w:pStyle w:val="FirstParagraph"/>
      </w:pPr>
      <w:r>
        <w:t xml:space="preserve">Composing with or without computers cannot be seen as poles on a continuum upon which the name of the composer writes and rewrites itself. Composing cannot be separated from computers, because the human cannot be separated from the non. At the risk of drawing a straw-man out of this computer-less composer, it is very unlikely in today’s world to imagine a composer that has not googled</w:t>
      </w:r>
      <w:r>
        <w:t xml:space="preserve"> </w:t>
      </w:r>
      <w:r>
        <w:t xml:space="preserve">‘</w:t>
      </w:r>
      <w:r>
        <w:t xml:space="preserve">clarinet multiphonics</w:t>
      </w:r>
      <w:r>
        <w:t xml:space="preserve">’</w:t>
      </w:r>
      <w:r>
        <w:t xml:space="preserve"> </w:t>
      </w:r>
      <w:r>
        <w:t xml:space="preserve">for more than a few YouTube tutorials on the topic. The same can be said for digitized music listening, which,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 composer, that would not need the human to write music.</w:t>
      </w:r>
    </w:p>
    <w:p>
      <w:pPr>
        <w:pStyle w:val="Heading5"/>
      </w:pPr>
      <w:bookmarkStart w:id="276" w:name="databasing-without-computers"/>
      <w:r>
        <w:t xml:space="preserve">Databasing Without Computers</w:t>
      </w:r>
      <w:bookmarkEnd w:id="276"/>
    </w:p>
    <w:p>
      <w:pPr>
        <w:pStyle w:val="FirstParagraph"/>
      </w:pPr>
      <w:r>
        <w:t xml:space="preserve">The same applies to databasing itself. Removing computers altogether from databasing takes us to the world of libraries, encyclopedias, collectors, gatherers. Most important, it takes us to the place databasing occupies within society: to museums, but also to the dynamics of civilization, to church, put simply: to institutionalization itself. That is to say, it relates performance with the archontic, with the oedipal drive to re-place (See</w:t>
      </w:r>
      <w:r>
        <w:t xml:space="preserve"> </w:t>
      </w:r>
      <w:hyperlink w:anchor="archontic">
        <w:r>
          <w:rPr>
            <w:rStyle w:val="Hyperlink"/>
          </w:rPr>
          <w:t xml:space="preserve">5.2.2</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4.1.7</w:t>
        </w:r>
      </w:hyperlink>
      <w:r>
        <w:t xml:space="preserve">), and the only possible storage medium would be his memory. Hopefully, the reader would consider this resort to hyperbolic fictions less as a means of justification of the hybrid condition of composition and databasing, and more as an absurd parenthesis that brings nothing of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of their validity, only in terms of their definition, which, for the purposes of this text, is understood as built upon organicist notions of the human: the human as the one, indivisible, complete whole. These notions are precisely those that help reify the image of the composer in its essentiality.</w:t>
      </w:r>
    </w:p>
    <w:p>
      <w:pPr>
        <w:pStyle w:val="Heading3"/>
      </w:pPr>
      <w:bookmarkStart w:id="277" w:name="organic"/>
      <w:r>
        <w:t xml:space="preserve">Working Composition</w:t>
      </w:r>
      <w:bookmarkEnd w:id="277"/>
    </w:p>
    <w:p>
      <w:pPr>
        <w:pStyle w:val="BlockText"/>
      </w:pPr>
      <w:r>
        <w:t xml:space="preserve">And the listening in question here is not that of a given listener, or of a category of listeners one has to take into account; it is rather structural listening in Adorno’s sense —or even, beyond Adorno, a</w:t>
      </w:r>
      <w:r>
        <w:t xml:space="preserve"> </w:t>
      </w:r>
      <w:r>
        <w:rPr>
          <w:i/>
        </w:rPr>
        <w:t xml:space="preserve">listening without listener in which the work listens to itself</w:t>
      </w:r>
      <w:r>
        <w:t xml:space="preserve">. …we hear an organicist concept of the work being strongly articulated [by Schoenberg] (where the work is a whole that doesn’t allow any cuts) and a regime of listening whose ultimate, ideal aim is the absorption or resorption of the listener in the work. A listener who is somewhat distracted, inattentive, who would skip over a few tracks daydreaming —</w:t>
      </w:r>
      <w:r>
        <w:rPr>
          <w:i/>
        </w:rPr>
        <w:t xml:space="preserve">such a listener could fall away like a dead limb</w:t>
      </w:r>
      <w:r>
        <w:t xml:space="preserve">.</w:t>
      </w:r>
      <w:r>
        <w:t xml:space="preserve"> </w:t>
      </w:r>
      <w:r>
        <w:rPr>
          <w:i/>
        </w:rPr>
        <w:t xml:space="preserve">Useless</w:t>
      </w:r>
      <w:r>
        <w:t xml:space="preserve">. Bringing nothing to the great corpus of the work. This organicism, in the radical (or structural) tendency that Schoenberg gives it, forms the cornerstone of the construction of a modernist regime of listening. [emphasis added]</w:t>
      </w:r>
      <w:r>
        <w:t xml:space="preserve"> </w:t>
      </w:r>
      <w:r>
        <w:t xml:space="preserve">(Szendy 2008, p. 127)</w:t>
      </w:r>
    </w:p>
    <w:p>
      <w:pPr>
        <w:pStyle w:val="FirstParagraph"/>
      </w:pPr>
      <w:r>
        <w:t xml:space="preserve">In Peter Szendy’s discussion on Schoenberg’s modern organicism and what he calls</w:t>
      </w:r>
      <w:r>
        <w:t xml:space="preserve"> </w:t>
      </w:r>
      <w:r>
        <w:t xml:space="preserve">“</w:t>
      </w:r>
      <w:r>
        <w:t xml:space="preserve">the modernist regime of listening</w:t>
      </w:r>
      <w:r>
        <w:t xml:space="preserve">”</w:t>
      </w:r>
      <w:r>
        <w:t xml:space="preserve"> </w:t>
      </w:r>
      <w:r>
        <w:t xml:space="preserve">(Szendy 2008)</w:t>
      </w:r>
      <w:r>
        <w:t xml:space="preserve">,</w:t>
      </w:r>
      <w:r>
        <w:t xml:space="preserve"> </w:t>
      </w:r>
      <w:r>
        <w:t xml:space="preserve">‘</w:t>
      </w:r>
      <w:r>
        <w:t xml:space="preserve">listening</w:t>
      </w:r>
      <w:r>
        <w:t xml:space="preserve">’</w:t>
      </w:r>
      <w:r>
        <w:t xml:space="preserve"> </w:t>
      </w:r>
      <w:r>
        <w:t xml:space="preserve">and</w:t>
      </w:r>
      <w:r>
        <w:t xml:space="preserve"> </w:t>
      </w:r>
      <w:r>
        <w:t xml:space="preserve">‘</w:t>
      </w:r>
      <w:r>
        <w:t xml:space="preserve">work</w:t>
      </w:r>
      <w:r>
        <w:t xml:space="preserve">’</w:t>
      </w:r>
      <w:r>
        <w:t xml:space="preserve"> </w:t>
      </w:r>
      <w:r>
        <w:t xml:space="preserve">collapse into each other, and the problem of the music work can be articulated. The image of the composer and the practice of composition can be understood differently, and by extension, databasing will be reconfigured as well, and the database as that which is a product (or work) of databasing will in turn be seen differently.</w:t>
      </w:r>
    </w:p>
    <w:p>
      <w:pPr>
        <w:pStyle w:val="Heading5"/>
      </w:pPr>
      <w:bookmarkStart w:id="278" w:name="the-work-problem"/>
      <w:r>
        <w:t xml:space="preserve">The Work Problem</w:t>
      </w:r>
      <w:bookmarkEnd w:id="278"/>
    </w:p>
    <w:p>
      <w:pPr>
        <w:pStyle w:val="FirstParagraph"/>
      </w:pPr>
      <w:r>
        <w:t xml:space="preserve">In what does this articulation of the problem of the music work consist of? First of all, why is it a problem? As Szendy suggests with the metaphor of the the self-amputation of the listener, we as the body of listeners (the listening body) would be severed. Put differently, listening itself would be delineated from outside itself. That is to say, with the presence of an object (music work) which, in its interest of perfecting, polishing, and thus giving itself a</w:t>
      </w:r>
      <w:r>
        <w:t xml:space="preserve"> </w:t>
      </w:r>
      <w:r>
        <w:t xml:space="preserve">‘</w:t>
      </w:r>
      <w:r>
        <w:t xml:space="preserve">finish,</w:t>
      </w:r>
      <w:r>
        <w:t xml:space="preserve">’</w:t>
      </w:r>
      <w:r>
        <w:t xml:space="preserve"> </w:t>
      </w:r>
      <w:r>
        <w:t xml:space="preserve">would shape and reshape listening until an ideal listening was achieved. The work would work out listening as work. This is the point: the moment the work of music begins to act as</w:t>
      </w:r>
      <w:r>
        <w:t xml:space="preserve"> </w:t>
      </w:r>
      <w:r>
        <w:t xml:space="preserve">‘</w:t>
      </w:r>
      <w:r>
        <w:t xml:space="preserve">work</w:t>
      </w:r>
      <w:r>
        <w:t xml:space="preserve">’</w:t>
      </w:r>
      <w:r>
        <w:t xml:space="preserve"> </w:t>
      </w:r>
      <w:r>
        <w:t xml:space="preserve">itself, its listening is worked out as well, not by the physicality of the waves in media, nor by the virtuality of perception, but by the concept of</w:t>
      </w:r>
      <w:r>
        <w:t xml:space="preserve"> </w:t>
      </w:r>
      <w:r>
        <w:t xml:space="preserve">‘</w:t>
      </w:r>
      <w:r>
        <w:t xml:space="preserve">work</w:t>
      </w:r>
      <w:r>
        <w:t xml:space="preserve">’</w:t>
      </w:r>
      <w:r>
        <w:t xml:space="preserve"> </w:t>
      </w:r>
      <w:r>
        <w:t xml:space="preserve">itself. The</w:t>
      </w:r>
      <w:r>
        <w:t xml:space="preserve"> </w:t>
      </w:r>
      <w:r>
        <w:t xml:space="preserve">“</w:t>
      </w:r>
      <w:r>
        <w:t xml:space="preserve">modern regime of listening</w:t>
      </w:r>
      <w:r>
        <w:t xml:space="preserve">”</w:t>
      </w:r>
      <w:r>
        <w:t xml:space="preserve"> </w:t>
      </w:r>
      <w:r>
        <w:t xml:space="preserve">played this through and through, shaping its listeners into an idealized listener. In this sense, this listener displays a measured listening, tailored, developed into different degrees of listening like a</w:t>
      </w:r>
      <w:r>
        <w:t xml:space="preserve"> </w:t>
      </w:r>
      <w:r>
        <w:rPr>
          <w:i/>
        </w:rPr>
        <w:t xml:space="preserve">gradus ad auscultare</w:t>
      </w:r>
      <w:r>
        <w:t xml:space="preserve">, one existing beyond any psychoacoustic measuring.</w:t>
      </w:r>
    </w:p>
    <w:p>
      <w:pPr>
        <w:pStyle w:val="Heading5"/>
      </w:pPr>
      <w:bookmarkStart w:id="279" w:name="working-rules"/>
      <w:r>
        <w:t xml:space="preserve">Working Rules</w:t>
      </w:r>
      <w:bookmarkEnd w:id="279"/>
    </w:p>
    <w:p>
      <w:pPr>
        <w:pStyle w:val="FirstParagraph"/>
      </w:pPr>
      <w:r>
        <w:t xml:space="preserve">From the shaping of listening by the work, and from the working activity that is performed by the work itself, the presence of the work as an object can be thus traced. In other words, the work of the music work can be considered as the work of an agent in the composition network: the music-work-as-object and the listening-as-object become nodes. In the modernist regime, the hierarchy priorizes the ruler (work-node), and all that can be identified with listening-node is arrived at by subordinating the relations to the work-node, and by restricting the directionality of this relation to being</w:t>
      </w:r>
      <w:r>
        <w:t xml:space="preserve"> </w:t>
      </w:r>
      <m:oMath>
        <m:r>
          <m:t>→</m:t>
        </m:r>
      </m:oMath>
      <w:r>
        <w:t xml:space="preserve"> </w:t>
      </w:r>
      <w:r>
        <w:t xml:space="preserve">. The only exception is, of course, the extremely cultivated case of composers, which revert the arrow. This exception, however, is not so much an exception, as it is the prescription of the rule and of ruling itself, since it is this reversal what enables the structure in the first place: the ruling of the exception. This is what occurs when the work begins to listen to itself. Which is radically different from the case of a</w:t>
      </w:r>
      <w:r>
        <w:t xml:space="preserve"> </w:t>
      </w:r>
      <w:r>
        <w:rPr>
          <w:i/>
        </w:rPr>
        <w:t xml:space="preserve">listening</w:t>
      </w:r>
      <w:r>
        <w:t xml:space="preserve"> </w:t>
      </w:r>
      <w:r>
        <w:t xml:space="preserve">that listens to itself. Jean-Luc Nancy, in the foreword to Szendy’s text, considers that</w:t>
      </w:r>
      <w:r>
        <w:t xml:space="preserve"> </w:t>
      </w:r>
      <w:r>
        <w:t xml:space="preserve">“</w:t>
      </w:r>
      <w:r>
        <w:t xml:space="preserve">music places us outside of ourselves,</w:t>
      </w:r>
      <w:r>
        <w:t xml:space="preserve">”</w:t>
      </w:r>
      <w:r>
        <w:t xml:space="preserve"> </w:t>
      </w:r>
      <w:r>
        <w:t xml:space="preserve">because</w:t>
      </w:r>
      <w:r>
        <w:t xml:space="preserve"> </w:t>
      </w:r>
      <w:r>
        <w:t xml:space="preserve">“</w:t>
      </w:r>
      <w:r>
        <w:t xml:space="preserve">…what listens to itself is not just what resounds in the self and what rebounds to the self: this same movement, and this very movement, places it outside of self and makes its rebound overflow.</w:t>
      </w:r>
      <w:r>
        <w:t xml:space="preserve"> </w:t>
      </w:r>
      <w:r>
        <w:t xml:space="preserve">(Szendy 2008 xii)</w:t>
      </w:r>
      <w:r>
        <w:t xml:space="preserve">”</w:t>
      </w:r>
      <w:r>
        <w:t xml:space="preserve"> </w:t>
      </w:r>
      <w:r>
        <w:t xml:space="preserve">As I have explained before using Nancy’s concept of the resonance of a return (See</w:t>
      </w:r>
      <w:r>
        <w:t xml:space="preserve"> </w:t>
      </w:r>
      <w:hyperlink w:anchor="resonance_of_a_return">
        <w:r>
          <w:rPr>
            <w:rStyle w:val="Hyperlink"/>
          </w:rPr>
          <w:t xml:space="preserve">5.1.2</w:t>
        </w:r>
      </w:hyperlink>
      <w:r>
        <w:t xml:space="preserve">), listening is an approach to the relationship in self. Implementing this relationship within the dynamics of listening and work, the previous graph can be revised as follows.</w:t>
      </w:r>
      <w:r>
        <w:t xml:space="preserve"> </w:t>
      </w:r>
      <w:r>
        <w:t xml:space="preserve">‘</w:t>
      </w:r>
      <w:r>
        <w:t xml:space="preserve">Work</w:t>
      </w:r>
      <w:r>
        <w:t xml:space="preserve">’</w:t>
      </w:r>
      <w:r>
        <w:t xml:space="preserve"> </w:t>
      </w:r>
      <w:r>
        <w:t xml:space="preserve">and</w:t>
      </w:r>
      <w:r>
        <w:t xml:space="preserve"> </w:t>
      </w:r>
      <w:r>
        <w:t xml:space="preserve">‘</w:t>
      </w:r>
      <w:r>
        <w:t xml:space="preserve">listening</w:t>
      </w:r>
      <w:r>
        <w:t xml:space="preserve">’</w:t>
      </w:r>
      <w:r>
        <w:t xml:space="preserve"> </w:t>
      </w:r>
      <w:r>
        <w:t xml:space="preserve">would exist as well in relation, with the difference now that it is a relation that exists in a permanent state of overload, redundancy, or excess:</w:t>
      </w:r>
      <w:r>
        <w:t xml:space="preserve"> </w:t>
      </w:r>
      <m:oMath>
        <m:r>
          <m:t>←</m:t>
        </m:r>
        <m:r>
          <m:t>→</m:t>
        </m:r>
      </m:oMath>
      <w:r>
        <w:t xml:space="preserve"> </w:t>
      </w:r>
      <w:r>
        <w:t xml:space="preserve">.</w:t>
      </w:r>
    </w:p>
    <w:p>
      <w:pPr>
        <w:pStyle w:val="Heading5"/>
      </w:pPr>
      <w:bookmarkStart w:id="280" w:name="a-space-of-difference"/>
      <w:r>
        <w:t xml:space="preserve">A Space of Difference</w:t>
      </w:r>
      <w:bookmarkEnd w:id="280"/>
    </w:p>
    <w:p>
      <w:pPr>
        <w:pStyle w:val="FirstParagraph"/>
      </w:pPr>
      <w:r>
        <w:t xml:space="preserve">In thinking listening this way, the concept of the work is relieved of its duties, discharged, fired, it becomes unemployed. The regime of listening becomes a listening space, but a space not of equality: a space of difference. Within this space where difference resonates, the music work no longer</w:t>
      </w:r>
      <w:r>
        <w:t xml:space="preserve"> </w:t>
      </w:r>
      <w:r>
        <w:t xml:space="preserve">‘</w:t>
      </w:r>
      <w:r>
        <w:t xml:space="preserve">works</w:t>
      </w:r>
      <w:r>
        <w:t xml:space="preserve">’</w:t>
      </w:r>
      <w:r>
        <w:t xml:space="preserve">, it</w:t>
      </w:r>
      <w:r>
        <w:t xml:space="preserve"> </w:t>
      </w:r>
      <w:r>
        <w:t xml:space="preserve">‘</w:t>
      </w:r>
      <w:r>
        <w:t xml:space="preserve">unworks</w:t>
      </w:r>
      <w:r>
        <w:t xml:space="preserve">’</w:t>
      </w:r>
      <w:r>
        <w:t xml:space="preserve"> </w:t>
      </w:r>
      <w:r>
        <w:t xml:space="preserve">(See</w:t>
      </w:r>
      <w:r>
        <w:t xml:space="preserve"> </w:t>
      </w:r>
      <w:hyperlink w:anchor="inoperativity">
        <w:r>
          <w:rPr>
            <w:rStyle w:val="Hyperlink"/>
          </w:rPr>
          <w:t xml:space="preserve">5.1.4</w:t>
        </w:r>
      </w:hyperlink>
      <w:r>
        <w:t xml:space="preserve">). That is to say, the relations between the different resonant points in the composition network expose themselves in a state of suspension, or interruption, creating space with the space of their own incompleteness by the fractality of their fracture. Thus, inoperativity is creation, it is techne, but it is a creativity that is necessarily indefinite, incomplete: the moment it becomes a thing it begins to work in the realm of the</w:t>
      </w:r>
      <w:r>
        <w:t xml:space="preserve"> </w:t>
      </w:r>
      <w:r>
        <w:t xml:space="preserve">‘</w:t>
      </w:r>
      <w:r>
        <w:t xml:space="preserve">archi</w:t>
      </w:r>
      <w:r>
        <w:t xml:space="preserve">’</w:t>
      </w:r>
      <w:r>
        <w:t xml:space="preserve">; the moment it remains suspended upon its limit, it unworks in negation of the</w:t>
      </w:r>
      <w:r>
        <w:t xml:space="preserve"> </w:t>
      </w:r>
      <w:r>
        <w:t xml:space="preserve">‘</w:t>
      </w:r>
      <w:r>
        <w:t xml:space="preserve">archi</w:t>
      </w:r>
      <w:r>
        <w:t xml:space="preserve">’</w:t>
      </w:r>
      <w:r>
        <w:t xml:space="preserve">. One is tempted to place this inoperativity in utopia, in the very instance of the non-place itself, but then one would forget what is already</w:t>
      </w:r>
      <w:r>
        <w:t xml:space="preserve"> </w:t>
      </w:r>
      <w:r>
        <w:t xml:space="preserve">‘</w:t>
      </w:r>
      <w:r>
        <w:t xml:space="preserve">there</w:t>
      </w:r>
      <w:r>
        <w:t xml:space="preserve">’</w:t>
      </w:r>
      <w:r>
        <w:t xml:space="preserve">, the fluid medium, as well as gravity itself, which was until recent studies, thought of as unrelated to sound.</w:t>
      </w:r>
      <w:r>
        <w:rPr>
          <w:rStyle w:val="FootnoteReference"/>
        </w:rPr>
        <w:footnoteReference w:id="281"/>
      </w:r>
      <w:r>
        <w:t xml:space="preserve"> </w:t>
      </w:r>
      <w:r>
        <w:t xml:space="preserve">One would be tempted, equally, to place this inoperativity outside temporality itself, but then one would forget forgetfulness itself. Inoperativity is within the resonant space of an always.</w:t>
      </w:r>
    </w:p>
    <w:p>
      <w:pPr>
        <w:pStyle w:val="Heading5"/>
      </w:pPr>
      <w:bookmarkStart w:id="282" w:name="a-severed-work"/>
      <w:r>
        <w:t xml:space="preserve">A Severed Work</w:t>
      </w:r>
      <w:bookmarkEnd w:id="282"/>
    </w:p>
    <w:p>
      <w:pPr>
        <w:pStyle w:val="FirstParagraph"/>
      </w:pPr>
      <w:r>
        <w:t xml:space="preserve">What constitutes, then, that moment when the music work becomes a work? How is it possible for the work to become a thing, for the object to become the ruler, for the regime to be built on the first place, if the resonant space is already an inoperative space, interrupted and suspended? I would like to revert Szendy’s metaphor of the amputated limb, and propose that it is the music work itself what is amputated, what falls off, the moment that it becomes a finished thing. Thus, just like the modern inattentive listener falls in the uselessness of its excess, sound</w:t>
      </w:r>
      <w:r>
        <w:t xml:space="preserve"> </w:t>
      </w:r>
      <w:r>
        <w:t xml:space="preserve">‘</w:t>
      </w:r>
      <w:r>
        <w:t xml:space="preserve">outside</w:t>
      </w:r>
      <w:r>
        <w:t xml:space="preserve">’</w:t>
      </w:r>
      <w:r>
        <w:t xml:space="preserve"> </w:t>
      </w:r>
      <w:r>
        <w:t xml:space="preserve">the work is cut from the work, fading out in the uselessness of its excess. Like the human in Kittler’s digitally converged apocalypse, redundancy is out of the question, it is left at the gates of the majestic concert hall, with the rest of the (useless) humans: it is literally and conceptually placed outside architecture itself. The created work, in its essential nature of being a cohesive, coherent whole, separates itself from the world of mechanical waves, and forms the one and only work: the piece of music. A</w:t>
      </w:r>
      <w:r>
        <w:t xml:space="preserve"> </w:t>
      </w:r>
      <w:r>
        <w:t xml:space="preserve">‘</w:t>
      </w:r>
      <w:r>
        <w:t xml:space="preserve">piece</w:t>
      </w:r>
      <w:r>
        <w:t xml:space="preserve">’</w:t>
      </w:r>
      <w:r>
        <w:t xml:space="preserve"> </w:t>
      </w:r>
      <w:r>
        <w:t xml:space="preserve">not because it is in itself incomplete, but because it is the piece of the whole of the work of the composer.</w:t>
      </w:r>
    </w:p>
    <w:p>
      <w:pPr>
        <w:pStyle w:val="Heading5"/>
      </w:pPr>
      <w:bookmarkStart w:id="283" w:name="absorbption"/>
      <w:r>
        <w:t xml:space="preserve">Absorbption</w:t>
      </w:r>
      <w:bookmarkEnd w:id="283"/>
    </w:p>
    <w:p>
      <w:pPr>
        <w:pStyle w:val="FirstParagraph"/>
      </w:pPr>
      <w:r>
        <w:t xml:space="preserve">I would like to add to this worldview another concept brought by Szendy, that of</w:t>
      </w:r>
      <w:r>
        <w:t xml:space="preserve"> </w:t>
      </w:r>
      <w:r>
        <w:t xml:space="preserve">‘</w:t>
      </w:r>
      <w:r>
        <w:t xml:space="preserve">absorption.</w:t>
      </w:r>
      <w:r>
        <w:t xml:space="preserve">’</w:t>
      </w:r>
      <w:r>
        <w:t xml:space="preserve"> </w:t>
      </w:r>
      <w:r>
        <w:t xml:space="preserve">He claims that it is the absorption of the listener in the work what is the ultimate aim of this modern regime of listening. Not surprisingly,</w:t>
      </w:r>
      <w:r>
        <w:t xml:space="preserve"> </w:t>
      </w:r>
      <w:r>
        <w:t xml:space="preserve">‘</w:t>
      </w:r>
      <w:r>
        <w:t xml:space="preserve">absorption</w:t>
      </w:r>
      <w:r>
        <w:t xml:space="preserve">’</w:t>
      </w:r>
      <w:r>
        <w:t xml:space="preserve"> </w:t>
      </w:r>
      <w:r>
        <w:t xml:space="preserve">is the key concept in Iannis Xenakis’ narrative of the fours stages of degradation of Western Music’s</w:t>
      </w:r>
      <w:r>
        <w:t xml:space="preserve"> </w:t>
      </w:r>
      <w:r>
        <w:t xml:space="preserve">“</w:t>
      </w:r>
      <w:r>
        <w:t xml:space="preserve">outside-time structures,</w:t>
      </w:r>
      <w:r>
        <w:t xml:space="preserve">”</w:t>
      </w:r>
      <w:r>
        <w:t xml:space="preserve"> </w:t>
      </w:r>
      <w:r>
        <w:t xml:space="preserve">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Further,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Therefore, considering the organicity of the work in Xenakis’s overly modern gesture towards unity, metastructure, and mechanization,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how can these notions of inoperativity be found together within architecture? How would this archi-techne be designed? Would it still be the product of the</w:t>
      </w:r>
      <w:r>
        <w:t xml:space="preserve"> </w:t>
      </w:r>
      <w:r>
        <w:t xml:space="preserve">‘</w:t>
      </w:r>
      <w:r>
        <w:t xml:space="preserve">archi</w:t>
      </w:r>
      <w:r>
        <w:t xml:space="preserve">’</w:t>
      </w:r>
      <w:r>
        <w:t xml:space="preserve">? Where is the poison that Xenakis the architect and composer, was identifying with</w:t>
      </w:r>
      <w:r>
        <w:t xml:space="preserve"> </w:t>
      </w:r>
      <w:r>
        <w:t xml:space="preserve">‘</w:t>
      </w:r>
      <w:r>
        <w:t xml:space="preserve">industrialized</w:t>
      </w:r>
      <w:r>
        <w:t xml:space="preserve">’</w:t>
      </w:r>
      <w:r>
        <w:t xml:space="preserve"> </w:t>
      </w:r>
      <w:r>
        <w:t xml:space="preserve">music? Is it not a product of modernity itself, as the working that listened to itself to the point of working out a Xenakis-listener-node to the extreme?</w:t>
      </w:r>
    </w:p>
    <w:p>
      <w:pPr>
        <w:pStyle w:val="Heading3"/>
      </w:pPr>
      <w:bookmarkStart w:id="284" w:name="practice"/>
      <w:r>
        <w:t xml:space="preserve">The Composer As Navigator</w:t>
      </w:r>
      <w:bookmarkEnd w:id="284"/>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5"/>
      </w:pPr>
      <w:bookmarkStart w:id="285" w:name="querying-the-sieves"/>
      <w:r>
        <w:t xml:space="preserve">Querying the Sieves</w:t>
      </w:r>
      <w:bookmarkEnd w:id="285"/>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is, not surprisingly, the computer itself, and not just any computer, the</w:t>
      </w:r>
      <w:r>
        <w:t xml:space="preserve"> </w:t>
      </w:r>
      <w:r>
        <w:t xml:space="preserve">ibm-7090</w:t>
      </w:r>
      <w:r>
        <w:t xml:space="preserve">.</w:t>
      </w:r>
      <w:r>
        <w:rPr>
          <w:rStyle w:val="FootnoteReference"/>
        </w:rPr>
        <w:footnoteReference w:id="286"/>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89"/>
      </w:r>
      <w:r>
        <w:t xml:space="preserve"> </w:t>
      </w:r>
      <w:r>
        <w:t xml:space="preserve">Xenakis’s work on sieves came a few years after his experiments on the</w:t>
      </w:r>
      <w:r>
        <w:t xml:space="preserve"> </w:t>
      </w:r>
      <w:r>
        <w:t xml:space="preserve">ibm-7090</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90"/>
      </w:r>
    </w:p>
    <w:p>
      <w:pPr>
        <w:pStyle w:val="Heading5"/>
      </w:pPr>
      <w:bookmarkStart w:id="291" w:name="sound-synthesis-parenthesis"/>
      <w:r>
        <w:t xml:space="preserve">Sound Synthesis Parenthesis</w:t>
      </w:r>
      <w:bookmarkEnd w:id="291"/>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92"/>
      </w:r>
      <w:r>
        <w:t xml:space="preserve"> </w:t>
      </w:r>
      <w:r>
        <w:t xml:space="preserve">I will close this parenthesis, not without returning to this discussion in the following section (See</w:t>
      </w:r>
      <w:r>
        <w:t xml:space="preserve"> </w:t>
      </w:r>
      <w:hyperlink w:anchor="improv">
        <w:r>
          <w:rPr>
            <w:rStyle w:val="Hyperlink"/>
          </w:rPr>
          <w:t xml:space="preserve">5.4.4</w:t>
        </w:r>
      </w:hyperlink>
      <w:r>
        <w:t xml:space="preserve">))</w:t>
      </w:r>
    </w:p>
    <w:p>
      <w:pPr>
        <w:pStyle w:val="Heading5"/>
      </w:pPr>
      <w:bookmarkStart w:id="294" w:name="algebraic-abstractions-for-freedom"/>
      <w:r>
        <w:t xml:space="preserve">Algebraic Abstractions for Freedom</w:t>
      </w:r>
      <w:bookmarkEnd w:id="294"/>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While sieve theory was aimed at providing a plethora of computable sets (or relations) of pitches, according to different temperings of the smallest displacement unit and the selected value for the modulo operator, Codd’s relational algebra was meant the internal structure of a query language for selecting elements based on their relations. Both of these can be considered algebraic abstractions of a selection process. In the case of Xenakis, the abstraction was one held outside-time. This meant that the composer could make a snapshot, or a tomography of the pitch space in order to analyze it, extrapolating structural relations. In Codd’s case, the abstraction was spatial: the query language would be separated from the database itself, allowing a distance between a</w:t>
      </w:r>
      <w:r>
        <w:t xml:space="preserve"> </w:t>
      </w:r>
      <w:r>
        <w:t xml:space="preserve">‘</w:t>
      </w:r>
      <w:r>
        <w:t xml:space="preserve">backend</w:t>
      </w:r>
      <w:r>
        <w:t xml:space="preserve">’</w:t>
      </w:r>
      <w:r>
        <w:t xml:space="preserve"> </w:t>
      </w:r>
      <w:r>
        <w:t xml:space="preserve">and a</w:t>
      </w:r>
      <w:r>
        <w:t xml:space="preserve"> </w:t>
      </w:r>
      <w:r>
        <w:t xml:space="preserve">‘</w:t>
      </w:r>
      <w:r>
        <w:t xml:space="preserve">frontend,</w:t>
      </w:r>
      <w:r>
        <w:t xml:space="preserve">’</w:t>
      </w:r>
      <w:r>
        <w:t xml:space="preserve"> </w:t>
      </w:r>
      <w:r>
        <w:t xml:space="preserve">allowing databasers to perform queries without worrying about internal data structures, memory allocation, since these operations would occur in the background. Both methods came as an extension of freedom on the human operator: by black-boxing hardware-specific programming, the human operator could devise any kind of algebraic queries, thus operating at a higher level of abstraction, enabling a less problematic kind of envisioning. Conversely, Xenakis writes:</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5"/>
      </w:pPr>
      <w:bookmarkStart w:id="295" w:name="a-cosmic-vessel-and-an-armchair"/>
      <w:r>
        <w:t xml:space="preserve">A Cosmic Vessel and an Armchair</w:t>
      </w:r>
      <w:bookmarkEnd w:id="295"/>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for the</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296"/>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itself, which the overall circuitry would itself complicate; criticism on account of this shortcoming of the circuit would thus be rendered anachronic, but recalling these limitations places composition and databasing in perspective.</w:t>
      </w:r>
    </w:p>
    <w:p>
      <w:pPr>
        <w:pStyle w:val="Heading3"/>
      </w:pPr>
      <w:bookmarkStart w:id="297" w:name="improv"/>
      <w:r>
        <w:t xml:space="preserve">The Database As Performer</w:t>
      </w:r>
      <w:bookmarkEnd w:id="297"/>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w:t>
      </w:r>
      <w:r>
        <w:t xml:space="preserve"> </w:t>
      </w:r>
      <w:r>
        <w:t xml:space="preserve">“</w:t>
      </w:r>
      <w:r>
        <w:t xml:space="preserve">a 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networked relation</w:t>
      </w:r>
      <w:r>
        <w:t xml:space="preserve"> </w:t>
      </w:r>
      <w:r>
        <w:rPr>
          <w:i/>
        </w:rPr>
        <w:t xml:space="preserve">with</w:t>
      </w:r>
      <w:r>
        <w:t xml:space="preserve"> </w:t>
      </w:r>
      <w:r>
        <w:t xml:space="preserve">the computer. That is to say, Xenakis’ metaphor of the computer as pilot, would be turned upside down, altogether reconfiguring the navigational metaphor: the ship begins to navigate itself.</w:t>
      </w:r>
    </w:p>
    <w:p>
      <w:pPr>
        <w:pStyle w:val="Heading5"/>
      </w:pPr>
      <w:bookmarkStart w:id="298" w:name="the-computer-as-a-musical-instrument"/>
      <w:r>
        <w:t xml:space="preserve">The Computer as a Musical Instrument</w:t>
      </w:r>
      <w:bookmarkEnd w:id="298"/>
    </w:p>
    <w:p>
      <w:pPr>
        <w:pStyle w:val="FirstParagraph"/>
      </w:pPr>
      <w:r>
        <w:t xml:space="preserve">It is now pertintent to bring back Max Mathews</w:t>
      </w:r>
      <w:r>
        <w:t xml:space="preserve"> </w:t>
      </w:r>
      <w:r>
        <w:t xml:space="preserve">“</w:t>
      </w:r>
      <w:r>
        <w:t xml:space="preserve">computer as musical instrument</w:t>
      </w:r>
      <w:r>
        <w:t xml:space="preserve">”</w:t>
      </w:r>
      <w:r>
        <w:t xml:space="preserve"> </w:t>
      </w:r>
      <w:r>
        <w:t xml:space="preserve">(Mathews 1963)</w:t>
      </w:r>
      <w:r>
        <w:t xml:space="preserve">. The architecture of</w:t>
      </w:r>
      <w:r>
        <w:t xml:space="preserve"> </w:t>
      </w:r>
      <w:r>
        <w:t xml:space="preserve">music-v</w:t>
      </w:r>
      <w:r>
        <w:t xml:space="preserve"> </w:t>
      </w:r>
      <w:r>
        <w:t xml:space="preserve">is buit on concept of the computer as an instrument that the composer performs by providing it a score. The three stages of data flow (reading, sorting, and executing) are modeled from three music concepts: score, metronome, and instrument. It is significant that two (human) elements of (european) music tradition (composer and performer) are missing from this triad, as well as the programmer. (A fourth missing element, the improviser, will appear further down this text.) On the one hand, the hybrid musical instrument that the computer represented already collapsed three concepts into one, resulting in a hybrid score/metronome/instrument. On the other hand, it can be argued that by this ellision, the three missing human terms have collapsed into one another, forming a new hybrid definition of composer, performer, and programmer. In any case, this hybridity became evident in the music work itself, as can be read from a rethorics of control in favor of the composer:</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5"/>
      </w:pPr>
      <w:bookmarkStart w:id="299" w:name="a-minor-liberty"/>
      <w:r>
        <w:t xml:space="preserve">A Minor Liberty</w:t>
      </w:r>
      <w:bookmarkEnd w:id="299"/>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generator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reassurment for the reader that computers would not take control over music, let alone over the world. As I see it, arguing for control while granting some liberty relates to a negotiation between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5"/>
      </w:pPr>
      <w:bookmarkStart w:id="300" w:name="the-computer-as-a-player"/>
      <w:r>
        <w:t xml:space="preserve">The Computer as a Player</w:t>
      </w:r>
      <w:bookmarkEnd w:id="300"/>
    </w:p>
    <w:p>
      <w:pPr>
        <w:pStyle w:val="FirstParagraph"/>
      </w:pPr>
      <w:r>
        <w:t xml:space="preserve">Rowe (1992)</w:t>
      </w:r>
      <w:r>
        <w:t xml:space="preserve"> </w:t>
      </w:r>
      <w:r>
        <w:t xml:space="preserve">(Rowe 1992)</w:t>
      </w:r>
      <w:r>
        <w:t xml:space="preserve"> </w:t>
      </w:r>
      <w:r>
        <w:t xml:space="preserve">identified two paradimgs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a response (sonic output) is elaborated.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instrument itself contains embedded processes that grant some level of independence. This means that the composer intentionally relinquishes control of the artwork’s structure to the system itself.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What this amount to is a distributed authority of the work among the elements of the system. For example, in</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as personal computers became affordable the type of negotiations no longer depeded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5"/>
      </w:pPr>
      <w:bookmarkStart w:id="301" w:name="programming-decisions"/>
      <w:r>
        <w:t xml:space="preserve">Programming Decisions</w:t>
      </w:r>
      <w:bookmarkEnd w:id="301"/>
    </w:p>
    <w:p>
      <w:pPr>
        <w:pStyle w:val="FirstParagraph"/>
      </w:pPr>
      <w:r>
        <w:t xml:space="preserve">However, in order to implement concepts coming from artificial intelligence such as machine listening and learning, the complexity of the program itself increases exponentially. In light of these difficulties arising from programming,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Furthermore, the player paradigm and its subsequence reconfiguration of authority is possible by means of an implemented database: the computer stores features during the course of the performance, which are then averaged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4.3.3.1.4</w:t>
        </w:r>
      </w:hyperlink>
      <w:r>
        <w:t xml:space="preserve">).</w:t>
      </w:r>
      <w:r>
        <w:t xml:space="preserve"> </w:t>
      </w:r>
      <w:r>
        <w:rPr>
          <w:i/>
        </w:rPr>
        <w:t xml:space="preserve">Voyager</w:t>
      </w:r>
      <w:r>
        <w:t xml:space="preserve"> </w:t>
      </w:r>
      <w:r>
        <w:t xml:space="preserve">indeed brings interactivity between human and nonhumans to another stage, and because of it, music composition can be seen differently. However, the intricacies of the programming decisions are still in play, specifically in the modelling of musical concepts within data structures.</w:t>
      </w:r>
    </w:p>
    <w:p>
      <w:pPr>
        <w:pStyle w:val="Heading5"/>
      </w:pPr>
      <w:bookmarkStart w:id="302" w:name="anachronic-composers"/>
      <w:r>
        <w:t xml:space="preserve">Anachronic Composers</w:t>
      </w:r>
      <w:bookmarkEnd w:id="302"/>
    </w:p>
    <w:p>
      <w:pPr>
        <w:pStyle w:val="FirstParagraph"/>
      </w:pPr>
      <w:r>
        <w:t xml:space="preserve">This notion of interactivity differs greatly from Xenakis’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5"/>
      </w:pPr>
      <w:bookmarkStart w:id="303" w:name="section"/>
      <w:bookmarkEnd w:id="303"/>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considered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5.3.3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itself, and to the unfortunate naming of</w:t>
      </w:r>
      <w:r>
        <w:t xml:space="preserve"> </w:t>
      </w:r>
      <w:r>
        <w:t xml:space="preserve">‘</w:t>
      </w:r>
      <w:r>
        <w:t xml:space="preserve">bang</w:t>
      </w:r>
      <w:r>
        <w:t xml:space="preserve">’</w:t>
      </w:r>
      <w:r>
        <w:t xml:space="preserve"> </w:t>
      </w:r>
      <w:r>
        <w:t xml:space="preserve">method of objects, a method which (generally) triggers the object’s core routine.</w:t>
      </w:r>
      <w:r>
        <w:rPr>
          <w:rStyle w:val="FootnoteReference"/>
        </w:rPr>
        <w:footnoteReference w:id="304"/>
      </w:r>
      <w:r>
        <w:t xml:space="preserve"> </w:t>
      </w:r>
      <w:r>
        <w:t xml:space="preserve">In order to address this shortcoming of interactivity, Lewis relates it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itself is at stake by the presence of a simple model of interaction. For Lewis, the crucial aspect of this model is the empowering of the image of the composer.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that would not allow for the nonhuman to become an operational agent beyond the instructions for which it was designed. In this sense, the simple-level automaton is a symbolic restrain representing the classical concept of the human itself, which allows a non-threatening relation between man and machine that can be considered functional, productive, and operative.</w:t>
      </w:r>
    </w:p>
    <w:p>
      <w:pPr>
        <w:pStyle w:val="Heading5"/>
      </w:pPr>
      <w:bookmarkStart w:id="305" w:name="nonhuman-composers"/>
      <w:r>
        <w:t xml:space="preserve">Nonhuman composers</w:t>
      </w:r>
      <w:bookmarkEnd w:id="305"/>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In Lewis’ narrative, this entails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itself, 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hybridity. A hybridity that cannot be considered</w:t>
      </w:r>
      <w:r>
        <w:t xml:space="preserve"> </w:t>
      </w:r>
      <w:r>
        <w:t xml:space="preserve">‘</w:t>
      </w:r>
      <w:r>
        <w:t xml:space="preserve">on its own</w:t>
      </w:r>
      <w:r>
        <w:t xml:space="preserve">’</w:t>
      </w:r>
      <w:r>
        <w:t xml:space="preserve">, since it escapes any idea of ownness (or oneness). Therefore, a hybridity that is expanded in networked resonance. It is in this sense that Lewis’ proposal is geared towards an interactive (computer) music</w:t>
      </w:r>
      <w:r>
        <w:t xml:space="preserve"> </w:t>
      </w:r>
      <w:r>
        <w:rPr>
          <w:i/>
        </w:rPr>
        <w:t xml:space="preserve">not entirely</w:t>
      </w:r>
      <w:r>
        <w:t xml:space="preserve"> </w:t>
      </w:r>
      <w:r>
        <w:t xml:space="preserve">driven by input.</w:t>
      </w:r>
    </w:p>
    <w:p>
      <w:pPr>
        <w:pStyle w:val="Heading5"/>
      </w:pPr>
      <w:bookmarkStart w:id="306" w:name="fractured-works"/>
      <w:r>
        <w:t xml:space="preserve">Fractured Works</w:t>
      </w:r>
      <w:bookmarkEnd w:id="306"/>
    </w:p>
    <w:p>
      <w:pPr>
        <w:pStyle w:val="BlockText"/>
      </w:pPr>
      <w:r>
        <w:t xml:space="preserve">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what begins to question the basis upon which our general concept of the human is built, and by extension, the agency of everything that falls outside of its definition. It is the beginning of a breakage, a crack on the foundation of Xenakis’ (old) armchair, from which the state of suspension of the concept of the music work can be understood:</w:t>
      </w:r>
    </w:p>
    <w:p>
      <w:pPr>
        <w:pStyle w:val="BlockText"/>
      </w:pPr>
      <w:r>
        <w:t xml:space="preserve">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 (Foster 1983). Rather, 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Furthermore, what this fracture reveals is hybrid nature of the notion of what is real and what is virtual. Understood traditionally, or better, understood under the stipulations of the first wave cyberneticians, the composer, being the real factor in the constitution of the (modern) image of the composer, is faced with the virtuality of the computer. Upon this encounter, the virtual comes as a form of threat to replace that which is real. In this sense, this is how I would like to approach Lewis’ consideration of</w:t>
      </w:r>
      <w:r>
        <w:t xml:space="preserve"> </w:t>
      </w:r>
      <w:r>
        <w:rPr>
          <w:i/>
        </w:rPr>
        <w:t xml:space="preserve">Voyager</w:t>
      </w:r>
      <w:r>
        <w:t xml:space="preserve"> </w:t>
      </w:r>
      <w:r>
        <w:t xml:space="preserve">as</w:t>
      </w:r>
      <w:r>
        <w:t xml:space="preserve"> </w:t>
      </w:r>
      <w:r>
        <w:t xml:space="preserve">“</w:t>
      </w:r>
      <w:r>
        <w:t xml:space="preserve">not really a work.</w:t>
      </w:r>
      <w:r>
        <w:t xml:space="preserve">”</w:t>
      </w:r>
      <w:r>
        <w:t xml:space="preserve"> </w:t>
      </w:r>
      <w:r>
        <w:t xml:space="preserve">I hope the reader would forgive me for having borrowed these adjectives out of context —</w:t>
      </w:r>
      <w:r>
        <w:t xml:space="preserve">‘</w:t>
      </w:r>
      <w:r>
        <w:t xml:space="preserve">entirely</w:t>
      </w:r>
      <w:r>
        <w:t xml:space="preserve">’</w:t>
      </w:r>
      <w:r>
        <w:t xml:space="preserve"> </w:t>
      </w:r>
      <w:r>
        <w:t xml:space="preserve">and</w:t>
      </w:r>
      <w:r>
        <w:t xml:space="preserve"> </w:t>
      </w:r>
      <w:r>
        <w:t xml:space="preserve">‘</w:t>
      </w:r>
      <w:r>
        <w:t xml:space="preserve">really</w:t>
      </w:r>
      <w:r>
        <w:t xml:space="preserve">’</w:t>
      </w:r>
      <w:r>
        <w:t xml:space="preserve">— so as to allow my argument to echo with Lewis’ for a while. On the one hand, as Lewis claims, the goal of the interactivity between the composer and the computer is to allow the real and the virtual,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 Seen in this light, virtuality should enhance, not interfere, with communication between us</w:t>
      </w:r>
      <w:r>
        <w:t xml:space="preserve">”</w:t>
      </w:r>
      <w:r>
        <w:t xml:space="preserve"> </w:t>
      </w:r>
      <w:r>
        <w:t xml:space="preserve">(Lewis 1999, p. 110)</w:t>
      </w:r>
      <w:r>
        <w:t xml:space="preserve">. Therefore, considering the role of virtuality after new media integrated theories of embodiment, the computer reveals to the human —composer, improviser, performer— the very condition of its own virtuality, that is, virtuality itself within the human.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it can’t be ’really’ a work, because it is virtuality itself resounding back. Another way to approach this is the fact that the computer can be said to be</w:t>
      </w:r>
      <w:r>
        <w:t xml:space="preserve"> </w:t>
      </w:r>
      <w:r>
        <w:t xml:space="preserve">‘</w:t>
      </w:r>
      <w:r>
        <w:t xml:space="preserve">listening</w:t>
      </w:r>
      <w:r>
        <w:t xml:space="preserve">’</w:t>
      </w:r>
      <w:r>
        <w:t xml:space="preserve"> </w:t>
      </w:r>
      <w:r>
        <w:t xml:space="preserve">to the performer, given that its real-time analysis is content-based, using techniques that have been applied to music information retrieval over the years (See</w:t>
      </w:r>
      <w:r>
        <w:t xml:space="preserve"> </w:t>
      </w:r>
      <w:hyperlink w:anchor="mir">
        <w:r>
          <w:rPr>
            <w:rStyle w:val="Hyperlink"/>
          </w:rPr>
          <w:t xml:space="preserve">4.3.1</w:t>
        </w:r>
      </w:hyperlink>
      <w:r>
        <w:t xml:space="preserve">).</w:t>
      </w:r>
    </w:p>
    <w:p>
      <w:pPr>
        <w:pStyle w:val="Heading5"/>
      </w:pPr>
      <w:bookmarkStart w:id="307" w:name="databasing-vessel"/>
      <w:r>
        <w:t xml:space="preserve">Databasing Vessel</w:t>
      </w:r>
      <w:bookmarkEnd w:id="307"/>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resonant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itself. This database of actions, however, is the sonic trace of the performance itself,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one that puts into question —though, to a certain extent— the operativity of the music work itself. To a certain extent, because the notion of productivity and cohesion are still present within Lewis’ music and texts, and also, to the (paradoxical) extent that it is still a</w:t>
      </w:r>
      <w:r>
        <w:t xml:space="preserve"> </w:t>
      </w:r>
      <w:r>
        <w:t xml:space="preserve">‘</w:t>
      </w:r>
      <w:r>
        <w:t xml:space="preserve">work,</w:t>
      </w:r>
      <w:r>
        <w:t xml:space="preserve">’</w:t>
      </w:r>
      <w:r>
        <w:t xml:space="preserve"> </w:t>
      </w:r>
      <w:r>
        <w:t xml:space="preserve">a destiny that somehow manages to persist within the practice of composition. Nonetheless, and without a doubt, Lewis’ claim for the</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08" w:name="music"/>
      <w:r>
        <w:t xml:space="preserve">The Severed Object Of Music</w:t>
      </w:r>
      <w:bookmarkEnd w:id="308"/>
    </w:p>
    <w:p>
      <w:pPr>
        <w:pStyle w:val="BlockText"/>
      </w:pPr>
      <w:r>
        <w:t xml:space="preserve">[The] Heideggerian ‘work of art’ is able to present a unified picture that may be used for political purposes [it] is only what it is in the world that it opens…Nancy is seeking a ‘workless’ or ‘unworking’ work,</w:t>
      </w:r>
      <w:r>
        <w:t xml:space="preserve"> </w:t>
      </w:r>
      <w:r>
        <w:rPr>
          <w:i/>
        </w:rPr>
        <w:t xml:space="preserve">a work that refuses to create itself as a total work</w:t>
      </w:r>
      <w:r>
        <w:t xml:space="preserve">. Hence, Nancy proposes an artwork that would offer itself as a permanently open whole, the concept of art remaining undecided and lacking anything that might unify it. [emphasis added]</w:t>
      </w:r>
      <w:r>
        <w:t xml:space="preserve"> </w:t>
      </w:r>
      <w:r>
        <w:t xml:space="preserve">(Gratton &amp; Morin 2015)</w:t>
      </w:r>
    </w:p>
    <w:p>
      <w:pPr>
        <w:pStyle w:val="Heading5"/>
      </w:pPr>
      <w:bookmarkStart w:id="309" w:name="an-incomplete-object"/>
      <w:r>
        <w:t xml:space="preserve">An Incomplete Object</w:t>
      </w:r>
      <w:bookmarkEnd w:id="309"/>
    </w:p>
    <w:p>
      <w:pPr>
        <w:pStyle w:val="FirstParagraph"/>
      </w:pPr>
      <w:r>
        <w:t xml:space="preserve">I would like to refer once again to Jean-Luc Nancy’s concept of inoperativity (See</w:t>
      </w:r>
      <w:r>
        <w:t xml:space="preserve"> </w:t>
      </w:r>
      <w:hyperlink w:anchor="inoperativity">
        <w:r>
          <w:rPr>
            <w:rStyle w:val="Hyperlink"/>
          </w:rPr>
          <w:t xml:space="preserve">5.1.4</w:t>
        </w:r>
      </w:hyperlink>
      <w:r>
        <w:t xml:space="preserve">), this time in relation to the music object. I argue that, given that the inoperativity of the listening experience reveals itself as the interaction between resonance —as the</w:t>
      </w:r>
      <w:r>
        <w:t xml:space="preserve"> </w:t>
      </w:r>
      <w:r>
        <w:rPr>
          <w:i/>
        </w:rPr>
        <w:t xml:space="preserve">différance</w:t>
      </w:r>
      <w:r>
        <w:t xml:space="preserve"> </w:t>
      </w:r>
      <w:r>
        <w:t xml:space="preserve">within sense and sensuality— and the unworking of the network, its resulting object, instead of being a complete whole —a finished, integral</w:t>
      </w:r>
      <w:r>
        <w:t xml:space="preserve"> </w:t>
      </w:r>
      <w:r>
        <w:t xml:space="preserve">‘</w:t>
      </w:r>
      <w:r>
        <w:t xml:space="preserve">thing</w:t>
      </w:r>
      <w:r>
        <w:t xml:space="preserve">’</w:t>
      </w:r>
      <w:r>
        <w:t xml:space="preserve">, or even, a</w:t>
      </w:r>
      <w:r>
        <w:t xml:space="preserve"> </w:t>
      </w:r>
      <w:r>
        <w:t xml:space="preserve">‘</w:t>
      </w:r>
      <w:r>
        <w:t xml:space="preserve">piece</w:t>
      </w:r>
      <w:r>
        <w:t xml:space="preserve">’</w:t>
      </w:r>
      <w:r>
        <w:rPr>
          <w:rStyle w:val="FootnoteReference"/>
        </w:rPr>
        <w:footnoteReference w:id="310"/>
      </w:r>
      <w:r>
        <w:t xml:space="preserve">—, it becomes a severed music object. This object is different from Pierre Schaeffer’s music or sound object, which comes to represent material with which to work. Neither it is related to Vaggione’s concept of object, which comes from object-oriented programming, meaning every composable primitive, from the micro to the macro. In both of the above, the object is used to provide, though not without their author’s intervention, a notion of</w:t>
      </w:r>
      <w:r>
        <w:t xml:space="preserve"> </w:t>
      </w:r>
      <w:r>
        <w:rPr>
          <w:i/>
        </w:rPr>
        <w:t xml:space="preserve">coherence</w:t>
      </w:r>
      <w:r>
        <w:t xml:space="preserve"> </w:t>
      </w:r>
      <w:r>
        <w:t xml:space="preserve">to the work.</w:t>
      </w:r>
    </w:p>
    <w:p>
      <w:pPr>
        <w:pStyle w:val="Heading5"/>
      </w:pPr>
      <w:bookmarkStart w:id="311" w:name="remains-of-listening"/>
      <w:r>
        <w:t xml:space="preserve">Remains of Listening</w:t>
      </w:r>
      <w:bookmarkEnd w:id="311"/>
    </w:p>
    <w:p>
      <w:pPr>
        <w:pStyle w:val="FirstParagraph"/>
      </w:pPr>
      <w:r>
        <w:t xml:space="preserve">The object I am referring to resides in memory, as the remains of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subject of analysis, it is forensic. In being fractured, it is the evidence of a destruction. In being severed, and this is the central aspect that I would like to focus on, risking simultaneously the severing of the object itself, it becomes the evidence of a sacrifice. If it can be said that the music object is a severed object, then the question of its severing necessarily relates to the question of listening. Therefore, by listening —and, by this, I mean entering in resonance with resonance itself, exposing the self to that which returns to itself— I participate in this severing, because in listening I choose what to listen in spite of being already deprived from that choice.</w:t>
      </w:r>
    </w:p>
    <w:p>
      <w:pPr>
        <w:pStyle w:val="Heading5"/>
      </w:pPr>
      <w:bookmarkStart w:id="312" w:name="sources-and-sorcerers"/>
      <w:r>
        <w:t xml:space="preserve">Sources and Sorcerers</w:t>
      </w:r>
      <w:bookmarkEnd w:id="312"/>
    </w:p>
    <w:p>
      <w:pPr>
        <w:pStyle w:val="FirstParagraph"/>
      </w:pPr>
      <w:r>
        <w:t xml:space="preserve">The sounds onstage are always before and after the staging. The severed object of music is what, as listeners, we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The severed object of music is always severed, but never in the same way, since there are as many severings as there are listeners, and as many listenings as there are moments. In this difference, what is resonant is the object of music, which is never one and the same because it is a singularity resonanting in plurality. Composers have traditionally been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w:t>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BlockText"/>
      </w:pPr>
      <w:r>
        <w:t xml:space="preserve">This is why for some years I have experimented with releasing music under other people’s names, so as to dilute their style, and under multiple versions of my own name, to case doubt on any claim to the future.</w:t>
      </w:r>
      <w:r>
        <w:t xml:space="preserve"> </w:t>
      </w:r>
      <w:r>
        <w:t xml:space="preserve">(Nilson 2016)</w:t>
      </w:r>
    </w:p>
    <w:p>
      <w:pPr>
        <w:pStyle w:val="Heading5"/>
      </w:pPr>
      <w:bookmarkStart w:id="313" w:name="naming"/>
      <w:r>
        <w:t xml:space="preserve">Naming</w:t>
      </w:r>
      <w:bookmarkEnd w:id="313"/>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itself as the one and only owner of the world —that is, owner of the mountain itself, and of the water, and every particle of the one and only universe. In being in resonance, listeners become the resonant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itself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itself. Further, the severing style itself now can be named. How many differet names or anagrams would it take for Click Nilson’s style to dilute or to arrive at the unclaimable work of art? The name of the composer becomes a synecdoche of the source itself,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14"/>
      </w:r>
    </w:p>
    <w:p>
      <w:pPr>
        <w:pStyle w:val="Heading5"/>
      </w:pPr>
      <w:bookmarkStart w:id="315" w:name="dynamics"/>
      <w:r>
        <w:t xml:space="preserve">Dynamics</w:t>
      </w:r>
      <w:bookmarkEnd w:id="315"/>
    </w:p>
    <w:p>
      <w:pPr>
        <w:pStyle w:val="FirstParagraph"/>
      </w:pPr>
      <w:r>
        <w:t xml:space="preserve">Furthermore, the activity of the sorcerer lends itself to its signature. In other words, the manner in which the composer defines the music, from beginning to end, becomes the shape of the music, understanding</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simply media in general—, the movement of air pressure. It is in front, because it filters the memory of the activity of sound sources. However, this composed shape and the singularity act together in the moment of listening. The question is, then, regarding the dynamics of this activity. Given that this activity happens during listening, what I addressing now is precisely how the shape of the music interacts with the listening itself. That is to say, the interaction between shape —but also the form, the idea— and the singularity of the listened. Interaction, here, refers to the shared activity that occurs</w:t>
      </w:r>
      <w:r>
        <w:t xml:space="preserve"> </w:t>
      </w:r>
      <w:r>
        <w:t xml:space="preserve">‘</w:t>
      </w:r>
      <w:r>
        <w:t xml:space="preserve">inside</w:t>
      </w:r>
      <w:r>
        <w:t xml:space="preserve">’</w:t>
      </w:r>
      <w:r>
        <w:t xml:space="preserve"> </w:t>
      </w:r>
      <w:r>
        <w:t xml:space="preserve">listening itself, and it happens</w:t>
      </w:r>
      <w:r>
        <w:t xml:space="preserve"> </w:t>
      </w:r>
      <w:r>
        <w:t xml:space="preserve">‘</w:t>
      </w:r>
      <w:r>
        <w:t xml:space="preserve">inside</w:t>
      </w:r>
      <w:r>
        <w:t xml:space="preserve">’</w:t>
      </w:r>
      <w:r>
        <w:t xml:space="preserve"> </w:t>
      </w:r>
      <w:r>
        <w:t xml:space="preserve">because of the severing that needed to occur prior —or immediately at— the resonant oscillation of air pressure. This is what I consider the moment of listening that is none other than listening to music. However, once this severing has occurred, and within its momentum, it is the internal dynamics that enter into play, and it is the shape of the music what begins to delineate the shape of the listened.</w:t>
      </w:r>
    </w:p>
    <w:p>
      <w:pPr>
        <w:pStyle w:val="Heading5"/>
      </w:pPr>
      <w:bookmarkStart w:id="316" w:name="masterwork"/>
      <w:r>
        <w:t xml:space="preserve">Masterwork</w:t>
      </w:r>
      <w:bookmarkEnd w:id="316"/>
    </w:p>
    <w:p>
      <w:pPr>
        <w:pStyle w:val="FirstParagraph"/>
      </w:pPr>
      <w:r>
        <w:t xml:space="preserve">Understood in this way, that is, the shape of the music as a force that produces a certain listening experience, therefore, the internal dynamics are already written.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 ideal force. The singularity of the listened is resistance itself, like I have mentioned before in relation to the trace (See</w:t>
      </w:r>
      <w:r>
        <w:t xml:space="preserve"> </w:t>
      </w:r>
      <w:hyperlink w:anchor="human">
        <w:r>
          <w:rPr>
            <w:rStyle w:val="Hyperlink"/>
          </w:rPr>
          <w:t xml:space="preserve">5.2.1</w:t>
        </w:r>
      </w:hyperlink>
      <w:r>
        <w:t xml:space="preserve">). It acts as resistance itself, and its force is not enough to resist the command of the excellent work. This is the very presence of the masterwork, at work, the work of a master that requires the slave —a slave that is not the rest of the works but the outshunned singularities that have been muted by its very own presence.</w:t>
      </w:r>
      <w:r>
        <w:t xml:space="preserve"> </w:t>
      </w:r>
      <w:r>
        <w:t xml:space="preserve">‘</w:t>
      </w:r>
      <w:r>
        <w:t xml:space="preserve">Almost,</w:t>
      </w:r>
      <w:r>
        <w:t xml:space="preserve">’</w:t>
      </w:r>
      <w:r>
        <w:t xml:space="preserve"> </w:t>
      </w:r>
      <w:r>
        <w:t xml:space="preserve">in the hope that its work can be relativized, disarticulated, disentangled from the source of sources, brought down the stream to the place where singularities can resonate in endless forms of matter. However, the problem is now of a different sort. Even if resisting forces match those of the masterwork, then, like Derrida’s concept of a paralysis of memory, we can encounter a paralysis of listening itself. This paralysis. This might (also) be what Szendy means, as well, by the cutting loose of the inattentive listener in modernity, but in a different way. It is not a paralysis caused by distraction, it is a paralysis caused by the very force that is needed to match the force of the master work. It is a paralysis that is directly called for from outside —from the shape of the music itself—, one which prevents any further listening. This is what is called for by the work of the masterwork: pure —and utterly ideal— silence.</w:t>
      </w:r>
    </w:p>
    <w:p>
      <w:pPr>
        <w:pStyle w:val="Heading5"/>
      </w:pPr>
      <w:bookmarkStart w:id="317" w:name="architecture-of-obedience"/>
      <w:r>
        <w:t xml:space="preserve">Architecture of Obedience</w:t>
      </w:r>
      <w:bookmarkEnd w:id="317"/>
    </w:p>
    <w:p>
      <w:pPr>
        <w:pStyle w:val="FirstParagraph"/>
      </w:pPr>
      <w:r>
        <w:t xml:space="preserve">Therefore, within these dynamics of work, what results is a function of the predicates, it is the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working out the work, of creating the structures, becomes the architect of the listened, the creator of a listening that of which he himself is the only chief. The sorcerer in charge of quenching a thirst that is only there because it is always already there, beforehand, instantiated with its own creation. The question now is how can this dynamics be approached once that I have recognized that it is there. How can composition continue, a composition that does not participate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18" w:name="anarchy"/>
      <w:r>
        <w:t xml:space="preserve">Anarchy And The Unwork</w:t>
      </w:r>
      <w:bookmarkEnd w:id="318"/>
    </w:p>
    <w:p>
      <w:pPr>
        <w:pStyle w:val="FirstParagraph"/>
      </w:pPr>
      <w:r>
        <w:t xml:space="preserve">What characterizes the aesthetic dimension in the severed music object of the composition that does not impose its own listening is inoperativity.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 The case is quite different from that of the</w:t>
      </w:r>
      <w:r>
        <w:t xml:space="preserve"> </w:t>
      </w:r>
      <w:r>
        <w:t xml:space="preserve">‘</w:t>
      </w:r>
      <w:r>
        <w:t xml:space="preserve">open</w:t>
      </w:r>
      <w:r>
        <w:t xml:space="preserve">’</w:t>
      </w:r>
      <w:r>
        <w:t xml:space="preserve"> </w:t>
      </w:r>
      <w:r>
        <w:t xml:space="preserve">work, since the work never reaches completion.</w:t>
      </w:r>
    </w:p>
    <w:p>
      <w:pPr>
        <w:pStyle w:val="Heading5"/>
      </w:pPr>
      <w:bookmarkStart w:id="319" w:name="place-in-common"/>
      <w:r>
        <w:t xml:space="preserve">Place in Common</w:t>
      </w:r>
      <w:bookmarkEnd w:id="319"/>
    </w:p>
    <w:p>
      <w:pPr>
        <w:pStyle w:val="FirstParagraph"/>
      </w:pPr>
      <w:r>
        <w:t xml:space="preserve">The unwork radically differs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 in inherent to the hybridity of its construction. The construction, in turn, is a result of the reticulated and fragmented state of exposure between the human and the nonhuman. In this sense, the limit of the unwork is the exposure of exposure itself, that is, an instantiation of the place in common.</w:t>
      </w:r>
    </w:p>
    <w:p>
      <w:pPr>
        <w:pStyle w:val="Heading5"/>
      </w:pPr>
      <w:bookmarkStart w:id="320" w:name="disintegrated-imperative"/>
      <w:r>
        <w:t xml:space="preserve">Disintegrated Imperative</w:t>
      </w:r>
      <w:bookmarkEnd w:id="320"/>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for if this were the case, such failure would be its paradoxical success.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5"/>
      </w:pPr>
      <w:bookmarkStart w:id="321" w:name="blind-experimentation"/>
      <w:r>
        <w:t xml:space="preserve">Blind Experimentation</w:t>
      </w:r>
      <w:bookmarkEnd w:id="321"/>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Therefore,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5"/>
      </w:pPr>
      <w:bookmarkStart w:id="322" w:name="doctoring-the-glitch"/>
      <w:r>
        <w:t xml:space="preserve">Doctoring the Glitch</w:t>
      </w:r>
      <w:bookmarkEnd w:id="322"/>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p>
    <w:p>
      <w:pPr>
        <w:pStyle w:val="BlockText"/>
      </w:pPr>
      <w:r>
        <w:t xml:space="preserve">But it seems this approach affects the listening habits of electronica aficionados…the</w:t>
      </w:r>
      <w:r>
        <w:t xml:space="preserve"> </w:t>
      </w:r>
      <w:r>
        <w:t xml:space="preserve">‘</w:t>
      </w:r>
      <w:r>
        <w:t xml:space="preserve">atomic</w:t>
      </w:r>
      <w:r>
        <w:t xml:space="preserve">’</w:t>
      </w:r>
      <w:r>
        <w:t xml:space="preserve"> </w:t>
      </w:r>
      <w:r>
        <w:t xml:space="preserve">parts, or samples, used in composing electronica from small modular pieces had become the whole. This is a clear indication that contemporary computer music has become fragmented, it is composed of stratified layers that intermingle and defer meaning until the listener takes an active role in the production of meaning.</w:t>
      </w:r>
      <w:r>
        <w:t xml:space="preserve"> </w:t>
      </w:r>
      <w:r>
        <w:t xml:space="preserve">(Cascone 2000, p. 17)</w:t>
      </w:r>
    </w:p>
    <w:p>
      <w:pPr>
        <w:pStyle w:val="Heading5"/>
      </w:pPr>
      <w:bookmarkStart w:id="323" w:name="unnecessary-blindfolds"/>
      <w:r>
        <w:t xml:space="preserve">Unnecessary Blindfolds</w:t>
      </w:r>
      <w:bookmarkEnd w:id="323"/>
    </w:p>
    <w:p>
      <w:pPr>
        <w:pStyle w:val="FirstParagraph"/>
      </w:pPr>
      <w:r>
        <w:t xml:space="preserve">How are we to interpret Cascone’s call for education? What is the center of this education: music technology, composition, or listening? If fragmentation, modularity, stratification, and deferred meaning are</w:t>
      </w:r>
      <w:r>
        <w:t xml:space="preserve"> </w:t>
      </w:r>
      <w:r>
        <w:t xml:space="preserve">‘</w:t>
      </w:r>
      <w:r>
        <w:t xml:space="preserve">affecting</w:t>
      </w:r>
      <w:r>
        <w:t xml:space="preserve">’</w:t>
      </w:r>
      <w:r>
        <w:t xml:space="preserve"> </w:t>
      </w:r>
      <w:r>
        <w:t xml:space="preserve">listening habits, are these</w:t>
      </w:r>
      <w:r>
        <w:t xml:space="preserve"> </w:t>
      </w:r>
      <w:r>
        <w:t xml:space="preserve">‘</w:t>
      </w:r>
      <w:r>
        <w:t xml:space="preserve">habits</w:t>
      </w:r>
      <w:r>
        <w:t xml:space="preserve">’</w:t>
      </w:r>
      <w:r>
        <w:t xml:space="preserve"> </w:t>
      </w:r>
      <w:r>
        <w:t xml:space="preserve">themselves that need to be taught? Or is the structure of the music in desperate need of medical attention? These ambiguities in his argument, however, I chose to understand as coming out of the main premise of the text, that of extending the concept of failure from the technology itself to the analysis of the work. Thus, in Cascone’s view, the aesthetics of failure of the late 1990s is still</w:t>
      </w:r>
      <w:r>
        <w:t xml:space="preserve"> </w:t>
      </w:r>
      <w:r>
        <w:t xml:space="preserve">‘</w:t>
      </w:r>
      <w:r>
        <w:t xml:space="preserve">failing</w:t>
      </w:r>
      <w:r>
        <w:t xml:space="preserve">’</w:t>
      </w:r>
      <w:r>
        <w:t xml:space="preserve"> </w:t>
      </w:r>
      <w:r>
        <w:t xml:space="preserve">to enter academia because it is itself</w:t>
      </w:r>
      <w:r>
        <w:t xml:space="preserve"> </w:t>
      </w:r>
      <w:r>
        <w:t xml:space="preserve">‘</w:t>
      </w:r>
      <w:r>
        <w:t xml:space="preserve">failing</w:t>
      </w:r>
      <w:r>
        <w:t xml:space="preserve">’</w:t>
      </w:r>
      <w:r>
        <w:t xml:space="preserve"> </w:t>
      </w:r>
      <w:r>
        <w:t xml:space="preserve">to achieve the same standards of formal cohesion that are required by the modern conception of the music</w:t>
      </w:r>
      <w:r>
        <w:t xml:space="preserve"> </w:t>
      </w:r>
      <w:r>
        <w:t xml:space="preserve">‘</w:t>
      </w:r>
      <w:r>
        <w:t xml:space="preserve">work</w:t>
      </w:r>
      <w:r>
        <w:t xml:space="preserve">’</w:t>
      </w:r>
      <w:r>
        <w:t xml:space="preserve">. Therefore, instead of finding an academic cure for blind experimentalism, I would claim to understand failure itself as an unnecessary blindfold since, at least in my consideration of the unwork, if there is no notion of success in the technology involved, there need not be any in the work itself. The success, if any, exists within the composer, and as such, it does so in relation to the very goal of disintegrating the imperative. This success is unrelated to popularity, for example, as is the case with software production, in which more users mean generally more chances of survival. This success is unrelated to value, since there is no measuring system that can determine how much of the imperative was disintegrated. In being for the composer, success is, like listening, inevitably private, a personal construction, like any other personal growth, or the overcoming of fears.</w:t>
      </w:r>
    </w:p>
    <w:p>
      <w:pPr>
        <w:pStyle w:val="Heading5"/>
      </w:pPr>
      <w:bookmarkStart w:id="324" w:name="spectral-remains"/>
      <w:r>
        <w:t xml:space="preserve">Spectral Remains</w:t>
      </w:r>
      <w:bookmarkEnd w:id="324"/>
    </w:p>
    <w:p>
      <w:pPr>
        <w:pStyle w:val="FirstParagraph"/>
      </w:pPr>
      <w:r>
        <w:t xml:space="preserve">The unwork cannot behave like a force, but it can be considered the spectral remains of a force. In this sense, if there is an illusion of a force, it must appear as wreckage, an after dream, a mirror that shows us our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 not us, but as yet again us. This is the moment that the unwork carries with it the most crucial aspect of all: it has nothing to give. It gives nothing. And this is when listening finds us without anything to hold on to but our very own resonance. Our very own listening to ourselves listening. The moment where we realize it is our own self that is returning to us. This is our resistance.</w:t>
      </w:r>
    </w:p>
    <w:p>
      <w:pPr>
        <w:pStyle w:val="Heading5"/>
      </w:pPr>
      <w:bookmarkStart w:id="325" w:name="macroforma"/>
      <w:r>
        <w:t xml:space="preserve">Macroforma</w:t>
      </w:r>
      <w:bookmarkEnd w:id="325"/>
    </w:p>
    <w:p>
      <w:pPr>
        <w:pStyle w:val="FirstParagraph"/>
      </w:pPr>
      <w:r>
        <w:t xml:space="preserve">The resonance of a return. This is why the unwork depends so extremely on its very state of fragility: it touches the self from itself, it engages the self with its own touch, with its own skin, with the resonance of itself. The moment this fragility is forgotten is when composers, performers, improvisors, programmers —humans and nonhuman listeners, in the most broadest sense possible— enable an operative</w:t>
      </w:r>
      <w:r>
        <w:t xml:space="preserve"> </w:t>
      </w:r>
      <w:r>
        <w:rPr>
          <w:rStyle w:val="VerbatimChar"/>
        </w:rPr>
        <w:t xml:space="preserve">macro</w:t>
      </w:r>
      <w:r>
        <w:t xml:space="preserve"> </w:t>
      </w:r>
      <w:r>
        <w:t xml:space="preserve">that has a political agency in the shaping of singularities. In order to to provide some insight into the difficulties that arise from this conceptualization of the unwork, I would like to brin again Vaggione.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singularly, and the value of his music is not put into question. I bring this as an example, as I have mentioned before, of the name of the composer and its impression on the music. In this case, the singularity that is the composer impresses its own singular shape, its own style, its own trace, on the music, and makes it a work. The problem is that the work now engages with its own operativity, with its integrity, and begins to dictate the shape of its own listening.</w:t>
      </w:r>
    </w:p>
    <w:p>
      <w:pPr>
        <w:pStyle w:val="Heading5"/>
      </w:pPr>
      <w:bookmarkStart w:id="326" w:name="overfitting"/>
      <w:r>
        <w:t xml:space="preserve">Overfitting</w:t>
      </w:r>
      <w:bookmarkEnd w:id="326"/>
    </w:p>
    <w:p>
      <w:pPr>
        <w:pStyle w:val="FirstParagraph"/>
      </w:pPr>
      <w:r>
        <w:t xml:space="preserve">Defining anarchy as a paradoxically productive force —a form of destruction which</w:t>
      </w:r>
      <w:r>
        <w:t xml:space="preserve"> </w:t>
      </w:r>
      <w:r>
        <w:t xml:space="preserve">“</w:t>
      </w:r>
      <w:r>
        <w:t xml:space="preserve">produces the very thing it reduces</w:t>
      </w:r>
      <w:r>
        <w:t xml:space="preserve">”</w:t>
      </w:r>
      <w:r>
        <w:t xml:space="preserve"> </w:t>
      </w:r>
      <w:r>
        <w:t xml:space="preserve">(Derrida &amp; Prenowitz 1995)</w:t>
      </w:r>
      <w:r>
        <w:t xml:space="preserve">—, Derrida locates it at the core of the concept of the archive (See</w:t>
      </w:r>
      <w:r>
        <w:t xml:space="preserve"> </w:t>
      </w:r>
      <w:hyperlink w:anchor="archontic">
        <w:r>
          <w:rPr>
            <w:rStyle w:val="Hyperlink"/>
          </w:rPr>
          <w:t xml:space="preserve">5.2.2</w:t>
        </w:r>
      </w:hyperlink>
      <w:r>
        <w:t xml:space="preserve">). As I have outlined before, databasing and composition bring forth their relation to the archive, and by doing so, they reveal themselves as repositories for the the archontic principle: bound to the origin and the rule. Like the name of the composer which is written in the shape of the music, the database has too the potential of becoming a source. Databasing becomes an activity of this source, and thus embeds the databaser with a specter of authority (See</w:t>
      </w:r>
      <w:r>
        <w:t xml:space="preserve"> </w:t>
      </w:r>
      <w:hyperlink w:anchor="authority">
        <w:r>
          <w:rPr>
            <w:rStyle w:val="Hyperlink"/>
          </w:rPr>
          <w:t xml:space="preserve">5.3.4</w:t>
        </w:r>
      </w:hyperlink>
      <w:r>
        <w:t xml:space="preserve">). Claiming, therefore, that composition can be identified with databasing means translating the</w:t>
      </w:r>
      <w:r>
        <w:t xml:space="preserve"> </w:t>
      </w:r>
      <w:r>
        <w:t xml:space="preserve">‘</w:t>
      </w:r>
      <w:r>
        <w:t xml:space="preserve">archic</w:t>
      </w:r>
      <w:r>
        <w:t xml:space="preserve">’</w:t>
      </w:r>
      <w:r>
        <w:t xml:space="preserve"> </w:t>
      </w:r>
      <w:r>
        <w:t xml:space="preserve">not only to the performativity of composition, also to the product of composing, to the composer and the composed, to the shape of the music, and to the singularity of the listened. An unwork, therefore, would be a necessarily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in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 set, tend to adapt themselves too closely to the data set, thus failing to render future predictions reliably. This is known as overfitting. Despite its uselessness (or better, because of it) I believe this to be a suitable metaphor for the pursuit of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27" w:name="worker"/>
      <w:r>
        <w:t xml:space="preserve">[Wip] Work In Progress</w:t>
      </w:r>
      <w:bookmarkEnd w:id="327"/>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28" w:name="chapter:Conclusion"/>
      <w:r>
        <w:t xml:space="preserve">Conclusion</w:t>
      </w:r>
      <w:bookmarkEnd w:id="328"/>
    </w:p>
    <w:p>
      <w:pPr>
        <w:pStyle w:val="FirstParagraph"/>
      </w:pPr>
      <w:r>
        <w:t xml:space="preserve">…</w:t>
      </w:r>
      <w:r>
        <w:t xml:space="preserve"> </w:t>
      </w:r>
      <w:r>
        <w:t xml:space="preserve">placeholder for conclusion abstract</w:t>
      </w:r>
      <w:r>
        <w:t xml:space="preserve"> </w:t>
      </w:r>
      <w:r>
        <w:t xml:space="preserve">…</w:t>
      </w:r>
    </w:p>
    <w:p>
      <w:pPr>
        <w:pStyle w:val="Heading1"/>
      </w:pPr>
      <w:bookmarkStart w:id="329" w:name="chapter:Appendices"/>
      <w:r>
        <w:t xml:space="preserve">Appendices</w:t>
      </w:r>
      <w:bookmarkEnd w:id="329"/>
    </w:p>
    <w:p>
      <w:pPr>
        <w:pStyle w:val="FirstParagraph"/>
      </w:pPr>
      <w:r>
        <w:t xml:space="preserve">abstract of appendices</w:t>
      </w:r>
    </w:p>
    <w:p>
      <w:pPr>
        <w:pStyle w:val="Heading2"/>
      </w:pPr>
      <w:bookmarkStart w:id="330" w:name="X10ee8bf4babf50c107e97e7a3ded64e4f2e7a3b"/>
      <w:r>
        <w:t xml:space="preserve">DIANA: Database for Image and Audio Navigation</w:t>
      </w:r>
      <w:bookmarkEnd w:id="330"/>
    </w:p>
    <w:p>
      <w:pPr>
        <w:pStyle w:val="FirstParagraph"/>
      </w:pPr>
      <w:r>
        <w:t xml:space="preserve">I use William Brent’s —timbre description algorithms— and Antoine Villeret’s —image descriptors using Computer Vision algorithms—, to develop a new software library for Pure Data. My model consists of a joint Database structure for Image and Audio descriptors suitable for realtime navigation. At its core, the Database is generated by calculating derivatives between both data sets, and it is performed by applying random probabilities, markov chains, or chaotic generators to this navigation. This allows for multiple paths to be traced on each navigation.</w:t>
      </w:r>
    </w:p>
    <w:p>
      <w:pPr>
        <w:pStyle w:val="Heading3"/>
      </w:pPr>
      <w:bookmarkStart w:id="331" w:name="dbmodel"/>
      <w:r>
        <w:t xml:space="preserve">A Database Model</w:t>
      </w:r>
      <w:bookmarkEnd w:id="331"/>
    </w:p>
    <w:p>
      <w:pPr>
        <w:pStyle w:val="FirstParagraph"/>
      </w:pPr>
      <w:r>
        <w:t xml:space="preserve">A detailed description of the image and audio navigation system…</w:t>
      </w:r>
    </w:p>
    <w:p>
      <w:pPr>
        <w:pStyle w:val="BlockText"/>
      </w:pPr>
      <w:r>
        <w:t xml:space="preserve">Just as a fractal has the same structure on different scales, a new media object has the same modular structure throughout. Media elements…are represented as collections of discrete samples</w:t>
      </w:r>
      <w:r>
        <w:t xml:space="preserve"> </w:t>
      </w:r>
      <w:r>
        <w:t xml:space="preserve">(Manovich 2001, p. 30)</w:t>
      </w:r>
      <w:r>
        <w:t xml:space="preserve">.</w:t>
      </w:r>
    </w:p>
    <w:p>
      <w:pPr>
        <w:pStyle w:val="BlockText"/>
      </w:pPr>
      <w:r>
        <w:t xml:space="preserve">First, data is sampled, most often at regular intervals, such as the grid of pixels used to represent a digital image. The frequency of sampling is referred to as resolution. Sampling turns continuous data into discrete data…Second, each sample is quantified, that is, it is assigned a numerical value drawn from a defined range (such as 0-255 in the case of an 8-bit greyscale image)</w:t>
      </w:r>
      <w:r>
        <w:t xml:space="preserve"> </w:t>
      </w:r>
      <w:r>
        <w:t xml:space="preserve">(Manovich 2002, p. 28)</w:t>
      </w:r>
    </w:p>
    <w:p>
      <w:pPr>
        <w:pStyle w:val="FirstParagraph"/>
      </w:pPr>
      <w:r>
        <w:t xml:space="preserve">I define the points in common between Database Practice and Music Composition. I describe the main technical concepts behind Database Navigation and provide use cases from both appendices A and B, the former relating to joint image and audio databases, and the latter to text databases. I then reflect on the quality of this navigation in relation to the type of navigation and results that they obtain.</w:t>
      </w:r>
    </w:p>
    <w:p>
      <w:pPr>
        <w:pStyle w:val="BodyText"/>
      </w:pPr>
      <w:r>
        <w:t xml:space="preserve">I use computer vision literature to briefly introduce and describe the most common visual descriptors. I focus on certain descriptors (TBD) which are suitable for live multimedia use, and which I will implement in Appendix A.</w:t>
      </w:r>
    </w:p>
    <w:p>
      <w:pPr>
        <w:pStyle w:val="BodyText"/>
      </w:pPr>
      <w:r>
        <w:t xml:space="preserve">I use Timbre Analysis literature to briefly introduce and describe the most useful audio descriptors. I take William Brent’s TimbreID library, complementing it with Tae Hong Park’s dissertation on timbre recognition, and I focus on the most useful descriptors for live multimedia use (TBD), which I will implement in Appendix A in relation to the image descriptors introduced above.</w:t>
      </w:r>
    </w:p>
    <w:p>
      <w:pPr>
        <w:pStyle w:val="Heading2"/>
      </w:pPr>
      <w:bookmarkStart w:id="332" w:name="Xbdeae474b30d0c6c153bc32937848dc3fd565e9"/>
      <w:r>
        <w:t xml:space="preserve">ABBY: An Online Environment for Annotated Bibliographies</w:t>
      </w:r>
      <w:bookmarkEnd w:id="332"/>
    </w:p>
    <w:p>
      <w:pPr>
        <w:pStyle w:val="FirstParagraph"/>
      </w:pPr>
      <w:r>
        <w:t xml:space="preserve">In order to write this dissertation, I have developed</w:t>
      </w:r>
      <w:r>
        <w:t xml:space="preserve"> </w:t>
      </w:r>
      <w:r>
        <w:t xml:space="preserve">“</w:t>
      </w:r>
      <w:r>
        <w:t xml:space="preserve">Abby</w:t>
      </w:r>
      <w:r>
        <w:t xml:space="preserve">”</w:t>
      </w:r>
      <w:r>
        <w:t xml:space="preserve"> </w:t>
      </w:r>
      <w:r>
        <w:t xml:space="preserve">an online Text Database tool namely to build an annotated bibliography. The program is mostly written in Javascript, with the data navigation and programming hosted in Github, and the datasets stored in the Google account that New York University has provided me. The annotated bibliography is available at</w:t>
      </w:r>
      <w:r>
        <w:t xml:space="preserve"> </w:t>
      </w:r>
      <w:hyperlink r:id="rId333">
        <w:r>
          <w:rPr>
            <w:rStyle w:val="Hyperlink"/>
          </w:rPr>
          <w:t xml:space="preserve">https://fdch.github.io/abby</w:t>
        </w:r>
      </w:hyperlink>
      <w:r>
        <w:t xml:space="preserve">, and the code can be accessed or cloned from</w:t>
      </w:r>
      <w:r>
        <w:t xml:space="preserve"> </w:t>
      </w:r>
      <w:hyperlink r:id="rId334">
        <w:r>
          <w:rPr>
            <w:rStyle w:val="Hyperlink"/>
          </w:rPr>
          <w:t xml:space="preserve">https://github.com/fdch/litrev</w:t>
        </w:r>
      </w:hyperlink>
      <w:r>
        <w:t xml:space="preserve">.</w:t>
      </w:r>
    </w:p>
    <w:p>
      <w:pPr>
        <w:pStyle w:val="Heading3"/>
      </w:pPr>
      <w:bookmarkStart w:id="335" w:name="texdb"/>
      <w:r>
        <w:t xml:space="preserve">A Text Database</w:t>
      </w:r>
      <w:bookmarkEnd w:id="335"/>
    </w:p>
    <w:p>
      <w:pPr>
        <w:pStyle w:val="FirstParagraph"/>
      </w:pPr>
      <w:r>
        <w:t xml:space="preserve">A detailed description of the text database model…</w:t>
      </w:r>
    </w:p>
    <w:bookmarkStart w:id="683" w:name="refs"/>
    <w:bookmarkStart w:id="336"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36"/>
    <w:bookmarkStart w:id="337"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37"/>
    <w:bookmarkStart w:id="338"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38"/>
    <w:bookmarkStart w:id="339"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39"/>
    <w:bookmarkStart w:id="340"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40"/>
    <w:bookmarkStart w:id="342"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41">
        <w:r>
          <w:rPr>
            <w:rStyle w:val="Hyperlink"/>
          </w:rPr>
          <w:t xml:space="preserve">http://www.terasoft.com.tw/conf/ismir2014/proceedings/T014_162_Paper.pdf</w:t>
        </w:r>
      </w:hyperlink>
    </w:p>
    <w:bookmarkEnd w:id="342"/>
    <w:bookmarkStart w:id="343"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43"/>
    <w:bookmarkStart w:id="344"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44"/>
    <w:bookmarkStart w:id="345"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45"/>
    <w:bookmarkStart w:id="346"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46"/>
    <w:bookmarkStart w:id="347"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47"/>
    <w:bookmarkStart w:id="348"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48"/>
    <w:bookmarkStart w:id="349"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49"/>
    <w:bookmarkStart w:id="350"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50"/>
    <w:bookmarkStart w:id="351"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51"/>
    <w:bookmarkStart w:id="352"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52"/>
    <w:bookmarkStart w:id="353" w:name="ref-Bar20:Viv"/>
    <w:p>
      <w:pPr>
        <w:pStyle w:val="Bibliography"/>
      </w:pPr>
      <w:r>
        <w:t xml:space="preserve">Barrett N. 2000b. Viva la selva</w:t>
      </w:r>
    </w:p>
    <w:bookmarkEnd w:id="353"/>
    <w:bookmarkStart w:id="354" w:name="ref-Bar68:Ele"/>
    <w:p>
      <w:pPr>
        <w:pStyle w:val="Bibliography"/>
      </w:pPr>
      <w:r>
        <w:t xml:space="preserve">Barthes R, Lavers A, Smith C. 1968.</w:t>
      </w:r>
      <w:r>
        <w:t xml:space="preserve"> </w:t>
      </w:r>
      <w:r>
        <w:rPr>
          <w:i/>
        </w:rPr>
        <w:t xml:space="preserve">Elements of Semiology</w:t>
      </w:r>
      <w:r>
        <w:t xml:space="preserve">. Hill; Wang, New York. ed.</w:t>
      </w:r>
    </w:p>
    <w:bookmarkEnd w:id="354"/>
    <w:bookmarkStart w:id="355"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55"/>
    <w:bookmarkStart w:id="356"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56"/>
    <w:bookmarkStart w:id="357"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57"/>
    <w:bookmarkStart w:id="359"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58">
        <w:r>
          <w:rPr>
            <w:rStyle w:val="Hyperlink"/>
          </w:rPr>
          <w:t xml:space="preserve">http://www.terasoft.com.tw/conf/ismir2014/proceedings/T028_322_Paper.pdf</w:t>
        </w:r>
      </w:hyperlink>
    </w:p>
    <w:bookmarkEnd w:id="359"/>
    <w:bookmarkStart w:id="360"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60"/>
    <w:bookmarkStart w:id="362"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61">
        <w:r>
          <w:rPr>
            <w:rStyle w:val="Hyperlink"/>
          </w:rPr>
          <w:t xml:space="preserve">http://www.ppgia.pucpr.br/ismir2013/wp-content/uploads/2013/09/177\_Paper.pdf</w:t>
        </w:r>
      </w:hyperlink>
    </w:p>
    <w:bookmarkEnd w:id="362"/>
    <w:bookmarkStart w:id="363"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63"/>
    <w:bookmarkStart w:id="364" w:name="ref-Bor42:Fun"/>
    <w:p>
      <w:pPr>
        <w:pStyle w:val="Bibliography"/>
      </w:pPr>
      <w:r>
        <w:t xml:space="preserve">Borges JL. 1942. Funes el memorioso.</w:t>
      </w:r>
      <w:r>
        <w:t xml:space="preserve"> </w:t>
      </w:r>
      <w:r>
        <w:rPr>
          <w:i/>
        </w:rPr>
        <w:t xml:space="preserve">Ficciones</w:t>
      </w:r>
    </w:p>
    <w:bookmarkEnd w:id="364"/>
    <w:bookmarkStart w:id="365" w:name="ref-Ker94:Fun"/>
    <w:p>
      <w:pPr>
        <w:pStyle w:val="Bibliography"/>
      </w:pPr>
      <w:r>
        <w:t xml:space="preserve">Borges JL. 1994.</w:t>
      </w:r>
      <w:r>
        <w:t xml:space="preserve"> </w:t>
      </w:r>
      <w:r>
        <w:rPr>
          <w:i/>
        </w:rPr>
        <w:t xml:space="preserve">Ficciones</w:t>
      </w:r>
      <w:r>
        <w:t xml:space="preserve">. Grove Press. ed.</w:t>
      </w:r>
    </w:p>
    <w:bookmarkEnd w:id="365"/>
    <w:bookmarkStart w:id="366" w:name="ref-Bor95:Rat"/>
    <w:p>
      <w:pPr>
        <w:pStyle w:val="Bibliography"/>
      </w:pPr>
      <w:r>
        <w:t xml:space="preserve">Born G. 1995.</w:t>
      </w:r>
      <w:r>
        <w:t xml:space="preserve"> </w:t>
      </w:r>
      <w:r>
        <w:rPr>
          <w:i/>
        </w:rPr>
        <w:t xml:space="preserve">Rationalizing Culture</w:t>
      </w:r>
      <w:r>
        <w:t xml:space="preserve">. University of California Press. ed.</w:t>
      </w:r>
    </w:p>
    <w:bookmarkEnd w:id="366"/>
    <w:bookmarkStart w:id="367"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67"/>
    <w:bookmarkStart w:id="368"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68"/>
    <w:bookmarkStart w:id="369"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69"/>
    <w:bookmarkStart w:id="370"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70"/>
    <w:bookmarkStart w:id="371"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71"/>
    <w:bookmarkStart w:id="372"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72"/>
    <w:bookmarkStart w:id="373" w:name="ref-score11manual"/>
    <w:p>
      <w:pPr>
        <w:pStyle w:val="Bibliography"/>
      </w:pPr>
      <w:r>
        <w:t xml:space="preserve">Brinkman AR. 1982. Original version of the score11 manual.</w:t>
      </w:r>
      <w:r>
        <w:t xml:space="preserve"> </w:t>
      </w:r>
      <w:r>
        <w:rPr>
          <w:i/>
        </w:rPr>
        <w:t xml:space="preserve">Score11 Manual</w:t>
      </w:r>
    </w:p>
    <w:bookmarkEnd w:id="373"/>
    <w:bookmarkStart w:id="374"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74"/>
    <w:bookmarkStart w:id="375"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75"/>
    <w:bookmarkStart w:id="376"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76"/>
    <w:bookmarkStart w:id="378"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77">
        <w:r>
          <w:rPr>
            <w:rStyle w:val="Hyperlink"/>
          </w:rPr>
          <w:t xml:space="preserve">http://www.nime.org/proceedings/2011/nime2011_387.pdf</w:t>
        </w:r>
      </w:hyperlink>
    </w:p>
    <w:bookmarkEnd w:id="378"/>
    <w:bookmarkStart w:id="380"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379">
        <w:r>
          <w:rPr>
            <w:rStyle w:val="Hyperlink"/>
          </w:rPr>
          <w:t xml:space="preserve">http://www.nime.org/proceedings/2009/nime2009_266.pdf</w:t>
        </w:r>
      </w:hyperlink>
    </w:p>
    <w:bookmarkEnd w:id="380"/>
    <w:bookmarkStart w:id="381"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381"/>
    <w:bookmarkStart w:id="382"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382"/>
    <w:bookmarkStart w:id="383"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383"/>
    <w:bookmarkStart w:id="384" w:name="ref-Bux77:Aco"/>
    <w:p>
      <w:pPr>
        <w:pStyle w:val="Bibliography"/>
      </w:pPr>
      <w:r>
        <w:t xml:space="preserve">Buxton W. 1977. A composer’s introduction to computer music.</w:t>
      </w:r>
      <w:r>
        <w:t xml:space="preserve"> </w:t>
      </w:r>
      <w:r>
        <w:rPr>
          <w:i/>
        </w:rPr>
        <w:t xml:space="preserve">Interface</w:t>
      </w:r>
      <w:r>
        <w:t xml:space="preserve">. 6:57–72</w:t>
      </w:r>
    </w:p>
    <w:bookmarkEnd w:id="384"/>
    <w:bookmarkStart w:id="385" w:name="ref-youtube/buxton10"/>
    <w:p>
      <w:pPr>
        <w:pStyle w:val="Bibliography"/>
      </w:pPr>
      <w:r>
        <w:t xml:space="preserve">Buxton W. 2016a. Objed: The sssp sound editing tool.</w:t>
      </w:r>
      <w:r>
        <w:t xml:space="preserve"> </w:t>
      </w:r>
      <w:r>
        <w:rPr>
          <w:i/>
        </w:rPr>
        <w:t xml:space="preserve">Youtube</w:t>
      </w:r>
    </w:p>
    <w:bookmarkEnd w:id="385"/>
    <w:bookmarkStart w:id="386"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386"/>
    <w:bookmarkStart w:id="387"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387"/>
    <w:bookmarkStart w:id="388"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388"/>
    <w:bookmarkStart w:id="389"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389"/>
    <w:bookmarkStart w:id="391"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390">
        <w:r>
          <w:rPr>
            <w:rStyle w:val="Hyperlink"/>
          </w:rPr>
          <w:t xml:space="preserve">http://www.nime.org/proceedings/2011/nime2011_329.pdf</w:t>
        </w:r>
      </w:hyperlink>
    </w:p>
    <w:bookmarkEnd w:id="391"/>
    <w:bookmarkStart w:id="392"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392"/>
    <w:bookmarkStart w:id="393"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393"/>
    <w:bookmarkStart w:id="394"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394"/>
    <w:bookmarkStart w:id="395" w:name="ref-Rya17:OnT"/>
    <w:p>
      <w:pPr>
        <w:pStyle w:val="Bibliography"/>
      </w:pPr>
      <w:r>
        <w:t xml:space="preserve">Carter R. 2017. On the expressive potential of suboptimal speakers</w:t>
      </w:r>
    </w:p>
    <w:bookmarkEnd w:id="395"/>
    <w:bookmarkStart w:id="396"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396"/>
    <w:bookmarkStart w:id="397"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397"/>
    <w:bookmarkStart w:id="398"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398"/>
    <w:bookmarkStart w:id="399"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399"/>
    <w:bookmarkStart w:id="400"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400"/>
    <w:bookmarkStart w:id="401"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401"/>
    <w:bookmarkStart w:id="402"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402"/>
    <w:bookmarkStart w:id="403"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403"/>
    <w:bookmarkStart w:id="404" w:name="ref-Cho00:Voi"/>
    <w:p>
      <w:pPr>
        <w:pStyle w:val="Bibliography"/>
      </w:pPr>
      <w:r>
        <w:t xml:space="preserve">Choi I. 2000. Voices in ruins — composition with residuals</w:t>
      </w:r>
    </w:p>
    <w:bookmarkEnd w:id="404"/>
    <w:bookmarkStart w:id="405"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405"/>
    <w:bookmarkStart w:id="406"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406"/>
    <w:bookmarkStart w:id="407"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407"/>
    <w:bookmarkStart w:id="408"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408"/>
    <w:bookmarkStart w:id="409"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409"/>
    <w:bookmarkStart w:id="410"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410"/>
    <w:bookmarkStart w:id="411"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411"/>
    <w:bookmarkStart w:id="412"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412"/>
    <w:bookmarkStart w:id="413"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413"/>
    <w:bookmarkStart w:id="414" w:name="ref-connes:shapes"/>
    <w:p>
      <w:pPr>
        <w:pStyle w:val="Bibliography"/>
      </w:pPr>
      <w:r>
        <w:t xml:space="preserve">Connes A. 2012. The music of shapes</w:t>
      </w:r>
    </w:p>
    <w:bookmarkEnd w:id="414"/>
    <w:bookmarkStart w:id="415"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415"/>
    <w:bookmarkStart w:id="416"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416"/>
    <w:bookmarkStart w:id="417"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17"/>
    <w:bookmarkStart w:id="418"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18"/>
    <w:bookmarkStart w:id="419"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19"/>
    <w:bookmarkStart w:id="421"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20">
        <w:r>
          <w:rPr>
            <w:rStyle w:val="Hyperlink"/>
          </w:rPr>
          <w:t xml:space="preserve">https://ismir2017.smcnus.org/wp-content/uploads/2017/10/235_Paper.pdf</w:t>
        </w:r>
      </w:hyperlink>
    </w:p>
    <w:bookmarkEnd w:id="421"/>
    <w:bookmarkStart w:id="423" w:name="ref-crowley98"/>
    <w:p>
      <w:pPr>
        <w:pStyle w:val="Bibliography"/>
      </w:pPr>
      <w:r>
        <w:t xml:space="preserve">Crowley C. 1998. Data structures for text sequences.</w:t>
      </w:r>
      <w:r>
        <w:t xml:space="preserve"> </w:t>
      </w:r>
      <w:hyperlink r:id="rId422">
        <w:r>
          <w:rPr>
            <w:rStyle w:val="Hyperlink"/>
          </w:rPr>
          <w:t xml:space="preserve">https://www.cs.unm.edu/~crowley/papers/sds.pdf</w:t>
        </w:r>
      </w:hyperlink>
    </w:p>
    <w:bookmarkEnd w:id="423"/>
    <w:bookmarkStart w:id="424"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24"/>
    <w:bookmarkStart w:id="426"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25">
        <w:r>
          <w:rPr>
            <w:rStyle w:val="Hyperlink"/>
          </w:rPr>
          <w:t xml:space="preserve">https://ismir2017.smcnus.org/wp-content/uploads/2017/10/75_Paper.pdf</w:t>
        </w:r>
      </w:hyperlink>
    </w:p>
    <w:bookmarkEnd w:id="426"/>
    <w:bookmarkStart w:id="427"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27"/>
    <w:bookmarkStart w:id="428"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28"/>
    <w:bookmarkStart w:id="429"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29"/>
    <w:bookmarkStart w:id="430" w:name="ref-Der78:Wri"/>
    <w:p>
      <w:pPr>
        <w:pStyle w:val="Bibliography"/>
      </w:pPr>
      <w:r>
        <w:t xml:space="preserve">Derrida J. 1978.</w:t>
      </w:r>
      <w:r>
        <w:t xml:space="preserve"> </w:t>
      </w:r>
      <w:r>
        <w:rPr>
          <w:i/>
        </w:rPr>
        <w:t xml:space="preserve">Writing and Difference</w:t>
      </w:r>
      <w:r>
        <w:t xml:space="preserve">. The University of Chicago. ed.</w:t>
      </w:r>
    </w:p>
    <w:bookmarkEnd w:id="430"/>
    <w:bookmarkStart w:id="431" w:name="ref-Der82:Mar"/>
    <w:p>
      <w:pPr>
        <w:pStyle w:val="Bibliography"/>
      </w:pPr>
      <w:r>
        <w:t xml:space="preserve">Derrida J. 1982.</w:t>
      </w:r>
      <w:r>
        <w:t xml:space="preserve"> </w:t>
      </w:r>
      <w:r>
        <w:rPr>
          <w:i/>
        </w:rPr>
        <w:t xml:space="preserve">Margins of Philosophy</w:t>
      </w:r>
      <w:r>
        <w:t xml:space="preserve">. The Harvester Press. ed.</w:t>
      </w:r>
    </w:p>
    <w:bookmarkEnd w:id="431"/>
    <w:bookmarkStart w:id="432" w:name="ref-Der95:Arc"/>
    <w:p>
      <w:pPr>
        <w:pStyle w:val="Bibliography"/>
      </w:pPr>
      <w:r>
        <w:t xml:space="preserve">Derrida J, Prenowitz E. 1995. Archive fever: A freudian impression.</w:t>
      </w:r>
      <w:r>
        <w:t xml:space="preserve"> </w:t>
      </w:r>
      <w:r>
        <w:rPr>
          <w:i/>
        </w:rPr>
        <w:t xml:space="preserve">Diacritics</w:t>
      </w:r>
      <w:r>
        <w:t xml:space="preserve">. 25(2):</w:t>
      </w:r>
    </w:p>
    <w:bookmarkEnd w:id="432"/>
    <w:bookmarkStart w:id="433" w:name="ref-Der76:Of"/>
    <w:p>
      <w:pPr>
        <w:pStyle w:val="Bibliography"/>
      </w:pPr>
      <w:r>
        <w:t xml:space="preserve">Derrida J, Spivak GC. 1976.</w:t>
      </w:r>
      <w:r>
        <w:t xml:space="preserve"> </w:t>
      </w:r>
      <w:r>
        <w:rPr>
          <w:i/>
        </w:rPr>
        <w:t xml:space="preserve">Of Grammatology.</w:t>
      </w:r>
      <w:r>
        <w:t xml:space="preserve"> </w:t>
      </w:r>
      <w:r>
        <w:t xml:space="preserve">The Johns Hopkins University Press. ed.</w:t>
      </w:r>
    </w:p>
    <w:bookmarkEnd w:id="433"/>
    <w:bookmarkStart w:id="435"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34">
        <w:r>
          <w:rPr>
            <w:rStyle w:val="Hyperlink"/>
          </w:rPr>
          <w:t xml:space="preserve">http://ismir2015.uma.es/articles/261_Paper.pdf</w:t>
        </w:r>
      </w:hyperlink>
    </w:p>
    <w:bookmarkEnd w:id="435"/>
    <w:bookmarkStart w:id="436"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36"/>
    <w:bookmarkStart w:id="437"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37"/>
    <w:bookmarkStart w:id="438"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38"/>
    <w:bookmarkStart w:id="439"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39"/>
    <w:bookmarkStart w:id="440"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40"/>
    <w:bookmarkStart w:id="441"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41"/>
    <w:bookmarkStart w:id="443"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42">
        <w:r>
          <w:rPr>
            <w:rStyle w:val="Hyperlink"/>
          </w:rPr>
          <w:t xml:space="preserve">http://ismir2018.ircam.fr/doc/pdfs/265_Paper.pdf</w:t>
        </w:r>
      </w:hyperlink>
    </w:p>
    <w:bookmarkEnd w:id="443"/>
    <w:bookmarkStart w:id="444"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44"/>
    <w:bookmarkStart w:id="446"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45">
        <w:r>
          <w:rPr>
            <w:rStyle w:val="Hyperlink"/>
          </w:rPr>
          <w:t xml:space="preserve">http://ismir2000.ismir.net/papers/invites/dunn_invite.pdf</w:t>
        </w:r>
      </w:hyperlink>
    </w:p>
    <w:bookmarkEnd w:id="446"/>
    <w:bookmarkStart w:id="447"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47"/>
    <w:bookmarkStart w:id="448"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48"/>
    <w:bookmarkStart w:id="449" w:name="ref-Eco04:The"/>
    <w:p>
      <w:pPr>
        <w:pStyle w:val="Bibliography"/>
      </w:pPr>
      <w:r>
        <w:t xml:space="preserve">Eco U. 2004. The poetics of the open work.</w:t>
      </w:r>
      <w:r>
        <w:t xml:space="preserve"> </w:t>
      </w:r>
      <w:r>
        <w:rPr>
          <w:i/>
        </w:rPr>
        <w:t xml:space="preserve">Audio Culture: Readings in Modern Music</w:t>
      </w:r>
    </w:p>
    <w:bookmarkEnd w:id="449"/>
    <w:bookmarkStart w:id="450" w:name="ref-Emm86:The"/>
    <w:p>
      <w:pPr>
        <w:pStyle w:val="Bibliography"/>
      </w:pPr>
      <w:r>
        <w:t xml:space="preserve">Emmerson S. 1986.</w:t>
      </w:r>
      <w:r>
        <w:t xml:space="preserve"> </w:t>
      </w:r>
      <w:r>
        <w:rPr>
          <w:i/>
        </w:rPr>
        <w:t xml:space="preserve">The Language of Electroacoustic Music</w:t>
      </w:r>
      <w:r>
        <w:t xml:space="preserve">. ed.</w:t>
      </w:r>
    </w:p>
    <w:bookmarkEnd w:id="450"/>
    <w:bookmarkStart w:id="452"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51">
        <w:r>
          <w:rPr>
            <w:rStyle w:val="Hyperlink"/>
          </w:rPr>
          <w:t xml:space="preserve">http://ismir2018.ircam.fr/doc/pdfs/206_Paper.pdf</w:t>
        </w:r>
      </w:hyperlink>
    </w:p>
    <w:bookmarkEnd w:id="452"/>
    <w:bookmarkStart w:id="453"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53"/>
    <w:bookmarkStart w:id="454" w:name="ref-Ern13:Dig"/>
    <w:p>
      <w:pPr>
        <w:pStyle w:val="Bibliography"/>
      </w:pPr>
      <w:r>
        <w:t xml:space="preserve">Ernst W. 2013.</w:t>
      </w:r>
      <w:r>
        <w:t xml:space="preserve"> </w:t>
      </w:r>
      <w:r>
        <w:rPr>
          <w:i/>
        </w:rPr>
        <w:t xml:space="preserve">Digital Memory and the Archive</w:t>
      </w:r>
      <w:r>
        <w:t xml:space="preserve">. University of Minnesota Press. ed.</w:t>
      </w:r>
    </w:p>
    <w:bookmarkEnd w:id="454"/>
    <w:bookmarkStart w:id="455" w:name="ref-PhysRevLett.122.084501"/>
    <w:p>
      <w:pPr>
        <w:pStyle w:val="Bibliography"/>
      </w:pPr>
      <w:r>
        <w:t xml:space="preserve">Esposito A, Krichevsky R, Nicolis A. 2019. Gravitational mass carried by sound waves.</w:t>
      </w:r>
      <w:r>
        <w:t xml:space="preserve"> </w:t>
      </w:r>
      <w:r>
        <w:rPr>
          <w:i/>
        </w:rPr>
        <w:t xml:space="preserve">Phys. Rev. Lett.</w:t>
      </w:r>
      <w:r>
        <w:t xml:space="preserve"> </w:t>
      </w:r>
      <w:r>
        <w:t xml:space="preserve">122(8):084501</w:t>
      </w:r>
    </w:p>
    <w:bookmarkEnd w:id="455"/>
    <w:bookmarkStart w:id="456"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56"/>
    <w:bookmarkStart w:id="458"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57">
        <w:r>
          <w:rPr>
            <w:rStyle w:val="Hyperlink"/>
          </w:rPr>
          <w:t xml:space="preserve">https://ismir2017.smcnus.org/wp-content/uploads/2017/10/161_Paper.pdf</w:t>
        </w:r>
      </w:hyperlink>
    </w:p>
    <w:bookmarkEnd w:id="458"/>
    <w:bookmarkStart w:id="459"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59"/>
    <w:bookmarkStart w:id="460"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60"/>
    <w:bookmarkStart w:id="461"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61"/>
    <w:bookmarkStart w:id="462"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62"/>
    <w:bookmarkStart w:id="463"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63"/>
    <w:bookmarkStart w:id="464"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64"/>
    <w:bookmarkStart w:id="466"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65">
        <w:r>
          <w:rPr>
            <w:rStyle w:val="Hyperlink"/>
          </w:rPr>
          <w:t xml:space="preserve">http://www.nime.org/proceedings/2011/nime2011_124.pdf</w:t>
        </w:r>
      </w:hyperlink>
    </w:p>
    <w:bookmarkEnd w:id="466"/>
    <w:bookmarkStart w:id="467"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67"/>
    <w:bookmarkStart w:id="469"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68">
        <w:r>
          <w:rPr>
            <w:rStyle w:val="Hyperlink"/>
          </w:rPr>
          <w:t xml:space="preserve">http://ismir2000.ismir.net/posters/good.pdf</w:t>
        </w:r>
      </w:hyperlink>
    </w:p>
    <w:bookmarkEnd w:id="469"/>
    <w:bookmarkStart w:id="471"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70">
        <w:r>
          <w:rPr>
            <w:rStyle w:val="Hyperlink"/>
          </w:rPr>
          <w:t xml:space="preserve">http://ismir2002.ismir.net/proceedings/03-SP04-1.pdf</w:t>
        </w:r>
      </w:hyperlink>
    </w:p>
    <w:bookmarkEnd w:id="471"/>
    <w:bookmarkStart w:id="473"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72">
        <w:r>
          <w:rPr>
            <w:rStyle w:val="Hyperlink"/>
          </w:rPr>
          <w:t xml:space="preserve">http://ismir2003.ismir.net/papers/Goto1.PDF</w:t>
        </w:r>
      </w:hyperlink>
    </w:p>
    <w:bookmarkEnd w:id="473"/>
    <w:bookmarkStart w:id="474" w:name="ref-Gra15:The"/>
    <w:p>
      <w:pPr>
        <w:pStyle w:val="Bibliography"/>
      </w:pPr>
      <w:r>
        <w:t xml:space="preserve">Gratton P, Morin M-E. 2015.</w:t>
      </w:r>
      <w:r>
        <w:t xml:space="preserve"> </w:t>
      </w:r>
      <w:r>
        <w:rPr>
          <w:i/>
        </w:rPr>
        <w:t xml:space="preserve">The Nancy Dictionary</w:t>
      </w:r>
      <w:r>
        <w:t xml:space="preserve">. Edinburgh University Press. ed.</w:t>
      </w:r>
    </w:p>
    <w:bookmarkEnd w:id="474"/>
    <w:bookmarkStart w:id="475"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75"/>
    <w:bookmarkStart w:id="477"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76">
        <w:r>
          <w:rPr>
            <w:rStyle w:val="Hyperlink"/>
          </w:rPr>
          <w:t xml:space="preserve">http://www.terasoft.com.tw/conf/ismir2014/proceedings/T059_257_Paper.pdf</w:t>
        </w:r>
      </w:hyperlink>
    </w:p>
    <w:bookmarkEnd w:id="477"/>
    <w:bookmarkStart w:id="478"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78"/>
    <w:bookmarkStart w:id="479"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79"/>
    <w:bookmarkStart w:id="480" w:name="ref-Han04:New"/>
    <w:p>
      <w:pPr>
        <w:pStyle w:val="Bibliography"/>
      </w:pPr>
      <w:r>
        <w:t xml:space="preserve">Hansen MBN. 2004.</w:t>
      </w:r>
      <w:r>
        <w:t xml:space="preserve"> </w:t>
      </w:r>
      <w:r>
        <w:rPr>
          <w:i/>
        </w:rPr>
        <w:t xml:space="preserve">New Philosophy for New Media</w:t>
      </w:r>
      <w:r>
        <w:t xml:space="preserve">. The MIT Press. ed.</w:t>
      </w:r>
    </w:p>
    <w:bookmarkEnd w:id="480"/>
    <w:bookmarkStart w:id="482"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481">
        <w:r>
          <w:rPr>
            <w:rStyle w:val="Hyperlink"/>
          </w:rPr>
          <w:t xml:space="preserve">http://ismir2008.ismir.net/papers/ISMIR2008_173.pdf</w:t>
        </w:r>
      </w:hyperlink>
    </w:p>
    <w:bookmarkEnd w:id="482"/>
    <w:bookmarkStart w:id="483"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483"/>
    <w:bookmarkStart w:id="484"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484"/>
    <w:bookmarkStart w:id="486"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485">
        <w:r>
          <w:rPr>
            <w:rStyle w:val="Hyperlink"/>
          </w:rPr>
          <w:t xml:space="preserve">http://www.ppgia.pucpr.br/ismir2013/wp-content/uploads/2013/09/85_Paper.pdf</w:t>
        </w:r>
      </w:hyperlink>
    </w:p>
    <w:bookmarkEnd w:id="486"/>
    <w:bookmarkStart w:id="487"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487"/>
    <w:bookmarkStart w:id="488" w:name="ref-Hay93:The"/>
    <w:p>
      <w:pPr>
        <w:pStyle w:val="Bibliography"/>
      </w:pPr>
      <w:r>
        <w:t xml:space="preserve">Hayles NK. 1993. The materiality of informatics.</w:t>
      </w:r>
      <w:r>
        <w:t xml:space="preserve"> </w:t>
      </w:r>
      <w:r>
        <w:rPr>
          <w:i/>
        </w:rPr>
        <w:t xml:space="preserve">Configurations</w:t>
      </w:r>
      <w:r>
        <w:t xml:space="preserve">. 1(1):</w:t>
      </w:r>
    </w:p>
    <w:bookmarkEnd w:id="488"/>
    <w:bookmarkStart w:id="489"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489"/>
    <w:bookmarkStart w:id="490"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490"/>
    <w:bookmarkStart w:id="491"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491"/>
    <w:bookmarkStart w:id="493"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492">
        <w:r>
          <w:rPr>
            <w:rStyle w:val="Hyperlink"/>
          </w:rPr>
          <w:t xml:space="preserve">http://www.nime.org/proceedings/2010/nime2010_233.pdf</w:t>
        </w:r>
      </w:hyperlink>
    </w:p>
    <w:bookmarkEnd w:id="493"/>
    <w:bookmarkStart w:id="495"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494">
        <w:r>
          <w:rPr>
            <w:rStyle w:val="Hyperlink"/>
          </w:rPr>
          <w:t xml:space="preserve">http://ismir2005.ismir.net/proceedings/2117.pdf</w:t>
        </w:r>
      </w:hyperlink>
    </w:p>
    <w:bookmarkEnd w:id="495"/>
    <w:bookmarkStart w:id="496"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496"/>
    <w:bookmarkStart w:id="498"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497">
        <w:r>
          <w:rPr>
            <w:rStyle w:val="Hyperlink"/>
          </w:rPr>
          <w:t xml:space="preserve">http://ismir2018.ircam.fr/doc/pdfs/248_Paper.pdf</w:t>
        </w:r>
      </w:hyperlink>
    </w:p>
    <w:bookmarkEnd w:id="498"/>
    <w:bookmarkStart w:id="499" w:name="ref-Mau99:Abr"/>
    <w:p>
      <w:pPr>
        <w:pStyle w:val="Bibliography"/>
      </w:pPr>
      <w:r>
        <w:t xml:space="preserve">IV JAM. 1999.</w:t>
      </w:r>
      <w:r>
        <w:t xml:space="preserve"> </w:t>
      </w:r>
      <w:r>
        <w:rPr>
          <w:i/>
        </w:rPr>
        <w:t xml:space="preserve">A Brief History of Algorithmic Composition</w:t>
      </w:r>
      <w:r>
        <w:t xml:space="preserve">. Online. ed.</w:t>
      </w:r>
    </w:p>
    <w:bookmarkEnd w:id="499"/>
    <w:bookmarkStart w:id="500"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500"/>
    <w:bookmarkStart w:id="501"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501"/>
    <w:bookmarkStart w:id="502"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502"/>
    <w:bookmarkStart w:id="504"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503">
        <w:r>
          <w:rPr>
            <w:rStyle w:val="Hyperlink"/>
          </w:rPr>
          <w:t xml:space="preserve">http://ismir2008.ismir.net/papers/ISMIR2008_106.pdf</w:t>
        </w:r>
      </w:hyperlink>
    </w:p>
    <w:bookmarkEnd w:id="504"/>
    <w:bookmarkStart w:id="505"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505"/>
    <w:bookmarkStart w:id="506"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506"/>
    <w:bookmarkStart w:id="507"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507"/>
    <w:bookmarkStart w:id="508"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508"/>
    <w:bookmarkStart w:id="510"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509">
        <w:r>
          <w:rPr>
            <w:rStyle w:val="Hyperlink"/>
          </w:rPr>
          <w:t xml:space="preserve">http://www.terasoft.com.tw/conf/ismir2014/proceedings/T039_344_Paper.pdf</w:t>
        </w:r>
      </w:hyperlink>
    </w:p>
    <w:bookmarkEnd w:id="510"/>
    <w:bookmarkStart w:id="511" w:name="ref-Kle98:The"/>
    <w:p>
      <w:pPr>
        <w:pStyle w:val="Bibliography"/>
      </w:pPr>
      <w:r>
        <w:t xml:space="preserve">Klein J. 1998. The wolves of bays mountain</w:t>
      </w:r>
    </w:p>
    <w:bookmarkEnd w:id="511"/>
    <w:bookmarkStart w:id="512" w:name="ref-Kle17:Lec"/>
    <w:p>
      <w:pPr>
        <w:pStyle w:val="Bibliography"/>
      </w:pPr>
      <w:r>
        <w:t xml:space="preserve">Klein J. 2017.</w:t>
      </w:r>
      <w:r>
        <w:t xml:space="preserve"> </w:t>
      </w:r>
      <w:r>
        <w:rPr>
          <w:i/>
        </w:rPr>
        <w:t xml:space="preserve">On my compositional approach</w:t>
      </w:r>
      <w:r>
        <w:t xml:space="preserve">. Work. Pap.</w:t>
      </w:r>
    </w:p>
    <w:bookmarkEnd w:id="512"/>
    <w:bookmarkStart w:id="513"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513"/>
    <w:bookmarkStart w:id="515"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514">
        <w:r>
          <w:rPr>
            <w:rStyle w:val="Hyperlink"/>
          </w:rPr>
          <w:t xml:space="preserve">http://ismir2015.uma.es/articles/246_Paper.pdf</w:t>
        </w:r>
      </w:hyperlink>
    </w:p>
    <w:bookmarkEnd w:id="515"/>
    <w:bookmarkStart w:id="516"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516"/>
    <w:bookmarkStart w:id="517"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17"/>
    <w:bookmarkStart w:id="518"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18"/>
    <w:bookmarkStart w:id="519"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19"/>
    <w:bookmarkStart w:id="520"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20"/>
    <w:bookmarkStart w:id="521"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21"/>
    <w:bookmarkStart w:id="522"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22"/>
    <w:bookmarkStart w:id="523"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23"/>
    <w:bookmarkStart w:id="524"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24"/>
    <w:bookmarkStart w:id="525"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25"/>
    <w:bookmarkStart w:id="526"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26"/>
    <w:bookmarkStart w:id="527" w:name="ref-Lod98:MUS"/>
    <w:p>
      <w:pPr>
        <w:pStyle w:val="Bibliography"/>
      </w:pPr>
      <w:r>
        <w:t xml:space="preserve">Lodha S, Beahan J, Joseph A, Zane-ulman B. 1998. MUSE: A musical data sonification toolkit</w:t>
      </w:r>
    </w:p>
    <w:bookmarkEnd w:id="527"/>
    <w:bookmarkStart w:id="528"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28"/>
    <w:bookmarkStart w:id="530"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29">
        <w:r>
          <w:rPr>
            <w:rStyle w:val="Hyperlink"/>
          </w:rPr>
          <w:t xml:space="preserve">http://www.nime.org/proceedings/2008/nime2008_221.pdf</w:t>
        </w:r>
      </w:hyperlink>
    </w:p>
    <w:bookmarkEnd w:id="530"/>
    <w:bookmarkStart w:id="531"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31"/>
    <w:bookmarkStart w:id="532" w:name="ref-Luc70:Iam"/>
    <w:p>
      <w:pPr>
        <w:pStyle w:val="Bibliography"/>
      </w:pPr>
      <w:r>
        <w:t xml:space="preserve">Lucier A. 1970. I am sitting in a room</w:t>
      </w:r>
    </w:p>
    <w:bookmarkEnd w:id="532"/>
    <w:bookmarkStart w:id="533" w:name="ref-Man01:The"/>
    <w:p>
      <w:pPr>
        <w:pStyle w:val="Bibliography"/>
      </w:pPr>
      <w:r>
        <w:t xml:space="preserve">Manovich L. 2001.</w:t>
      </w:r>
      <w:r>
        <w:t xml:space="preserve"> </w:t>
      </w:r>
      <w:r>
        <w:rPr>
          <w:i/>
        </w:rPr>
        <w:t xml:space="preserve">The Language of New Media</w:t>
      </w:r>
      <w:r>
        <w:t xml:space="preserve">. MIT Press. ed.</w:t>
      </w:r>
    </w:p>
    <w:bookmarkEnd w:id="533"/>
    <w:bookmarkStart w:id="534" w:name="ref-Man02:Old"/>
    <w:p>
      <w:pPr>
        <w:pStyle w:val="Bibliography"/>
      </w:pPr>
      <w:r>
        <w:t xml:space="preserve">Manovich L. 2002. Old media as new media: Cinema.</w:t>
      </w:r>
      <w:r>
        <w:t xml:space="preserve"> </w:t>
      </w:r>
      <w:r>
        <w:rPr>
          <w:i/>
        </w:rPr>
        <w:t xml:space="preserve">The New Media Book</w:t>
      </w:r>
    </w:p>
    <w:bookmarkEnd w:id="534"/>
    <w:bookmarkStart w:id="535" w:name="ref-Mat63:The"/>
    <w:p>
      <w:pPr>
        <w:pStyle w:val="Bibliography"/>
      </w:pPr>
      <w:r>
        <w:t xml:space="preserve">Mathews MV. 1963. The digital computer as a musical instrument.</w:t>
      </w:r>
      <w:r>
        <w:t xml:space="preserve"> </w:t>
      </w:r>
      <w:r>
        <w:rPr>
          <w:i/>
        </w:rPr>
        <w:t xml:space="preserve">Science</w:t>
      </w:r>
      <w:r>
        <w:t xml:space="preserve">. 142(3592):553–57</w:t>
      </w:r>
    </w:p>
    <w:bookmarkEnd w:id="535"/>
    <w:bookmarkStart w:id="537"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36">
        <w:r>
          <w:rPr>
            <w:rStyle w:val="Hyperlink"/>
          </w:rPr>
          <w:t xml:space="preserve">http://ismir2008.ismir.net/papers/ISMIR2008_158.pdf</w:t>
        </w:r>
      </w:hyperlink>
    </w:p>
    <w:bookmarkEnd w:id="537"/>
    <w:bookmarkStart w:id="538"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38"/>
    <w:bookmarkStart w:id="539"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39"/>
    <w:bookmarkStart w:id="540"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40"/>
    <w:bookmarkStart w:id="541" w:name="ref-csoundMethods"/>
    <w:p>
      <w:pPr>
        <w:pStyle w:val="Bibliography"/>
      </w:pPr>
      <w:r>
        <w:t xml:space="preserve">McCurdy I, Heintz J, Joaquin J, Knevel M. 2015. Methods of writing csound scores.</w:t>
      </w:r>
      <w:r>
        <w:t xml:space="preserve"> </w:t>
      </w:r>
      <w:r>
        <w:rPr>
          <w:i/>
        </w:rPr>
        <w:t xml:space="preserve">FLOSS Manuals</w:t>
      </w:r>
    </w:p>
    <w:bookmarkEnd w:id="541"/>
    <w:bookmarkStart w:id="542"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42"/>
    <w:bookmarkStart w:id="544"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43">
        <w:r>
          <w:rPr>
            <w:rStyle w:val="Hyperlink"/>
          </w:rPr>
          <w:t xml:space="preserve">http://ismir2018.ircam.fr/doc/pdfs/35_Paper.pdf</w:t>
        </w:r>
      </w:hyperlink>
    </w:p>
    <w:bookmarkEnd w:id="544"/>
    <w:bookmarkStart w:id="545"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45"/>
    <w:bookmarkStart w:id="546"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46"/>
    <w:bookmarkStart w:id="547"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47"/>
    <w:bookmarkStart w:id="548"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48"/>
    <w:bookmarkStart w:id="549" w:name="ref-ods-cpp"/>
    <w:p>
      <w:pPr>
        <w:pStyle w:val="Bibliography"/>
      </w:pPr>
      <w:r>
        <w:t xml:space="preserve">Morin P. 2019.</w:t>
      </w:r>
      <w:r>
        <w:t xml:space="preserve"> </w:t>
      </w:r>
      <w:r>
        <w:rPr>
          <w:i/>
        </w:rPr>
        <w:t xml:space="preserve">Open Data Structures</w:t>
      </w:r>
      <w:r>
        <w:t xml:space="preserve">. Creative Commons. ed.</w:t>
      </w:r>
    </w:p>
    <w:bookmarkEnd w:id="549"/>
    <w:bookmarkStart w:id="550"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50"/>
    <w:bookmarkStart w:id="551"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51"/>
    <w:bookmarkStart w:id="552"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52"/>
    <w:bookmarkStart w:id="554"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53">
        <w:r>
          <w:rPr>
            <w:rStyle w:val="Hyperlink"/>
          </w:rPr>
          <w:t xml:space="preserve">http://www.nime.org/proceedings/2007/nime2007_409.pdf</w:t>
        </w:r>
      </w:hyperlink>
    </w:p>
    <w:bookmarkEnd w:id="554"/>
    <w:bookmarkStart w:id="555"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55"/>
    <w:bookmarkStart w:id="556" w:name="ref-Nan07:Lis"/>
    <w:p>
      <w:pPr>
        <w:pStyle w:val="Bibliography"/>
      </w:pPr>
      <w:r>
        <w:t xml:space="preserve">Nancy J-L. 2007.</w:t>
      </w:r>
      <w:r>
        <w:t xml:space="preserve"> </w:t>
      </w:r>
      <w:r>
        <w:rPr>
          <w:i/>
        </w:rPr>
        <w:t xml:space="preserve">Listening</w:t>
      </w:r>
      <w:r>
        <w:t xml:space="preserve">. Fordham University Place. ed.</w:t>
      </w:r>
    </w:p>
    <w:bookmarkEnd w:id="556"/>
    <w:bookmarkStart w:id="557"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57"/>
    <w:bookmarkStart w:id="559"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58">
        <w:r>
          <w:rPr>
            <w:rStyle w:val="Hyperlink"/>
          </w:rPr>
          <w:t xml:space="preserve">http://www.nime.org/proceedings/2007/nime2007_112.pdf</w:t>
        </w:r>
      </w:hyperlink>
    </w:p>
    <w:bookmarkEnd w:id="559"/>
    <w:bookmarkStart w:id="560"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60"/>
    <w:bookmarkStart w:id="561"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61"/>
    <w:bookmarkStart w:id="562"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62"/>
    <w:bookmarkStart w:id="563"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63"/>
    <w:bookmarkStart w:id="564"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64"/>
    <w:bookmarkStart w:id="565"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65"/>
    <w:bookmarkStart w:id="566" w:name="ref-DBLP:conf/icmc/OliverJ10"/>
    <w:p>
      <w:pPr>
        <w:pStyle w:val="Bibliography"/>
      </w:pPr>
      <w:r>
        <w:t xml:space="preserve">Oliver J. 2010. The mano controller: A video based hand tracking system.</w:t>
      </w:r>
      <w:r>
        <w:t xml:space="preserve"> </w:t>
      </w:r>
      <w:r>
        <w:rPr>
          <w:i/>
        </w:rPr>
        <w:t xml:space="preserve">Proceedings of the 2010 International Computer Music Conference, ICMC 2010, New York, Usa, 2010</w:t>
      </w:r>
      <w:r>
        <w:t xml:space="preserve">. Michigan Publishing</w:t>
      </w:r>
    </w:p>
    <w:bookmarkEnd w:id="566"/>
    <w:bookmarkStart w:id="567" w:name="ref-DBLP:conf/icmc/OliverJ08"/>
    <w:p>
      <w:pPr>
        <w:pStyle w:val="Bibliography"/>
      </w:pPr>
      <w:r>
        <w:t xml:space="preserve">Oliver J, Jenkins M. 2008. The silent drum controller: A new percussive gestural interface.</w:t>
      </w:r>
      <w:r>
        <w:t xml:space="preserve"> </w:t>
      </w:r>
      <w:r>
        <w:rPr>
          <w:i/>
        </w:rPr>
        <w:t xml:space="preserve">Proceedings of the 2008 International Computer Music Conference, ICMC 2008, Belfast, Ireland, August 24-29, 2008</w:t>
      </w:r>
      <w:r>
        <w:t xml:space="preserve">. Michigan Publishing</w:t>
      </w:r>
    </w:p>
    <w:bookmarkEnd w:id="567"/>
    <w:bookmarkStart w:id="568"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68"/>
    <w:bookmarkStart w:id="569"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69"/>
    <w:bookmarkStart w:id="570"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70"/>
    <w:bookmarkStart w:id="571" w:name="ref-Wil96:Lis"/>
    <w:p>
      <w:pPr>
        <w:pStyle w:val="Bibliography"/>
      </w:pPr>
      <w:r>
        <w:t xml:space="preserve">Pauletto S, Hunt A. 2004a. A toolkit for interactive sonification.</w:t>
      </w:r>
      <w:r>
        <w:t xml:space="preserve"> </w:t>
      </w:r>
      <w:r>
        <w:rPr>
          <w:i/>
        </w:rPr>
        <w:t xml:space="preserve">ICAD</w:t>
      </w:r>
      <w:r>
        <w:t xml:space="preserve">. Georgia Institute of Technology</w:t>
      </w:r>
    </w:p>
    <w:bookmarkEnd w:id="571"/>
    <w:bookmarkStart w:id="572" w:name="ref-pauletto04"/>
    <w:p>
      <w:pPr>
        <w:pStyle w:val="Bibliography"/>
      </w:pPr>
      <w:r>
        <w:t xml:space="preserve">Pauletto S, Hunt A. 2004b.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p>
    <w:bookmarkEnd w:id="572"/>
    <w:bookmarkStart w:id="573"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73"/>
    <w:bookmarkStart w:id="575"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74">
        <w:r>
          <w:rPr>
            <w:rStyle w:val="Hyperlink"/>
          </w:rPr>
          <w:t xml:space="preserve">http://www.terasoft.com.tw/conf/ismir2014/proceedings/T064_307_Paper.pdf</w:t>
        </w:r>
      </w:hyperlink>
    </w:p>
    <w:bookmarkEnd w:id="575"/>
    <w:bookmarkStart w:id="576"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76"/>
    <w:bookmarkStart w:id="577" w:name="ref-Pos11:Int"/>
    <w:p>
      <w:pPr>
        <w:pStyle w:val="Bibliography"/>
      </w:pPr>
      <w:r>
        <w:t xml:space="preserve">Poster M. 2011. Introduction.</w:t>
      </w:r>
      <w:r>
        <w:t xml:space="preserve"> </w:t>
      </w:r>
      <w:r>
        <w:rPr>
          <w:i/>
        </w:rPr>
        <w:t xml:space="preserve">Into the Universe of Technical Images</w:t>
      </w:r>
    </w:p>
    <w:bookmarkEnd w:id="577"/>
    <w:bookmarkStart w:id="579"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78">
        <w:r>
          <w:rPr>
            <w:rStyle w:val="Hyperlink"/>
          </w:rPr>
          <w:t xml:space="preserve">http://www.nime.org/proceedings/2008/nime2008_311.pdf</w:t>
        </w:r>
      </w:hyperlink>
    </w:p>
    <w:bookmarkEnd w:id="579"/>
    <w:bookmarkStart w:id="580"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580"/>
    <w:bookmarkStart w:id="581"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581"/>
    <w:bookmarkStart w:id="582" w:name="ref-Puc91:Som"/>
    <w:p>
      <w:pPr>
        <w:pStyle w:val="Bibliography"/>
      </w:pPr>
      <w:r>
        <w:t xml:space="preserve">Puckette M. 1991. Something digital.</w:t>
      </w:r>
      <w:r>
        <w:t xml:space="preserve"> </w:t>
      </w:r>
      <w:r>
        <w:rPr>
          <w:i/>
        </w:rPr>
        <w:t xml:space="preserve">Computer Music Journal</w:t>
      </w:r>
      <w:r>
        <w:t xml:space="preserve">. 15(4):65–69</w:t>
      </w:r>
    </w:p>
    <w:bookmarkEnd w:id="582"/>
    <w:bookmarkStart w:id="583"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583"/>
    <w:bookmarkStart w:id="584"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584"/>
    <w:bookmarkStart w:id="585"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585"/>
    <w:bookmarkStart w:id="586"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586"/>
    <w:bookmarkStart w:id="587"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587"/>
    <w:bookmarkStart w:id="588"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588"/>
    <w:bookmarkStart w:id="589" w:name="ref-Roa04:Mic"/>
    <w:p>
      <w:pPr>
        <w:pStyle w:val="Bibliography"/>
      </w:pPr>
      <w:r>
        <w:t xml:space="preserve">Roads C. 2001.</w:t>
      </w:r>
      <w:r>
        <w:t xml:space="preserve"> </w:t>
      </w:r>
      <w:r>
        <w:rPr>
          <w:i/>
        </w:rPr>
        <w:t xml:space="preserve">Microsound</w:t>
      </w:r>
      <w:r>
        <w:t xml:space="preserve">. MIT Press. ed.</w:t>
      </w:r>
    </w:p>
    <w:bookmarkEnd w:id="589"/>
    <w:bookmarkStart w:id="590" w:name="ref-Roa80:Int"/>
    <w:p>
      <w:pPr>
        <w:pStyle w:val="Bibliography"/>
      </w:pPr>
      <w:r>
        <w:t xml:space="preserve">Roads C, Mathews M. 1980. Interview with max mathews.</w:t>
      </w:r>
      <w:r>
        <w:t xml:space="preserve"> </w:t>
      </w:r>
      <w:r>
        <w:rPr>
          <w:i/>
        </w:rPr>
        <w:t xml:space="preserve">Computer Music Journal</w:t>
      </w:r>
      <w:r>
        <w:t xml:space="preserve">. 4(4):15–22</w:t>
      </w:r>
    </w:p>
    <w:bookmarkEnd w:id="590"/>
    <w:bookmarkStart w:id="591"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591"/>
    <w:bookmarkStart w:id="592"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592"/>
    <w:bookmarkStart w:id="593"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593"/>
    <w:bookmarkStart w:id="594"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594"/>
    <w:bookmarkStart w:id="595"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595"/>
    <w:bookmarkStart w:id="596"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596"/>
    <w:bookmarkStart w:id="597"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597"/>
    <w:bookmarkStart w:id="598"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598"/>
    <w:bookmarkStart w:id="599"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599"/>
    <w:bookmarkStart w:id="600"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600"/>
    <w:bookmarkStart w:id="602"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601">
        <w:r>
          <w:rPr>
            <w:rStyle w:val="Hyperlink"/>
          </w:rPr>
          <w:t xml:space="preserve">http://ismir2005.ismir.net/proceedings/3123.pdf</w:t>
        </w:r>
      </w:hyperlink>
    </w:p>
    <w:bookmarkEnd w:id="602"/>
    <w:bookmarkStart w:id="603"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603"/>
    <w:bookmarkStart w:id="604"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604"/>
    <w:bookmarkStart w:id="605"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605"/>
    <w:bookmarkStart w:id="606"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606"/>
    <w:bookmarkStart w:id="607"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607"/>
    <w:bookmarkStart w:id="608"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608"/>
    <w:bookmarkStart w:id="609"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609"/>
    <w:bookmarkStart w:id="610"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610"/>
    <w:bookmarkStart w:id="611" w:name="ref-Sch06:Rea"/>
    <w:p>
      <w:pPr>
        <w:pStyle w:val="Bibliography"/>
      </w:pPr>
      <w:r>
        <w:t xml:space="preserve">Schwarz D. 2006b. Real-time corpus-based concatenative synthesis with catart., pp. 18–21</w:t>
      </w:r>
    </w:p>
    <w:bookmarkEnd w:id="611"/>
    <w:bookmarkStart w:id="612"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612"/>
    <w:bookmarkStart w:id="613"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613"/>
    <w:bookmarkStart w:id="614"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614"/>
    <w:bookmarkStart w:id="615" w:name="ref-scoremus"/>
    <w:p>
      <w:pPr>
        <w:pStyle w:val="Bibliography"/>
      </w:pPr>
      <w:r>
        <w:t xml:space="preserve">Selfridge-Field E. 1997. The score music publishing system.</w:t>
      </w:r>
      <w:r>
        <w:t xml:space="preserve"> </w:t>
      </w:r>
      <w:r>
        <w:rPr>
          <w:i/>
        </w:rPr>
        <w:t xml:space="preserve">SCORE</w:t>
      </w:r>
    </w:p>
    <w:bookmarkEnd w:id="615"/>
    <w:bookmarkStart w:id="616"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616"/>
    <w:bookmarkStart w:id="618"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617">
        <w:r>
          <w:rPr>
            <w:rStyle w:val="Hyperlink"/>
          </w:rPr>
          <w:t xml:space="preserve">https://hal.archives-ouvertes.fr/hal-01393959</w:t>
        </w:r>
      </w:hyperlink>
    </w:p>
    <w:bookmarkEnd w:id="618"/>
    <w:bookmarkStart w:id="619"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19"/>
    <w:bookmarkStart w:id="620"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20"/>
    <w:bookmarkStart w:id="621" w:name="ref-fdch/installation/spectral"/>
    <w:p>
      <w:pPr>
        <w:pStyle w:val="Bibliography"/>
      </w:pPr>
      <w:r>
        <w:t xml:space="preserve">Simonelli L, Delgadino M, Cámara Halac F. 2017.</w:t>
      </w:r>
      <w:r>
        <w:t xml:space="preserve"> </w:t>
      </w:r>
      <w:r>
        <w:rPr>
          <w:i/>
        </w:rPr>
        <w:t xml:space="preserve">Hearing the Self: A Spectral Experience</w:t>
      </w:r>
      <w:r>
        <w:t xml:space="preserve">. Xuhui Art Museum, Shanghai, China: International Computer Music Conference. ed.</w:t>
      </w:r>
    </w:p>
    <w:bookmarkEnd w:id="621"/>
    <w:bookmarkStart w:id="622" w:name="ref-10.2307/941442"/>
    <w:p>
      <w:pPr>
        <w:pStyle w:val="Bibliography"/>
      </w:pPr>
      <w:r>
        <w:t xml:space="preserve">Skinner R. 1990a. Music software.</w:t>
      </w:r>
      <w:r>
        <w:t xml:space="preserve"> </w:t>
      </w:r>
      <w:r>
        <w:rPr>
          <w:i/>
        </w:rPr>
        <w:t xml:space="preserve">Notes</w:t>
      </w:r>
      <w:r>
        <w:t xml:space="preserve">. 46(3):660–84</w:t>
      </w:r>
    </w:p>
    <w:bookmarkEnd w:id="622"/>
    <w:bookmarkStart w:id="623" w:name="ref-10.2307/940555"/>
    <w:p>
      <w:pPr>
        <w:pStyle w:val="Bibliography"/>
      </w:pPr>
      <w:r>
        <w:t xml:space="preserve">Skinner R. 1990b. Music software.</w:t>
      </w:r>
      <w:r>
        <w:t xml:space="preserve"> </w:t>
      </w:r>
      <w:r>
        <w:rPr>
          <w:i/>
        </w:rPr>
        <w:t xml:space="preserve">Notes</w:t>
      </w:r>
      <w:r>
        <w:t xml:space="preserve">. 47(1):91–101</w:t>
      </w:r>
    </w:p>
    <w:bookmarkEnd w:id="623"/>
    <w:bookmarkStart w:id="624"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24"/>
    <w:bookmarkStart w:id="625"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25"/>
    <w:bookmarkStart w:id="626"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26"/>
    <w:bookmarkStart w:id="627" w:name="ref-Ste12:MP3"/>
    <w:p>
      <w:pPr>
        <w:pStyle w:val="Bibliography"/>
      </w:pPr>
      <w:r>
        <w:t xml:space="preserve">Sterne J. 2012.</w:t>
      </w:r>
      <w:r>
        <w:t xml:space="preserve"> </w:t>
      </w:r>
      <w:r>
        <w:rPr>
          <w:i/>
        </w:rPr>
        <w:t xml:space="preserve">MP3: The Meaning of a Format</w:t>
      </w:r>
      <w:r>
        <w:t xml:space="preserve">. Duke University Press. ed.</w:t>
      </w:r>
    </w:p>
    <w:bookmarkEnd w:id="627"/>
    <w:bookmarkStart w:id="628"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28"/>
    <w:bookmarkStart w:id="629" w:name="ref-Stu04:Mat"/>
    <w:p>
      <w:pPr>
        <w:pStyle w:val="Bibliography"/>
      </w:pPr>
      <w:r>
        <w:t xml:space="preserve">Sturm B. 2004. MATConcat: An application for exploring concatenative sound synthesis using matlab</w:t>
      </w:r>
    </w:p>
    <w:bookmarkEnd w:id="629"/>
    <w:bookmarkStart w:id="630"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30"/>
    <w:bookmarkStart w:id="631" w:name="ref-Sze08:Lis"/>
    <w:p>
      <w:pPr>
        <w:pStyle w:val="Bibliography"/>
      </w:pPr>
      <w:r>
        <w:t xml:space="preserve">Szendy P. 2008.</w:t>
      </w:r>
      <w:r>
        <w:t xml:space="preserve"> </w:t>
      </w:r>
      <w:r>
        <w:rPr>
          <w:i/>
        </w:rPr>
        <w:t xml:space="preserve">Listen: A History of Our Ears</w:t>
      </w:r>
      <w:r>
        <w:t xml:space="preserve">. Fordham University. ed.</w:t>
      </w:r>
    </w:p>
    <w:bookmarkEnd w:id="631"/>
    <w:bookmarkStart w:id="632"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32"/>
    <w:bookmarkStart w:id="633" w:name="ref-Sch07:How"/>
    <w:p>
      <w:pPr>
        <w:pStyle w:val="Bibliography"/>
      </w:pPr>
      <w:r>
        <w:t xml:space="preserve">Thiebaut J-B, Bello J, Schwarz D. 2007. How musical are images? From sound representation to image sonification: An eco systemic approach</w:t>
      </w:r>
    </w:p>
    <w:bookmarkEnd w:id="633"/>
    <w:bookmarkStart w:id="634"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34"/>
    <w:bookmarkStart w:id="635"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35"/>
    <w:bookmarkStart w:id="636"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36"/>
    <w:bookmarkStart w:id="637"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37"/>
    <w:bookmarkStart w:id="638"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38"/>
    <w:bookmarkStart w:id="639"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39"/>
    <w:bookmarkStart w:id="640"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40"/>
    <w:bookmarkStart w:id="642"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41">
        <w:r>
          <w:rPr>
            <w:rStyle w:val="Hyperlink"/>
          </w:rPr>
          <w:t xml:space="preserve">https://quod.lib.umich.edu/i/icmc/bbp2372.2012.006</w:t>
        </w:r>
      </w:hyperlink>
    </w:p>
    <w:bookmarkEnd w:id="642"/>
    <w:bookmarkStart w:id="643" w:name="ref-Var04:The"/>
    <w:p>
      <w:pPr>
        <w:pStyle w:val="Bibliography"/>
      </w:pPr>
      <w:r>
        <w:t xml:space="preserve">Varese E. 2004. The liberation of sound.</w:t>
      </w:r>
      <w:r>
        <w:t xml:space="preserve"> </w:t>
      </w:r>
      <w:r>
        <w:rPr>
          <w:i/>
        </w:rPr>
        <w:t xml:space="preserve">Audio Culture: Readings in Modern Music</w:t>
      </w:r>
    </w:p>
    <w:bookmarkEnd w:id="643"/>
    <w:bookmarkStart w:id="644" w:name="ref-Ver84:The"/>
    <w:p>
      <w:pPr>
        <w:pStyle w:val="Bibliography"/>
      </w:pPr>
      <w:r>
        <w:t xml:space="preserve">Vercoe B. 1984. The synthetic performer in the context of live performance</w:t>
      </w:r>
    </w:p>
    <w:bookmarkEnd w:id="644"/>
    <w:bookmarkStart w:id="645" w:name="ref-Ves07:Dat"/>
    <w:p>
      <w:pPr>
        <w:pStyle w:val="Bibliography"/>
      </w:pPr>
      <w:r>
        <w:t xml:space="preserve">Vesna V. 2007.</w:t>
      </w:r>
      <w:r>
        <w:t xml:space="preserve"> </w:t>
      </w:r>
      <w:r>
        <w:rPr>
          <w:i/>
        </w:rPr>
        <w:t xml:space="preserve">Database Aesthetics: Art in the Age of Information Overflow</w:t>
      </w:r>
      <w:r>
        <w:t xml:space="preserve">. University of Minnesotta Press. ed.</w:t>
      </w:r>
    </w:p>
    <w:bookmarkEnd w:id="645"/>
    <w:bookmarkStart w:id="646"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46"/>
    <w:bookmarkStart w:id="648"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47">
        <w:r>
          <w:rPr>
            <w:rStyle w:val="Hyperlink"/>
          </w:rPr>
          <w:t xml:space="preserve">https://ismir2017.smcnus.org/wp-content/uploads/2017/10/180_Paper.pdf</w:t>
        </w:r>
      </w:hyperlink>
    </w:p>
    <w:bookmarkEnd w:id="648"/>
    <w:bookmarkStart w:id="649"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49"/>
    <w:bookmarkStart w:id="651"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50">
        <w:r>
          <w:rPr>
            <w:rStyle w:val="Hyperlink"/>
          </w:rPr>
          <w:t xml:space="preserve">http://ismir2002.ismir.net/proceedings/02-FP06-3.pdf</w:t>
        </w:r>
      </w:hyperlink>
    </w:p>
    <w:bookmarkEnd w:id="651"/>
    <w:bookmarkStart w:id="652"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52"/>
    <w:bookmarkStart w:id="653"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53"/>
    <w:bookmarkStart w:id="654"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54"/>
    <w:bookmarkStart w:id="655"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55"/>
    <w:bookmarkStart w:id="656"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56"/>
    <w:bookmarkStart w:id="657"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57"/>
    <w:bookmarkStart w:id="658"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58"/>
    <w:bookmarkStart w:id="659"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59"/>
    <w:bookmarkStart w:id="660"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60"/>
    <w:bookmarkStart w:id="661" w:name="ref-Wei07:Oce"/>
    <w:p>
      <w:pPr>
        <w:pStyle w:val="Bibliography"/>
      </w:pPr>
      <w:r>
        <w:t xml:space="preserve">Weinbren G. 2007. Ocean, database, recut.</w:t>
      </w:r>
      <w:r>
        <w:t xml:space="preserve"> </w:t>
      </w:r>
      <w:r>
        <w:rPr>
          <w:i/>
        </w:rPr>
        <w:t xml:space="preserve">Database Aesthetics: Art in the Age of Information Overflow</w:t>
      </w:r>
    </w:p>
    <w:bookmarkEnd w:id="661"/>
    <w:bookmarkStart w:id="662"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62"/>
    <w:bookmarkStart w:id="664"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63">
        <w:r>
          <w:rPr>
            <w:rStyle w:val="Hyperlink"/>
          </w:rPr>
          <w:t xml:space="preserve">http://ismir2018.ircam.fr/doc/pdfs/114_Paper.pdf</w:t>
        </w:r>
      </w:hyperlink>
    </w:p>
    <w:bookmarkEnd w:id="664"/>
    <w:bookmarkStart w:id="665"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65"/>
    <w:bookmarkStart w:id="667"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66">
        <w:r>
          <w:rPr>
            <w:rStyle w:val="Hyperlink"/>
          </w:rPr>
          <w:t xml:space="preserve">http://ismir2004.ismir.net/proceedings/p010-page-48-paper227.pdf</w:t>
        </w:r>
      </w:hyperlink>
    </w:p>
    <w:bookmarkEnd w:id="667"/>
    <w:bookmarkStart w:id="668"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68"/>
    <w:bookmarkStart w:id="669"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69"/>
    <w:bookmarkStart w:id="670"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70"/>
    <w:bookmarkStart w:id="672"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71">
        <w:r>
          <w:rPr>
            <w:rStyle w:val="Hyperlink"/>
          </w:rPr>
          <w:t xml:space="preserve">http://ismir2018.ircam.fr/doc/pdfs/188_Paper.pdf</w:t>
        </w:r>
      </w:hyperlink>
    </w:p>
    <w:bookmarkEnd w:id="672"/>
    <w:bookmarkStart w:id="673"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73"/>
    <w:bookmarkStart w:id="674"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74"/>
    <w:bookmarkStart w:id="675"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75"/>
    <w:bookmarkStart w:id="676"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76"/>
    <w:bookmarkStart w:id="677"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677"/>
    <w:bookmarkStart w:id="678"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678"/>
    <w:bookmarkStart w:id="680"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679">
        <w:r>
          <w:rPr>
            <w:rStyle w:val="Hyperlink"/>
          </w:rPr>
          <w:t xml:space="preserve">http://www.nime.org/proceedings/2007/nime2007_352.pdf</w:t>
        </w:r>
      </w:hyperlink>
    </w:p>
    <w:bookmarkEnd w:id="680"/>
    <w:bookmarkStart w:id="681"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681"/>
    <w:bookmarkStart w:id="682" w:name="ref-Zmo15:Liv"/>
    <w:p>
      <w:pPr>
        <w:pStyle w:val="Bibliography"/>
      </w:pPr>
      <w:r>
        <w:t xml:space="preserve">zmölnig I m, Eckel G. 2015.</w:t>
      </w:r>
      <w:r>
        <w:t xml:space="preserve"> </w:t>
      </w:r>
      <w:r>
        <w:rPr>
          <w:i/>
        </w:rPr>
        <w:t xml:space="preserve">LIVE coding: AN overview</w:t>
      </w:r>
      <w:r>
        <w:t xml:space="preserve">. Work. Pap.</w:t>
      </w:r>
    </w:p>
    <w:bookmarkEnd w:id="682"/>
    <w:bookmarkEnd w:id="68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0">
    <w:p>
      <w:pPr>
        <w:pStyle w:val="FootnoteText"/>
      </w:pPr>
      <w:r>
        <w:rPr>
          <w:rStyle w:val="FootnoteReference"/>
        </w:rPr>
        <w:footnoteRef/>
      </w:r>
      <w:r>
        <w:t xml:space="preserve"> </w:t>
      </w:r>
      <w:r>
        <w:t xml:space="preserve">Graham Weinbren 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4">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5">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41">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42">
    <w:p>
      <w:pPr>
        <w:pStyle w:val="FootnoteText"/>
      </w:pPr>
      <w:r>
        <w:rPr>
          <w:rStyle w:val="FootnoteReference"/>
        </w:rPr>
        <w:footnoteRef/>
      </w:r>
      <w:r>
        <w:t xml:space="preserve"> </w:t>
      </w:r>
      <w:r>
        <w:t xml:space="preserve">It is worth noting how Oviedo finds in Funes a premonitory</w:t>
      </w:r>
      <w:r>
        <w:t xml:space="preserve"> </w:t>
      </w:r>
      <w:r>
        <w:t xml:space="preserve">‘</w:t>
      </w:r>
      <w:r>
        <w:t xml:space="preserve">antithesis of the writer</w:t>
      </w:r>
      <w:r>
        <w:t xml:space="preserve">’</w:t>
      </w:r>
      <w:r>
        <w:t xml:space="preserve"> </w:t>
      </w:r>
      <w:r>
        <w:t xml:space="preserve">himself: the latter (blind) Borges could find himself immersed in a constant flow of narrativiy</w:t>
      </w:r>
      <w:r>
        <w:t xml:space="preserve"> </w:t>
      </w:r>
      <w:r>
        <w:t xml:space="preserve">(Oviedo 2019)</w:t>
      </w:r>
      <w:r>
        <w:t xml:space="preserve">.</w:t>
      </w:r>
    </w:p>
  </w:footnote>
  <w:footnote w:id="43">
    <w:p>
      <w:pPr>
        <w:pStyle w:val="FootnoteText"/>
      </w:pPr>
      <w:r>
        <w:rPr>
          <w:rStyle w:val="FootnoteReference"/>
        </w:rPr>
        <w:footnoteRef/>
      </w:r>
      <w:r>
        <w:t xml:space="preserve"> </w:t>
      </w:r>
      <w:r>
        <w:t xml:space="preserve">In this sense, Funes is a bit like an Oracle —pun intended with the other</w:t>
      </w:r>
      <w:r>
        <w:t xml:space="preserve"> </w:t>
      </w:r>
      <w:r>
        <w:t xml:space="preserve">oracle</w:t>
      </w:r>
      <w:r>
        <w:t xml:space="preserve">—, with absolute knowledge of the past and the future, but with no time to think…</w:t>
      </w:r>
    </w:p>
  </w:footnote>
  <w:footnote w:id="44">
    <w:p>
      <w:pPr>
        <w:pStyle w:val="FootnoteText"/>
      </w:pPr>
      <w:r>
        <w:rPr>
          <w:rStyle w:val="FootnoteReference"/>
        </w:rPr>
        <w:footnoteRef/>
      </w:r>
      <w:r>
        <w:t xml:space="preserve"> </w:t>
      </w:r>
      <w:r>
        <w:t xml:space="preserve">The acousmatic quality of Funes’ voice will not be touched here, but it is indeed a good point of departure for another time.</w:t>
      </w:r>
    </w:p>
  </w:footnote>
  <w:footnote w:id="45">
    <w:p>
      <w:pPr>
        <w:pStyle w:val="FootnoteText"/>
      </w:pPr>
      <w:r>
        <w:rPr>
          <w:rStyle w:val="FootnoteReference"/>
        </w:rPr>
        <w:footnoteRef/>
      </w:r>
      <w:r>
        <w:t xml:space="preserve"> </w:t>
      </w:r>
      <w:hyperlink r:id="rId46">
        <w:r>
          <w:rPr>
            <w:rStyle w:val="Hyperlink"/>
          </w:rPr>
          <w:t xml:space="preserve">https://en.wikipedia.org/wiki/Leo_Beranek</w:t>
        </w:r>
      </w:hyperlink>
    </w:p>
  </w:footnote>
  <w:footnote w:id="93">
    <w:p>
      <w:pPr>
        <w:pStyle w:val="FootnoteText"/>
      </w:pPr>
      <w:r>
        <w:rPr>
          <w:rStyle w:val="FootnoteReference"/>
        </w:rPr>
        <w:footnoteRef/>
      </w:r>
      <w:r>
        <w:t xml:space="preserve"> </w:t>
      </w:r>
      <w:r>
        <w:t xml:space="preserve">Miller Puckette suggested this during an open discussion at</w:t>
      </w:r>
    </w:p>
  </w:footnote>
  <w:footnote w:id="100">
    <w:p>
      <w:pPr>
        <w:pStyle w:val="FootnoteText"/>
      </w:pPr>
      <w:r>
        <w:rPr>
          <w:rStyle w:val="FootnoteReference"/>
        </w:rPr>
        <w:footnoteRef/>
      </w:r>
      <w:r>
        <w:t xml:space="preserve"> </w:t>
      </w:r>
      <w:hyperlink r:id="rId101">
        <w:r>
          <w:rPr>
            <w:rStyle w:val="Hyperlink"/>
          </w:rPr>
          <w:t xml:space="preserve">http://kern.ccarh.org/</w:t>
        </w:r>
      </w:hyperlink>
    </w:p>
  </w:footnote>
  <w:footnote w:id="102">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106">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09">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23">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See</w:t>
      </w:r>
      <w:r>
        <w:t xml:space="preserve"> </w:t>
      </w:r>
      <w:hyperlink r:id="rId124">
        <w:r>
          <w:rPr>
            <w:rStyle w:val="Hyperlink"/>
          </w:rPr>
          <w:t xml:space="preserve">https://developer.apple.com/documentation/metal</w:t>
        </w:r>
      </w:hyperlink>
    </w:p>
  </w:footnote>
  <w:footnote w:id="125">
    <w:p>
      <w:pPr>
        <w:pStyle w:val="FootnoteText"/>
      </w:pPr>
      <w:r>
        <w:rPr>
          <w:rStyle w:val="FootnoteReference"/>
        </w:rPr>
        <w:footnoteRef/>
      </w:r>
      <w:r>
        <w:t xml:space="preserve"> </w:t>
      </w:r>
      <w:hyperlink r:id="rId126">
        <w:r>
          <w:rPr>
            <w:rStyle w:val="Hyperlink"/>
          </w:rPr>
          <w:t xml:space="preserve">https://vimeo.com/167646306</w:t>
        </w:r>
      </w:hyperlink>
    </w:p>
  </w:footnote>
  <w:footnote w:id="137">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and he is now a major figure in the Microsoft Research department.</w:t>
      </w:r>
    </w:p>
  </w:footnote>
  <w:footnote w:id="153">
    <w:p>
      <w:pPr>
        <w:pStyle w:val="FootnoteText"/>
      </w:pPr>
      <w:r>
        <w:rPr>
          <w:rStyle w:val="FootnoteReference"/>
        </w:rPr>
        <w:footnoteRef/>
      </w:r>
      <w:r>
        <w:t xml:space="preserve"> </w:t>
      </w:r>
      <w:r>
        <w:t xml:space="preserve">“</w:t>
      </w:r>
      <w:r>
        <w:t xml:space="preserve">The scheduler always sends the first message in the lowest-latency non 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55">
    <w:p>
      <w:pPr>
        <w:pStyle w:val="FootnoteText"/>
      </w:pPr>
      <w:r>
        <w:rPr>
          <w:rStyle w:val="FootnoteReference"/>
        </w:rPr>
        <w:footnoteRef/>
      </w:r>
      <w:r>
        <w:t xml:space="preserve"> </w:t>
      </w:r>
      <w:hyperlink r:id="rId156">
        <w:r>
          <w:rPr>
            <w:rStyle w:val="Hyperlink"/>
          </w:rPr>
          <w:t xml:space="preserve">https://kyma.symbolicsound.com/</w:t>
        </w:r>
      </w:hyperlink>
    </w:p>
  </w:footnote>
  <w:footnote w:id="159">
    <w:p>
      <w:pPr>
        <w:pStyle w:val="FootnoteText"/>
      </w:pPr>
      <w:r>
        <w:rPr>
          <w:rStyle w:val="FootnoteReference"/>
        </w:rPr>
        <w:footnoteRef/>
      </w:r>
      <w:r>
        <w:t xml:space="preserve"> </w:t>
      </w: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the</w:t>
      </w:r>
      <w:r>
        <w:t xml:space="preserve"> </w:t>
      </w:r>
      <w:r>
        <w:t xml:space="preserve">sssp</w:t>
      </w:r>
      <w:r>
        <w:t xml:space="preserve">’s user-defined features for graphical representations.</w:t>
      </w:r>
    </w:p>
  </w:footnote>
  <w:footnote w:id="166">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71">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72">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80">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90">
    <w:p>
      <w:pPr>
        <w:pStyle w:val="FootnoteText"/>
      </w:pPr>
      <w:r>
        <w:rPr>
          <w:rStyle w:val="FootnoteReference"/>
        </w:rPr>
        <w:footnoteRef/>
      </w:r>
      <w:r>
        <w:t xml:space="preserve"> </w:t>
      </w:r>
      <w:hyperlink r:id="rId191">
        <w:r>
          <w:rPr>
            <w:rStyle w:val="Hyperlink"/>
          </w:rPr>
          <w:t xml:space="preserve">https://www.youtube.com/watch?v=fAxHlLK3Oyk</w:t>
        </w:r>
      </w:hyperlink>
    </w:p>
  </w:footnote>
  <w:footnote w:id="216">
    <w:p>
      <w:pPr>
        <w:pStyle w:val="FootnoteText"/>
      </w:pPr>
      <w:r>
        <w:rPr>
          <w:rStyle w:val="FootnoteReference"/>
        </w:rPr>
        <w:footnoteRef/>
      </w:r>
      <w:r>
        <w:t xml:space="preserve"> </w:t>
      </w:r>
      <w:r>
        <w:t xml:space="preserve">For Nancy</w:t>
      </w:r>
      <w:r>
        <w:t xml:space="preserve"> </w:t>
      </w:r>
      <w:r>
        <w:t xml:space="preserve">“</w:t>
      </w:r>
      <w:r>
        <w:t xml:space="preserve">there is no communion of singularities in a totality superior to them and immanent to their common being</w:t>
      </w:r>
      <w:r>
        <w:t xml:space="preserve">”</w:t>
      </w:r>
      <w:r>
        <w:t xml:space="preserve"> </w:t>
      </w:r>
      <w:r>
        <w:t xml:space="preserve">(Nancy 1991, p. 28)</w:t>
      </w:r>
      <w:r>
        <w:t xml:space="preserve">.</w:t>
      </w:r>
    </w:p>
  </w:footnote>
  <w:footnote w:id="220">
    <w:p>
      <w:pPr>
        <w:pStyle w:val="FootnoteText"/>
      </w:pPr>
      <w:r>
        <w:rPr>
          <w:rStyle w:val="FootnoteReference"/>
        </w:rPr>
        <w:footnoteRef/>
      </w:r>
      <w:r>
        <w:t xml:space="preserve"> </w:t>
      </w:r>
      <w:r>
        <w:t xml:space="preserve">For further reference on</w:t>
      </w:r>
      <w:r>
        <w:t xml:space="preserve"> </w:t>
      </w:r>
      <w:r>
        <w:rPr>
          <w:i/>
        </w:rPr>
        <w:t xml:space="preserve">différance</w:t>
      </w:r>
      <w:r>
        <w:t xml:space="preserve">, see</w:t>
      </w:r>
      <w:r>
        <w:t xml:space="preserve"> </w:t>
      </w:r>
      <w:r>
        <w:t xml:space="preserve">(Derrida 1978, p. 219, 1982; Gratton &amp; Morin 2015, pp. 71–72)</w:t>
      </w:r>
    </w:p>
  </w:footnote>
  <w:footnote w:id="225">
    <w:p>
      <w:pPr>
        <w:pStyle w:val="FootnoteText"/>
      </w:pPr>
      <w:r>
        <w:rPr>
          <w:rStyle w:val="FootnoteReference"/>
        </w:rPr>
        <w:footnoteRef/>
      </w:r>
      <w:r>
        <w:t xml:space="preserve"> </w:t>
      </w:r>
      <w:r>
        <w:t xml:space="preserve">His example was the Sigmund Freud Museum, which is located in the same house where Freud lived.</w:t>
      </w:r>
      <w:hyperlink r:id="rId226">
        <w:r>
          <w:rPr>
            <w:rStyle w:val="Hyperlink"/>
          </w:rPr>
          <w:t xml:space="preserve">https://www.freud-museum.at/en/</w:t>
        </w:r>
      </w:hyperlink>
    </w:p>
  </w:footnote>
  <w:footnote w:id="231">
    <w:p>
      <w:pPr>
        <w:pStyle w:val="FootnoteText"/>
      </w:pPr>
      <w:r>
        <w:rPr>
          <w:rStyle w:val="FootnoteReference"/>
        </w:rPr>
        <w:footnoteRef/>
      </w:r>
      <w:r>
        <w:t xml:space="preserve"> </w:t>
      </w:r>
      <w:hyperlink r:id="rId232">
        <w:r>
          <w:rPr>
            <w:rStyle w:val="Hyperlink"/>
          </w:rPr>
          <w:t xml:space="preserve">https://mpc.chs.harvard.edu/</w:t>
        </w:r>
      </w:hyperlink>
    </w:p>
  </w:footnote>
  <w:footnote w:id="233">
    <w:p>
      <w:pPr>
        <w:pStyle w:val="FootnoteText"/>
      </w:pPr>
      <w:r>
        <w:rPr>
          <w:rStyle w:val="FootnoteReference"/>
        </w:rPr>
        <w:footnoteRef/>
      </w:r>
      <w:r>
        <w:t xml:space="preserve"> </w:t>
      </w:r>
      <w:r>
        <w:t xml:space="preserve">Another example Ernst provides of the anarchive is the Internet itself:</w:t>
      </w:r>
      <w:r>
        <w:t xml:space="preserve"> </w:t>
      </w:r>
      <w:r>
        <w:t xml:space="preserve">“</w:t>
      </w:r>
      <w:r>
        <w:t xml:space="preserve"> </w:t>
      </w:r>
      <w:r>
        <w:t xml:space="preserve">[The Internet] is a collection not just of unforeseen texts but of sound and images as well, an anarchive of sensory data for which no genuine archival culture has been developed so far in the occident</w:t>
      </w:r>
      <w:r>
        <w:t xml:space="preserve">”</w:t>
      </w:r>
      <w:r>
        <w:t xml:space="preserve"> </w:t>
      </w:r>
      <w:r>
        <w:t xml:space="preserve">(Ernst 2013, p. 139)</w:t>
      </w:r>
      <w:r>
        <w:t xml:space="preserve">.</w:t>
      </w:r>
    </w:p>
  </w:footnote>
  <w:footnote w:id="253">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64">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67">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68">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81">
    <w:p>
      <w:pPr>
        <w:pStyle w:val="FootnoteText"/>
      </w:pPr>
      <w:r>
        <w:rPr>
          <w:rStyle w:val="FootnoteReference"/>
        </w:rPr>
        <w:footnoteRef/>
      </w:r>
      <w:r>
        <w:t xml:space="preserve"> </w:t>
      </w:r>
      <w:r>
        <w:t xml:space="preserve">In a recent study, sound itself proven to make (tiny) gravitational fields:</w:t>
      </w:r>
      <w:r>
        <w:t xml:space="preserve"> </w:t>
      </w:r>
      <w:r>
        <w:t xml:space="preserve">“</w:t>
      </w:r>
      <w:r>
        <w:t xml:space="preserve">We show that, in fact, sound waves do carry mass —in particular, gravitational mass. This implies that a sound wave not only is affected by gravity but also generates a tiny gravitational field, an aspect not appreciated thus far</w:t>
      </w:r>
      <w:r>
        <w:t xml:space="preserve">”</w:t>
      </w:r>
      <w:r>
        <w:t xml:space="preserve"> </w:t>
      </w:r>
      <w:r>
        <w:t xml:space="preserve">(Esposito et al. 2019)</w:t>
      </w:r>
      <w:r>
        <w:t xml:space="preserve">.</w:t>
      </w:r>
    </w:p>
  </w:footnote>
  <w:footnote w:id="286">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87">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88">
        <w:r>
          <w:rPr>
            <w:rStyle w:val="Hyperlink"/>
          </w:rPr>
          <w:t xml:space="preserve">https://en.wikipedia.org/wiki/Dr._Strangelove</w:t>
        </w:r>
      </w:hyperlink>
    </w:p>
  </w:footnote>
  <w:footnote w:id="289">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90">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92">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293">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296">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304">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it makes one think back to the 1946 setting of the UNIVAC computer, in the military context of the Manhattan Project, for which the computer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10">
    <w:p>
      <w:pPr>
        <w:pStyle w:val="FootnoteText"/>
      </w:pPr>
      <w:r>
        <w:rPr>
          <w:rStyle w:val="FootnoteReference"/>
        </w:rPr>
        <w:footnoteRef/>
      </w:r>
      <w:r>
        <w:t xml:space="preserve"> </w:t>
      </w:r>
      <w:r>
        <w:t xml:space="preserve">Since, the notion of a</w:t>
      </w:r>
      <w:r>
        <w:t xml:space="preserve"> </w:t>
      </w:r>
      <w:r>
        <w:t xml:space="preserve">‘</w:t>
      </w:r>
      <w:r>
        <w:t xml:space="preserve">piece</w:t>
      </w:r>
      <w:r>
        <w:t xml:space="preserve">’</w:t>
      </w:r>
      <w:r>
        <w:t xml:space="preserve"> </w:t>
      </w:r>
      <w:r>
        <w:t xml:space="preserve">presupposes that of the whole to which it belongs.</w:t>
      </w:r>
    </w:p>
  </w:footnote>
  <w:footnote w:id="314">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3" Target="media/rId133.png" /><Relationship Type="http://schemas.openxmlformats.org/officeDocument/2006/relationships/image" Id="rId20" Target="media/rId20.png" /><Relationship Type="http://schemas.openxmlformats.org/officeDocument/2006/relationships/image" Id="rId213" Target="media/rId213.png" /><Relationship Type="http://schemas.openxmlformats.org/officeDocument/2006/relationships/image" Id="rId75" Target="media/rId75.png" /><Relationship Type="http://schemas.openxmlformats.org/officeDocument/2006/relationships/image" Id="rId185" Target="media/rId185.png" /><Relationship Type="http://schemas.openxmlformats.org/officeDocument/2006/relationships/image" Id="rId256" Target="media/rId256.png" /><Relationship Type="http://schemas.openxmlformats.org/officeDocument/2006/relationships/image" Id="rId48" Target="media/rId48.png" /><Relationship Type="http://schemas.openxmlformats.org/officeDocument/2006/relationships/image" Id="rId98" Target="media/rId98.png" /><Relationship Type="http://schemas.openxmlformats.org/officeDocument/2006/relationships/image" Id="rId95" Target="media/rId95.png" /><Relationship Type="http://schemas.openxmlformats.org/officeDocument/2006/relationships/image" Id="rId78" Target="media/rId78.png" /><Relationship Type="http://schemas.openxmlformats.org/officeDocument/2006/relationships/image" Id="rId87" Target="media/rId87.png" /><Relationship Type="http://schemas.openxmlformats.org/officeDocument/2006/relationships/image" Id="rId32" Target="media/rId32.png" /><Relationship Type="http://schemas.openxmlformats.org/officeDocument/2006/relationships/image" Id="rId150" Target="media/rId150.png" /><Relationship Type="http://schemas.openxmlformats.org/officeDocument/2006/relationships/image" Id="rId82" Target="media/rId82.png" /><Relationship Type="http://schemas.openxmlformats.org/officeDocument/2006/relationships/image" Id="rId90" Target="media/rId90.png" /><Relationship Type="http://schemas.openxmlformats.org/officeDocument/2006/relationships/image" Id="rId104" Target="media/rId104.png" /><Relationship Type="http://schemas.openxmlformats.org/officeDocument/2006/relationships/image" Id="rId143" Target="media/rId143.png" /><Relationship Type="http://schemas.openxmlformats.org/officeDocument/2006/relationships/image" Id="rId210" Target="media/rId210.png" /><Relationship Type="http://schemas.openxmlformats.org/officeDocument/2006/relationships/image" Id="rId207" Target="media/rId207.png" /><Relationship Type="http://schemas.openxmlformats.org/officeDocument/2006/relationships/hyperlink" Id="rId445" Target="http://ismir2000.ismir.net/papers/invites/dunn_invite.pdf" TargetMode="External" /><Relationship Type="http://schemas.openxmlformats.org/officeDocument/2006/relationships/hyperlink" Id="rId468" Target="http://ismir2000.ismir.net/posters/good.pdf" TargetMode="External" /><Relationship Type="http://schemas.openxmlformats.org/officeDocument/2006/relationships/hyperlink" Id="rId650" Target="http://ismir2002.ismir.net/proceedings/02-FP06-3.pdf" TargetMode="External" /><Relationship Type="http://schemas.openxmlformats.org/officeDocument/2006/relationships/hyperlink" Id="rId470" Target="http://ismir2002.ismir.net/proceedings/03-SP04-1.pdf" TargetMode="External" /><Relationship Type="http://schemas.openxmlformats.org/officeDocument/2006/relationships/hyperlink" Id="rId472" Target="http://ismir2003.ismir.net/papers/Goto1.PDF" TargetMode="External" /><Relationship Type="http://schemas.openxmlformats.org/officeDocument/2006/relationships/hyperlink" Id="rId666" Target="http://ismir2004.ismir.net/proceedings/p010-page-48-paper227.pdf" TargetMode="External" /><Relationship Type="http://schemas.openxmlformats.org/officeDocument/2006/relationships/hyperlink" Id="rId494" Target="http://ismir2005.ismir.net/proceedings/2117.pdf" TargetMode="External" /><Relationship Type="http://schemas.openxmlformats.org/officeDocument/2006/relationships/hyperlink" Id="rId601" Target="http://ismir2005.ismir.net/proceedings/3123.pdf" TargetMode="External" /><Relationship Type="http://schemas.openxmlformats.org/officeDocument/2006/relationships/hyperlink" Id="rId503" Target="http://ismir2008.ismir.net/papers/ISMIR2008_106.pdf" TargetMode="External" /><Relationship Type="http://schemas.openxmlformats.org/officeDocument/2006/relationships/hyperlink" Id="rId536" Target="http://ismir2008.ismir.net/papers/ISMIR2008_158.pdf" TargetMode="External" /><Relationship Type="http://schemas.openxmlformats.org/officeDocument/2006/relationships/hyperlink" Id="rId481" Target="http://ismir2008.ismir.net/papers/ISMIR2008_173.pdf" TargetMode="External" /><Relationship Type="http://schemas.openxmlformats.org/officeDocument/2006/relationships/hyperlink" Id="rId514" Target="http://ismir2015.uma.es/articles/246_Paper.pdf" TargetMode="External" /><Relationship Type="http://schemas.openxmlformats.org/officeDocument/2006/relationships/hyperlink" Id="rId434" Target="http://ismir2015.uma.es/articles/261_Paper.pdf" TargetMode="External" /><Relationship Type="http://schemas.openxmlformats.org/officeDocument/2006/relationships/hyperlink" Id="rId663" Target="http://ismir2018.ircam.fr/doc/pdfs/114_Paper.pdf" TargetMode="External" /><Relationship Type="http://schemas.openxmlformats.org/officeDocument/2006/relationships/hyperlink" Id="rId671" Target="http://ismir2018.ircam.fr/doc/pdfs/188_Paper.pdf" TargetMode="External" /><Relationship Type="http://schemas.openxmlformats.org/officeDocument/2006/relationships/hyperlink" Id="rId451" Target="http://ismir2018.ircam.fr/doc/pdfs/206_Paper.pdf" TargetMode="External" /><Relationship Type="http://schemas.openxmlformats.org/officeDocument/2006/relationships/hyperlink" Id="rId497" Target="http://ismir2018.ircam.fr/doc/pdfs/248_Paper.pdf" TargetMode="External" /><Relationship Type="http://schemas.openxmlformats.org/officeDocument/2006/relationships/hyperlink" Id="rId442" Target="http://ismir2018.ircam.fr/doc/pdfs/265_Paper.pdf" TargetMode="External" /><Relationship Type="http://schemas.openxmlformats.org/officeDocument/2006/relationships/hyperlink" Id="rId543" Target="http://ismir2018.ircam.fr/doc/pdfs/35_Paper.pdf" TargetMode="External" /><Relationship Type="http://schemas.openxmlformats.org/officeDocument/2006/relationships/hyperlink" Id="rId101" Target="http://kern.ccarh.org/" TargetMode="External" /><Relationship Type="http://schemas.openxmlformats.org/officeDocument/2006/relationships/hyperlink" Id="rId558" Target="http://www.nime.org/proceedings/2007/nime2007_112.pdf" TargetMode="External" /><Relationship Type="http://schemas.openxmlformats.org/officeDocument/2006/relationships/hyperlink" Id="rId679" Target="http://www.nime.org/proceedings/2007/nime2007_352.pdf" TargetMode="External" /><Relationship Type="http://schemas.openxmlformats.org/officeDocument/2006/relationships/hyperlink" Id="rId553" Target="http://www.nime.org/proceedings/2007/nime2007_409.pdf" TargetMode="External" /><Relationship Type="http://schemas.openxmlformats.org/officeDocument/2006/relationships/hyperlink" Id="rId529" Target="http://www.nime.org/proceedings/2008/nime2008_221.pdf" TargetMode="External" /><Relationship Type="http://schemas.openxmlformats.org/officeDocument/2006/relationships/hyperlink" Id="rId578" Target="http://www.nime.org/proceedings/2008/nime2008_311.pdf" TargetMode="External" /><Relationship Type="http://schemas.openxmlformats.org/officeDocument/2006/relationships/hyperlink" Id="rId379" Target="http://www.nime.org/proceedings/2009/nime2009_266.pdf" TargetMode="External" /><Relationship Type="http://schemas.openxmlformats.org/officeDocument/2006/relationships/hyperlink" Id="rId492" Target="http://www.nime.org/proceedings/2010/nime2010_233.pdf" TargetMode="External" /><Relationship Type="http://schemas.openxmlformats.org/officeDocument/2006/relationships/hyperlink" Id="rId465" Target="http://www.nime.org/proceedings/2011/nime2011_124.pdf" TargetMode="External" /><Relationship Type="http://schemas.openxmlformats.org/officeDocument/2006/relationships/hyperlink" Id="rId390" Target="http://www.nime.org/proceedings/2011/nime2011_329.pdf" TargetMode="External" /><Relationship Type="http://schemas.openxmlformats.org/officeDocument/2006/relationships/hyperlink" Id="rId377" Target="http://www.nime.org/proceedings/2011/nime2011_387.pdf" TargetMode="External" /><Relationship Type="http://schemas.openxmlformats.org/officeDocument/2006/relationships/hyperlink" Id="rId361" Target="http://www.ppgia.pucpr.br/ismir2013/wp-content/uploads/2013/09/177\_Paper.pdf" TargetMode="External" /><Relationship Type="http://schemas.openxmlformats.org/officeDocument/2006/relationships/hyperlink" Id="rId485" Target="http://www.ppgia.pucpr.br/ismir2013/wp-content/uploads/2013/09/85_Paper.pdf" TargetMode="External" /><Relationship Type="http://schemas.openxmlformats.org/officeDocument/2006/relationships/hyperlink" Id="rId341" Target="http://www.terasoft.com.tw/conf/ismir2014/proceedings/T014_162_Paper.pdf" TargetMode="External" /><Relationship Type="http://schemas.openxmlformats.org/officeDocument/2006/relationships/hyperlink" Id="rId358" Target="http://www.terasoft.com.tw/conf/ismir2014/proceedings/T028_322_Paper.pdf" TargetMode="External" /><Relationship Type="http://schemas.openxmlformats.org/officeDocument/2006/relationships/hyperlink" Id="rId509" Target="http://www.terasoft.com.tw/conf/ismir2014/proceedings/T039_344_Paper.pdf" TargetMode="External" /><Relationship Type="http://schemas.openxmlformats.org/officeDocument/2006/relationships/hyperlink" Id="rId476" Target="http://www.terasoft.com.tw/conf/ismir2014/proceedings/T059_257_Paper.pdf" TargetMode="External" /><Relationship Type="http://schemas.openxmlformats.org/officeDocument/2006/relationships/hyperlink" Id="rId574" Target="http://www.terasoft.com.tw/conf/ismir2014/proceedings/T064_307_Paper.pdf" TargetMode="External" /><Relationship Type="http://schemas.openxmlformats.org/officeDocument/2006/relationships/hyperlink" Id="rId124" Target="https://developer.apple.com/documentation/metal" TargetMode="External" /><Relationship Type="http://schemas.openxmlformats.org/officeDocument/2006/relationships/hyperlink" Id="rId288" Target="https://en.wikipedia.org/wiki/Dr._Strangelove" TargetMode="External" /><Relationship Type="http://schemas.openxmlformats.org/officeDocument/2006/relationships/hyperlink" Id="rId46" Target="https://en.wikipedia.org/wiki/Leo_Beranek" TargetMode="External" /><Relationship Type="http://schemas.openxmlformats.org/officeDocument/2006/relationships/hyperlink" Id="rId333" Target="https://fdch.github.io/abby" TargetMode="External" /><Relationship Type="http://schemas.openxmlformats.org/officeDocument/2006/relationships/hyperlink" Id="rId334" Target="https://github.com/fdch/litrev" TargetMode="External" /><Relationship Type="http://schemas.openxmlformats.org/officeDocument/2006/relationships/hyperlink" Id="rId617" Target="https://hal.archives-ouvertes.fr/hal-01393959" TargetMode="External" /><Relationship Type="http://schemas.openxmlformats.org/officeDocument/2006/relationships/hyperlink" Id="rId457" Target="https://ismir2017.smcnus.org/wp-content/uploads/2017/10/161_Paper.pdf" TargetMode="External" /><Relationship Type="http://schemas.openxmlformats.org/officeDocument/2006/relationships/hyperlink" Id="rId647" Target="https://ismir2017.smcnus.org/wp-content/uploads/2017/10/180_Paper.pdf" TargetMode="External" /><Relationship Type="http://schemas.openxmlformats.org/officeDocument/2006/relationships/hyperlink" Id="rId420" Target="https://ismir2017.smcnus.org/wp-content/uploads/2017/10/235_Paper.pdf" TargetMode="External" /><Relationship Type="http://schemas.openxmlformats.org/officeDocument/2006/relationships/hyperlink" Id="rId425" Target="https://ismir2017.smcnus.org/wp-content/uploads/2017/10/75_Paper.pdf" TargetMode="External" /><Relationship Type="http://schemas.openxmlformats.org/officeDocument/2006/relationships/hyperlink" Id="rId156" Target="https://kyma.symbolicsound.com/" TargetMode="External" /><Relationship Type="http://schemas.openxmlformats.org/officeDocument/2006/relationships/hyperlink" Id="rId232" Target="https://mpc.chs.harvard.edu/" TargetMode="External" /><Relationship Type="http://schemas.openxmlformats.org/officeDocument/2006/relationships/hyperlink" Id="rId641" Target="https://quod.lib.umich.edu/i/icmc/bbp2372.2012.006" TargetMode="External" /><Relationship Type="http://schemas.openxmlformats.org/officeDocument/2006/relationships/hyperlink" Id="rId126" Target="https://vimeo.com/167646306" TargetMode="External" /><Relationship Type="http://schemas.openxmlformats.org/officeDocument/2006/relationships/hyperlink" Id="rId422" Target="https://www.cs.unm.edu/~crowley/papers/sds.pdf" TargetMode="External" /><Relationship Type="http://schemas.openxmlformats.org/officeDocument/2006/relationships/hyperlink" Id="rId226" Target="https://www.freud-museum.at/en/" TargetMode="External" /><Relationship Type="http://schemas.openxmlformats.org/officeDocument/2006/relationships/hyperlink" Id="rId287" Target="https://www.mersenne.org/primes/" TargetMode="External" /><Relationship Type="http://schemas.openxmlformats.org/officeDocument/2006/relationships/hyperlink" Id="rId293" Target="https://www.youtube.com/channel/UCEzSaoPnxCJVzXxA9obuRWg/videos" TargetMode="External" /><Relationship Type="http://schemas.openxmlformats.org/officeDocument/2006/relationships/hyperlink" Id="rId191"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445" Target="http://ismir2000.ismir.net/papers/invites/dunn_invite.pdf" TargetMode="External" /><Relationship Type="http://schemas.openxmlformats.org/officeDocument/2006/relationships/hyperlink" Id="rId468" Target="http://ismir2000.ismir.net/posters/good.pdf" TargetMode="External" /><Relationship Type="http://schemas.openxmlformats.org/officeDocument/2006/relationships/hyperlink" Id="rId650" Target="http://ismir2002.ismir.net/proceedings/02-FP06-3.pdf" TargetMode="External" /><Relationship Type="http://schemas.openxmlformats.org/officeDocument/2006/relationships/hyperlink" Id="rId470" Target="http://ismir2002.ismir.net/proceedings/03-SP04-1.pdf" TargetMode="External" /><Relationship Type="http://schemas.openxmlformats.org/officeDocument/2006/relationships/hyperlink" Id="rId472" Target="http://ismir2003.ismir.net/papers/Goto1.PDF" TargetMode="External" /><Relationship Type="http://schemas.openxmlformats.org/officeDocument/2006/relationships/hyperlink" Id="rId666" Target="http://ismir2004.ismir.net/proceedings/p010-page-48-paper227.pdf" TargetMode="External" /><Relationship Type="http://schemas.openxmlformats.org/officeDocument/2006/relationships/hyperlink" Id="rId494" Target="http://ismir2005.ismir.net/proceedings/2117.pdf" TargetMode="External" /><Relationship Type="http://schemas.openxmlformats.org/officeDocument/2006/relationships/hyperlink" Id="rId601" Target="http://ismir2005.ismir.net/proceedings/3123.pdf" TargetMode="External" /><Relationship Type="http://schemas.openxmlformats.org/officeDocument/2006/relationships/hyperlink" Id="rId503" Target="http://ismir2008.ismir.net/papers/ISMIR2008_106.pdf" TargetMode="External" /><Relationship Type="http://schemas.openxmlformats.org/officeDocument/2006/relationships/hyperlink" Id="rId536" Target="http://ismir2008.ismir.net/papers/ISMIR2008_158.pdf" TargetMode="External" /><Relationship Type="http://schemas.openxmlformats.org/officeDocument/2006/relationships/hyperlink" Id="rId481" Target="http://ismir2008.ismir.net/papers/ISMIR2008_173.pdf" TargetMode="External" /><Relationship Type="http://schemas.openxmlformats.org/officeDocument/2006/relationships/hyperlink" Id="rId514" Target="http://ismir2015.uma.es/articles/246_Paper.pdf" TargetMode="External" /><Relationship Type="http://schemas.openxmlformats.org/officeDocument/2006/relationships/hyperlink" Id="rId434" Target="http://ismir2015.uma.es/articles/261_Paper.pdf" TargetMode="External" /><Relationship Type="http://schemas.openxmlformats.org/officeDocument/2006/relationships/hyperlink" Id="rId663" Target="http://ismir2018.ircam.fr/doc/pdfs/114_Paper.pdf" TargetMode="External" /><Relationship Type="http://schemas.openxmlformats.org/officeDocument/2006/relationships/hyperlink" Id="rId671" Target="http://ismir2018.ircam.fr/doc/pdfs/188_Paper.pdf" TargetMode="External" /><Relationship Type="http://schemas.openxmlformats.org/officeDocument/2006/relationships/hyperlink" Id="rId451" Target="http://ismir2018.ircam.fr/doc/pdfs/206_Paper.pdf" TargetMode="External" /><Relationship Type="http://schemas.openxmlformats.org/officeDocument/2006/relationships/hyperlink" Id="rId497" Target="http://ismir2018.ircam.fr/doc/pdfs/248_Paper.pdf" TargetMode="External" /><Relationship Type="http://schemas.openxmlformats.org/officeDocument/2006/relationships/hyperlink" Id="rId442" Target="http://ismir2018.ircam.fr/doc/pdfs/265_Paper.pdf" TargetMode="External" /><Relationship Type="http://schemas.openxmlformats.org/officeDocument/2006/relationships/hyperlink" Id="rId543" Target="http://ismir2018.ircam.fr/doc/pdfs/35_Paper.pdf" TargetMode="External" /><Relationship Type="http://schemas.openxmlformats.org/officeDocument/2006/relationships/hyperlink" Id="rId101" Target="http://kern.ccarh.org/" TargetMode="External" /><Relationship Type="http://schemas.openxmlformats.org/officeDocument/2006/relationships/hyperlink" Id="rId558" Target="http://www.nime.org/proceedings/2007/nime2007_112.pdf" TargetMode="External" /><Relationship Type="http://schemas.openxmlformats.org/officeDocument/2006/relationships/hyperlink" Id="rId679" Target="http://www.nime.org/proceedings/2007/nime2007_352.pdf" TargetMode="External" /><Relationship Type="http://schemas.openxmlformats.org/officeDocument/2006/relationships/hyperlink" Id="rId553" Target="http://www.nime.org/proceedings/2007/nime2007_409.pdf" TargetMode="External" /><Relationship Type="http://schemas.openxmlformats.org/officeDocument/2006/relationships/hyperlink" Id="rId529" Target="http://www.nime.org/proceedings/2008/nime2008_221.pdf" TargetMode="External" /><Relationship Type="http://schemas.openxmlformats.org/officeDocument/2006/relationships/hyperlink" Id="rId578" Target="http://www.nime.org/proceedings/2008/nime2008_311.pdf" TargetMode="External" /><Relationship Type="http://schemas.openxmlformats.org/officeDocument/2006/relationships/hyperlink" Id="rId379" Target="http://www.nime.org/proceedings/2009/nime2009_266.pdf" TargetMode="External" /><Relationship Type="http://schemas.openxmlformats.org/officeDocument/2006/relationships/hyperlink" Id="rId492" Target="http://www.nime.org/proceedings/2010/nime2010_233.pdf" TargetMode="External" /><Relationship Type="http://schemas.openxmlformats.org/officeDocument/2006/relationships/hyperlink" Id="rId465" Target="http://www.nime.org/proceedings/2011/nime2011_124.pdf" TargetMode="External" /><Relationship Type="http://schemas.openxmlformats.org/officeDocument/2006/relationships/hyperlink" Id="rId390" Target="http://www.nime.org/proceedings/2011/nime2011_329.pdf" TargetMode="External" /><Relationship Type="http://schemas.openxmlformats.org/officeDocument/2006/relationships/hyperlink" Id="rId377" Target="http://www.nime.org/proceedings/2011/nime2011_387.pdf" TargetMode="External" /><Relationship Type="http://schemas.openxmlformats.org/officeDocument/2006/relationships/hyperlink" Id="rId361" Target="http://www.ppgia.pucpr.br/ismir2013/wp-content/uploads/2013/09/177\_Paper.pdf" TargetMode="External" /><Relationship Type="http://schemas.openxmlformats.org/officeDocument/2006/relationships/hyperlink" Id="rId485" Target="http://www.ppgia.pucpr.br/ismir2013/wp-content/uploads/2013/09/85_Paper.pdf" TargetMode="External" /><Relationship Type="http://schemas.openxmlformats.org/officeDocument/2006/relationships/hyperlink" Id="rId341" Target="http://www.terasoft.com.tw/conf/ismir2014/proceedings/T014_162_Paper.pdf" TargetMode="External" /><Relationship Type="http://schemas.openxmlformats.org/officeDocument/2006/relationships/hyperlink" Id="rId358" Target="http://www.terasoft.com.tw/conf/ismir2014/proceedings/T028_322_Paper.pdf" TargetMode="External" /><Relationship Type="http://schemas.openxmlformats.org/officeDocument/2006/relationships/hyperlink" Id="rId509" Target="http://www.terasoft.com.tw/conf/ismir2014/proceedings/T039_344_Paper.pdf" TargetMode="External" /><Relationship Type="http://schemas.openxmlformats.org/officeDocument/2006/relationships/hyperlink" Id="rId476" Target="http://www.terasoft.com.tw/conf/ismir2014/proceedings/T059_257_Paper.pdf" TargetMode="External" /><Relationship Type="http://schemas.openxmlformats.org/officeDocument/2006/relationships/hyperlink" Id="rId574" Target="http://www.terasoft.com.tw/conf/ismir2014/proceedings/T064_307_Paper.pdf" TargetMode="External" /><Relationship Type="http://schemas.openxmlformats.org/officeDocument/2006/relationships/hyperlink" Id="rId124" Target="https://developer.apple.com/documentation/metal" TargetMode="External" /><Relationship Type="http://schemas.openxmlformats.org/officeDocument/2006/relationships/hyperlink" Id="rId288" Target="https://en.wikipedia.org/wiki/Dr._Strangelove" TargetMode="External" /><Relationship Type="http://schemas.openxmlformats.org/officeDocument/2006/relationships/hyperlink" Id="rId46" Target="https://en.wikipedia.org/wiki/Leo_Beranek" TargetMode="External" /><Relationship Type="http://schemas.openxmlformats.org/officeDocument/2006/relationships/hyperlink" Id="rId333" Target="https://fdch.github.io/abby" TargetMode="External" /><Relationship Type="http://schemas.openxmlformats.org/officeDocument/2006/relationships/hyperlink" Id="rId334" Target="https://github.com/fdch/litrev" TargetMode="External" /><Relationship Type="http://schemas.openxmlformats.org/officeDocument/2006/relationships/hyperlink" Id="rId617" Target="https://hal.archives-ouvertes.fr/hal-01393959" TargetMode="External" /><Relationship Type="http://schemas.openxmlformats.org/officeDocument/2006/relationships/hyperlink" Id="rId457" Target="https://ismir2017.smcnus.org/wp-content/uploads/2017/10/161_Paper.pdf" TargetMode="External" /><Relationship Type="http://schemas.openxmlformats.org/officeDocument/2006/relationships/hyperlink" Id="rId647" Target="https://ismir2017.smcnus.org/wp-content/uploads/2017/10/180_Paper.pdf" TargetMode="External" /><Relationship Type="http://schemas.openxmlformats.org/officeDocument/2006/relationships/hyperlink" Id="rId420" Target="https://ismir2017.smcnus.org/wp-content/uploads/2017/10/235_Paper.pdf" TargetMode="External" /><Relationship Type="http://schemas.openxmlformats.org/officeDocument/2006/relationships/hyperlink" Id="rId425" Target="https://ismir2017.smcnus.org/wp-content/uploads/2017/10/75_Paper.pdf" TargetMode="External" /><Relationship Type="http://schemas.openxmlformats.org/officeDocument/2006/relationships/hyperlink" Id="rId156" Target="https://kyma.symbolicsound.com/" TargetMode="External" /><Relationship Type="http://schemas.openxmlformats.org/officeDocument/2006/relationships/hyperlink" Id="rId232" Target="https://mpc.chs.harvard.edu/" TargetMode="External" /><Relationship Type="http://schemas.openxmlformats.org/officeDocument/2006/relationships/hyperlink" Id="rId641" Target="https://quod.lib.umich.edu/i/icmc/bbp2372.2012.006" TargetMode="External" /><Relationship Type="http://schemas.openxmlformats.org/officeDocument/2006/relationships/hyperlink" Id="rId126" Target="https://vimeo.com/167646306" TargetMode="External" /><Relationship Type="http://schemas.openxmlformats.org/officeDocument/2006/relationships/hyperlink" Id="rId422" Target="https://www.cs.unm.edu/~crowley/papers/sds.pdf" TargetMode="External" /><Relationship Type="http://schemas.openxmlformats.org/officeDocument/2006/relationships/hyperlink" Id="rId226" Target="https://www.freud-museum.at/en/" TargetMode="External" /><Relationship Type="http://schemas.openxmlformats.org/officeDocument/2006/relationships/hyperlink" Id="rId287" Target="https://www.mersenne.org/primes/" TargetMode="External" /><Relationship Type="http://schemas.openxmlformats.org/officeDocument/2006/relationships/hyperlink" Id="rId293" Target="https://www.youtube.com/channel/UCEzSaoPnxCJVzXxA9obuRWg/videos" TargetMode="External" /><Relationship Type="http://schemas.openxmlformats.org/officeDocument/2006/relationships/hyperlink" Id="rId191"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2019-04-13T11:00:30Z</dcterms:created>
  <dcterms:modified xsi:type="dcterms:W3CDTF">2019-04-13T11:00:30Z</dcterms:modified>
</cp:coreProperties>
</file>

<file path=docProps/custom.xml><?xml version="1.0" encoding="utf-8"?>
<Properties xmlns="http://schemas.openxmlformats.org/officeDocument/2006/custom-properties" xmlns:vt="http://schemas.openxmlformats.org/officeDocument/2006/docPropsVTypes"/>
</file>