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(the</w:t>
      </w:r>
      <w:r>
        <w:t xml:space="preserve"> </w:t>
      </w:r>
      <w:r>
        <w:t xml:space="preserve">‘</w:t>
      </w:r>
      <w:r>
        <w:t xml:space="preserve">self</w:t>
      </w:r>
      <w:r>
        <w:t xml:space="preserve">’</w:t>
      </w:r>
      <w:r>
        <w:t xml:space="preserve"> </w:t>
      </w:r>
      <w:r>
        <w:t xml:space="preserve">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 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Is this not the resonance of a return? Work returning as the interrupted resonance of its own unworking?</w:t>
      </w:r>
    </w:p>
    <w:p>
      <w:pPr>
        <w:pStyle w:val="CaptionedFigure"/>
      </w:pPr>
      <w:bookmarkStart w:id="201" w:name="img:work"/>
      <w:r>
        <w:drawing>
          <wp:inline>
            <wp:extent cx="5334000" cy="4439546"/>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334000" cy="4439546"/>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arrows), in relation to the first two models with which databases were designed: hierarchical (right) and network (left).</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 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w:t>
      </w:r>
      <w:r>
        <w:t xml:space="preserve">Therefore, by understanding resonant networks in terms of community we can speak of an exposure of selves, or a self-exposure, between humans and nonhumans in a liminality can be thought of as a skin. Not in the sense of a layer that separates the interior form the exterior of a body, or, for that matter, as a surface under which or over which two selves can connect. For this would would make us fall out of Latour’s definition of the network. This skin is not a surface, but it can be thought of as a texture; not a layer, but an interweaving of minuscular threads that, in their own locality are fragile, but due to their reticulated structure expand into a redundancy of fragilities that prevents concepts such as unity, concentration, or purity, to enter into the picture. Within this quality of incompleteness, which relates to suspension, but also to fracture, instability, and unpredictability, is how the symmetry of this teleology of work also relates to communication. Understood as the being in common of singularities: “communication is the unworking of work that is social, economic, technical, and institutional</w:t>
      </w:r>
      <w:r>
        <w:t xml:space="preserve"> </w:t>
      </w:r>
      <w:r>
        <w:t xml:space="preserve">(Nancy 1991, p. 31)</w:t>
      </w:r>
      <w:r>
        <w:t xml:space="preserve">. I am tempted here to suggest that it communication, as well as community, is also the unworking of work that is resonant.</w:t>
      </w:r>
    </w:p>
    <w:p>
      <w:pPr>
        <w:pStyle w:val="CaptionedFigure"/>
      </w:pPr>
      <w:bookmarkStart w:id="204" w:name="img:unwork"/>
      <w:r>
        <w:drawing>
          <wp:inline>
            <wp:extent cx="1193800" cy="9398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1193800" cy="9398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w:t>
      </w:r>
    </w:p>
    <w:p>
      <w:pPr>
        <w:pStyle w:val="BodyText"/>
      </w:pPr>
      <w:r>
        <w:t xml:space="preserve">(A process which composes itself as process),</w:t>
      </w:r>
    </w:p>
    <w:p>
      <w:pPr>
        <w:pStyle w:val="BodyText"/>
      </w:pPr>
      <w:r>
        <w:t xml:space="preserve">In the network model, the nodes within the network are connected and associated to each other, that is, the</w:t>
      </w:r>
      <w:r>
        <w:t xml:space="preserve"> </w:t>
      </w:r>
      <w:r>
        <w:t xml:space="preserve">‘</w:t>
      </w:r>
      <w:r>
        <w:t xml:space="preserve">work</w:t>
      </w:r>
      <w:r>
        <w:t xml:space="preserve">’</w:t>
      </w:r>
      <w:r>
        <w:t xml:space="preserve"> </w:t>
      </w:r>
      <w:r>
        <w:t xml:space="preserve">of agents in Latour’s terminology. As I describe earlier, Latour’s network encompasses the human and the nonhuman:</w:t>
      </w:r>
    </w:p>
    <w:p>
      <w:pPr>
        <w:pStyle w:val="BodyText"/>
      </w:pPr>
      <w:r>
        <w:t xml:space="preserve">Agency, therefore, is what is in common across all nodes. However, a crucial distinction appears if we understand this agency as a form of</w:t>
      </w:r>
      <w:r>
        <w:t xml:space="preserve"> </w:t>
      </w:r>
      <w:r>
        <w:t xml:space="preserve">‘</w:t>
      </w:r>
      <w:r>
        <w:t xml:space="preserve">networking,</w:t>
      </w:r>
      <w:r>
        <w:t xml:space="preserve">’</w:t>
      </w:r>
      <w:r>
        <w:t xml:space="preserve"> </w:t>
      </w:r>
      <w:r>
        <w:t xml:space="preserve">that is, as the way this web of associations and connections works:</w:t>
      </w:r>
      <w:r>
        <w:t xml:space="preserve"> </w:t>
      </w:r>
      <w:r>
        <w:t xml:space="preserve">In other words, consider the graph that I include here (See Figure</w:t>
      </w:r>
      <w:r>
        <w:t xml:space="preserve"> </w:t>
      </w:r>
      <w:hyperlink w:anchor="img:work">
        <w:r>
          <w:rPr>
            <w:rStyle w:val="Hyperlink"/>
          </w:rPr>
          <w:t xml:space="preserve">5.1</w:t>
        </w:r>
      </w:hyperlink>
      <w:r>
        <w:t xml:space="preserve">).</w:t>
      </w:r>
    </w:p>
    <w:p>
      <w:pPr>
        <w:pStyle w:val="BodyText"/>
      </w:pPr>
      <w:r>
        <w:t xml:space="preserve">“</w:t>
      </w:r>
      <w:r>
        <w:t xml:space="preserve">extend the word actor -or actant- to non-human, non individual entities</w:t>
      </w:r>
      <w:r>
        <w:t xml:space="preserve">”</w:t>
      </w:r>
      <w:r>
        <w:t xml:space="preserve"> </w:t>
      </w:r>
      <w:r>
        <w:t xml:space="preserve">(Latour 1990, p. 2)</w:t>
      </w:r>
      <w:r>
        <w:t xml:space="preserve">.</w:t>
      </w:r>
    </w:p>
    <w:p>
      <w:pPr>
        <w:pStyle w:val="BodyText"/>
      </w:pPr>
      <w:r>
        <w:t xml:space="preserve">“</w:t>
      </w:r>
      <w:r>
        <w:t xml:space="preserve">The notion of network allows us to lift the tyranny of social theorists and to regain some margin of manoeuvers between the ingredients of society —its vertical space, its hierarchy, its layering, its macro scale, its wholeness, its overarching character— and how these features are achieved and which stuff they are made of</w:t>
      </w:r>
      <w:r>
        <w:t xml:space="preserve">”</w:t>
      </w:r>
      <w:r>
        <w:t xml:space="preserve"> </w:t>
      </w:r>
      <w:r>
        <w:t xml:space="preserve">(Latour 1990, p. 5)</w:t>
      </w:r>
      <w:r>
        <w:t xml:space="preserve">.</w:t>
      </w:r>
    </w:p>
    <w:p>
      <w:pPr>
        <w:pStyle w:val="BodyText"/>
      </w:pPr>
      <w:r>
        <w:t xml:space="preserve">“</w:t>
      </w:r>
      <w:r>
        <w:t xml:space="preserve">how these features are achieved and which stuff they are made of.The notion of network, in its barest topological outline, allows us already to reshuffle spatial metaphors that have rendered the study of society-nature so difficult: close and far, up and down, local and global, inside and outside. They are replaced by associations and connections (which AT does not have to qualify as being either social or natural or technical as I will show below) . This is not to say that there is nothing like</w:t>
      </w:r>
      <w:r>
        <w:t xml:space="preserve"> </w:t>
      </w:r>
      <w:r>
        <w:t xml:space="preserve">“</w:t>
      </w:r>
      <w:r>
        <w:t xml:space="preserve">macro</w:t>
      </w:r>
      <w:r>
        <w:t xml:space="preserve">”</w:t>
      </w:r>
      <w:r>
        <w:t xml:space="preserve"> </w:t>
      </w:r>
      <w:r>
        <w:t xml:space="preserve">society, or</w:t>
      </w:r>
      <w:r>
        <w:t xml:space="preserve"> </w:t>
      </w:r>
      <w:r>
        <w:t xml:space="preserve">“</w:t>
      </w:r>
      <w:r>
        <w:t xml:space="preserve">outside</w:t>
      </w:r>
      <w:r>
        <w:t xml:space="preserve">”</w:t>
      </w:r>
      <w:r>
        <w:t xml:space="preserve"> </w:t>
      </w:r>
      <w:r>
        <w:t xml:space="preserve">nature as the AT is often accused to, but that in order to obtain the effects of distance, proximity, hierarchies, connectedness, outsiderness and surfaces, an enormous supplementary work has to be done. This work however is not captured by the topological notion of network no matter how sophisticated we wish to make it.</w:t>
      </w:r>
      <w:r>
        <w:t xml:space="preserve">”</w:t>
      </w:r>
      <w:r>
        <w:t xml:space="preserve"> </w:t>
      </w:r>
      <w:r>
        <w:t xml:space="preserve">(Latour 1990, p. 6)</w:t>
      </w:r>
    </w:p>
    <w:p>
      <w:pPr>
        <w:pStyle w:val="BodyText"/>
      </w:pPr>
      <w:r>
        <w:t xml:space="preserve">“. 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 </w:t>
      </w:r>
      <w:r>
        <w:t xml:space="preserve">(Latour 1990, p. 7)</w:t>
      </w:r>
    </w:p>
    <w:p>
      <w:pPr>
        <w:pStyle w:val="BodyText"/>
      </w:pPr>
      <w:r>
        <w:t xml:space="preserve">HYBRIDS: extending semiotics to things instead of limiting it to meaning</w:t>
      </w:r>
    </w:p>
    <w:p>
      <w:pPr>
        <w:pStyle w:val="BodyText"/>
      </w:pPr>
      <w:r>
        <w:t xml:space="preserve">“</w:t>
      </w:r>
      <w:r>
        <w:t xml:space="preserve">What really matters is that it is an elevation instead of a reduction and that the new hybrid status give to all entities both the action, variety and circulating existence recognized in the study of textual characters and also the reality, solidity, externality that was recognized in things</w:t>
      </w:r>
      <w:r>
        <w:t xml:space="preserve"> </w:t>
      </w:r>
      <w:r>
        <w:t xml:space="preserve">“</w:t>
      </w:r>
      <w:r>
        <w:t xml:space="preserve">out of</w:t>
      </w:r>
      <w:r>
        <w:t xml:space="preserve">”</w:t>
      </w:r>
      <w:r>
        <w:t xml:space="preserve"> </w:t>
      </w:r>
      <w:r>
        <w:t xml:space="preserve">our representations. What is lost is the absolute distinction between representation and things -but such is exactly what AT wishes to redistribute through what I call a counter-copernican revolution</w:t>
      </w:r>
      <w:r>
        <w:t xml:space="preserve">”</w:t>
      </w:r>
      <w:r>
        <w:t xml:space="preserve"> </w:t>
      </w:r>
      <w:r>
        <w:t xml:space="preserve">(Latour 1990, p. 11)</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w:t>
      </w:r>
    </w:p>
    <w:p>
      <w:pPr>
        <w:pStyle w:val="BodyText"/>
      </w:pPr>
      <w:r>
        <w:t xml:space="preserve">In the resonant network model I am proposing here database performers (or databasers) are human actors in the network, while nonhuman actors include the database.</w:t>
      </w:r>
    </w:p>
    <w:p>
      <w:pPr>
        <w:pStyle w:val="BodyText"/>
      </w:pPr>
      <w:r>
        <w:t xml:space="preserve">The resonant network, as an instantiation of a process of unworking, enables the thought of a database community to emerge. This community consists of ……………...</w:t>
      </w:r>
    </w:p>
    <w:p>
      <w:pPr>
        <w:pStyle w:val="BodyText"/>
      </w:pPr>
      <w:r>
        <w:t xml:space="preserve">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w:t>
      </w:r>
    </w:p>
    <w:p>
      <w:pPr>
        <w:pStyle w:val="BodyText"/>
      </w:pPr>
      <w:r>
        <w:t xml:space="preserve">In a database community, database music can be understood as a hybridly social and communicative event.</w:t>
      </w:r>
    </w:p>
    <w:p>
      <w:pPr>
        <w:pStyle w:val="BodyText"/>
      </w:pPr>
      <w:r>
        <w:t xml:space="preserve">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w:t>
      </w:r>
    </w:p>
    <w:p>
      <w:pPr>
        <w:pStyle w:val="BodyText"/>
      </w:pPr>
      <w:r>
        <w:t xml:space="preserve">Furthermore, database music is an instance of community,</w:t>
      </w:r>
    </w:p>
    <w:p>
      <w:pPr>
        <w:pStyle w:val="BodyText"/>
      </w:pPr>
      <w:r>
        <w:t xml:space="preserve">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w:t>
      </w:r>
    </w:p>
    <w:p>
      <w:pPr>
        <w:pStyle w:val="BodyText"/>
      </w:pPr>
      <w:r>
        <w:t xml:space="preserve">Therefore, the database community emerges as the unworking of databasers and databases.</w:t>
      </w:r>
    </w:p>
    <w:p>
      <w:pPr>
        <w:pStyle w:val="BodyText"/>
      </w:pPr>
      <w:r>
        <w:t xml:space="preserve">Database community can be considered as, precisely, the skin</w:t>
      </w:r>
    </w:p>
    <w:p>
      <w:pPr>
        <w:pStyle w:val="BodyText"/>
      </w:pPr>
      <w:r>
        <w:t xml:space="preserve">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2019-04-09T21:49:58Z</dcterms:created>
  <dcterms:modified xsi:type="dcterms:W3CDTF">2019-04-09T21:49:58Z</dcterms:modified>
</cp:coreProperties>
</file>

<file path=docProps/custom.xml><?xml version="1.0" encoding="utf-8"?>
<Properties xmlns="http://schemas.openxmlformats.org/officeDocument/2006/custom-properties" xmlns:vt="http://schemas.openxmlformats.org/officeDocument/2006/docPropsVTypes"/>
</file>