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181.png" ContentType="image/png"/>
  <Override PartName="/word/media/rId266.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2"/>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2"/>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2"/>
      </w:pPr>
      <w:bookmarkStart w:id="23" w:name="preface"/>
      <w:r>
        <w:t xml:space="preserve">Preface</w:t>
      </w:r>
      <w:bookmarkEnd w:id="23"/>
    </w:p>
    <w:p>
      <w:pPr>
        <w:pStyle w:val="Heading1"/>
      </w:pPr>
      <w:bookmarkStart w:id="24" w:name="part: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part: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part: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chapter: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1.1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7ab881690f76f52aba925dc54865e1f73267329"/>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2.1</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6"/>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6"/>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6"/>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6"/>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6"/>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6"/>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6"/>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6"/>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6"/>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6"/>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6"/>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6"/>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6"/>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2.4.5</w:t>
        </w:r>
      </w:hyperlink>
      <w:r>
        <w:t xml:space="preserve">); object databases (See</w:t>
      </w:r>
      <w:r>
        <w:t xml:space="preserve"> </w:t>
      </w:r>
      <w:hyperlink w:anchor="model:object">
        <w:r>
          <w:rPr>
            <w:rStyle w:val="Hyperlink"/>
          </w:rPr>
          <w:t xml:space="preserve">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dea5a5195a4792f8d47d2449c0c95d6ca09754c"/>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6"/>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6"/>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6"/>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6"/>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6"/>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6"/>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6"/>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6"/>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6"/>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6"/>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6"/>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6"/>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6"/>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6"/>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6"/>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6"/>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6"/>
      </w:pPr>
      <w:bookmarkStart w:id="134" w:name="a-hierarchical-representation"/>
      <w:r>
        <w:t xml:space="preserve">A Hierarchical Representation</w:t>
      </w:r>
      <w:bookmarkEnd w:id="134"/>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3.3.1.0.6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2.3.0.0.2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6"/>
      </w:pPr>
      <w:bookmarkStart w:id="135" w:name="black-boxing"/>
      <w:r>
        <w:t xml:space="preserve">Black-boxing</w:t>
      </w:r>
      <w:bookmarkEnd w:id="135"/>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6"/>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2.2.0.0.3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6"/>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6"/>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6"/>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6"/>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6"/>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6"/>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3.4</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6"/>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6"/>
      </w:pPr>
      <w:bookmarkStart w:id="153" w:name="computer:puredata"/>
      <w:r>
        <w:t xml:space="preserve">Pure Data</w:t>
      </w:r>
      <w:bookmarkEnd w:id="153"/>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6"/>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3.3.3.0.4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6"/>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6"/>
      </w:pPr>
      <w:bookmarkStart w:id="157" w:name="heaps-and-nodes"/>
      <w:r>
        <w:t xml:space="preserve">Heaps and Nodes</w:t>
      </w:r>
      <w:bookmarkEnd w:id="157"/>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Intersections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6"/>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6"/>
      </w:pPr>
      <w:bookmarkStart w:id="161" w:name="other-approaches"/>
      <w:r>
        <w:t xml:space="preserve">Other approaches</w:t>
      </w:r>
      <w:bookmarkEnd w:id="161"/>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2"/>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6"/>
      </w:pPr>
      <w:bookmarkStart w:id="163" w:name="software-libraries"/>
      <w:r>
        <w:t xml:space="preserve">Software Libraries</w:t>
      </w:r>
      <w:bookmarkEnd w:id="163"/>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4" w:name="querying-methods"/>
      <w:r>
        <w:t xml:space="preserve">Querying Methods</w:t>
      </w:r>
      <w:bookmarkEnd w:id="164"/>
    </w:p>
    <w:p>
      <w:pPr>
        <w:pStyle w:val="Heading6"/>
      </w:pPr>
      <w:bookmarkStart w:id="165" w:name="query-by-content"/>
      <w:r>
        <w:t xml:space="preserve">Query-by-content</w:t>
      </w:r>
      <w:bookmarkEnd w:id="165"/>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6"/>
      </w:pPr>
      <w:bookmarkStart w:id="166" w:name="similarity-based"/>
      <w:r>
        <w:t xml:space="preserve">Similarity-based</w:t>
      </w:r>
      <w:bookmarkEnd w:id="166"/>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7"/>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8"/>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6"/>
      </w:pPr>
      <w:bookmarkStart w:id="169" w:name="hybrid-queries"/>
      <w:r>
        <w:t xml:space="preserve">Hybrid Queries</w:t>
      </w:r>
      <w:bookmarkEnd w:id="169"/>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70" w:name="traversing-methods"/>
      <w:r>
        <w:t xml:space="preserve">Traversing Methods</w:t>
      </w:r>
      <w:bookmarkEnd w:id="170"/>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6"/>
      </w:pPr>
      <w:bookmarkStart w:id="171" w:name="sensorial-networks"/>
      <w:r>
        <w:t xml:space="preserve">Sensorial Networks</w:t>
      </w:r>
      <w:bookmarkEnd w:id="171"/>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6"/>
      </w:pPr>
      <w:bookmarkStart w:id="172" w:name="involuntary-navigation"/>
      <w:r>
        <w:t xml:space="preserve">Involuntary Navigation</w:t>
      </w:r>
      <w:bookmarkEnd w:id="172"/>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6"/>
      </w:pPr>
      <w:bookmarkStart w:id="173" w:name="networked-collaborations"/>
      <w:r>
        <w:t xml:space="preserve">Networked Collaborations</w:t>
      </w:r>
      <w:bookmarkEnd w:id="173"/>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6"/>
      </w:pPr>
      <w:bookmarkStart w:id="174" w:name="mobile-devices"/>
      <w:r>
        <w:t xml:space="preserve">Mobile Devices</w:t>
      </w:r>
      <w:bookmarkEnd w:id="174"/>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5" w:name="resource-sharing"/>
      <w:r>
        <w:t xml:space="preserve">Resource Sharing</w:t>
      </w:r>
      <w:bookmarkEnd w:id="175"/>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6"/>
      </w:r>
      <w:r>
        <w:t xml:space="preserve"> </w:t>
      </w:r>
      <w:r>
        <w:t xml:space="preserve">In any case, what is common between these forms of sharing is an entropic and endless plurality.</w:t>
      </w:r>
    </w:p>
    <w:p>
      <w:pPr>
        <w:pStyle w:val="Heading6"/>
      </w:pPr>
      <w:bookmarkStart w:id="177" w:name="multimodal-datasets"/>
      <w:r>
        <w:t xml:space="preserve">Multimodal Datasets</w:t>
      </w:r>
      <w:bookmarkEnd w:id="177"/>
    </w:p>
    <w:p>
      <w:pPr>
        <w:pStyle w:val="FirstParagraph"/>
      </w:pPr>
      <w:r>
        <w:t xml:space="preserve">Among the many datasets that are available (See</w:t>
      </w:r>
      <w:r>
        <w:t xml:space="preserve"> </w:t>
      </w:r>
      <w:hyperlink w:anchor="mir">
        <w:r>
          <w:rPr>
            <w:rStyle w:val="Hyperlink"/>
          </w:rPr>
          <w:t xml:space="preserve">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6"/>
      </w:pPr>
      <w:bookmarkStart w:id="178" w:name="formats"/>
      <w:r>
        <w:t xml:space="preserve">Formats</w:t>
      </w:r>
      <w:bookmarkEnd w:id="178"/>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6"/>
      </w:pPr>
      <w:bookmarkStart w:id="179" w:name="live-coding"/>
      <w:r>
        <w:t xml:space="preserve">Live Coding</w:t>
      </w:r>
      <w:bookmarkEnd w:id="179"/>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80" w:name="closing-remarks"/>
      <w:r>
        <w:t xml:space="preserve">Closing Remarks</w:t>
      </w:r>
      <w:bookmarkEnd w:id="180"/>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3.5</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2" w:name="img:intersections"/>
      <w:r>
        <w:drawing>
          <wp:inline>
            <wp:extent cx="3759200" cy="2438400"/>
            <wp:effectExtent b="0" l="0" r="0" t="0"/>
            <wp:docPr descr=" Position of the database in terms of visibility among mir, Sonification, and Computer Music. Positive values indicate visibility and negative indicate invisibility. "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1"/>
                    <a:stretch>
                      <a:fillRect/>
                    </a:stretch>
                  </pic:blipFill>
                  <pic:spPr bwMode="auto">
                    <a:xfrm>
                      <a:off x="0" y="0"/>
                      <a:ext cx="3759200" cy="2438400"/>
                    </a:xfrm>
                    <a:prstGeom prst="rect">
                      <a:avLst/>
                    </a:prstGeom>
                    <a:noFill/>
                    <a:ln w="9525">
                      <a:noFill/>
                      <a:headEnd/>
                      <a:tailEnd/>
                    </a:ln>
                  </pic:spPr>
                </pic:pic>
              </a:graphicData>
            </a:graphic>
          </wp:inline>
        </w:drawing>
      </w:r>
      <w:bookmarkEnd w:id="182"/>
    </w:p>
    <w:p>
      <w:pPr>
        <w:pStyle w:val="ImageCaption"/>
      </w:pPr>
      <w:r>
        <w:t xml:space="preserve"> </w:t>
      </w:r>
      <w:r>
        <w:t xml:space="preserve">Position of the database in terms of visibility among</w:t>
      </w:r>
      <w:r>
        <w:t xml:space="preserve"> </w:t>
      </w:r>
      <w:r>
        <w:t xml:space="preserve">mir</w:t>
      </w:r>
      <w:r>
        <w:t xml:space="preserve">, Sonification, and Computer Music. Positive values indicate visibility and negative indicate invisibility.</w:t>
      </w:r>
      <w:r>
        <w:t xml:space="preserve"> </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3" w:name="part:Database_Aesthetics"/>
      <w:r>
        <w:t xml:space="preserve">Database Aesthetics</w:t>
      </w:r>
      <w:bookmarkEnd w:id="18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4" w:name="chapter:Listening_Databases"/>
      <w:r>
        <w:t xml:space="preserve">Listening Databases</w:t>
      </w:r>
      <w:bookmarkEnd w:id="184"/>
    </w:p>
    <w:p>
      <w:pPr>
        <w:pStyle w:val="Heading3"/>
      </w:pPr>
      <w:bookmarkStart w:id="185" w:name="resonance_of_a_return"/>
      <w:r>
        <w:t xml:space="preserve">The Resonance Of A Return</w:t>
      </w:r>
      <w:bookmarkEnd w:id="18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6"/>
      </w:pPr>
      <w:bookmarkStart w:id="186" w:name="sonorous-presence"/>
      <w:r>
        <w:t xml:space="preserve">Sonorous presence</w:t>
      </w:r>
      <w:bookmarkEnd w:id="186"/>
    </w:p>
    <w:p>
      <w:pPr>
        <w:pStyle w:val="FirstParagraph"/>
      </w:pPr>
      <w:r>
        <w:t xml:space="preserve">Philosopher</w:t>
      </w:r>
      <w:r>
        <w:t xml:space="preserve"> </w:t>
      </w:r>
      <w:r>
        <w:t xml:space="preserve">Nancy (2007)</w:t>
      </w:r>
      <w:r>
        <w:t xml:space="preserve"> </w:t>
      </w:r>
      <w:r>
        <w:t xml:space="preserve">brings forth an ontology of sound that is based on a performativity of listening that links an embodied theory of listening with a phenomenology of the self. For</w:t>
      </w:r>
      <w:r>
        <w:t xml:space="preserve"> </w:t>
      </w:r>
      <w:r>
        <w:t xml:space="preserve">Gratton &amp; Morin (2015)</w:t>
      </w:r>
      <w:r>
        <w:t xml:space="preserve">, Nancy’s ‘sonorous presence’ is built on the premises that the listening body is part of the medium through which sound propagates and that the body’s sense perception is immersed within that medium. Medium here refers to the matter through which sound propagates, such as a space filled with gas, liquid, or solid particles of matter including human and nonhuman bodies. Sound reaches, enters, and traverses bodies. This means that sound, in its most basic and general form makes listeners vibrate and therefore, the listening subject is always already part of the listened sound.</w:t>
      </w:r>
    </w:p>
    <w:p>
      <w:pPr>
        <w:pStyle w:val="Heading6"/>
      </w:pPr>
      <w:bookmarkStart w:id="187" w:name="an-a-priori-filter"/>
      <w:r>
        <w:t xml:space="preserve">An a priori filter</w:t>
      </w:r>
      <w:bookmarkEnd w:id="187"/>
    </w:p>
    <w:p>
      <w:pPr>
        <w:pStyle w:val="FirstParagraph"/>
      </w:pPr>
      <w:r>
        <w:t xml:space="preserve">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This means that within hot and humid climates sound will move slower, and if there is wind blowing in the same direction of a sound it will travel faster, but it also means the listening body changes how sound moves both inside and outside of itself. Waves change direction by way of reflection or refraction, and they fade out by way of attenuation. This means that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This explains why empty concert halls sound more reverberant than filled concert halls. Most importantly, the filtering qualities of the listening body reveal the extent to which listening as such is a singular experience.</w:t>
      </w:r>
    </w:p>
    <w:p>
      <w:pPr>
        <w:pStyle w:val="Heading6"/>
      </w:pPr>
      <w:bookmarkStart w:id="188" w:name="sonorous-presence-in-an-attack"/>
      <w:r>
        <w:t xml:space="preserve">Sonorous presence in an attack</w:t>
      </w:r>
      <w:bookmarkEnd w:id="188"/>
    </w:p>
    <w:p>
      <w:pPr>
        <w:pStyle w:val="FirstParagraph"/>
      </w:pPr>
      <w:r>
        <w:t xml:space="preserve">The sonorous presence exposes listeners to themselves and to one another. The duration of this exposure is always an instant. Nancy refers to this instant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The experience of this exposure points to the presence of sound as a sensing experience in itself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w:t>
      </w:r>
    </w:p>
    <w:p>
      <w:pPr>
        <w:pStyle w:val="BodyText"/>
      </w:pPr>
      <w:r>
        <w:t xml:space="preserve">This means that in the sonorous present, the listening body emerges as a creation of itself as sense.</w:t>
      </w:r>
    </w:p>
    <w:p>
      <w:pPr>
        <w:pStyle w:val="BodyText"/>
      </w:pPr>
      <w:r>
        <w:t xml:space="preserve">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6"/>
      </w:pPr>
      <w:bookmarkStart w:id="189" w:name="referrals-and-deferrals"/>
      <w:r>
        <w:t xml:space="preserve">Referrals and Deferrals</w:t>
      </w:r>
      <w:bookmarkEnd w:id="189"/>
    </w:p>
    <w:p>
      <w:pPr>
        <w:pStyle w:val="FirstParagraph"/>
      </w:pPr>
      <w:r>
        <w:t xml:space="preserve">Kane finds Nancy’s ontology of sound as</w:t>
      </w:r>
      <w:r>
        <w:t xml:space="preserve"> </w:t>
      </w:r>
      <w:r>
        <w:t xml:space="preserve">“</w:t>
      </w:r>
      <w:r>
        <w:t xml:space="preserve">a structure of infinite referrals and deferrals</w:t>
      </w:r>
      <w:r>
        <w:t xml:space="preserve">”</w:t>
      </w:r>
      <w:r>
        <w:t xml:space="preserve"> </w:t>
      </w:r>
      <w:r>
        <w:t xml:space="preserve">(Gratton &amp; Morin 2015, p. 143)</w:t>
      </w:r>
      <w:r>
        <w:t xml:space="preserve">, that is, what Nancy refers to as</w:t>
      </w:r>
      <w:r>
        <w:t xml:space="preserve"> </w:t>
      </w:r>
      <w:r>
        <w:t xml:space="preserve">‘</w:t>
      </w:r>
      <w:r>
        <w:t xml:space="preserve">resonance.</w:t>
      </w:r>
      <w:r>
        <w:t xml:space="preserve">’</w:t>
      </w:r>
      <w:r>
        <w:t xml:space="preserve"> </w:t>
      </w:r>
      <w:r>
        <w:t xml:space="preserve">This structure comprises, for Kane, Nancy’s reading of Jacques Derrida’s concept of</w:t>
      </w:r>
      <w:r>
        <w:t xml:space="preserve"> </w:t>
      </w:r>
      <w:r>
        <w:rPr>
          <w:i/>
        </w:rPr>
        <w:t xml:space="preserve">différance</w:t>
      </w:r>
      <w:r>
        <w:t xml:space="preserve"> </w:t>
      </w:r>
      <w:r>
        <w:t xml:space="preserve">(See</w:t>
      </w:r>
      <w:r>
        <w:t xml:space="preserve"> </w:t>
      </w:r>
      <w:hyperlink w:anchor="human">
        <w:r>
          <w:rPr>
            <w:rStyle w:val="Hyperlink"/>
          </w:rPr>
          <w:t xml:space="preserve">2.2</w:t>
        </w:r>
      </w:hyperlink>
      <w:r>
        <w:t xml:space="preserve">).</w:t>
      </w:r>
      <w:r>
        <w:rPr>
          <w:rStyle w:val="FootnoteReference"/>
        </w:rPr>
        <w:footnoteReference w:id="190"/>
      </w:r>
      <w:r>
        <w:t xml:space="preserve"> </w:t>
      </w:r>
      <w:r>
        <w:t xml:space="preserve">Resonance, in this terms, can be understood as an activity that takes place in</w:t>
      </w:r>
    </w:p>
    <w:p>
      <w:pPr>
        <w:pStyle w:val="BodyText"/>
      </w:pPr>
      <w:r>
        <w:t xml:space="preserve">Inasmuch as the sensing body is aware of its own multiplicity of sense, this multiplicity is itself dislocated spatially and temporally.</w:t>
      </w:r>
    </w:p>
    <w:p>
      <w:pPr>
        <w:pStyle w:val="BodyText"/>
      </w:pPr>
      <w:r>
        <w:t xml:space="preserve">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6"/>
      </w:pPr>
      <w:bookmarkStart w:id="191" w:name="a-loop"/>
      <w:r>
        <w:t xml:space="preserve">A Loop</w:t>
      </w:r>
      <w:bookmarkEnd w:id="191"/>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of the listening experience.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6"/>
      </w:pPr>
      <w:bookmarkStart w:id="192" w:name="an-approach-to-self"/>
      <w:r>
        <w:t xml:space="preserve">An Approach to Self</w:t>
      </w:r>
      <w:bookmarkEnd w:id="192"/>
    </w:p>
    <w:p>
      <w:pPr>
        <w:pStyle w:val="FirstParagraph"/>
      </w:pPr>
      <w:r>
        <w:t xml:space="preserve">In this context, the self is not an expressive substance inherent to bodies, or already in the body, as if it were some originary essence that appears out of resonance. On the contrary, for Nancy, the self comes as a result of the resonance, in the form of a return.</w:t>
      </w:r>
    </w:p>
    <w:p>
      <w:pPr>
        <w:pStyle w:val="BodyText"/>
      </w:pPr>
      <w:r>
        <w:rPr>
          <w:rStyle w:val="FootnoteReference"/>
        </w:rPr>
        <w:footnoteReference w:id="193"/>
      </w:r>
    </w:p>
    <w:p>
      <w:pPr>
        <w:pStyle w:val="Heading3"/>
      </w:pPr>
      <w:bookmarkStart w:id="194" w:name="network"/>
      <w:r>
        <w:t xml:space="preserve">Resonant Network</w:t>
      </w:r>
      <w:bookmarkEnd w:id="19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6"/>
      </w:pPr>
      <w:bookmarkStart w:id="195" w:name="an-illusory-violin"/>
      <w:r>
        <w:t xml:space="preserve">An Illusory Violin</w:t>
      </w:r>
      <w:bookmarkEnd w:id="19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6"/>
      </w:pPr>
      <w:bookmarkStart w:id="196" w:name="virtuality"/>
      <w:r>
        <w:t xml:space="preserve">Virtuality</w:t>
      </w:r>
      <w:bookmarkEnd w:id="19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6"/>
      </w:pPr>
      <w:bookmarkStart w:id="197" w:name="performativity-of-networks"/>
      <w:r>
        <w:t xml:space="preserve">Performativity of Networks</w:t>
      </w:r>
      <w:bookmarkEnd w:id="197"/>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6"/>
      </w:pPr>
      <w:bookmarkStart w:id="198" w:name="a-resonant-movement-of-a-thing"/>
      <w:r>
        <w:t xml:space="preserve">A Resonant Movement of a Thing</w:t>
      </w:r>
      <w:bookmarkEnd w:id="19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6"/>
      </w:pPr>
      <w:bookmarkStart w:id="199" w:name="positive-feedback"/>
      <w:r>
        <w:t xml:space="preserve">Positive Feedback</w:t>
      </w:r>
      <w:bookmarkEnd w:id="19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6"/>
      </w:pPr>
      <w:bookmarkStart w:id="200" w:name="the-work-of-actors"/>
      <w:r>
        <w:t xml:space="preserve">The Work of Actors</w:t>
      </w:r>
      <w:bookmarkEnd w:id="200"/>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1" w:name="inoperativity"/>
      <w:r>
        <w:t xml:space="preserve">The Unworking Network</w:t>
      </w:r>
      <w:bookmarkEnd w:id="201"/>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6"/>
      </w:pPr>
      <w:bookmarkStart w:id="202" w:name="community-as-unwork"/>
      <w:r>
        <w:t xml:space="preserve">Community as unwork</w:t>
      </w:r>
      <w:bookmarkEnd w:id="20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6"/>
      </w:pPr>
      <w:bookmarkStart w:id="203" w:name="resonant-inoperativity"/>
      <w:r>
        <w:t xml:space="preserve">Resonant Inoperativity</w:t>
      </w:r>
      <w:bookmarkEnd w:id="20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6"/>
      </w:pPr>
      <w:bookmarkStart w:id="204" w:name="space-of-community"/>
      <w:r>
        <w:t xml:space="preserve">Space of Community</w:t>
      </w:r>
      <w:bookmarkEnd w:id="20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6"/>
      </w:pPr>
      <w:bookmarkStart w:id="205" w:name="at-the-limit"/>
      <w:r>
        <w:t xml:space="preserve">At the Limit</w:t>
      </w:r>
      <w:bookmarkEnd w:id="20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6"/>
      </w:pPr>
      <w:bookmarkStart w:id="206" w:name="reticulated-skin"/>
      <w:r>
        <w:t xml:space="preserve">Reticulated Skin</w:t>
      </w:r>
      <w:bookmarkEnd w:id="20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6"/>
      </w:pPr>
      <w:bookmarkStart w:id="207" w:name="resistance-in-database-music"/>
      <w:r>
        <w:t xml:space="preserve">Resistance in Database Music</w:t>
      </w:r>
      <w:bookmarkEnd w:id="20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8" w:name="chapter:Databases_And_Memory"/>
      <w:r>
        <w:t xml:space="preserve">Databases And Memory</w:t>
      </w:r>
      <w:bookmarkEnd w:id="208"/>
    </w:p>
    <w:p>
      <w:pPr>
        <w:pStyle w:val="Heading3"/>
      </w:pPr>
      <w:bookmarkStart w:id="209" w:name="funeslude"/>
      <w:r>
        <w:t xml:space="preserve">Interlude: Embodied Memory</w:t>
      </w:r>
      <w:bookmarkEnd w:id="20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0"/>
      </w:r>
      <w:r>
        <w:t xml:space="preserve"> </w:t>
      </w:r>
      <w:r>
        <w:t xml:space="preserve">he was secluded in a dark and enclosed space so as not to perceive the world.</w:t>
      </w:r>
      <w:r>
        <w:rPr>
          <w:rStyle w:val="FootnoteReference"/>
        </w:rPr>
        <w:footnoteReference w:id="211"/>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2"/>
      </w:r>
      <w:r>
        <w:t xml:space="preserve"> </w:t>
      </w:r>
      <w:r>
        <w:t xml:space="preserve">However, the distinction that Hayles presents —which has been discussed before (See</w:t>
      </w:r>
      <w:r>
        <w:t xml:space="preserve"> </w:t>
      </w:r>
      <w:hyperlink w:anchor="bodiless_information">
        <w:r>
          <w:rPr>
            <w:rStyle w:val="Hyperlink"/>
          </w:rPr>
          <w:t xml:space="preserve">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3"/>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4"/>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5"/>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7" w:name="human"/>
      <w:r>
        <w:t xml:space="preserve">The Effraction Of The Trace</w:t>
      </w:r>
      <w:bookmarkEnd w:id="217"/>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8"/>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6"/>
      </w:pPr>
      <w:bookmarkStart w:id="219" w:name="memory-as-breaching"/>
      <w:r>
        <w:t xml:space="preserve">Memory as Breaching</w:t>
      </w:r>
      <w:bookmarkEnd w:id="219"/>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6"/>
      </w:pPr>
      <w:bookmarkStart w:id="220" w:name="breaching-and-différance"/>
      <w:r>
        <w:t xml:space="preserve">Breaching and</w:t>
      </w:r>
      <w:r>
        <w:t xml:space="preserve"> </w:t>
      </w:r>
      <w:r>
        <w:rPr>
          <w:i/>
        </w:rPr>
        <w:t xml:space="preserve">différance</w:t>
      </w:r>
      <w:bookmarkEnd w:id="220"/>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6"/>
      </w:pPr>
      <w:bookmarkStart w:id="221" w:name="hypomnesis-and-the-mystic-pad"/>
      <w:r>
        <w:t xml:space="preserve">Hypomnesis and the Mystic Pad</w:t>
      </w:r>
      <w:bookmarkEnd w:id="22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6"/>
      </w:pPr>
      <w:bookmarkStart w:id="222" w:name="nonhuman-authors"/>
      <w:r>
        <w:t xml:space="preserve">Nonhuman Authors</w:t>
      </w:r>
      <w:bookmarkEnd w:id="22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6"/>
      </w:pPr>
      <w:bookmarkStart w:id="223" w:name="database-as-agents"/>
      <w:r>
        <w:t xml:space="preserve">Database as Agents</w:t>
      </w:r>
      <w:bookmarkEnd w:id="22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4" w:name="archontic"/>
      <w:r>
        <w:t xml:space="preserve">The Archontic Principle</w:t>
      </w:r>
      <w:bookmarkEnd w:id="224"/>
    </w:p>
    <w:p>
      <w:pPr>
        <w:pStyle w:val="Heading6"/>
      </w:pPr>
      <w:bookmarkStart w:id="225" w:name="archives-and-memory"/>
      <w:r>
        <w:t xml:space="preserve">Archives and Memory</w:t>
      </w:r>
      <w:bookmarkEnd w:id="225"/>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6"/>
      </w:pPr>
      <w:bookmarkStart w:id="226" w:name="hierarchies"/>
      <w:r>
        <w:t xml:space="preserve">Hierarchies</w:t>
      </w:r>
      <w:bookmarkEnd w:id="22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6"/>
      </w:pPr>
      <w:bookmarkStart w:id="227" w:name="archontic-principle"/>
      <w:r>
        <w:t xml:space="preserve">Archontic Principle</w:t>
      </w:r>
      <w:bookmarkEnd w:id="22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6"/>
      </w:pPr>
      <w:bookmarkStart w:id="228" w:name="patriarchy"/>
      <w:r>
        <w:t xml:space="preserve">Patriarchy</w:t>
      </w:r>
      <w:bookmarkEnd w:id="22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6"/>
      </w:pPr>
      <w:bookmarkStart w:id="229" w:name="institutional-passage"/>
      <w:r>
        <w:t xml:space="preserve">Institutional Passage</w:t>
      </w:r>
      <w:bookmarkEnd w:id="22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6"/>
      </w:pPr>
      <w:bookmarkStart w:id="230" w:name="authorities"/>
      <w:r>
        <w:t xml:space="preserve">Authorities</w:t>
      </w:r>
      <w:bookmarkEnd w:id="23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6"/>
      </w:pPr>
      <w:bookmarkStart w:id="231" w:name="anarchic-memory"/>
      <w:r>
        <w:t xml:space="preserve">Anarchic Memory</w:t>
      </w:r>
      <w:bookmarkEnd w:id="23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6"/>
      </w:pPr>
      <w:bookmarkStart w:id="232" w:name="collective-memory"/>
      <w:r>
        <w:t xml:space="preserve">Collective Memory</w:t>
      </w:r>
      <w:bookmarkEnd w:id="232"/>
    </w:p>
    <w:p>
      <w:pPr>
        <w:pStyle w:val="FirstParagraph"/>
      </w:pPr>
      <w:r>
        <w:t xml:space="preserve">In the fantastic case of Funes (See</w:t>
      </w:r>
      <w:r>
        <w:t xml:space="preserve"> </w:t>
      </w:r>
      <w:hyperlink w:anchor="funeslude">
        <w:r>
          <w:rPr>
            <w:rStyle w:val="Hyperlink"/>
          </w:rPr>
          <w:t xml:space="preserve">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6"/>
      </w:pPr>
      <w:bookmarkStart w:id="233" w:name="writing-code"/>
      <w:r>
        <w:t xml:space="preserve">Writing Code</w:t>
      </w:r>
      <w:bookmarkEnd w:id="233"/>
    </w:p>
    <w:p>
      <w:pPr>
        <w:pStyle w:val="FirstParagraph"/>
      </w:pPr>
      <w:r>
        <w:t xml:space="preserve">Since writing can function as a link between human and the nonhuman memory (See</w:t>
      </w:r>
      <w:r>
        <w:t xml:space="preserve"> </w:t>
      </w:r>
      <w:hyperlink w:anchor="human">
        <w:r>
          <w:rPr>
            <w:rStyle w:val="Hyperlink"/>
          </w:rPr>
          <w:t xml:space="preserve">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4"/>
      </w:r>
    </w:p>
    <w:p>
      <w:pPr>
        <w:pStyle w:val="Heading6"/>
      </w:pPr>
      <w:bookmarkStart w:id="236" w:name="anarchic-computer-memory"/>
      <w:r>
        <w:t xml:space="preserve">Anarchic Computer Memory</w:t>
      </w:r>
      <w:bookmarkEnd w:id="23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7" w:name="spectrality"/>
      <w:r>
        <w:t xml:space="preserve">The Spectral Database</w:t>
      </w:r>
      <w:bookmarkEnd w:id="2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6"/>
      </w:pPr>
      <w:bookmarkStart w:id="238" w:name="computer-memory-and-writing"/>
      <w:r>
        <w:t xml:space="preserve">Computer Memory and Writing</w:t>
      </w:r>
      <w:bookmarkEnd w:id="23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6"/>
      </w:pPr>
      <w:bookmarkStart w:id="239" w:name="memory-replacement"/>
      <w:r>
        <w:t xml:space="preserve">Memory Replacement</w:t>
      </w:r>
      <w:bookmarkEnd w:id="23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6"/>
      </w:pPr>
      <w:bookmarkStart w:id="240" w:name="anarchic-records"/>
      <w:r>
        <w:t xml:space="preserve">Anarchic Records</w:t>
      </w:r>
      <w:bookmarkEnd w:id="24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1"/>
      </w:r>
      <w:r>
        <w:t xml:space="preserve"> </w:t>
      </w:r>
      <w:r>
        <w:t xml:space="preserve">becomes an archivization process, that is, a process by which symbolic transcription leads to an ordered archive, i.e., a score.</w:t>
      </w:r>
      <w:r>
        <w:rPr>
          <w:rStyle w:val="FootnoteReference"/>
        </w:rPr>
        <w:footnoteReference w:id="243"/>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6"/>
      </w:pPr>
      <w:bookmarkStart w:id="244" w:name="memory-and-framing"/>
      <w:r>
        <w:t xml:space="preserve">Memory and Framing</w:t>
      </w:r>
      <w:bookmarkEnd w:id="24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6"/>
      </w:pPr>
      <w:bookmarkStart w:id="245" w:name="nonhuman-tympans"/>
      <w:r>
        <w:t xml:space="preserve">Nonhuman Tympans</w:t>
      </w:r>
      <w:bookmarkEnd w:id="24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6"/>
      </w:pPr>
      <w:bookmarkStart w:id="246" w:name="spectrality-of-archives"/>
      <w:r>
        <w:t xml:space="preserve">Spectrality of Archives</w:t>
      </w:r>
      <w:bookmarkEnd w:id="24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6"/>
      </w:pPr>
      <w:bookmarkStart w:id="247" w:name="spectrality-of-databases"/>
      <w:r>
        <w:t xml:space="preserve">Spectrality of Databases</w:t>
      </w:r>
      <w:bookmarkEnd w:id="24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6"/>
      </w:pPr>
      <w:bookmarkStart w:id="248" w:name="agency-of-the-uncanny"/>
      <w:r>
        <w:t xml:space="preserve">Agency of the Uncanny</w:t>
      </w:r>
      <w:bookmarkEnd w:id="24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9" w:name="chapter:Performativity_Of_Databases"/>
      <w:r>
        <w:t xml:space="preserve">Performativity Of Databases</w:t>
      </w:r>
      <w:bookmarkEnd w:id="249"/>
    </w:p>
    <w:p>
      <w:pPr>
        <w:pStyle w:val="Heading3"/>
      </w:pPr>
      <w:bookmarkStart w:id="250" w:name="gender"/>
      <w:r>
        <w:t xml:space="preserve">Gendered Database</w:t>
      </w:r>
      <w:bookmarkEnd w:id="25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[section:Listening_Databases]</w:t>
        </w:r>
      </w:hyperlink>
      <w:r>
        <w:t xml:space="preserve">).</w:t>
      </w:r>
    </w:p>
    <w:p>
      <w:pPr>
        <w:pStyle w:val="Heading6"/>
      </w:pPr>
      <w:bookmarkStart w:id="251" w:name="skin-of-the-database"/>
      <w:r>
        <w:t xml:space="preserve">Skin of the Database</w:t>
      </w:r>
      <w:bookmarkEnd w:id="25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6"/>
      </w:pPr>
      <w:bookmarkStart w:id="252" w:name="expressing-nothing"/>
      <w:r>
        <w:t xml:space="preserve">Expressing Nothing</w:t>
      </w:r>
      <w:bookmarkEnd w:id="252"/>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6"/>
      </w:pPr>
      <w:bookmarkStart w:id="253" w:name="a-historical-situation"/>
      <w:r>
        <w:t xml:space="preserve">A Historical Situation</w:t>
      </w:r>
      <w:bookmarkEnd w:id="25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6"/>
      </w:pPr>
      <w:bookmarkStart w:id="254" w:name="subversive-repetition"/>
      <w:r>
        <w:t xml:space="preserve">Subversive Repetition</w:t>
      </w:r>
      <w:bookmarkEnd w:id="25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6"/>
      </w:pPr>
      <w:bookmarkStart w:id="255" w:name="gendered-database"/>
      <w:r>
        <w:t xml:space="preserve">Gendered Database</w:t>
      </w:r>
      <w:bookmarkEnd w:id="25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6" w:name="limits"/>
      <w:r>
        <w:t xml:space="preserve">Towards The Limits</w:t>
      </w:r>
      <w:bookmarkEnd w:id="256"/>
    </w:p>
    <w:p>
      <w:pPr>
        <w:pStyle w:val="Heading6"/>
      </w:pPr>
      <w:bookmarkStart w:id="257" w:name="exposure"/>
      <w:r>
        <w:t xml:space="preserve">Exposure</w:t>
      </w:r>
      <w:bookmarkEnd w:id="25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6"/>
      </w:pPr>
      <w:bookmarkStart w:id="258" w:name="anarchic-touch"/>
      <w:r>
        <w:t xml:space="preserve">Anarchic Touch</w:t>
      </w:r>
      <w:bookmarkEnd w:id="258"/>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6"/>
      </w:pPr>
      <w:bookmarkStart w:id="259" w:name="communities-of-skin"/>
      <w:r>
        <w:t xml:space="preserve">Communities of Skin</w:t>
      </w:r>
      <w:bookmarkEnd w:id="25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6"/>
      </w:pPr>
      <w:bookmarkStart w:id="260" w:name="hybrid-pluralities"/>
      <w:r>
        <w:t xml:space="preserve">Hybrid Pluralities</w:t>
      </w:r>
      <w:bookmarkEnd w:id="26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1" w:name="style"/>
      <w:r>
        <w:t xml:space="preserve">Contingencies Of Style</w:t>
      </w:r>
      <w:bookmarkEnd w:id="26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6"/>
      </w:pPr>
      <w:bookmarkStart w:id="262" w:name="style-and-timbre"/>
      <w:r>
        <w:t xml:space="preserve">Style and Timbre</w:t>
      </w:r>
      <w:bookmarkEnd w:id="262"/>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3"/>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6"/>
      </w:pPr>
      <w:bookmarkStart w:id="264" w:name="endless-databases"/>
      <w:r>
        <w:t xml:space="preserve">Endless Databases</w:t>
      </w:r>
      <w:bookmarkEnd w:id="264"/>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2.2</w:t>
        </w:r>
      </w:hyperlink>
      <w:r>
        <w:t xml:space="preserve">). Considering databasing as chaotic systems brings yet another aspect to the contingency of style.</w:t>
      </w:r>
    </w:p>
    <w:p>
      <w:pPr>
        <w:pStyle w:val="Heading6"/>
      </w:pPr>
      <w:bookmarkStart w:id="265" w:name="database-and-chaos"/>
      <w:r>
        <w:t xml:space="preserve">Database and Chaos</w:t>
      </w:r>
      <w:bookmarkEnd w:id="265"/>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7" w:name="img:lorenz_plotter"/>
      <w:r>
        <w:t xml:space="preserve">[img:lorenz_plotter]</w:t>
      </w:r>
      <w:bookmarkEnd w:id="267"/>
    </w:p>
    <w:p>
      <w:pPr>
        <w:pStyle w:val="Heading6"/>
      </w:pPr>
      <w:bookmarkStart w:id="268" w:name="fractality"/>
      <w:r>
        <w:t xml:space="preserve">Fractality</w:t>
      </w:r>
      <w:bookmarkEnd w:id="268"/>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6"/>
      </w:pPr>
      <w:bookmarkStart w:id="269" w:name="a-music-work-as-a-singularity"/>
      <w:r>
        <w:t xml:space="preserve">A Music Work as a Singularity</w:t>
      </w:r>
      <w:bookmarkEnd w:id="269"/>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6"/>
      </w:pPr>
      <w:bookmarkStart w:id="270" w:name="arbitrariness"/>
      <w:r>
        <w:t xml:space="preserve">Arbitrariness</w:t>
      </w:r>
      <w:bookmarkEnd w:id="270"/>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6"/>
      </w:pPr>
      <w:bookmarkStart w:id="271" w:name="inoperative-style"/>
      <w:r>
        <w:t xml:space="preserve">Inoperative Style</w:t>
      </w:r>
      <w:bookmarkEnd w:id="271"/>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2" w:name="authority"/>
      <w:r>
        <w:t xml:space="preserve">A Specter Of Authority</w:t>
      </w:r>
      <w:bookmarkEnd w:id="2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6"/>
      </w:pPr>
      <w:bookmarkStart w:id="273" w:name="the-name"/>
      <w:r>
        <w:t xml:space="preserve">The Name</w:t>
      </w:r>
      <w:bookmarkEnd w:id="273"/>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4"/>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2.3</w:t>
        </w:r>
      </w:hyperlink>
      <w:r>
        <w:t xml:space="preserve">), authority can be seen as the illusory resonance of an author. It is this illusion that I attempt to address here, this ghost which haunts music composition.</w:t>
      </w:r>
    </w:p>
    <w:p>
      <w:pPr>
        <w:pStyle w:val="Heading6"/>
      </w:pPr>
      <w:bookmarkStart w:id="275" w:name="dictionaries"/>
      <w:r>
        <w:t xml:space="preserve">Dictionaries</w:t>
      </w:r>
      <w:bookmarkEnd w:id="275"/>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6"/>
      </w:pPr>
      <w:bookmarkStart w:id="276" w:name="artistry"/>
      <w:r>
        <w:t xml:space="preserve">Artistry</w:t>
      </w:r>
      <w:bookmarkEnd w:id="27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7"/>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8"/>
      </w:r>
    </w:p>
    <w:p>
      <w:pPr>
        <w:pStyle w:val="Heading6"/>
      </w:pPr>
      <w:bookmarkStart w:id="279" w:name="the-work-of-mice"/>
      <w:r>
        <w:t xml:space="preserve">The Work of Mice</w:t>
      </w:r>
      <w:bookmarkEnd w:id="279"/>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0" w:name="chapter:Rethinking_Composition"/>
      <w:r>
        <w:t xml:space="preserve">Rethinking Composition</w:t>
      </w:r>
      <w:bookmarkEnd w:id="280"/>
    </w:p>
    <w:p>
      <w:pPr>
        <w:pStyle w:val="Heading3"/>
      </w:pPr>
      <w:bookmarkStart w:id="281" w:name="performance"/>
      <w:r>
        <w:t xml:space="preserve">Interlude: Hyperbolic Reactions</w:t>
      </w:r>
      <w:bookmarkEnd w:id="281"/>
    </w:p>
    <w:p>
      <w:pPr>
        <w:pStyle w:val="Heading6"/>
      </w:pPr>
      <w:bookmarkStart w:id="282" w:name="imagining-composers"/>
      <w:r>
        <w:t xml:space="preserve">Imagining Composers</w:t>
      </w:r>
      <w:bookmarkEnd w:id="282"/>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6"/>
      </w:pPr>
      <w:bookmarkStart w:id="283" w:name="composers-and-technology"/>
      <w:r>
        <w:t xml:space="preserve">Composers and Technology</w:t>
      </w:r>
      <w:bookmarkEnd w:id="283"/>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6"/>
      </w:pPr>
      <w:bookmarkStart w:id="284" w:name="playing-with-shadows"/>
      <w:r>
        <w:t xml:space="preserve">Playing with Shadows</w:t>
      </w:r>
      <w:bookmarkEnd w:id="284"/>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6"/>
      </w:pPr>
      <w:bookmarkStart w:id="285" w:name="composers-without-computers"/>
      <w:r>
        <w:t xml:space="preserve">Composers Without Computers</w:t>
      </w:r>
      <w:bookmarkEnd w:id="285"/>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6"/>
      </w:pPr>
      <w:bookmarkStart w:id="286" w:name="databasing-without-computers"/>
      <w:r>
        <w:t xml:space="preserve">Databasing Without Computers</w:t>
      </w:r>
      <w:bookmarkEnd w:id="286"/>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7" w:name="organic"/>
      <w:r>
        <w:t xml:space="preserve">Working Composition</w:t>
      </w:r>
      <w:bookmarkEnd w:id="287"/>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6"/>
      </w:pPr>
      <w:bookmarkStart w:id="288" w:name="the-work-problem"/>
      <w:r>
        <w:t xml:space="preserve">The Work Problem</w:t>
      </w:r>
      <w:bookmarkEnd w:id="288"/>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6"/>
      </w:pPr>
      <w:bookmarkStart w:id="289" w:name="working-rules"/>
      <w:r>
        <w:t xml:space="preserve">Working Rules</w:t>
      </w:r>
      <w:bookmarkEnd w:id="289"/>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6"/>
      </w:pPr>
      <w:bookmarkStart w:id="290" w:name="a-space-of-difference"/>
      <w:r>
        <w:t xml:space="preserve">A Space of Difference</w:t>
      </w:r>
      <w:bookmarkEnd w:id="290"/>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1"/>
      </w:r>
      <w:r>
        <w:t xml:space="preserve"> </w:t>
      </w:r>
      <w:r>
        <w:t xml:space="preserve">One would be tempted, equally, to place this inoperativity outside temporality itself, but then one would forget forgetfulness itself. Inoperativity is within the resonating space of an always.</w:t>
      </w:r>
    </w:p>
    <w:p>
      <w:pPr>
        <w:pStyle w:val="Heading6"/>
      </w:pPr>
      <w:bookmarkStart w:id="292" w:name="a-severed-work"/>
      <w:r>
        <w:t xml:space="preserve">A Severed Work</w:t>
      </w:r>
      <w:bookmarkEnd w:id="292"/>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6"/>
      </w:pPr>
      <w:bookmarkStart w:id="293" w:name="absorbption"/>
      <w:r>
        <w:t xml:space="preserve">Absorbption</w:t>
      </w:r>
      <w:bookmarkEnd w:id="293"/>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4" w:name="practice"/>
      <w:r>
        <w:t xml:space="preserve">The Composer As Navigator</w:t>
      </w:r>
      <w:bookmarkEnd w:id="29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6"/>
      </w:pPr>
      <w:bookmarkStart w:id="295" w:name="querying-the-sieves"/>
      <w:r>
        <w:t xml:space="preserve">Querying the Sieves</w:t>
      </w:r>
      <w:bookmarkEnd w:id="295"/>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6"/>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9"/>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0"/>
      </w:r>
    </w:p>
    <w:p>
      <w:pPr>
        <w:pStyle w:val="Heading6"/>
      </w:pPr>
      <w:bookmarkStart w:id="301" w:name="sound-synthesis-parenthesis"/>
      <w:r>
        <w:t xml:space="preserve">Sound Synthesis Parenthesis</w:t>
      </w:r>
      <w:bookmarkEnd w:id="301"/>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2"/>
      </w:r>
      <w:r>
        <w:t xml:space="preserve"> </w:t>
      </w:r>
      <w:r>
        <w:t xml:space="preserve">I will close this parenthesis, not without returning to this discussion in the following section (See</w:t>
      </w:r>
      <w:r>
        <w:t xml:space="preserve"> </w:t>
      </w:r>
      <w:hyperlink w:anchor="improv">
        <w:r>
          <w:rPr>
            <w:rStyle w:val="Hyperlink"/>
          </w:rPr>
          <w:t xml:space="preserve">4.4</w:t>
        </w:r>
      </w:hyperlink>
      <w:r>
        <w:t xml:space="preserve">))</w:t>
      </w:r>
    </w:p>
    <w:p>
      <w:pPr>
        <w:pStyle w:val="Heading6"/>
      </w:pPr>
      <w:bookmarkStart w:id="304" w:name="algebraic-abstractions-for-freedom"/>
      <w:r>
        <w:t xml:space="preserve">Algebraic Abstractions for Freedom</w:t>
      </w:r>
      <w:bookmarkEnd w:id="30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6"/>
      </w:pPr>
      <w:bookmarkStart w:id="305" w:name="a-cosmic-vessel-and-an-armchair"/>
      <w:r>
        <w:t xml:space="preserve">A Cosmic Vessel and an Armchair</w:t>
      </w:r>
      <w:bookmarkEnd w:id="30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6"/>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7" w:name="improv"/>
      <w:r>
        <w:t xml:space="preserve">The Database As Performer</w:t>
      </w:r>
      <w:bookmarkEnd w:id="307"/>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6"/>
      </w:pPr>
      <w:bookmarkStart w:id="308" w:name="the-computer-as-a-musical-instrument"/>
      <w:r>
        <w:t xml:space="preserve">The Computer as a Musical Instrument</w:t>
      </w:r>
      <w:bookmarkEnd w:id="308"/>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6"/>
      </w:pPr>
      <w:bookmarkStart w:id="309" w:name="a-minor-liberty"/>
      <w:r>
        <w:t xml:space="preserve">A Minor Liberty</w:t>
      </w:r>
      <w:bookmarkEnd w:id="309"/>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6"/>
      </w:pPr>
      <w:bookmarkStart w:id="310" w:name="the-computer-as-a-player"/>
      <w:r>
        <w:t xml:space="preserve">The Computer as a Player</w:t>
      </w:r>
      <w:bookmarkEnd w:id="310"/>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6"/>
      </w:pPr>
      <w:bookmarkStart w:id="311" w:name="programming-decisions"/>
      <w:r>
        <w:t xml:space="preserve">Programming Decisions</w:t>
      </w:r>
      <w:bookmarkEnd w:id="311"/>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3.3.1.0.4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6"/>
      </w:pPr>
      <w:bookmarkStart w:id="312" w:name="anachronic-composers"/>
      <w:r>
        <w:t xml:space="preserve">Anachronic Composers</w:t>
      </w:r>
      <w:bookmarkEnd w:id="312"/>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6"/>
      </w:pPr>
      <w:bookmarkStart w:id="313" w:name="section"/>
      <w:bookmarkEnd w:id="313"/>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4"/>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6"/>
      </w:pPr>
      <w:bookmarkStart w:id="315" w:name="nonhuman-composers"/>
      <w:r>
        <w:t xml:space="preserve">Nonhuman composers</w:t>
      </w:r>
      <w:bookmarkEnd w:id="315"/>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6"/>
      </w:pPr>
      <w:bookmarkStart w:id="316" w:name="fractured-works"/>
      <w:r>
        <w:t xml:space="preserve">Fractured Works</w:t>
      </w:r>
      <w:bookmarkEnd w:id="316"/>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3.1</w:t>
        </w:r>
      </w:hyperlink>
      <w:r>
        <w:t xml:space="preserve">).</w:t>
      </w:r>
    </w:p>
    <w:p>
      <w:pPr>
        <w:pStyle w:val="Heading6"/>
      </w:pPr>
      <w:bookmarkStart w:id="317" w:name="databasing-vessel"/>
      <w:r>
        <w:t xml:space="preserve">Databasing Vessel</w:t>
      </w:r>
      <w:bookmarkEnd w:id="317"/>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8" w:name="music"/>
      <w:r>
        <w:t xml:space="preserve">The Severed Object Of Music</w:t>
      </w:r>
      <w:bookmarkEnd w:id="318"/>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6"/>
      </w:pPr>
      <w:bookmarkStart w:id="319" w:name="an-incomplete-object"/>
      <w:r>
        <w:t xml:space="preserve">An Incomplete Object</w:t>
      </w:r>
      <w:bookmarkEnd w:id="319"/>
    </w:p>
    <w:p>
      <w:pPr>
        <w:pStyle w:val="FirstParagraph"/>
      </w:pPr>
      <w:r>
        <w:t xml:space="preserve">I would like to refer once again to Jean-Luc Nancy’s concept of inoperativity (See</w:t>
      </w:r>
      <w:r>
        <w:t xml:space="preserve"> </w:t>
      </w:r>
      <w:hyperlink w:anchor="inoperativity">
        <w:r>
          <w:rPr>
            <w:rStyle w:val="Hyperlink"/>
          </w:rPr>
          <w:t xml:space="preserve">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0"/>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6"/>
      </w:pPr>
      <w:bookmarkStart w:id="321" w:name="remains-of-listening"/>
      <w:r>
        <w:t xml:space="preserve">Remains of Listening</w:t>
      </w:r>
      <w:bookmarkEnd w:id="321"/>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6"/>
      </w:pPr>
      <w:bookmarkStart w:id="322" w:name="sources-and-sorcerers"/>
      <w:r>
        <w:t xml:space="preserve">Sources and Sorcerers</w:t>
      </w:r>
      <w:bookmarkEnd w:id="322"/>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6"/>
      </w:pPr>
      <w:bookmarkStart w:id="323" w:name="naming"/>
      <w:r>
        <w:t xml:space="preserve">Naming</w:t>
      </w:r>
      <w:bookmarkEnd w:id="323"/>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4"/>
      </w:r>
    </w:p>
    <w:p>
      <w:pPr>
        <w:pStyle w:val="Heading6"/>
      </w:pPr>
      <w:bookmarkStart w:id="325" w:name="dynamics"/>
      <w:r>
        <w:t xml:space="preserve">Dynamics</w:t>
      </w:r>
      <w:bookmarkEnd w:id="325"/>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6"/>
      </w:pPr>
      <w:bookmarkStart w:id="326" w:name="masterwork"/>
      <w:r>
        <w:t xml:space="preserve">Masterwork</w:t>
      </w:r>
      <w:bookmarkEnd w:id="326"/>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6"/>
      </w:pPr>
      <w:bookmarkStart w:id="327" w:name="architecture-of-obedience"/>
      <w:r>
        <w:t xml:space="preserve">Architecture of Obedience</w:t>
      </w:r>
      <w:bookmarkEnd w:id="327"/>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8" w:name="anarchy"/>
      <w:r>
        <w:t xml:space="preserve">Anarchy And The Unwork</w:t>
      </w:r>
      <w:bookmarkEnd w:id="328"/>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6"/>
      </w:pPr>
      <w:bookmarkStart w:id="329" w:name="place-in-common"/>
      <w:r>
        <w:t xml:space="preserve">Place in Common</w:t>
      </w:r>
      <w:bookmarkEnd w:id="329"/>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6"/>
      </w:pPr>
      <w:bookmarkStart w:id="330" w:name="disintegrated-imperative"/>
      <w:r>
        <w:t xml:space="preserve">Disintegrated Imperative</w:t>
      </w:r>
      <w:bookmarkEnd w:id="330"/>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6"/>
      </w:pPr>
      <w:bookmarkStart w:id="331" w:name="blind-experimentation"/>
      <w:r>
        <w:t xml:space="preserve">Blind Experimentation</w:t>
      </w:r>
      <w:bookmarkEnd w:id="331"/>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6"/>
      </w:pPr>
      <w:bookmarkStart w:id="332" w:name="doctoring-the-glitch"/>
      <w:r>
        <w:t xml:space="preserve">Doctoring the Glitch</w:t>
      </w:r>
      <w:bookmarkEnd w:id="332"/>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6"/>
      </w:pPr>
      <w:bookmarkStart w:id="333" w:name="unnecessary-blindfolds"/>
      <w:r>
        <w:t xml:space="preserve">Unnecessary Blindfolds</w:t>
      </w:r>
      <w:bookmarkEnd w:id="333"/>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6"/>
      </w:pPr>
      <w:bookmarkStart w:id="334" w:name="spectral-remains"/>
      <w:r>
        <w:t xml:space="preserve">Spectral Remains</w:t>
      </w:r>
      <w:bookmarkEnd w:id="334"/>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6"/>
      </w:pPr>
      <w:bookmarkStart w:id="335" w:name="macroforma"/>
      <w:r>
        <w:t xml:space="preserve">Macroforma</w:t>
      </w:r>
      <w:bookmarkEnd w:id="335"/>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6"/>
      </w:pPr>
      <w:bookmarkStart w:id="336" w:name="overfitting"/>
      <w:r>
        <w:t xml:space="preserve">Overfitting</w:t>
      </w:r>
      <w:bookmarkEnd w:id="336"/>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7" w:name="worker"/>
      <w:r>
        <w:t xml:space="preserve">[Wip] Work In Progress</w:t>
      </w:r>
      <w:bookmarkEnd w:id="337"/>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8" w:name="part:Conclusion"/>
      <w:r>
        <w:t xml:space="preserve">Conclusion</w:t>
      </w:r>
      <w:bookmarkEnd w:id="338"/>
    </w:p>
    <w:p>
      <w:pPr>
        <w:pStyle w:val="FirstParagraph"/>
      </w:pPr>
      <w:r>
        <w:t xml:space="preserve">…</w:t>
      </w:r>
      <w:r>
        <w:t xml:space="preserve"> </w:t>
      </w:r>
      <w:r>
        <w:t xml:space="preserve">placeholder for conclusion abstract</w:t>
      </w:r>
      <w:r>
        <w:t xml:space="preserve"> </w:t>
      </w:r>
      <w:r>
        <w:t xml:space="preserve">…</w:t>
      </w:r>
    </w:p>
    <w:p>
      <w:pPr>
        <w:pStyle w:val="Heading2"/>
      </w:pPr>
      <w:bookmarkStart w:id="339" w:name="chapter:Appendices"/>
      <w:r>
        <w:t xml:space="preserve">Appendices</w:t>
      </w:r>
      <w:bookmarkEnd w:id="339"/>
    </w:p>
    <w:p>
      <w:pPr>
        <w:pStyle w:val="FirstParagraph"/>
      </w:pPr>
      <w:r>
        <w:t xml:space="preserve">abstract of appendices</w:t>
      </w:r>
    </w:p>
    <w:p>
      <w:pPr>
        <w:pStyle w:val="Heading3"/>
      </w:pPr>
      <w:bookmarkStart w:id="340" w:name="X9928d5a4298d9156e673c83842d96a99bfb66d7"/>
      <w:r>
        <w:t xml:space="preserve">DIANA: Database for Image and Audio Navigation</w:t>
      </w:r>
      <w:bookmarkEnd w:id="3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4"/>
      </w:pPr>
      <w:bookmarkStart w:id="341" w:name="dbmodel"/>
      <w:r>
        <w:t xml:space="preserve">A Database Model</w:t>
      </w:r>
      <w:bookmarkEnd w:id="3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3"/>
      </w:pPr>
      <w:bookmarkStart w:id="342" w:name="X7616598f194c52ee6f4c09f01c755a7090177ba"/>
      <w:r>
        <w:t xml:space="preserve">ABBY: An Online Environment for Annotated Bibliographies</w:t>
      </w:r>
      <w:bookmarkEnd w:id="342"/>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4"/>
      </w:pPr>
      <w:bookmarkStart w:id="343" w:name="texdb"/>
      <w:r>
        <w:t xml:space="preserve">A Text Database</w:t>
      </w:r>
      <w:bookmarkEnd w:id="343"/>
    </w:p>
    <w:p>
      <w:pPr>
        <w:pStyle w:val="FirstParagraph"/>
      </w:pPr>
      <w:r>
        <w:t xml:space="preserve">A detailed description of the text database model…</w:t>
      </w:r>
    </w:p>
    <w:bookmarkStart w:id="683" w:name="refs"/>
    <w:bookmarkStart w:id="3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4"/>
    <w:bookmarkStart w:id="3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5"/>
    <w:bookmarkStart w:id="3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6"/>
    <w:bookmarkStart w:id="3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7"/>
    <w:bookmarkStart w:id="3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8"/>
    <w:bookmarkStart w:id="3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9">
        <w:r>
          <w:rPr>
            <w:rStyle w:val="Hyperlink"/>
          </w:rPr>
          <w:t xml:space="preserve">http://www.terasoft.com.tw/conf/ismir2014/proceedings/T014_162_Paper.pdf</w:t>
        </w:r>
      </w:hyperlink>
    </w:p>
    <w:bookmarkEnd w:id="350"/>
    <w:bookmarkStart w:id="3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20:Viv"/>
    <w:p>
      <w:pPr>
        <w:pStyle w:val="Bibliography"/>
      </w:pPr>
      <w:r>
        <w:t xml:space="preserve">Barrett N. 2000b. Viva la selva</w:t>
      </w:r>
    </w:p>
    <w:bookmarkEnd w:id="361"/>
    <w:bookmarkStart w:id="362" w:name="ref-Bar68:Ele"/>
    <w:p>
      <w:pPr>
        <w:pStyle w:val="Bibliography"/>
      </w:pPr>
      <w:r>
        <w:t xml:space="preserve">Barthes R, Lavers A, Smith C. 1968.</w:t>
      </w:r>
      <w:r>
        <w:t xml:space="preserve"> </w:t>
      </w:r>
      <w:r>
        <w:rPr>
          <w:i/>
        </w:rPr>
        <w:t xml:space="preserve">Elements of Semiology</w:t>
      </w:r>
      <w:r>
        <w:t xml:space="preserve">. Hill; Wang, New York. ed.</w:t>
      </w:r>
    </w:p>
    <w:bookmarkEnd w:id="362"/>
    <w:bookmarkStart w:id="36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3"/>
    <w:bookmarkStart w:id="3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4"/>
    <w:bookmarkStart w:id="3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5"/>
    <w:bookmarkStart w:id="3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6">
        <w:r>
          <w:rPr>
            <w:rStyle w:val="Hyperlink"/>
          </w:rPr>
          <w:t xml:space="preserve">http://www.terasoft.com.tw/conf/ismir2014/proceedings/T028_322_Paper.pdf</w:t>
        </w:r>
      </w:hyperlink>
    </w:p>
    <w:bookmarkEnd w:id="367"/>
    <w:bookmarkStart w:id="36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8"/>
    <w:bookmarkStart w:id="370"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9">
        <w:r>
          <w:rPr>
            <w:rStyle w:val="Hyperlink"/>
          </w:rPr>
          <w:t xml:space="preserve">http://www.ppgia.pucpr.br/ismir2013/wp-content/uploads/2013/09/177\_Paper.pdf</w:t>
        </w:r>
      </w:hyperlink>
    </w:p>
    <w:bookmarkEnd w:id="370"/>
    <w:bookmarkStart w:id="371"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1"/>
    <w:bookmarkStart w:id="372" w:name="ref-Bor42:Fun"/>
    <w:p>
      <w:pPr>
        <w:pStyle w:val="Bibliography"/>
      </w:pPr>
      <w:r>
        <w:t xml:space="preserve">Borges JL. 1942. Funes el memorioso.</w:t>
      </w:r>
      <w:r>
        <w:t xml:space="preserve"> </w:t>
      </w:r>
      <w:r>
        <w:rPr>
          <w:i/>
        </w:rPr>
        <w:t xml:space="preserve">Ficciones</w:t>
      </w:r>
    </w:p>
    <w:bookmarkEnd w:id="372"/>
    <w:bookmarkStart w:id="373" w:name="ref-Bor95:Rat"/>
    <w:p>
      <w:pPr>
        <w:pStyle w:val="Bibliography"/>
      </w:pPr>
      <w:r>
        <w:t xml:space="preserve">Born G. 1995.</w:t>
      </w:r>
      <w:r>
        <w:t xml:space="preserve"> </w:t>
      </w:r>
      <w:r>
        <w:rPr>
          <w:i/>
        </w:rPr>
        <w:t xml:space="preserve">Rationalizing Culture</w:t>
      </w:r>
      <w:r>
        <w:t xml:space="preserve">. University of California Press. ed.</w:t>
      </w:r>
    </w:p>
    <w:bookmarkEnd w:id="373"/>
    <w:bookmarkStart w:id="3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4"/>
    <w:bookmarkStart w:id="3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5"/>
    <w:bookmarkStart w:id="376"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2">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7">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8">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6">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0">
    <w:p>
      <w:pPr>
        <w:pStyle w:val="FootnoteText"/>
      </w:pPr>
      <w:r>
        <w:rPr>
          <w:rStyle w:val="FootnoteReference"/>
        </w:rPr>
        <w:footnoteRef/>
      </w:r>
      <w:r>
        <w:t xml:space="preserve"> </w:t>
      </w: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3">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0">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1">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2">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2.2</w:t>
        </w:r>
      </w:hyperlink>
      <w:r>
        <w:t xml:space="preserve">).</w:t>
      </w:r>
    </w:p>
  </w:footnote>
  <w:footnote w:id="213">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4">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5">
    <w:p>
      <w:pPr>
        <w:pStyle w:val="FootnoteText"/>
      </w:pPr>
      <w:r>
        <w:rPr>
          <w:rStyle w:val="FootnoteReference"/>
        </w:rPr>
        <w:footnoteRef/>
      </w:r>
      <w:r>
        <w:t xml:space="preserve"> </w:t>
      </w:r>
      <w:hyperlink r:id="rId216">
        <w:r>
          <w:rPr>
            <w:rStyle w:val="Hyperlink"/>
          </w:rPr>
          <w:t xml:space="preserve">https://en.wikipedia.org/wiki/Leo_Beranek</w:t>
        </w:r>
      </w:hyperlink>
    </w:p>
  </w:footnote>
  <w:footnote w:id="218">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4">
    <w:p>
      <w:pPr>
        <w:pStyle w:val="FootnoteText"/>
      </w:pPr>
      <w:r>
        <w:rPr>
          <w:rStyle w:val="FootnoteReference"/>
        </w:rPr>
        <w:footnoteRef/>
      </w:r>
      <w:r>
        <w:t xml:space="preserve"> </w:t>
      </w:r>
      <w:hyperlink r:id="rId235">
        <w:r>
          <w:rPr>
            <w:rStyle w:val="Hyperlink"/>
          </w:rPr>
          <w:t xml:space="preserve">https://en.cppreference.com/w/cpp/language/destructor</w:t>
        </w:r>
      </w:hyperlink>
    </w:p>
  </w:footnote>
  <w:footnote w:id="241">
    <w:p>
      <w:pPr>
        <w:pStyle w:val="FootnoteText"/>
      </w:pPr>
      <w:r>
        <w:rPr>
          <w:rStyle w:val="FootnoteReference"/>
        </w:rPr>
        <w:footnoteRef/>
      </w:r>
      <w:r>
        <w:t xml:space="preserve"> </w:t>
      </w:r>
      <w:hyperlink r:id="rId242">
        <w:r>
          <w:rPr>
            <w:rStyle w:val="Hyperlink"/>
          </w:rPr>
          <w:t xml:space="preserve">https://mpc.chs.harvard.edu/</w:t>
        </w:r>
      </w:hyperlink>
    </w:p>
  </w:footnote>
  <w:footnote w:id="243">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3">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4">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7">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8">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1">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6">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7">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8">
        <w:r>
          <w:rPr>
            <w:rStyle w:val="Hyperlink"/>
          </w:rPr>
          <w:t xml:space="preserve">https://en.wikipedia.org/wiki/Dr._Strangelove</w:t>
        </w:r>
      </w:hyperlink>
    </w:p>
  </w:footnote>
  <w:footnote w:id="299">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0">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2">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3">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6">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4">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0">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4">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181" Target="media/rId181.png" /><Relationship Type="http://schemas.openxmlformats.org/officeDocument/2006/relationships/image" Id="rId266" Target="media/rId266.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2019-04-06T17:57:58Z</dcterms:created>
  <dcterms:modified xsi:type="dcterms:W3CDTF">2019-04-06T17:57:58Z</dcterms:modified>
</cp:coreProperties>
</file>

<file path=docProps/custom.xml><?xml version="1.0" encoding="utf-8"?>
<Properties xmlns="http://schemas.openxmlformats.org/officeDocument/2006/custom-properties" xmlns:vt="http://schemas.openxmlformats.org/officeDocument/2006/docPropsVTypes"/>
</file>