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2.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{pages,pixels},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positive-feedback"/>
      <w:r>
        <w:t xml:space="preserve">Positive Feedback</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is the mode of being of networks: they exist by the constant growth of their nodes and edges. Therefore, given the expansive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thinking networks in terms of a (sonic) three-dimentional metaphor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w:t>
      </w:r>
      <w:r>
        <w:t xml:space="preserve"> </w:t>
      </w:r>
      <w:r>
        <w:t xml:space="preserve">Lucier (1970)</w:t>
      </w:r>
      <w:r>
        <w:t xml:space="preserve">’s (</w:t>
      </w:r>
      <w:r>
        <w:t xml:space="preserve">(1970)</w:t>
      </w:r>
      <w:r>
        <w:t xml:space="preserve">) . This sound art piece is self explanatory (See</w:t>
      </w:r>
      <w:r>
        <w:t xml:space="preserve"> </w:t>
      </w:r>
      <w:hyperlink w:anchor="lucierlude">
        <w:r>
          <w:rPr>
            <w:rStyle w:val="Hyperlink"/>
          </w:rPr>
          <w:t xml:space="preserve">5.1.1</w:t>
        </w:r>
      </w:hyperlink>
      <w:r>
        <w:t xml:space="preserve">). It can be understood as a dual crossfade, a first crossfade between speech and music that gradually shifts into the second one,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Furthermore, Latour emphasizes,</w:t>
      </w:r>
      <w:r>
        <w:t xml:space="preserve"> </w:t>
      </w:r>
      <w:r>
        <w:t xml:space="preserve">“</w:t>
      </w:r>
      <w:r>
        <w:t xml:space="preserve">instead of thinking in terms of surfaces —two dimension— or spheres —three dimension— one is asked to think in terms of nodes that have as many dimensions as they have connections</w:t>
      </w:r>
      <w:r>
        <w:t xml:space="preserve">”</w:t>
      </w:r>
      <w:r>
        <w:t xml:space="preserve"> </w:t>
      </w:r>
      <w:r>
        <w:t xml:space="preserve">(Latour 1990, p. 3)</w:t>
      </w:r>
      <w:r>
        <w:t xml:space="preserve">.</w:t>
      </w:r>
    </w:p>
    <w:p>
      <w:pPr>
        <w:pStyle w:val="BodyText"/>
      </w:pPr>
      <w:r>
        <w:t xml:space="preserve">However, (and here is the experiment) this does not mean that these resonant nodes would cease to act.</w:t>
      </w:r>
    </w:p>
    <w:p>
      <w:pPr>
        <w:pStyle w:val="BodyText"/>
      </w:pPr>
      <w:r>
        <w:t xml:space="preserve">In this sense, we can ask ourselves how would Lucier’s</w:t>
      </w:r>
      <w:r>
        <w:t xml:space="preserve"> </w:t>
      </w:r>
      <w:r>
        <w:rPr>
          <w:i/>
        </w:rPr>
        <w:t xml:space="preserve">I sitting in a room…</w:t>
      </w:r>
      <w:r>
        <w:t xml:space="preserve"> </w:t>
      </w:r>
      <w:r>
        <w:t xml:space="preserve">sound like if the room were expanding?</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The</w:t>
      </w:r>
      <w:r>
        <w:t xml:space="preserve"> </w:t>
      </w:r>
      <w:r>
        <w:t xml:space="preserve">fdn</w:t>
      </w:r>
      <w:r>
        <w:t xml:space="preserve"> </w:t>
      </w:r>
      <w:r>
        <w:t xml:space="preserve">I described earlier would change all its delay lines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in space. The room as a filter would resonate differently because it would be understood as a texture of referrals and deferrals, a networked resonance. Latour’s phrase can be reformulated:</w:t>
      </w:r>
      <w:r>
        <w:t xml:space="preserve"> </w:t>
      </w:r>
      <w:r>
        <w:rPr>
          <w:i/>
        </w:rPr>
        <w:t xml:space="preserve">the network is not a thing, but the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w:t>
      </w:r>
    </w:p>
    <w:p>
      <w:pPr>
        <w:pStyle w:val="Heading5"/>
      </w:pPr>
      <w:bookmarkStart w:id="198" w:name="i-am-sitting-in-a-database"/>
      <w:r>
        <w:t xml:space="preserve">I am sitting in a database…</w:t>
      </w:r>
      <w:bookmarkEnd w:id="198"/>
    </w:p>
    <w:p>
      <w:pPr>
        <w:pStyle w:val="FirstParagraph"/>
      </w:pPr>
      <w:r>
        <w:t xml:space="preserve">This is the crucial leap that comes out of the idea of a resonant network: the moment the nonhuman in the network is comprehended as resonating, it is the moment that they engage with an approach to self. Following this logical thread, a database can be considered as a semiotic actor as well as a resonating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third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the most crucial</w:t>
      </w:r>
      <w:r>
        <w:t xml:space="preserve"> </w:t>
      </w:r>
      <w:r>
        <w:t xml:space="preserve">“</w:t>
      </w:r>
      <w:r>
        <w:t xml:space="preserve">irregularity.</w:t>
      </w:r>
      <w:r>
        <w:t xml:space="preserve">”</w:t>
      </w:r>
      <w:r>
        <w:t xml:space="preserve"> </w:t>
      </w:r>
      <w:r>
        <w:t xml:space="preserve">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9" w:name="inoperativity"/>
      <w:r>
        <w:t xml:space="preserve">The Unworking Network</w:t>
      </w:r>
      <w:bookmarkEnd w:id="199"/>
    </w:p>
    <w:p>
      <w:pPr>
        <w:pStyle w:val="Heading5"/>
      </w:pPr>
      <w:bookmarkStart w:id="200" w:name="community-as-unwork"/>
      <w:r>
        <w:t xml:space="preserve">Community as unwork</w:t>
      </w:r>
      <w:bookmarkEnd w:id="200"/>
    </w:p>
    <w:p>
      <w:pPr>
        <w:pStyle w:val="FirstParagraph"/>
      </w:pPr>
      <w:r>
        <w:t xml:space="preserve">As I have described above, for Nancy, a resonant self (the</w:t>
      </w:r>
      <w:r>
        <w:t xml:space="preserve"> </w:t>
      </w:r>
      <w:r>
        <w:t xml:space="preserve">‘</w:t>
      </w:r>
      <w:r>
        <w:t xml:space="preserve">self</w:t>
      </w:r>
      <w:r>
        <w:t xml:space="preserve">’</w:t>
      </w:r>
      <w:r>
        <w:t xml:space="preserve"> </w:t>
      </w:r>
      <w:r>
        <w:t xml:space="preserve">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 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Is this not the resonance of a return? an ontology of unworking that finds itself upon withdrawing from itself?</w:t>
      </w:r>
    </w:p>
    <w:p>
      <w:pPr>
        <w:pStyle w:val="CaptionedFigure"/>
      </w:pPr>
      <w:bookmarkStart w:id="202" w:name="img:work"/>
      <w:r>
        <w:drawing>
          <wp:inline>
            <wp:extent cx="5334000" cy="4290391"/>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1"/>
                    <a:stretch>
                      <a:fillRect/>
                    </a:stretch>
                  </pic:blipFill>
                  <pic:spPr bwMode="auto">
                    <a:xfrm>
                      <a:off x="0" y="0"/>
                      <a:ext cx="5334000" cy="4290391"/>
                    </a:xfrm>
                    <a:prstGeom prst="rect">
                      <a:avLst/>
                    </a:prstGeom>
                    <a:noFill/>
                    <a:ln w="9525">
                      <a:noFill/>
                      <a:headEnd/>
                      <a:tailEnd/>
                    </a:ln>
                  </pic:spPr>
                </pic:pic>
              </a:graphicData>
            </a:graphic>
          </wp:inline>
        </w:drawing>
      </w:r>
      <w:bookmarkEnd w:id="202"/>
    </w:p>
    <w:p>
      <w:pPr>
        <w:pStyle w:val="ImageCaption"/>
      </w:pPr>
      <w:r>
        <w:t xml:space="preserve">Community as work</w:t>
      </w:r>
    </w:p>
    <w:p>
      <w:pPr>
        <w:pStyle w:val="BodyText"/>
      </w:pPr>
      <w:r>
        <w:t xml:space="preserve">This graph displaying the work (arrows) of selves (dots) in community (dots joined by arrows) shows how a teleological approach to community can be understood in relation to the first two models with which databases were design: the hierarchical model and the network model (See</w:t>
      </w:r>
      <w:r>
        <w:t xml:space="preserve"> </w:t>
      </w:r>
      <w:hyperlink w:anchor="descriptions">
        <w:r>
          <w:rPr>
            <w:rStyle w:val="Hyperlink"/>
          </w:rPr>
          <w:t xml:space="preserve">4.2.4</w:t>
        </w:r>
      </w:hyperlink>
      <w:r>
        <w:t xml:space="preserve">).</w:t>
      </w:r>
    </w:p>
    <w:p>
      <w:pPr>
        <w:pStyle w:val="Heading5"/>
      </w:pPr>
      <w:bookmarkStart w:id="203" w:name="at-the-limit"/>
      <w:r>
        <w:t xml:space="preserve">At the Limit</w:t>
      </w:r>
      <w:bookmarkEnd w:id="203"/>
    </w:p>
    <w:p>
      <w:pPr>
        <w:pStyle w:val="FirstParagraph"/>
      </w:pPr>
      <w:r>
        <w:t xml:space="preserve">The symmetry of this teleology of work also relates to communication. Understood as the being in common of singularities, communication is also</w:t>
      </w:r>
      <w:r>
        <w:t xml:space="preserve"> </w:t>
      </w:r>
      <w:r>
        <w:t xml:space="preserve">“</w:t>
      </w:r>
      <w:r>
        <w:t xml:space="preserve">not a work, or even an operation of singular beings.</w:t>
      </w:r>
      <w:r>
        <w:t xml:space="preserve">”</w:t>
      </w:r>
    </w:p>
    <w:p>
      <w:pPr>
        <w:pStyle w:val="BlockText"/>
      </w:pPr>
      <w:r>
        <w:t xml:space="preserve">Communication is the unworking of work that is social, economic, technical, and institutional.</w:t>
      </w:r>
      <w:r>
        <w:t xml:space="preserve"> </w:t>
      </w:r>
      <w:r>
        <w:t xml:space="preserve">(Nancy 1991, p. 31)</w:t>
      </w:r>
    </w:p>
    <w:p>
      <w:pPr>
        <w:pStyle w:val="FirstParagraph"/>
      </w:pPr>
      <w:r>
        <w:t xml:space="preserve">Agency, therefore, is what is in common across all nodes. However, a crucial distinction appears if we understand this agency as a form of</w:t>
      </w:r>
      <w:r>
        <w:t xml:space="preserve"> </w:t>
      </w:r>
      <w:r>
        <w:t xml:space="preserve">‘</w:t>
      </w:r>
      <w:r>
        <w:t xml:space="preserve">networking,</w:t>
      </w:r>
      <w:r>
        <w:t xml:space="preserve">’</w:t>
      </w:r>
      <w:r>
        <w:t xml:space="preserve"> </w:t>
      </w:r>
      <w:r>
        <w:t xml:space="preserve">that is, as the way this web of associations and connections works:</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p>
    <w:p>
      <w:pPr>
        <w:pStyle w:val="BodyText"/>
      </w:pPr>
      <w:r>
        <w:t xml:space="preserve">In other words, consider the graph that I include here (See Figure</w:t>
      </w:r>
      <w:r>
        <w:t xml:space="preserve"> </w:t>
      </w:r>
      <w:hyperlink w:anchor="img:work">
        <w:r>
          <w:rPr>
            <w:rStyle w:val="Hyperlink"/>
          </w:rPr>
          <w:t xml:space="preserve">5.1</w:t>
        </w:r>
      </w:hyperlink>
      <w:r>
        <w:t xml:space="preserve">).</w:t>
      </w:r>
    </w:p>
    <w:p>
      <w:pPr>
        <w:pStyle w:val="BodyText"/>
      </w:pPr>
      <w:r>
        <w:t xml:space="preserve">In the network model, the nodes within the network are connected and associated to each other, that is, the</w:t>
      </w:r>
      <w:r>
        <w:t xml:space="preserve"> </w:t>
      </w:r>
      <w:r>
        <w:t xml:space="preserve">‘</w:t>
      </w:r>
      <w:r>
        <w:t xml:space="preserve">work</w:t>
      </w:r>
      <w:r>
        <w:t xml:space="preserve">’</w:t>
      </w:r>
      <w:r>
        <w:t xml:space="preserve"> </w:t>
      </w:r>
      <w:r>
        <w:t xml:space="preserve">of agents in Latour’s terminology. As I describe earlier, Latour’s network encompasses the human and the nonhuman:</w:t>
      </w:r>
    </w:p>
    <w:p>
      <w:pPr>
        <w:pStyle w:val="BodyText"/>
      </w:pPr>
      <w:r>
        <w:t xml:space="preserve">“</w:t>
      </w:r>
      <w:r>
        <w:t xml:space="preserve">extend the word actor -or actant- to non-human, non individual entities</w:t>
      </w:r>
      <w:r>
        <w:t xml:space="preserve">”</w:t>
      </w:r>
      <w:r>
        <w:t xml:space="preserve"> </w:t>
      </w:r>
      <w:r>
        <w:t xml:space="preserve">(Latour 1990, p. 2)</w:t>
      </w:r>
      <w:r>
        <w:t xml:space="preserve">.</w:t>
      </w:r>
    </w:p>
    <w:p>
      <w:pPr>
        <w:pStyle w:val="BodyText"/>
      </w:pPr>
      <w:r>
        <w:t xml:space="preserve">“</w:t>
      </w:r>
      <w:r>
        <w:t xml:space="preserve">The notion of network allows us to lift the tyranny of social theorists and to regain some margin of manoeuvers between the ingredients of society —its vertical space, its hierarchy, its layering, its macro scale, its wholeness, its overarching character— and how these features are achieved and which stuff they are made of</w:t>
      </w:r>
      <w:r>
        <w:t xml:space="preserve">”</w:t>
      </w:r>
      <w:r>
        <w:t xml:space="preserve"> </w:t>
      </w:r>
      <w:r>
        <w:t xml:space="preserve">(Latour 1990, p. 5)</w:t>
      </w:r>
      <w:r>
        <w:t xml:space="preserve">.</w:t>
      </w:r>
    </w:p>
    <w:p>
      <w:pPr>
        <w:pStyle w:val="BodyText"/>
      </w:pPr>
      <w:r>
        <w:t xml:space="preserve">“</w:t>
      </w:r>
      <w:r>
        <w:t xml:space="preserve">how these features are achieved and which stuff they are made of.The notion of network, in its barest topological outline, allows us already to reshuffle spatial metaphors that have rendered the study of society-nature so difficult: close and far, up and down, local and global, inside and outside. They are replaced by associations and connections (which AT does not have to qualify as being either social or natural or technical as I will show below) . This is not to say that there is nothing like</w:t>
      </w:r>
      <w:r>
        <w:t xml:space="preserve"> </w:t>
      </w:r>
      <w:r>
        <w:t xml:space="preserve">“</w:t>
      </w:r>
      <w:r>
        <w:t xml:space="preserve">macro</w:t>
      </w:r>
      <w:r>
        <w:t xml:space="preserve">”</w:t>
      </w:r>
      <w:r>
        <w:t xml:space="preserve"> </w:t>
      </w:r>
      <w:r>
        <w:t xml:space="preserve">society, or</w:t>
      </w:r>
      <w:r>
        <w:t xml:space="preserve"> </w:t>
      </w:r>
      <w:r>
        <w:t xml:space="preserve">“</w:t>
      </w:r>
      <w:r>
        <w:t xml:space="preserve">outside</w:t>
      </w:r>
      <w:r>
        <w:t xml:space="preserve">”</w:t>
      </w:r>
      <w:r>
        <w:t xml:space="preserve"> </w:t>
      </w:r>
      <w:r>
        <w:t xml:space="preserve">nature as the AT is often accused to, but that in order to obtain the effects of distance, proximity, hierarchies, connectedness, outsiderness and surfaces, an enormous supplementary work has to be done. This work however is not captured by the topological notion of network no matter how sophisticated we wish to make it.</w:t>
      </w:r>
      <w:r>
        <w:t xml:space="preserve">”</w:t>
      </w:r>
      <w:r>
        <w:t xml:space="preserve"> </w:t>
      </w:r>
      <w:r>
        <w:t xml:space="preserve">(Latour 1990, p. 6)</w:t>
      </w:r>
    </w:p>
    <w:p>
      <w:pPr>
        <w:pStyle w:val="BodyText"/>
      </w:pPr>
      <w:r>
        <w:t xml:space="preserve">“. 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 </w:t>
      </w:r>
      <w:r>
        <w:t xml:space="preserve">(Latour 1990, p. 7)</w:t>
      </w:r>
    </w:p>
    <w:p>
      <w:pPr>
        <w:pStyle w:val="BodyText"/>
      </w:pPr>
      <w:r>
        <w:t xml:space="preserve">HYBRIDS: extending semiotics to things instead of limiting it to meaning</w:t>
      </w:r>
    </w:p>
    <w:p>
      <w:pPr>
        <w:pStyle w:val="BodyText"/>
      </w:pPr>
      <w:r>
        <w:t xml:space="preserve">“</w:t>
      </w:r>
      <w:r>
        <w:t xml:space="preserve">What really matters is that it is an elevation instead of a reduction and that the new hybrid status give to all entities both the action, variety and circulating existence recognized in the study of textual characters and also the reality, solidity, externality that was recognized in things</w:t>
      </w:r>
      <w:r>
        <w:t xml:space="preserve"> </w:t>
      </w:r>
      <w:r>
        <w:t xml:space="preserve">“</w:t>
      </w:r>
      <w:r>
        <w:t xml:space="preserve">out of</w:t>
      </w:r>
      <w:r>
        <w:t xml:space="preserve">”</w:t>
      </w:r>
      <w:r>
        <w:t xml:space="preserve"> </w:t>
      </w:r>
      <w:r>
        <w:t xml:space="preserve">our representations. What is lost is the absolute distinction between representation and things -but such is exactly what AT wishes to redistribute through what I call a counter-copernican revolution</w:t>
      </w:r>
      <w:r>
        <w:t xml:space="preserve">”</w:t>
      </w:r>
      <w:r>
        <w:t xml:space="preserve"> </w:t>
      </w:r>
      <w:r>
        <w:t xml:space="preserve">(Latour 1990, p. 11)</w:t>
      </w:r>
      <w:r>
        <w:t xml:space="preserve">.</w:t>
      </w:r>
    </w:p>
    <w:p>
      <w:pPr>
        <w:pStyle w:val="Heading2"/>
      </w:pPr>
      <w:bookmarkStart w:id="204" w:name="section:Databases_And_Memory"/>
      <w:r>
        <w:t xml:space="preserve">Databases And Memory</w:t>
      </w:r>
      <w:bookmarkEnd w:id="204"/>
    </w:p>
    <w:p>
      <w:pPr>
        <w:pStyle w:val="Heading3"/>
      </w:pPr>
      <w:bookmarkStart w:id="205" w:name="funeslude"/>
      <w:r>
        <w:t xml:space="preserve">Interlude: Embodied Memory</w:t>
      </w:r>
      <w:bookmarkEnd w:id="205"/>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6"/>
      </w:r>
      <w:r>
        <w:t xml:space="preserve"> </w:t>
      </w:r>
      <w:r>
        <w:t xml:space="preserve">he was secluded in a dark and enclosed space so as not to perceive the world.</w:t>
      </w:r>
      <w:r>
        <w:rPr>
          <w:rStyle w:val="FootnoteReference"/>
        </w:rPr>
        <w:footnoteReference w:id="207"/>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8"/>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9"/>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0"/>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1"/>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3" w:name="human"/>
      <w:r>
        <w:t xml:space="preserve">The Effraction Of The Trace</w:t>
      </w:r>
      <w:bookmarkEnd w:id="213"/>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4"/>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5" w:name="memory-as-breaching"/>
      <w:r>
        <w:t xml:space="preserve">Memory as Breaching</w:t>
      </w:r>
      <w:bookmarkEnd w:id="215"/>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6" w:name="breaching-and-différance"/>
      <w:r>
        <w:t xml:space="preserve">Breaching and</w:t>
      </w:r>
      <w:r>
        <w:t xml:space="preserve"> </w:t>
      </w:r>
      <w:r>
        <w:rPr>
          <w:i/>
        </w:rPr>
        <w:t xml:space="preserve">différance</w:t>
      </w:r>
      <w:bookmarkEnd w:id="216"/>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7" w:name="hypomnesis-and-the-mystic-pad"/>
      <w:r>
        <w:t xml:space="preserve">Hypomnesis and the Mystic Pad</w:t>
      </w:r>
      <w:bookmarkEnd w:id="217"/>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8" w:name="nonhuman-authors"/>
      <w:r>
        <w:t xml:space="preserve">Nonhuman Authors</w:t>
      </w:r>
      <w:bookmarkEnd w:id="218"/>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9" w:name="database-as-agents"/>
      <w:r>
        <w:t xml:space="preserve">Database as Agents</w:t>
      </w:r>
      <w:bookmarkEnd w:id="219"/>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0" w:name="archontic"/>
      <w:r>
        <w:t xml:space="preserve">The Archontic Principle</w:t>
      </w:r>
      <w:bookmarkEnd w:id="220"/>
    </w:p>
    <w:p>
      <w:pPr>
        <w:pStyle w:val="Heading5"/>
      </w:pPr>
      <w:bookmarkStart w:id="221" w:name="archives-and-memory"/>
      <w:r>
        <w:t xml:space="preserve">Archives and Memory</w:t>
      </w:r>
      <w:bookmarkEnd w:id="221"/>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2" w:name="hierarchies"/>
      <w:r>
        <w:t xml:space="preserve">Hierarchies</w:t>
      </w:r>
      <w:bookmarkEnd w:id="222"/>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3" w:name="archontic-principle"/>
      <w:r>
        <w:t xml:space="preserve">Archontic Principle</w:t>
      </w:r>
      <w:bookmarkEnd w:id="223"/>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4" w:name="patriarchy"/>
      <w:r>
        <w:t xml:space="preserve">Patriarchy</w:t>
      </w:r>
      <w:bookmarkEnd w:id="224"/>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5" w:name="institutional-passage"/>
      <w:r>
        <w:t xml:space="preserve">Institutional Passage</w:t>
      </w:r>
      <w:bookmarkEnd w:id="225"/>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6" w:name="authorities"/>
      <w:r>
        <w:t xml:space="preserve">Authorities</w:t>
      </w:r>
      <w:bookmarkEnd w:id="226"/>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7" w:name="anarchic-memory"/>
      <w:r>
        <w:t xml:space="preserve">Anarchic Memory</w:t>
      </w:r>
      <w:bookmarkEnd w:id="227"/>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8" w:name="collective-memory"/>
      <w:r>
        <w:t xml:space="preserve">Collective Memory</w:t>
      </w:r>
      <w:bookmarkEnd w:id="228"/>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9" w:name="writing-code"/>
      <w:r>
        <w:t xml:space="preserve">Writing Code</w:t>
      </w:r>
      <w:bookmarkEnd w:id="229"/>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0"/>
      </w:r>
    </w:p>
    <w:p>
      <w:pPr>
        <w:pStyle w:val="Heading5"/>
      </w:pPr>
      <w:bookmarkStart w:id="232" w:name="anarchic-computer-memory"/>
      <w:r>
        <w:t xml:space="preserve">Anarchic Computer Memory</w:t>
      </w:r>
      <w:bookmarkEnd w:id="232"/>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3" w:name="spectrality"/>
      <w:r>
        <w:t xml:space="preserve">The Spectral Database</w:t>
      </w:r>
      <w:bookmarkEnd w:id="233"/>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4" w:name="computer-memory-and-writing"/>
      <w:r>
        <w:t xml:space="preserve">Computer Memory and Writing</w:t>
      </w:r>
      <w:bookmarkEnd w:id="234"/>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5" w:name="memory-replacement"/>
      <w:r>
        <w:t xml:space="preserve">Memory Replacement</w:t>
      </w:r>
      <w:bookmarkEnd w:id="235"/>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6" w:name="anarchic-records"/>
      <w:r>
        <w:t xml:space="preserve">Anarchic Records</w:t>
      </w:r>
      <w:bookmarkEnd w:id="236"/>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7"/>
      </w:r>
      <w:r>
        <w:t xml:space="preserve"> </w:t>
      </w:r>
      <w:r>
        <w:t xml:space="preserve">becomes an archivization process, that is, a process by which symbolic transcription leads to an ordered archive, i.e., a score.</w:t>
      </w:r>
      <w:r>
        <w:rPr>
          <w:rStyle w:val="FootnoteReference"/>
        </w:rPr>
        <w:footnoteReference w:id="239"/>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0" w:name="memory-and-framing"/>
      <w:r>
        <w:t xml:space="preserve">Memory and Framing</w:t>
      </w:r>
      <w:bookmarkEnd w:id="240"/>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1" w:name="nonhuman-tympans"/>
      <w:r>
        <w:t xml:space="preserve">Nonhuman Tympans</w:t>
      </w:r>
      <w:bookmarkEnd w:id="241"/>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2" w:name="spectrality-of-archives"/>
      <w:r>
        <w:t xml:space="preserve">Spectrality of Archives</w:t>
      </w:r>
      <w:bookmarkEnd w:id="242"/>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3" w:name="spectrality-of-databases"/>
      <w:r>
        <w:t xml:space="preserve">Spectrality of Databases</w:t>
      </w:r>
      <w:bookmarkEnd w:id="243"/>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4" w:name="agency-of-the-uncanny"/>
      <w:r>
        <w:t xml:space="preserve">Agency of the Uncanny</w:t>
      </w:r>
      <w:bookmarkEnd w:id="244"/>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5" w:name="section:Performativity_Of_Databases"/>
      <w:r>
        <w:t xml:space="preserve">Performativity Of Databases</w:t>
      </w:r>
      <w:bookmarkEnd w:id="245"/>
    </w:p>
    <w:p>
      <w:pPr>
        <w:pStyle w:val="Heading3"/>
      </w:pPr>
      <w:bookmarkStart w:id="246" w:name="gender"/>
      <w:r>
        <w:t xml:space="preserve">Gendered Database</w:t>
      </w:r>
      <w:bookmarkEnd w:id="246"/>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7" w:name="skin-of-the-database"/>
      <w:r>
        <w:t xml:space="preserve">Skin of the Database</w:t>
      </w:r>
      <w:bookmarkEnd w:id="247"/>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8" w:name="expressing-nothing"/>
      <w:r>
        <w:t xml:space="preserve">Expressing Nothing</w:t>
      </w:r>
      <w:bookmarkEnd w:id="248"/>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9" w:name="a-historical-situation"/>
      <w:r>
        <w:t xml:space="preserve">A Historical Situation</w:t>
      </w:r>
      <w:bookmarkEnd w:id="249"/>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0" w:name="subversive-repetition"/>
      <w:r>
        <w:t xml:space="preserve">Subversive Repetition</w:t>
      </w:r>
      <w:bookmarkEnd w:id="250"/>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1" w:name="gendered-database"/>
      <w:r>
        <w:t xml:space="preserve">Gendered Database</w:t>
      </w:r>
      <w:bookmarkEnd w:id="251"/>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2" w:name="limits"/>
      <w:r>
        <w:t xml:space="preserve">Towards The Limits</w:t>
      </w:r>
      <w:bookmarkEnd w:id="252"/>
    </w:p>
    <w:p>
      <w:pPr>
        <w:pStyle w:val="Heading5"/>
      </w:pPr>
      <w:bookmarkStart w:id="253" w:name="exposure"/>
      <w:r>
        <w:t xml:space="preserve">Exposure</w:t>
      </w:r>
      <w:bookmarkEnd w:id="253"/>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4" w:name="anarchic-touch"/>
      <w:r>
        <w:t xml:space="preserve">Anarchic Touch</w:t>
      </w:r>
      <w:bookmarkEnd w:id="254"/>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5" w:name="communities-of-skin"/>
      <w:r>
        <w:t xml:space="preserve">Communities of Skin</w:t>
      </w:r>
      <w:bookmarkEnd w:id="255"/>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6" w:name="hybrid-pluralities"/>
      <w:r>
        <w:t xml:space="preserve">Hybrid Pluralities</w:t>
      </w:r>
      <w:bookmarkEnd w:id="256"/>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7" w:name="style"/>
      <w:r>
        <w:t xml:space="preserve">Contingencies Of Style</w:t>
      </w:r>
      <w:bookmarkEnd w:id="257"/>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8" w:name="style-and-timbre"/>
      <w:r>
        <w:t xml:space="preserve">Style and Timbre</w:t>
      </w:r>
      <w:bookmarkEnd w:id="258"/>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9"/>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0" w:name="endless-databases"/>
      <w:r>
        <w:t xml:space="preserve">Endless Databases</w:t>
      </w:r>
      <w:bookmarkEnd w:id="260"/>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1" w:name="database-and-chaos"/>
      <w:r>
        <w:t xml:space="preserve">Database and Chaos</w:t>
      </w:r>
      <w:bookmarkEnd w:id="261"/>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3" w:name="img:lorenz_plotter"/>
      <w:r>
        <w:t xml:space="preserve">[img:lorenz_plotter]</w:t>
      </w:r>
      <w:bookmarkEnd w:id="263"/>
    </w:p>
    <w:p>
      <w:pPr>
        <w:pStyle w:val="BodyText"/>
      </w:pPr>
      <w:r>
        <w:t xml:space="preserve">Plotting of the Lorenz system in Pure Data.</w:t>
      </w:r>
    </w:p>
    <w:p>
      <w:pPr>
        <w:pStyle w:val="Heading5"/>
      </w:pPr>
      <w:bookmarkStart w:id="264" w:name="fractality"/>
      <w:r>
        <w:t xml:space="preserve">Fractality</w:t>
      </w:r>
      <w:bookmarkEnd w:id="264"/>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5" w:name="a-music-work-as-a-singularity"/>
      <w:r>
        <w:t xml:space="preserve">A Music Work as a Singularity</w:t>
      </w:r>
      <w:bookmarkEnd w:id="265"/>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6" w:name="arbitrariness"/>
      <w:r>
        <w:t xml:space="preserve">Arbitrariness</w:t>
      </w:r>
      <w:bookmarkEnd w:id="266"/>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7" w:name="inoperative-style"/>
      <w:r>
        <w:t xml:space="preserve">Inoperative Style</w:t>
      </w:r>
      <w:bookmarkEnd w:id="267"/>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8" w:name="authority"/>
      <w:r>
        <w:t xml:space="preserve">A Specter Of Authority</w:t>
      </w:r>
      <w:bookmarkEnd w:id="268"/>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9" w:name="the-name"/>
      <w:r>
        <w:t xml:space="preserve">The Name</w:t>
      </w:r>
      <w:bookmarkEnd w:id="269"/>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0"/>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1" w:name="dictionaries"/>
      <w:r>
        <w:t xml:space="preserve">Dictionaries</w:t>
      </w:r>
      <w:bookmarkEnd w:id="271"/>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2" w:name="artistry"/>
      <w:r>
        <w:t xml:space="preserve">Artistry</w:t>
      </w:r>
      <w:bookmarkEnd w:id="272"/>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3"/>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4"/>
      </w:r>
    </w:p>
    <w:p>
      <w:pPr>
        <w:pStyle w:val="Heading5"/>
      </w:pPr>
      <w:bookmarkStart w:id="275" w:name="the-work-of-mice"/>
      <w:r>
        <w:t xml:space="preserve">The Work of Mice</w:t>
      </w:r>
      <w:bookmarkEnd w:id="275"/>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6" w:name="section:Rethinking_Composition"/>
      <w:r>
        <w:t xml:space="preserve">Rethinking Composition</w:t>
      </w:r>
      <w:bookmarkEnd w:id="276"/>
    </w:p>
    <w:p>
      <w:pPr>
        <w:pStyle w:val="Heading3"/>
      </w:pPr>
      <w:bookmarkStart w:id="277" w:name="performance"/>
      <w:r>
        <w:t xml:space="preserve">Interlude: Hyperbolic Reactions</w:t>
      </w:r>
      <w:bookmarkEnd w:id="277"/>
    </w:p>
    <w:p>
      <w:pPr>
        <w:pStyle w:val="Heading5"/>
      </w:pPr>
      <w:bookmarkStart w:id="278" w:name="imagining-composers"/>
      <w:r>
        <w:t xml:space="preserve">Imagining Composers</w:t>
      </w:r>
      <w:bookmarkEnd w:id="278"/>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9" w:name="composers-and-technology"/>
      <w:r>
        <w:t xml:space="preserve">Composers and Technology</w:t>
      </w:r>
      <w:bookmarkEnd w:id="279"/>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0" w:name="playing-with-shadows"/>
      <w:r>
        <w:t xml:space="preserve">Playing with Shadows</w:t>
      </w:r>
      <w:bookmarkEnd w:id="280"/>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1" w:name="composers-without-computers"/>
      <w:r>
        <w:t xml:space="preserve">Composers Without Computers</w:t>
      </w:r>
      <w:bookmarkEnd w:id="281"/>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2" w:name="databasing-without-computers"/>
      <w:r>
        <w:t xml:space="preserve">Databasing Without Computers</w:t>
      </w:r>
      <w:bookmarkEnd w:id="282"/>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3" w:name="organic"/>
      <w:r>
        <w:t xml:space="preserve">Working Composition</w:t>
      </w:r>
      <w:bookmarkEnd w:id="283"/>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4" w:name="the-work-problem"/>
      <w:r>
        <w:t xml:space="preserve">The Work Problem</w:t>
      </w:r>
      <w:bookmarkEnd w:id="284"/>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5" w:name="working-rules"/>
      <w:r>
        <w:t xml:space="preserve">Working Rules</w:t>
      </w:r>
      <w:bookmarkEnd w:id="285"/>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6" w:name="a-space-of-difference"/>
      <w:r>
        <w:t xml:space="preserve">A Space of Difference</w:t>
      </w:r>
      <w:bookmarkEnd w:id="286"/>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7"/>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8" w:name="a-severed-work"/>
      <w:r>
        <w:t xml:space="preserve">A Severed Work</w:t>
      </w:r>
      <w:bookmarkEnd w:id="28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9" w:name="absorbption"/>
      <w:r>
        <w:t xml:space="preserve">Absorbption</w:t>
      </w:r>
      <w:bookmarkEnd w:id="289"/>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0" w:name="practice"/>
      <w:r>
        <w:t xml:space="preserve">The Composer As Navigator</w:t>
      </w:r>
      <w:bookmarkEnd w:id="29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1" w:name="querying-the-sieves"/>
      <w:r>
        <w:t xml:space="preserve">Querying the Sieves</w:t>
      </w:r>
      <w:bookmarkEnd w:id="29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5"/>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6"/>
      </w:r>
    </w:p>
    <w:p>
      <w:pPr>
        <w:pStyle w:val="Heading5"/>
      </w:pPr>
      <w:bookmarkStart w:id="297" w:name="sound-synthesis-parenthesis"/>
      <w:r>
        <w:t xml:space="preserve">Sound Synthesis Parenthesis</w:t>
      </w:r>
      <w:bookmarkEnd w:id="29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8"/>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0" w:name="algebraic-abstractions-for-freedom"/>
      <w:r>
        <w:t xml:space="preserve">Algebraic Abstractions for Freedom</w:t>
      </w:r>
      <w:bookmarkEnd w:id="30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1" w:name="a-cosmic-vessel-and-an-armchair"/>
      <w:r>
        <w:t xml:space="preserve">A Cosmic Vessel and an Armchair</w:t>
      </w:r>
      <w:bookmarkEnd w:id="30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2"/>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3" w:name="improv"/>
      <w:r>
        <w:t xml:space="preserve">The Database As Performer</w:t>
      </w:r>
      <w:bookmarkEnd w:id="303"/>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4" w:name="the-computer-as-a-musical-instrument"/>
      <w:r>
        <w:t xml:space="preserve">The Computer as a Musical Instrument</w:t>
      </w:r>
      <w:bookmarkEnd w:id="304"/>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5" w:name="a-minor-liberty"/>
      <w:r>
        <w:t xml:space="preserve">A Minor Liberty</w:t>
      </w:r>
      <w:bookmarkEnd w:id="305"/>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6" w:name="the-computer-as-a-player"/>
      <w:r>
        <w:t xml:space="preserve">The Computer as a Player</w:t>
      </w:r>
      <w:bookmarkEnd w:id="306"/>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7" w:name="programming-decisions"/>
      <w:r>
        <w:t xml:space="preserve">Programming Decisions</w:t>
      </w:r>
      <w:bookmarkEnd w:id="307"/>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8" w:name="anachronic-composers"/>
      <w:r>
        <w:t xml:space="preserve">Anachronic Composers</w:t>
      </w:r>
      <w:bookmarkEnd w:id="308"/>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9" w:name="section"/>
      <w:bookmarkEnd w:id="309"/>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0"/>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1" w:name="nonhuman-composers"/>
      <w:r>
        <w:t xml:space="preserve">Nonhuman composers</w:t>
      </w:r>
      <w:bookmarkEnd w:id="311"/>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2" w:name="fractured-works"/>
      <w:r>
        <w:t xml:space="preserve">Fractured Works</w:t>
      </w:r>
      <w:bookmarkEnd w:id="312"/>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3" w:name="databasing-vessel"/>
      <w:r>
        <w:t xml:space="preserve">Databasing Vessel</w:t>
      </w:r>
      <w:bookmarkEnd w:id="313"/>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4" w:name="music"/>
      <w:r>
        <w:t xml:space="preserve">The Severed Object Of Music</w:t>
      </w:r>
      <w:bookmarkEnd w:id="314"/>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5" w:name="an-incomplete-object"/>
      <w:r>
        <w:t xml:space="preserve">An Incomplete Object</w:t>
      </w:r>
      <w:bookmarkEnd w:id="315"/>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6"/>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7" w:name="remains-of-listening"/>
      <w:r>
        <w:t xml:space="preserve">Remains of Listening</w:t>
      </w:r>
      <w:bookmarkEnd w:id="317"/>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8" w:name="sources-and-sorcerers"/>
      <w:r>
        <w:t xml:space="preserve">Sources and Sorcerers</w:t>
      </w:r>
      <w:bookmarkEnd w:id="318"/>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9" w:name="naming"/>
      <w:r>
        <w:t xml:space="preserve">Naming</w:t>
      </w:r>
      <w:bookmarkEnd w:id="31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0"/>
      </w:r>
    </w:p>
    <w:p>
      <w:pPr>
        <w:pStyle w:val="Heading5"/>
      </w:pPr>
      <w:bookmarkStart w:id="321" w:name="dynamics"/>
      <w:r>
        <w:t xml:space="preserve">Dynamics</w:t>
      </w:r>
      <w:bookmarkEnd w:id="321"/>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2" w:name="masterwork"/>
      <w:r>
        <w:t xml:space="preserve">Masterwork</w:t>
      </w:r>
      <w:bookmarkEnd w:id="322"/>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3" w:name="architecture-of-obedience"/>
      <w:r>
        <w:t xml:space="preserve">Architecture of Obedience</w:t>
      </w:r>
      <w:bookmarkEnd w:id="323"/>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4" w:name="anarchy"/>
      <w:r>
        <w:t xml:space="preserve">Anarchy And The Unwork</w:t>
      </w:r>
      <w:bookmarkEnd w:id="324"/>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5" w:name="place-in-common"/>
      <w:r>
        <w:t xml:space="preserve">Place in Common</w:t>
      </w:r>
      <w:bookmarkEnd w:id="325"/>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6" w:name="disintegrated-imperative"/>
      <w:r>
        <w:t xml:space="preserve">Disintegrated Imperative</w:t>
      </w:r>
      <w:bookmarkEnd w:id="32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7" w:name="blind-experimentation"/>
      <w:r>
        <w:t xml:space="preserve">Blind Experimentation</w:t>
      </w:r>
      <w:bookmarkEnd w:id="32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8" w:name="doctoring-the-glitch"/>
      <w:r>
        <w:t xml:space="preserve">Doctoring the Glitch</w:t>
      </w:r>
      <w:bookmarkEnd w:id="32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9" w:name="unnecessary-blindfolds"/>
      <w:r>
        <w:t xml:space="preserve">Unnecessary Blindfolds</w:t>
      </w:r>
      <w:bookmarkEnd w:id="329"/>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0" w:name="spectral-remains"/>
      <w:r>
        <w:t xml:space="preserve">Spectral Remains</w:t>
      </w:r>
      <w:bookmarkEnd w:id="330"/>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1" w:name="macroforma"/>
      <w:r>
        <w:t xml:space="preserve">Macroforma</w:t>
      </w:r>
      <w:bookmarkEnd w:id="331"/>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2" w:name="overfitting"/>
      <w:r>
        <w:t xml:space="preserve">Overfitting</w:t>
      </w:r>
      <w:bookmarkEnd w:id="332"/>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3" w:name="worker"/>
      <w:r>
        <w:t xml:space="preserve">[Wip] Work In Progress</w:t>
      </w:r>
      <w:bookmarkEnd w:id="333"/>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4" w:name="chapter:Conclusion"/>
      <w:r>
        <w:t xml:space="preserve">Conclusion</w:t>
      </w:r>
      <w:bookmarkEnd w:id="334"/>
    </w:p>
    <w:p>
      <w:pPr>
        <w:pStyle w:val="FirstParagraph"/>
      </w:pPr>
      <w:r>
        <w:t xml:space="preserve">…</w:t>
      </w:r>
      <w:r>
        <w:t xml:space="preserve"> </w:t>
      </w:r>
      <w:r>
        <w:t xml:space="preserve">placeholder for conclusion abstract</w:t>
      </w:r>
      <w:r>
        <w:t xml:space="preserve"> </w:t>
      </w:r>
      <w:r>
        <w:t xml:space="preserve">…</w:t>
      </w:r>
    </w:p>
    <w:p>
      <w:pPr>
        <w:pStyle w:val="Heading1"/>
      </w:pPr>
      <w:bookmarkStart w:id="335" w:name="chapter:Appendices"/>
      <w:r>
        <w:t xml:space="preserve">Appendices</w:t>
      </w:r>
      <w:bookmarkEnd w:id="335"/>
    </w:p>
    <w:p>
      <w:pPr>
        <w:pStyle w:val="FirstParagraph"/>
      </w:pPr>
      <w:r>
        <w:t xml:space="preserve">abstract of appendices</w:t>
      </w:r>
    </w:p>
    <w:p>
      <w:pPr>
        <w:pStyle w:val="Heading2"/>
      </w:pPr>
      <w:bookmarkStart w:id="336" w:name="X9928d5a4298d9156e673c83842d96a99bfb66d7"/>
      <w:r>
        <w:t xml:space="preserve">DIANA: Database for Image and Audio Navigation</w:t>
      </w:r>
      <w:bookmarkEnd w:id="336"/>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7" w:name="dbmodel"/>
      <w:r>
        <w:t xml:space="preserve">A Database Model</w:t>
      </w:r>
      <w:bookmarkEnd w:id="337"/>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8" w:name="X7616598f194c52ee6f4c09f01c755a7090177ba"/>
      <w:r>
        <w:t xml:space="preserve">ABBY: An Online Environment for Annotated Bibliographies</w:t>
      </w:r>
      <w:bookmarkEnd w:id="338"/>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9">
        <w:r>
          <w:rPr>
            <w:rStyle w:val="Hyperlink"/>
          </w:rPr>
          <w:t xml:space="preserve">https://fdch.github.io/abby</w:t>
        </w:r>
      </w:hyperlink>
      <w:r>
        <w:t xml:space="preserve">, and the code can be accessed or cloned from</w:t>
      </w:r>
      <w:r>
        <w:t xml:space="preserve"> </w:t>
      </w:r>
      <w:hyperlink r:id="rId340">
        <w:r>
          <w:rPr>
            <w:rStyle w:val="Hyperlink"/>
          </w:rPr>
          <w:t xml:space="preserve">https://github.com/fdch/litrev</w:t>
        </w:r>
      </w:hyperlink>
      <w:r>
        <w:t xml:space="preserve">.</w:t>
      </w:r>
    </w:p>
    <w:p>
      <w:pPr>
        <w:pStyle w:val="Heading3"/>
      </w:pPr>
      <w:bookmarkStart w:id="341" w:name="texdb"/>
      <w:r>
        <w:t xml:space="preserve">A Text Database</w:t>
      </w:r>
      <w:bookmarkEnd w:id="341"/>
    </w:p>
    <w:p>
      <w:pPr>
        <w:pStyle w:val="FirstParagraph"/>
      </w:pPr>
      <w:r>
        <w:t xml:space="preserve">A detailed description of the text database model…</w:t>
      </w:r>
    </w:p>
    <w:bookmarkStart w:id="687" w:name="refs"/>
    <w:bookmarkStart w:id="342"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2"/>
    <w:bookmarkStart w:id="343"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3"/>
    <w:bookmarkStart w:id="344"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4"/>
    <w:bookmarkStart w:id="345"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5"/>
    <w:bookmarkStart w:id="346"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6"/>
    <w:bookmarkStart w:id="348"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7">
        <w:r>
          <w:rPr>
            <w:rStyle w:val="Hyperlink"/>
          </w:rPr>
          <w:t xml:space="preserve">http://www.terasoft.com.tw/conf/ismir2014/proceedings/T014_162_Paper.pdf</w:t>
        </w:r>
      </w:hyperlink>
    </w:p>
    <w:bookmarkEnd w:id="348"/>
    <w:bookmarkStart w:id="349"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9"/>
    <w:bookmarkStart w:id="350"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0"/>
    <w:bookmarkStart w:id="351"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1"/>
    <w:bookmarkStart w:id="352"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2"/>
    <w:bookmarkStart w:id="353"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3"/>
    <w:bookmarkStart w:id="354"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4"/>
    <w:bookmarkStart w:id="355"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5"/>
    <w:bookmarkStart w:id="356"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6"/>
    <w:bookmarkStart w:id="357"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7"/>
    <w:bookmarkStart w:id="358"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8"/>
    <w:bookmarkStart w:id="359" w:name="ref-Bar20:Viv"/>
    <w:p>
      <w:pPr>
        <w:pStyle w:val="Bibliography"/>
      </w:pPr>
      <w:r>
        <w:t xml:space="preserve">Barrett N. 2000b. Viva la selva</w:t>
      </w:r>
    </w:p>
    <w:bookmarkEnd w:id="359"/>
    <w:bookmarkStart w:id="360" w:name="ref-Bar68:Ele"/>
    <w:p>
      <w:pPr>
        <w:pStyle w:val="Bibliography"/>
      </w:pPr>
      <w:r>
        <w:t xml:space="preserve">Barthes R, Lavers A, Smith C. 1968.</w:t>
      </w:r>
      <w:r>
        <w:t xml:space="preserve"> </w:t>
      </w:r>
      <w:r>
        <w:rPr>
          <w:i/>
        </w:rPr>
        <w:t xml:space="preserve">Elements of Semiology</w:t>
      </w:r>
      <w:r>
        <w:t xml:space="preserve">. Hill; Wang, New York. ed.</w:t>
      </w:r>
    </w:p>
    <w:bookmarkEnd w:id="360"/>
    <w:bookmarkStart w:id="361"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1"/>
    <w:bookmarkStart w:id="362"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2"/>
    <w:bookmarkStart w:id="363"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3"/>
    <w:bookmarkStart w:id="365"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4">
        <w:r>
          <w:rPr>
            <w:rStyle w:val="Hyperlink"/>
          </w:rPr>
          <w:t xml:space="preserve">http://www.terasoft.com.tw/conf/ismir2014/proceedings/T028_322_Paper.pdf</w:t>
        </w:r>
      </w:hyperlink>
    </w:p>
    <w:bookmarkEnd w:id="365"/>
    <w:bookmarkStart w:id="366"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6"/>
    <w:bookmarkStart w:id="368"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7">
        <w:r>
          <w:rPr>
            <w:rStyle w:val="Hyperlink"/>
          </w:rPr>
          <w:t xml:space="preserve">http://www.ppgia.pucpr.br/ismir2013/wp-content/uploads/2013/09/177\_Paper.pdf</w:t>
        </w:r>
      </w:hyperlink>
    </w:p>
    <w:bookmarkEnd w:id="368"/>
    <w:bookmarkStart w:id="369"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9"/>
    <w:bookmarkStart w:id="370" w:name="ref-Bor42:Fun"/>
    <w:p>
      <w:pPr>
        <w:pStyle w:val="Bibliography"/>
      </w:pPr>
      <w:r>
        <w:t xml:space="preserve">Borges JL. 1942. Funes el memorioso.</w:t>
      </w:r>
      <w:r>
        <w:t xml:space="preserve"> </w:t>
      </w:r>
      <w:r>
        <w:rPr>
          <w:i/>
        </w:rPr>
        <w:t xml:space="preserve">Ficciones</w:t>
      </w:r>
    </w:p>
    <w:bookmarkEnd w:id="370"/>
    <w:bookmarkStart w:id="371" w:name="ref-Bor95:Rat"/>
    <w:p>
      <w:pPr>
        <w:pStyle w:val="Bibliography"/>
      </w:pPr>
      <w:r>
        <w:t xml:space="preserve">Born G. 1995.</w:t>
      </w:r>
      <w:r>
        <w:t xml:space="preserve"> </w:t>
      </w:r>
      <w:r>
        <w:rPr>
          <w:i/>
        </w:rPr>
        <w:t xml:space="preserve">Rationalizing Culture</w:t>
      </w:r>
      <w:r>
        <w:t xml:space="preserve">. University of California Press. ed.</w:t>
      </w:r>
    </w:p>
    <w:bookmarkEnd w:id="371"/>
    <w:bookmarkStart w:id="372"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2"/>
    <w:bookmarkStart w:id="373"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3"/>
    <w:bookmarkStart w:id="374"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4"/>
    <w:bookmarkStart w:id="375"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5"/>
    <w:bookmarkStart w:id="376"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6"/>
    <w:bookmarkStart w:id="377"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7"/>
    <w:bookmarkStart w:id="378" w:name="ref-score11manual"/>
    <w:p>
      <w:pPr>
        <w:pStyle w:val="Bibliography"/>
      </w:pPr>
      <w:r>
        <w:t xml:space="preserve">Brinkman AR. 1982. Original version of the score11 manual.</w:t>
      </w:r>
      <w:r>
        <w:t xml:space="preserve"> </w:t>
      </w:r>
      <w:r>
        <w:rPr>
          <w:i/>
        </w:rPr>
        <w:t xml:space="preserve">Score11 Manual</w:t>
      </w:r>
    </w:p>
    <w:bookmarkEnd w:id="378"/>
    <w:bookmarkStart w:id="379"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9"/>
    <w:bookmarkStart w:id="380"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0"/>
    <w:bookmarkStart w:id="381"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1"/>
    <w:bookmarkStart w:id="383"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2">
        <w:r>
          <w:rPr>
            <w:rStyle w:val="Hyperlink"/>
          </w:rPr>
          <w:t xml:space="preserve">http://www.nime.org/proceedings/2011/nime2011_387.pdf</w:t>
        </w:r>
      </w:hyperlink>
    </w:p>
    <w:bookmarkEnd w:id="383"/>
    <w:bookmarkStart w:id="385"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4">
        <w:r>
          <w:rPr>
            <w:rStyle w:val="Hyperlink"/>
          </w:rPr>
          <w:t xml:space="preserve">http://www.nime.org/proceedings/2009/nime2009_266.pdf</w:t>
        </w:r>
      </w:hyperlink>
    </w:p>
    <w:bookmarkEnd w:id="385"/>
    <w:bookmarkStart w:id="386"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6"/>
    <w:bookmarkStart w:id="387"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7"/>
    <w:bookmarkStart w:id="388"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8"/>
    <w:bookmarkStart w:id="389" w:name="ref-Bux77:Aco"/>
    <w:p>
      <w:pPr>
        <w:pStyle w:val="Bibliography"/>
      </w:pPr>
      <w:r>
        <w:t xml:space="preserve">Buxton W. 1977. A composer’s introduction to computer music.</w:t>
      </w:r>
      <w:r>
        <w:t xml:space="preserve"> </w:t>
      </w:r>
      <w:r>
        <w:rPr>
          <w:i/>
        </w:rPr>
        <w:t xml:space="preserve">Interface</w:t>
      </w:r>
      <w:r>
        <w:t xml:space="preserve">. 6:57–72</w:t>
      </w:r>
    </w:p>
    <w:bookmarkEnd w:id="389"/>
    <w:bookmarkStart w:id="390" w:name="ref-youtube/buxton10"/>
    <w:p>
      <w:pPr>
        <w:pStyle w:val="Bibliography"/>
      </w:pPr>
      <w:r>
        <w:t xml:space="preserve">Buxton W. 2016a. Objed: The sssp sound editing tool.</w:t>
      </w:r>
      <w:r>
        <w:t xml:space="preserve"> </w:t>
      </w:r>
      <w:r>
        <w:rPr>
          <w:i/>
        </w:rPr>
        <w:t xml:space="preserve">Youtube</w:t>
      </w:r>
    </w:p>
    <w:bookmarkEnd w:id="390"/>
    <w:bookmarkStart w:id="391"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1"/>
    <w:bookmarkStart w:id="392"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2"/>
    <w:bookmarkStart w:id="393"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3"/>
    <w:bookmarkStart w:id="394"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4"/>
    <w:bookmarkStart w:id="396"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5">
        <w:r>
          <w:rPr>
            <w:rStyle w:val="Hyperlink"/>
          </w:rPr>
          <w:t xml:space="preserve">http://www.nime.org/proceedings/2011/nime2011_329.pdf</w:t>
        </w:r>
      </w:hyperlink>
    </w:p>
    <w:bookmarkEnd w:id="396"/>
    <w:bookmarkStart w:id="397"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7"/>
    <w:bookmarkStart w:id="398"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8"/>
    <w:bookmarkStart w:id="399"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9"/>
    <w:bookmarkStart w:id="400" w:name="ref-Rya17:OnT"/>
    <w:p>
      <w:pPr>
        <w:pStyle w:val="Bibliography"/>
      </w:pPr>
      <w:r>
        <w:t xml:space="preserve">Carter R. 2017. On the expressive potential of suboptimal speakers</w:t>
      </w:r>
    </w:p>
    <w:bookmarkEnd w:id="400"/>
    <w:bookmarkStart w:id="401"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1"/>
    <w:bookmarkStart w:id="402"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2"/>
    <w:bookmarkStart w:id="403"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3"/>
    <w:bookmarkStart w:id="404"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4"/>
    <w:bookmarkStart w:id="405"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5"/>
    <w:bookmarkStart w:id="406"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6"/>
    <w:bookmarkStart w:id="407"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7"/>
    <w:bookmarkStart w:id="408"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8"/>
    <w:bookmarkStart w:id="409" w:name="ref-Cho00:Voi"/>
    <w:p>
      <w:pPr>
        <w:pStyle w:val="Bibliography"/>
      </w:pPr>
      <w:r>
        <w:t xml:space="preserve">Choi I. 2000. Voices in ruins — composition with residuals</w:t>
      </w:r>
    </w:p>
    <w:bookmarkEnd w:id="409"/>
    <w:bookmarkStart w:id="410"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0"/>
    <w:bookmarkStart w:id="411"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1"/>
    <w:bookmarkStart w:id="412"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2"/>
    <w:bookmarkStart w:id="413"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3"/>
    <w:bookmarkStart w:id="414"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4"/>
    <w:bookmarkStart w:id="415"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5"/>
    <w:bookmarkStart w:id="416"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6"/>
    <w:bookmarkStart w:id="417"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7"/>
    <w:bookmarkStart w:id="418"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8"/>
    <w:bookmarkStart w:id="419" w:name="ref-connes:shapes"/>
    <w:p>
      <w:pPr>
        <w:pStyle w:val="Bibliography"/>
      </w:pPr>
      <w:r>
        <w:t xml:space="preserve">Connes A. 2012. The music of shapes</w:t>
      </w:r>
    </w:p>
    <w:bookmarkEnd w:id="419"/>
    <w:bookmarkStart w:id="420"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0"/>
    <w:bookmarkStart w:id="421"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1"/>
    <w:bookmarkStart w:id="422"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2"/>
    <w:bookmarkStart w:id="423"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3"/>
    <w:bookmarkStart w:id="424"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4"/>
    <w:bookmarkStart w:id="426"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5">
        <w:r>
          <w:rPr>
            <w:rStyle w:val="Hyperlink"/>
          </w:rPr>
          <w:t xml:space="preserve">https://ismir2017.smcnus.org/wp-content/uploads/2017/10/235_Paper.pdf</w:t>
        </w:r>
      </w:hyperlink>
    </w:p>
    <w:bookmarkEnd w:id="426"/>
    <w:bookmarkStart w:id="428" w:name="ref-crowley98"/>
    <w:p>
      <w:pPr>
        <w:pStyle w:val="Bibliography"/>
      </w:pPr>
      <w:r>
        <w:t xml:space="preserve">Crowley C. 1998. Data structures for text sequences.</w:t>
      </w:r>
      <w:r>
        <w:t xml:space="preserve"> </w:t>
      </w:r>
      <w:hyperlink r:id="rId427">
        <w:r>
          <w:rPr>
            <w:rStyle w:val="Hyperlink"/>
          </w:rPr>
          <w:t xml:space="preserve">https://www.cs.unm.edu/~crowley/papers/sds.pdf</w:t>
        </w:r>
      </w:hyperlink>
    </w:p>
    <w:bookmarkEnd w:id="428"/>
    <w:bookmarkStart w:id="429"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9"/>
    <w:bookmarkStart w:id="431"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0">
        <w:r>
          <w:rPr>
            <w:rStyle w:val="Hyperlink"/>
          </w:rPr>
          <w:t xml:space="preserve">https://ismir2017.smcnus.org/wp-content/uploads/2017/10/75_Paper.pdf</w:t>
        </w:r>
      </w:hyperlink>
    </w:p>
    <w:bookmarkEnd w:id="431"/>
    <w:bookmarkStart w:id="432"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2"/>
    <w:bookmarkStart w:id="433"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3"/>
    <w:bookmarkStart w:id="434"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4"/>
    <w:bookmarkStart w:id="435" w:name="ref-Der78:Wri"/>
    <w:p>
      <w:pPr>
        <w:pStyle w:val="Bibliography"/>
      </w:pPr>
      <w:r>
        <w:t xml:space="preserve">Derrida J. 1978.</w:t>
      </w:r>
      <w:r>
        <w:t xml:space="preserve"> </w:t>
      </w:r>
      <w:r>
        <w:rPr>
          <w:i/>
        </w:rPr>
        <w:t xml:space="preserve">Writing and Difference</w:t>
      </w:r>
      <w:r>
        <w:t xml:space="preserve">. The University of Chicago. ed.</w:t>
      </w:r>
    </w:p>
    <w:bookmarkEnd w:id="435"/>
    <w:bookmarkStart w:id="436" w:name="ref-Der82:Mar"/>
    <w:p>
      <w:pPr>
        <w:pStyle w:val="Bibliography"/>
      </w:pPr>
      <w:r>
        <w:t xml:space="preserve">Derrida J. 1982.</w:t>
      </w:r>
      <w:r>
        <w:t xml:space="preserve"> </w:t>
      </w:r>
      <w:r>
        <w:rPr>
          <w:i/>
        </w:rPr>
        <w:t xml:space="preserve">Margins of Philosophy</w:t>
      </w:r>
      <w:r>
        <w:t xml:space="preserve">. The Harvester Press. ed.</w:t>
      </w:r>
    </w:p>
    <w:bookmarkEnd w:id="436"/>
    <w:bookmarkStart w:id="437" w:name="ref-Der95:Arc"/>
    <w:p>
      <w:pPr>
        <w:pStyle w:val="Bibliography"/>
      </w:pPr>
      <w:r>
        <w:t xml:space="preserve">Derrida J, Prenowitz E. 1995. Archive fever: A freudian impression.</w:t>
      </w:r>
      <w:r>
        <w:t xml:space="preserve"> </w:t>
      </w:r>
      <w:r>
        <w:rPr>
          <w:i/>
        </w:rPr>
        <w:t xml:space="preserve">Diacritics</w:t>
      </w:r>
      <w:r>
        <w:t xml:space="preserve">. 25(2):</w:t>
      </w:r>
    </w:p>
    <w:bookmarkEnd w:id="437"/>
    <w:bookmarkStart w:id="43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8">
        <w:r>
          <w:rPr>
            <w:rStyle w:val="Hyperlink"/>
          </w:rPr>
          <w:t xml:space="preserve">http://ismir2015.uma.es/articles/261_Paper.pdf</w:t>
        </w:r>
      </w:hyperlink>
    </w:p>
    <w:bookmarkEnd w:id="439"/>
    <w:bookmarkStart w:id="44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0"/>
    <w:bookmarkStart w:id="44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1"/>
    <w:bookmarkStart w:id="44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2"/>
    <w:bookmarkStart w:id="44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3"/>
    <w:bookmarkStart w:id="44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4"/>
    <w:bookmarkStart w:id="44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5"/>
    <w:bookmarkStart w:id="44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6">
        <w:r>
          <w:rPr>
            <w:rStyle w:val="Hyperlink"/>
          </w:rPr>
          <w:t xml:space="preserve">http://ismir2018.ircam.fr/doc/pdfs/265_Paper.pdf</w:t>
        </w:r>
      </w:hyperlink>
    </w:p>
    <w:bookmarkEnd w:id="447"/>
    <w:bookmarkStart w:id="44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8"/>
    <w:bookmarkStart w:id="45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9">
        <w:r>
          <w:rPr>
            <w:rStyle w:val="Hyperlink"/>
          </w:rPr>
          <w:t xml:space="preserve">http://ismir2000.ismir.net/papers/invites/dunn_invite.pdf</w:t>
        </w:r>
      </w:hyperlink>
    </w:p>
    <w:bookmarkEnd w:id="450"/>
    <w:bookmarkStart w:id="45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1"/>
    <w:bookmarkStart w:id="45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2"/>
    <w:bookmarkStart w:id="453" w:name="ref-Eco04:The"/>
    <w:p>
      <w:pPr>
        <w:pStyle w:val="Bibliography"/>
      </w:pPr>
      <w:r>
        <w:t xml:space="preserve">Eco U. 2004. The poetics of the open work.</w:t>
      </w:r>
      <w:r>
        <w:t xml:space="preserve"> </w:t>
      </w:r>
      <w:r>
        <w:rPr>
          <w:i/>
        </w:rPr>
        <w:t xml:space="preserve">Audio Culture: Readings in Modern Music</w:t>
      </w:r>
    </w:p>
    <w:bookmarkEnd w:id="453"/>
    <w:bookmarkStart w:id="454" w:name="ref-Emm86:The"/>
    <w:p>
      <w:pPr>
        <w:pStyle w:val="Bibliography"/>
      </w:pPr>
      <w:r>
        <w:t xml:space="preserve">Emmerson S. 1986.</w:t>
      </w:r>
      <w:r>
        <w:t xml:space="preserve"> </w:t>
      </w:r>
      <w:r>
        <w:rPr>
          <w:i/>
        </w:rPr>
        <w:t xml:space="preserve">The Language of Electroacoustic Music</w:t>
      </w:r>
      <w:r>
        <w:t xml:space="preserve">. ed.</w:t>
      </w:r>
    </w:p>
    <w:bookmarkEnd w:id="454"/>
    <w:bookmarkStart w:id="45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5">
        <w:r>
          <w:rPr>
            <w:rStyle w:val="Hyperlink"/>
          </w:rPr>
          <w:t xml:space="preserve">http://ismir2018.ircam.fr/doc/pdfs/206_Paper.pdf</w:t>
        </w:r>
      </w:hyperlink>
    </w:p>
    <w:bookmarkEnd w:id="456"/>
    <w:bookmarkStart w:id="45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7"/>
    <w:bookmarkStart w:id="458" w:name="ref-Ern13:Dig"/>
    <w:p>
      <w:pPr>
        <w:pStyle w:val="Bibliography"/>
      </w:pPr>
      <w:r>
        <w:t xml:space="preserve">Ernst W. 2013.</w:t>
      </w:r>
      <w:r>
        <w:t xml:space="preserve"> </w:t>
      </w:r>
      <w:r>
        <w:rPr>
          <w:i/>
        </w:rPr>
        <w:t xml:space="preserve">Digital Memory and the Archive</w:t>
      </w:r>
      <w:r>
        <w:t xml:space="preserve">. University of Minnesota Press. ed.</w:t>
      </w:r>
    </w:p>
    <w:bookmarkEnd w:id="458"/>
    <w:bookmarkStart w:id="459"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9"/>
    <w:bookmarkStart w:id="460"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0"/>
    <w:bookmarkStart w:id="462"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1">
        <w:r>
          <w:rPr>
            <w:rStyle w:val="Hyperlink"/>
          </w:rPr>
          <w:t xml:space="preserve">https://ismir2017.smcnus.org/wp-content/uploads/2017/10/161_Paper.pdf</w:t>
        </w:r>
      </w:hyperlink>
    </w:p>
    <w:bookmarkEnd w:id="462"/>
    <w:bookmarkStart w:id="463"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3"/>
    <w:bookmarkStart w:id="464"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4"/>
    <w:bookmarkStart w:id="465"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5"/>
    <w:bookmarkStart w:id="466"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6"/>
    <w:bookmarkStart w:id="467"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7"/>
    <w:bookmarkStart w:id="468"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8"/>
    <w:bookmarkStart w:id="470"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9">
        <w:r>
          <w:rPr>
            <w:rStyle w:val="Hyperlink"/>
          </w:rPr>
          <w:t xml:space="preserve">http://www.nime.org/proceedings/2011/nime2011_124.pdf</w:t>
        </w:r>
      </w:hyperlink>
    </w:p>
    <w:bookmarkEnd w:id="470"/>
    <w:bookmarkStart w:id="471"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1"/>
    <w:bookmarkStart w:id="473"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2">
        <w:r>
          <w:rPr>
            <w:rStyle w:val="Hyperlink"/>
          </w:rPr>
          <w:t xml:space="preserve">http://ismir2000.ismir.net/posters/good.pdf</w:t>
        </w:r>
      </w:hyperlink>
    </w:p>
    <w:bookmarkEnd w:id="473"/>
    <w:bookmarkStart w:id="475"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4">
        <w:r>
          <w:rPr>
            <w:rStyle w:val="Hyperlink"/>
          </w:rPr>
          <w:t xml:space="preserve">http://ismir2002.ismir.net/proceedings/03-SP04-1.pdf</w:t>
        </w:r>
      </w:hyperlink>
    </w:p>
    <w:bookmarkEnd w:id="475"/>
    <w:bookmarkStart w:id="477"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6">
        <w:r>
          <w:rPr>
            <w:rStyle w:val="Hyperlink"/>
          </w:rPr>
          <w:t xml:space="preserve">http://ismir2003.ismir.net/papers/Goto1.PDF</w:t>
        </w:r>
      </w:hyperlink>
    </w:p>
    <w:bookmarkEnd w:id="477"/>
    <w:bookmarkStart w:id="478" w:name="ref-Gra15:The"/>
    <w:p>
      <w:pPr>
        <w:pStyle w:val="Bibliography"/>
      </w:pPr>
      <w:r>
        <w:t xml:space="preserve">Gratton P, Morin M-E. 2015.</w:t>
      </w:r>
      <w:r>
        <w:t xml:space="preserve"> </w:t>
      </w:r>
      <w:r>
        <w:rPr>
          <w:i/>
        </w:rPr>
        <w:t xml:space="preserve">The Nancy Dictionary</w:t>
      </w:r>
      <w:r>
        <w:t xml:space="preserve">. Edinburgh University Press. ed.</w:t>
      </w:r>
    </w:p>
    <w:bookmarkEnd w:id="478"/>
    <w:bookmarkStart w:id="479"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9"/>
    <w:bookmarkStart w:id="481"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0">
        <w:r>
          <w:rPr>
            <w:rStyle w:val="Hyperlink"/>
          </w:rPr>
          <w:t xml:space="preserve">http://www.terasoft.com.tw/conf/ismir2014/proceedings/T059_257_Paper.pdf</w:t>
        </w:r>
      </w:hyperlink>
    </w:p>
    <w:bookmarkEnd w:id="481"/>
    <w:bookmarkStart w:id="482"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2"/>
    <w:bookmarkStart w:id="483"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3"/>
    <w:bookmarkStart w:id="484" w:name="ref-Han04:New"/>
    <w:p>
      <w:pPr>
        <w:pStyle w:val="Bibliography"/>
      </w:pPr>
      <w:r>
        <w:t xml:space="preserve">Hansen MBN. 2004.</w:t>
      </w:r>
      <w:r>
        <w:t xml:space="preserve"> </w:t>
      </w:r>
      <w:r>
        <w:rPr>
          <w:i/>
        </w:rPr>
        <w:t xml:space="preserve">New Philosophy for New Media</w:t>
      </w:r>
      <w:r>
        <w:t xml:space="preserve">. The MIT Press. ed.</w:t>
      </w:r>
    </w:p>
    <w:bookmarkEnd w:id="484"/>
    <w:bookmarkStart w:id="486"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5">
        <w:r>
          <w:rPr>
            <w:rStyle w:val="Hyperlink"/>
          </w:rPr>
          <w:t xml:space="preserve">http://ismir2008.ismir.net/papers/ISMIR2008_173.pdf</w:t>
        </w:r>
      </w:hyperlink>
    </w:p>
    <w:bookmarkEnd w:id="486"/>
    <w:bookmarkStart w:id="487"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7"/>
    <w:bookmarkStart w:id="488"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8"/>
    <w:bookmarkStart w:id="490"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9">
        <w:r>
          <w:rPr>
            <w:rStyle w:val="Hyperlink"/>
          </w:rPr>
          <w:t xml:space="preserve">http://www.ppgia.pucpr.br/ismir2013/wp-content/uploads/2013/09/85_Paper.pdf</w:t>
        </w:r>
      </w:hyperlink>
    </w:p>
    <w:bookmarkEnd w:id="490"/>
    <w:bookmarkStart w:id="491"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1"/>
    <w:bookmarkStart w:id="492" w:name="ref-Hay93:The"/>
    <w:p>
      <w:pPr>
        <w:pStyle w:val="Bibliography"/>
      </w:pPr>
      <w:r>
        <w:t xml:space="preserve">Hayles NK. 1993. The materiality of informatics.</w:t>
      </w:r>
      <w:r>
        <w:t xml:space="preserve"> </w:t>
      </w:r>
      <w:r>
        <w:rPr>
          <w:i/>
        </w:rPr>
        <w:t xml:space="preserve">Configurations</w:t>
      </w:r>
      <w:r>
        <w:t xml:space="preserve">. 1(1):</w:t>
      </w:r>
    </w:p>
    <w:bookmarkEnd w:id="492"/>
    <w:bookmarkStart w:id="493"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3"/>
    <w:bookmarkStart w:id="494"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4"/>
    <w:bookmarkStart w:id="495"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5"/>
    <w:bookmarkStart w:id="497"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6">
        <w:r>
          <w:rPr>
            <w:rStyle w:val="Hyperlink"/>
          </w:rPr>
          <w:t xml:space="preserve">http://www.nime.org/proceedings/2010/nime2010_233.pdf</w:t>
        </w:r>
      </w:hyperlink>
    </w:p>
    <w:bookmarkEnd w:id="497"/>
    <w:bookmarkStart w:id="499"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8">
        <w:r>
          <w:rPr>
            <w:rStyle w:val="Hyperlink"/>
          </w:rPr>
          <w:t xml:space="preserve">http://ismir2005.ismir.net/proceedings/2117.pdf</w:t>
        </w:r>
      </w:hyperlink>
    </w:p>
    <w:bookmarkEnd w:id="499"/>
    <w:bookmarkStart w:id="500"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0"/>
    <w:bookmarkStart w:id="502"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1">
        <w:r>
          <w:rPr>
            <w:rStyle w:val="Hyperlink"/>
          </w:rPr>
          <w:t xml:space="preserve">http://ismir2018.ircam.fr/doc/pdfs/248_Paper.pdf</w:t>
        </w:r>
      </w:hyperlink>
    </w:p>
    <w:bookmarkEnd w:id="502"/>
    <w:bookmarkStart w:id="503" w:name="ref-Mau99:Abr"/>
    <w:p>
      <w:pPr>
        <w:pStyle w:val="Bibliography"/>
      </w:pPr>
      <w:r>
        <w:t xml:space="preserve">IV JAM. 1999.</w:t>
      </w:r>
      <w:r>
        <w:t xml:space="preserve"> </w:t>
      </w:r>
      <w:r>
        <w:rPr>
          <w:i/>
        </w:rPr>
        <w:t xml:space="preserve">A Brief History of Algorithmic Composition</w:t>
      </w:r>
      <w:r>
        <w:t xml:space="preserve">. Online. ed.</w:t>
      </w:r>
    </w:p>
    <w:bookmarkEnd w:id="503"/>
    <w:bookmarkStart w:id="504"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4"/>
    <w:bookmarkStart w:id="505"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5"/>
    <w:bookmarkStart w:id="506"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6"/>
    <w:bookmarkStart w:id="508"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7">
        <w:r>
          <w:rPr>
            <w:rStyle w:val="Hyperlink"/>
          </w:rPr>
          <w:t xml:space="preserve">http://ismir2008.ismir.net/papers/ISMIR2008_106.pdf</w:t>
        </w:r>
      </w:hyperlink>
    </w:p>
    <w:bookmarkEnd w:id="508"/>
    <w:bookmarkStart w:id="509"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9"/>
    <w:bookmarkStart w:id="51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0"/>
    <w:bookmarkStart w:id="51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1"/>
    <w:bookmarkStart w:id="51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2"/>
    <w:bookmarkStart w:id="51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3">
        <w:r>
          <w:rPr>
            <w:rStyle w:val="Hyperlink"/>
          </w:rPr>
          <w:t xml:space="preserve">http://www.terasoft.com.tw/conf/ismir2014/proceedings/T039_344_Paper.pdf</w:t>
        </w:r>
      </w:hyperlink>
    </w:p>
    <w:bookmarkEnd w:id="514"/>
    <w:bookmarkStart w:id="515" w:name="ref-Kle98:The"/>
    <w:p>
      <w:pPr>
        <w:pStyle w:val="Bibliography"/>
      </w:pPr>
      <w:r>
        <w:t xml:space="preserve">Klein J. 1998. The wolves of bays mountain</w:t>
      </w:r>
    </w:p>
    <w:bookmarkEnd w:id="515"/>
    <w:bookmarkStart w:id="516" w:name="ref-Kle17:Lec"/>
    <w:p>
      <w:pPr>
        <w:pStyle w:val="Bibliography"/>
      </w:pPr>
      <w:r>
        <w:t xml:space="preserve">Klein J. 2017.</w:t>
      </w:r>
      <w:r>
        <w:t xml:space="preserve"> </w:t>
      </w:r>
      <w:r>
        <w:rPr>
          <w:i/>
        </w:rPr>
        <w:t xml:space="preserve">On my compositional approach</w:t>
      </w:r>
      <w:r>
        <w:t xml:space="preserve">. Work. Pap.</w:t>
      </w:r>
    </w:p>
    <w:bookmarkEnd w:id="516"/>
    <w:bookmarkStart w:id="51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7"/>
    <w:bookmarkStart w:id="51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8">
        <w:r>
          <w:rPr>
            <w:rStyle w:val="Hyperlink"/>
          </w:rPr>
          <w:t xml:space="preserve">http://ismir2015.uma.es/articles/246_Paper.pdf</w:t>
        </w:r>
      </w:hyperlink>
    </w:p>
    <w:bookmarkEnd w:id="519"/>
    <w:bookmarkStart w:id="52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0"/>
    <w:bookmarkStart w:id="521"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1"/>
    <w:bookmarkStart w:id="522"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2"/>
    <w:bookmarkStart w:id="523"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3"/>
    <w:bookmarkStart w:id="524"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4"/>
    <w:bookmarkStart w:id="525"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5"/>
    <w:bookmarkStart w:id="526"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6"/>
    <w:bookmarkStart w:id="527"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7"/>
    <w:bookmarkStart w:id="528"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8"/>
    <w:bookmarkStart w:id="529"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9"/>
    <w:bookmarkStart w:id="530"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0"/>
    <w:bookmarkStart w:id="531" w:name="ref-Lod98:MUS"/>
    <w:p>
      <w:pPr>
        <w:pStyle w:val="Bibliography"/>
      </w:pPr>
      <w:r>
        <w:t xml:space="preserve">Lodha S, Beahan J, Joseph A, Zane-ulman B. 1998. MUSE: A musical data sonification toolkit</w:t>
      </w:r>
    </w:p>
    <w:bookmarkEnd w:id="531"/>
    <w:bookmarkStart w:id="532"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2"/>
    <w:bookmarkStart w:id="534"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3">
        <w:r>
          <w:rPr>
            <w:rStyle w:val="Hyperlink"/>
          </w:rPr>
          <w:t xml:space="preserve">http://www.nime.org/proceedings/2008/nime2008_221.pdf</w:t>
        </w:r>
      </w:hyperlink>
    </w:p>
    <w:bookmarkEnd w:id="534"/>
    <w:bookmarkStart w:id="535"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5"/>
    <w:bookmarkStart w:id="536" w:name="ref-Luc70:Iam"/>
    <w:p>
      <w:pPr>
        <w:pStyle w:val="Bibliography"/>
      </w:pPr>
      <w:r>
        <w:t xml:space="preserve">Lucier A. 1970. I am sitting in a room</w:t>
      </w:r>
    </w:p>
    <w:bookmarkEnd w:id="536"/>
    <w:bookmarkStart w:id="537" w:name="ref-Man01:The"/>
    <w:p>
      <w:pPr>
        <w:pStyle w:val="Bibliography"/>
      </w:pPr>
      <w:r>
        <w:t xml:space="preserve">Manovich L. 2001.</w:t>
      </w:r>
      <w:r>
        <w:t xml:space="preserve"> </w:t>
      </w:r>
      <w:r>
        <w:rPr>
          <w:i/>
        </w:rPr>
        <w:t xml:space="preserve">The Language of New Media</w:t>
      </w:r>
      <w:r>
        <w:t xml:space="preserve">. MIT Press. ed.</w:t>
      </w:r>
    </w:p>
    <w:bookmarkEnd w:id="537"/>
    <w:bookmarkStart w:id="538" w:name="ref-Man02:Old"/>
    <w:p>
      <w:pPr>
        <w:pStyle w:val="Bibliography"/>
      </w:pPr>
      <w:r>
        <w:t xml:space="preserve">Manovich L. 2002. Old media as new media: Cinema.</w:t>
      </w:r>
      <w:r>
        <w:t xml:space="preserve"> </w:t>
      </w:r>
      <w:r>
        <w:rPr>
          <w:i/>
        </w:rPr>
        <w:t xml:space="preserve">The New Media Book</w:t>
      </w:r>
    </w:p>
    <w:bookmarkEnd w:id="538"/>
    <w:bookmarkStart w:id="539"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9"/>
    <w:bookmarkStart w:id="541"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0">
        <w:r>
          <w:rPr>
            <w:rStyle w:val="Hyperlink"/>
          </w:rPr>
          <w:t xml:space="preserve">http://ismir2008.ismir.net/papers/ISMIR2008_158.pdf</w:t>
        </w:r>
      </w:hyperlink>
    </w:p>
    <w:bookmarkEnd w:id="541"/>
    <w:bookmarkStart w:id="542"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2"/>
    <w:bookmarkStart w:id="543"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3"/>
    <w:bookmarkStart w:id="544"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4"/>
    <w:bookmarkStart w:id="545" w:name="ref-csoundMethods"/>
    <w:p>
      <w:pPr>
        <w:pStyle w:val="Bibliography"/>
      </w:pPr>
      <w:r>
        <w:t xml:space="preserve">McCurdy I, Heintz J, Joaquin J, Knevel M. 2015. Methods of writing csound scores.</w:t>
      </w:r>
      <w:r>
        <w:t xml:space="preserve"> </w:t>
      </w:r>
      <w:r>
        <w:rPr>
          <w:i/>
        </w:rPr>
        <w:t xml:space="preserve">FLOSS Manuals</w:t>
      </w:r>
    </w:p>
    <w:bookmarkEnd w:id="545"/>
    <w:bookmarkStart w:id="546"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6"/>
    <w:bookmarkStart w:id="548"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7">
        <w:r>
          <w:rPr>
            <w:rStyle w:val="Hyperlink"/>
          </w:rPr>
          <w:t xml:space="preserve">http://ismir2018.ircam.fr/doc/pdfs/35_Paper.pdf</w:t>
        </w:r>
      </w:hyperlink>
    </w:p>
    <w:bookmarkEnd w:id="548"/>
    <w:bookmarkStart w:id="549"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9"/>
    <w:bookmarkStart w:id="550"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0"/>
    <w:bookmarkStart w:id="551"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1"/>
    <w:bookmarkStart w:id="552"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2"/>
    <w:bookmarkStart w:id="553" w:name="ref-ods-cpp"/>
    <w:p>
      <w:pPr>
        <w:pStyle w:val="Bibliography"/>
      </w:pPr>
      <w:r>
        <w:t xml:space="preserve">Morin P. 2019.</w:t>
      </w:r>
      <w:r>
        <w:t xml:space="preserve"> </w:t>
      </w:r>
      <w:r>
        <w:rPr>
          <w:i/>
        </w:rPr>
        <w:t xml:space="preserve">Open Data Structures</w:t>
      </w:r>
      <w:r>
        <w:t xml:space="preserve">. Creative Commons. ed.</w:t>
      </w:r>
    </w:p>
    <w:bookmarkEnd w:id="553"/>
    <w:bookmarkStart w:id="554"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4"/>
    <w:bookmarkStart w:id="555"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5"/>
    <w:bookmarkStart w:id="556"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6"/>
    <w:bookmarkStart w:id="558"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7">
        <w:r>
          <w:rPr>
            <w:rStyle w:val="Hyperlink"/>
          </w:rPr>
          <w:t xml:space="preserve">http://www.nime.org/proceedings/2007/nime2007_409.pdf</w:t>
        </w:r>
      </w:hyperlink>
    </w:p>
    <w:bookmarkEnd w:id="558"/>
    <w:bookmarkStart w:id="559"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9"/>
    <w:bookmarkStart w:id="560" w:name="ref-Nan07:Lis"/>
    <w:p>
      <w:pPr>
        <w:pStyle w:val="Bibliography"/>
      </w:pPr>
      <w:r>
        <w:t xml:space="preserve">Nancy J-L. 2007.</w:t>
      </w:r>
      <w:r>
        <w:t xml:space="preserve"> </w:t>
      </w:r>
      <w:r>
        <w:rPr>
          <w:i/>
        </w:rPr>
        <w:t xml:space="preserve">Listening</w:t>
      </w:r>
      <w:r>
        <w:t xml:space="preserve">. Fordham University Place. ed.</w:t>
      </w:r>
    </w:p>
    <w:bookmarkEnd w:id="560"/>
    <w:bookmarkStart w:id="561"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1"/>
    <w:bookmarkStart w:id="563"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2">
        <w:r>
          <w:rPr>
            <w:rStyle w:val="Hyperlink"/>
          </w:rPr>
          <w:t xml:space="preserve">http://www.nime.org/proceedings/2007/nime2007_112.pdf</w:t>
        </w:r>
      </w:hyperlink>
    </w:p>
    <w:bookmarkEnd w:id="563"/>
    <w:bookmarkStart w:id="564"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4"/>
    <w:bookmarkStart w:id="565"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5"/>
    <w:bookmarkStart w:id="566"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6"/>
    <w:bookmarkStart w:id="567"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7"/>
    <w:bookmarkStart w:id="568"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8"/>
    <w:bookmarkStart w:id="569"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9"/>
    <w:bookmarkStart w:id="57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0"/>
    <w:bookmarkStart w:id="57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1"/>
    <w:bookmarkStart w:id="57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2"/>
    <w:bookmarkStart w:id="57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3"/>
    <w:bookmarkStart w:id="57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4"/>
    <w:bookmarkStart w:id="57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5"/>
    <w:bookmarkStart w:id="57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6">
        <w:r>
          <w:rPr>
            <w:rStyle w:val="Hyperlink"/>
          </w:rPr>
          <w:t xml:space="preserve">http://www.terasoft.com.tw/conf/ismir2014/proceedings/T064_307_Paper.pdf</w:t>
        </w:r>
      </w:hyperlink>
    </w:p>
    <w:bookmarkEnd w:id="577"/>
    <w:bookmarkStart w:id="57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8"/>
    <w:bookmarkStart w:id="579" w:name="ref-Pos11:Int"/>
    <w:p>
      <w:pPr>
        <w:pStyle w:val="Bibliography"/>
      </w:pPr>
      <w:r>
        <w:t xml:space="preserve">Poster M. 2011. Introduction.</w:t>
      </w:r>
      <w:r>
        <w:t xml:space="preserve"> </w:t>
      </w:r>
      <w:r>
        <w:rPr>
          <w:i/>
        </w:rPr>
        <w:t xml:space="preserve">Into the Universe of Technical Images</w:t>
      </w:r>
    </w:p>
    <w:bookmarkEnd w:id="579"/>
    <w:bookmarkStart w:id="58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0">
        <w:r>
          <w:rPr>
            <w:rStyle w:val="Hyperlink"/>
          </w:rPr>
          <w:t xml:space="preserve">http://www.nime.org/proceedings/2008/nime2008_311.pdf</w:t>
        </w:r>
      </w:hyperlink>
    </w:p>
    <w:bookmarkEnd w:id="581"/>
    <w:bookmarkStart w:id="58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2"/>
    <w:bookmarkStart w:id="58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3"/>
    <w:bookmarkStart w:id="584" w:name="ref-Puc91:Som"/>
    <w:p>
      <w:pPr>
        <w:pStyle w:val="Bibliography"/>
      </w:pPr>
      <w:r>
        <w:t xml:space="preserve">Puckette M. 1991. Something digital.</w:t>
      </w:r>
      <w:r>
        <w:t xml:space="preserve"> </w:t>
      </w:r>
      <w:r>
        <w:rPr>
          <w:i/>
        </w:rPr>
        <w:t xml:space="preserve">Computer Music Journal</w:t>
      </w:r>
      <w:r>
        <w:t xml:space="preserve">. 15(4):65–69</w:t>
      </w:r>
    </w:p>
    <w:bookmarkEnd w:id="584"/>
    <w:bookmarkStart w:id="58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5"/>
    <w:bookmarkStart w:id="58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6"/>
    <w:bookmarkStart w:id="58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7"/>
    <w:bookmarkStart w:id="58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8"/>
    <w:bookmarkStart w:id="58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9"/>
    <w:bookmarkStart w:id="59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0"/>
    <w:bookmarkStart w:id="591" w:name="ref-Roa04:Mic"/>
    <w:p>
      <w:pPr>
        <w:pStyle w:val="Bibliography"/>
      </w:pPr>
      <w:r>
        <w:t xml:space="preserve">Roads C. 2001.</w:t>
      </w:r>
      <w:r>
        <w:t xml:space="preserve"> </w:t>
      </w:r>
      <w:r>
        <w:rPr>
          <w:i/>
        </w:rPr>
        <w:t xml:space="preserve">Microsound</w:t>
      </w:r>
      <w:r>
        <w:t xml:space="preserve">. MIT Press. ed.</w:t>
      </w:r>
    </w:p>
    <w:bookmarkEnd w:id="591"/>
    <w:bookmarkStart w:id="59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2"/>
    <w:bookmarkStart w:id="59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3"/>
    <w:bookmarkStart w:id="59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4"/>
    <w:bookmarkStart w:id="59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5"/>
    <w:bookmarkStart w:id="59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6"/>
    <w:bookmarkStart w:id="59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7"/>
    <w:bookmarkStart w:id="59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8"/>
    <w:bookmarkStart w:id="59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9"/>
    <w:bookmarkStart w:id="60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0"/>
    <w:bookmarkStart w:id="60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1"/>
    <w:bookmarkStart w:id="60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2"/>
    <w:bookmarkStart w:id="60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3">
        <w:r>
          <w:rPr>
            <w:rStyle w:val="Hyperlink"/>
          </w:rPr>
          <w:t xml:space="preserve">http://ismir2005.ismir.net/proceedings/3123.pdf</w:t>
        </w:r>
      </w:hyperlink>
    </w:p>
    <w:bookmarkEnd w:id="604"/>
    <w:bookmarkStart w:id="60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5"/>
    <w:bookmarkStart w:id="60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6"/>
    <w:bookmarkStart w:id="60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7"/>
    <w:bookmarkStart w:id="60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8"/>
    <w:bookmarkStart w:id="60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9"/>
    <w:bookmarkStart w:id="61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0"/>
    <w:bookmarkStart w:id="61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1"/>
    <w:bookmarkStart w:id="61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2"/>
    <w:bookmarkStart w:id="613" w:name="ref-Sch06:Rea"/>
    <w:p>
      <w:pPr>
        <w:pStyle w:val="Bibliography"/>
      </w:pPr>
      <w:r>
        <w:t xml:space="preserve">Schwarz D. 2006b. Real-time corpus-based concatenative synthesis with catart., pp. 18–21</w:t>
      </w:r>
    </w:p>
    <w:bookmarkEnd w:id="613"/>
    <w:bookmarkStart w:id="61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4"/>
    <w:bookmarkStart w:id="61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5"/>
    <w:bookmarkStart w:id="61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6"/>
    <w:bookmarkStart w:id="617" w:name="ref-scoremus"/>
    <w:p>
      <w:pPr>
        <w:pStyle w:val="Bibliography"/>
      </w:pPr>
      <w:r>
        <w:t xml:space="preserve">Selfridge-Field E. 1997. The score music publishing system.</w:t>
      </w:r>
      <w:r>
        <w:t xml:space="preserve"> </w:t>
      </w:r>
      <w:r>
        <w:rPr>
          <w:i/>
        </w:rPr>
        <w:t xml:space="preserve">SCORE</w:t>
      </w:r>
    </w:p>
    <w:bookmarkEnd w:id="617"/>
    <w:bookmarkStart w:id="61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8"/>
    <w:bookmarkStart w:id="62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9">
        <w:r>
          <w:rPr>
            <w:rStyle w:val="Hyperlink"/>
          </w:rPr>
          <w:t xml:space="preserve">https://hal.archives-ouvertes.fr/hal-01393959</w:t>
        </w:r>
      </w:hyperlink>
    </w:p>
    <w:bookmarkEnd w:id="620"/>
    <w:bookmarkStart w:id="62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1"/>
    <w:bookmarkStart w:id="62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2"/>
    <w:bookmarkStart w:id="62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3"/>
    <w:bookmarkStart w:id="624" w:name="ref-10.2307/941442"/>
    <w:p>
      <w:pPr>
        <w:pStyle w:val="Bibliography"/>
      </w:pPr>
      <w:r>
        <w:t xml:space="preserve">Skinner R. 1990a. Music software.</w:t>
      </w:r>
      <w:r>
        <w:t xml:space="preserve"> </w:t>
      </w:r>
      <w:r>
        <w:rPr>
          <w:i/>
        </w:rPr>
        <w:t xml:space="preserve">Notes</w:t>
      </w:r>
      <w:r>
        <w:t xml:space="preserve">. 46(3):660–84</w:t>
      </w:r>
    </w:p>
    <w:bookmarkEnd w:id="624"/>
    <w:bookmarkStart w:id="625" w:name="ref-10.2307/940555"/>
    <w:p>
      <w:pPr>
        <w:pStyle w:val="Bibliography"/>
      </w:pPr>
      <w:r>
        <w:t xml:space="preserve">Skinner R. 1990b. Music software.</w:t>
      </w:r>
      <w:r>
        <w:t xml:space="preserve"> </w:t>
      </w:r>
      <w:r>
        <w:rPr>
          <w:i/>
        </w:rPr>
        <w:t xml:space="preserve">Notes</w:t>
      </w:r>
      <w:r>
        <w:t xml:space="preserve">. 47(1):91–101</w:t>
      </w:r>
    </w:p>
    <w:bookmarkEnd w:id="625"/>
    <w:bookmarkStart w:id="62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6"/>
    <w:bookmarkStart w:id="62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7"/>
    <w:bookmarkStart w:id="62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8"/>
    <w:bookmarkStart w:id="629" w:name="ref-Ste12:MP3"/>
    <w:p>
      <w:pPr>
        <w:pStyle w:val="Bibliography"/>
      </w:pPr>
      <w:r>
        <w:t xml:space="preserve">Sterne J. 2012.</w:t>
      </w:r>
      <w:r>
        <w:t xml:space="preserve"> </w:t>
      </w:r>
      <w:r>
        <w:rPr>
          <w:i/>
        </w:rPr>
        <w:t xml:space="preserve">MP3: The Meaning of a Format</w:t>
      </w:r>
      <w:r>
        <w:t xml:space="preserve">. Duke University Press. ed.</w:t>
      </w:r>
    </w:p>
    <w:bookmarkEnd w:id="629"/>
    <w:bookmarkStart w:id="63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0"/>
    <w:bookmarkStart w:id="631" w:name="ref-Stu04:Mat"/>
    <w:p>
      <w:pPr>
        <w:pStyle w:val="Bibliography"/>
      </w:pPr>
      <w:r>
        <w:t xml:space="preserve">Sturm B. 2004. MATConcat: An application for exploring concatenative sound synthesis using matlab</w:t>
      </w:r>
    </w:p>
    <w:bookmarkEnd w:id="631"/>
    <w:bookmarkStart w:id="63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2"/>
    <w:bookmarkStart w:id="633" w:name="ref-Sze08:Lis"/>
    <w:p>
      <w:pPr>
        <w:pStyle w:val="Bibliography"/>
      </w:pPr>
      <w:r>
        <w:t xml:space="preserve">Szendy P. 2008.</w:t>
      </w:r>
      <w:r>
        <w:t xml:space="preserve"> </w:t>
      </w:r>
      <w:r>
        <w:rPr>
          <w:i/>
        </w:rPr>
        <w:t xml:space="preserve">Listen: A History of Our Ears</w:t>
      </w:r>
      <w:r>
        <w:t xml:space="preserve">. Fordham University. ed.</w:t>
      </w:r>
    </w:p>
    <w:bookmarkEnd w:id="633"/>
    <w:bookmarkStart w:id="63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4"/>
    <w:bookmarkStart w:id="635" w:name="ref-Sch07:How"/>
    <w:p>
      <w:pPr>
        <w:pStyle w:val="Bibliography"/>
      </w:pPr>
      <w:r>
        <w:t xml:space="preserve">Thiebaut J-B, Bello J, Schwarz D. 2007. How musical are images? From sound representation to image sonification: An eco systemic approach</w:t>
      </w:r>
    </w:p>
    <w:bookmarkEnd w:id="635"/>
    <w:bookmarkStart w:id="63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6"/>
    <w:bookmarkStart w:id="63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7"/>
    <w:bookmarkStart w:id="63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8"/>
    <w:bookmarkStart w:id="63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9"/>
    <w:bookmarkStart w:id="64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0"/>
    <w:bookmarkStart w:id="64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1"/>
    <w:bookmarkStart w:id="64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2"/>
    <w:bookmarkStart w:id="64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3">
        <w:r>
          <w:rPr>
            <w:rStyle w:val="Hyperlink"/>
          </w:rPr>
          <w:t xml:space="preserve">https://quod.lib.umich.edu/i/icmc/bbp2372.2012.006</w:t>
        </w:r>
      </w:hyperlink>
    </w:p>
    <w:bookmarkEnd w:id="644"/>
    <w:bookmarkStart w:id="645" w:name="ref-Var04:The"/>
    <w:p>
      <w:pPr>
        <w:pStyle w:val="Bibliography"/>
      </w:pPr>
      <w:r>
        <w:t xml:space="preserve">Varese E. 2004. The liberation of sound.</w:t>
      </w:r>
      <w:r>
        <w:t xml:space="preserve"> </w:t>
      </w:r>
      <w:r>
        <w:rPr>
          <w:i/>
        </w:rPr>
        <w:t xml:space="preserve">Audio Culture: Readings in Modern Music</w:t>
      </w:r>
    </w:p>
    <w:bookmarkEnd w:id="645"/>
    <w:bookmarkStart w:id="646" w:name="ref-Ver84:The"/>
    <w:p>
      <w:pPr>
        <w:pStyle w:val="Bibliography"/>
      </w:pPr>
      <w:r>
        <w:t xml:space="preserve">Vercoe B. 1984. The synthetic performer in the context of live performance</w:t>
      </w:r>
    </w:p>
    <w:bookmarkEnd w:id="646"/>
    <w:bookmarkStart w:id="647"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7"/>
    <w:bookmarkStart w:id="648"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8"/>
    <w:bookmarkStart w:id="64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9"/>
    <w:bookmarkStart w:id="65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0">
        <w:r>
          <w:rPr>
            <w:rStyle w:val="Hyperlink"/>
          </w:rPr>
          <w:t xml:space="preserve">https://ismir2017.smcnus.org/wp-content/uploads/2017/10/180_Paper.pdf</w:t>
        </w:r>
      </w:hyperlink>
    </w:p>
    <w:bookmarkEnd w:id="651"/>
    <w:bookmarkStart w:id="65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2"/>
    <w:bookmarkStart w:id="65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3">
        <w:r>
          <w:rPr>
            <w:rStyle w:val="Hyperlink"/>
          </w:rPr>
          <w:t xml:space="preserve">http://ismir2002.ismir.net/proceedings/02-FP06-3.pdf</w:t>
        </w:r>
      </w:hyperlink>
    </w:p>
    <w:bookmarkEnd w:id="654"/>
    <w:bookmarkStart w:id="65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5"/>
    <w:bookmarkStart w:id="65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6"/>
    <w:bookmarkStart w:id="65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7"/>
    <w:bookmarkStart w:id="65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8"/>
    <w:bookmarkStart w:id="65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9"/>
    <w:bookmarkStart w:id="66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0"/>
    <w:bookmarkStart w:id="66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1"/>
    <w:bookmarkStart w:id="66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2"/>
    <w:bookmarkStart w:id="66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3"/>
    <w:bookmarkStart w:id="664" w:name="ref-Wei07:Oce"/>
    <w:p>
      <w:pPr>
        <w:pStyle w:val="Bibliography"/>
      </w:pPr>
      <w:r>
        <w:t xml:space="preserve">Weinbren G. 2007. Ocean, database, recut.</w:t>
      </w:r>
      <w:r>
        <w:t xml:space="preserve"> </w:t>
      </w:r>
      <w:r>
        <w:rPr>
          <w:i/>
        </w:rPr>
        <w:t xml:space="preserve">Database Aesthetics: Art in the Age of Information Overflow</w:t>
      </w:r>
    </w:p>
    <w:bookmarkEnd w:id="664"/>
    <w:bookmarkStart w:id="665"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5"/>
    <w:bookmarkStart w:id="66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6"/>
    <w:bookmarkStart w:id="66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7">
        <w:r>
          <w:rPr>
            <w:rStyle w:val="Hyperlink"/>
          </w:rPr>
          <w:t xml:space="preserve">http://ismir2018.ircam.fr/doc/pdfs/114_Paper.pdf</w:t>
        </w:r>
      </w:hyperlink>
    </w:p>
    <w:bookmarkEnd w:id="668"/>
    <w:bookmarkStart w:id="66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9"/>
    <w:bookmarkStart w:id="67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0">
        <w:r>
          <w:rPr>
            <w:rStyle w:val="Hyperlink"/>
          </w:rPr>
          <w:t xml:space="preserve">http://ismir2004.ismir.net/proceedings/p010-page-48-paper227.pdf</w:t>
        </w:r>
      </w:hyperlink>
    </w:p>
    <w:bookmarkEnd w:id="671"/>
    <w:bookmarkStart w:id="67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2"/>
    <w:bookmarkStart w:id="67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3"/>
    <w:bookmarkStart w:id="67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4"/>
    <w:bookmarkStart w:id="67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5">
        <w:r>
          <w:rPr>
            <w:rStyle w:val="Hyperlink"/>
          </w:rPr>
          <w:t xml:space="preserve">http://ismir2018.ircam.fr/doc/pdfs/188_Paper.pdf</w:t>
        </w:r>
      </w:hyperlink>
    </w:p>
    <w:bookmarkEnd w:id="676"/>
    <w:bookmarkStart w:id="67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7"/>
    <w:bookmarkStart w:id="67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8"/>
    <w:bookmarkStart w:id="67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9"/>
    <w:bookmarkStart w:id="68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0"/>
    <w:bookmarkStart w:id="68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1"/>
    <w:bookmarkStart w:id="68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2"/>
    <w:bookmarkStart w:id="68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3">
        <w:r>
          <w:rPr>
            <w:rStyle w:val="Hyperlink"/>
          </w:rPr>
          <w:t xml:space="preserve">http://www.nime.org/proceedings/2007/nime2007_352.pdf</w:t>
        </w:r>
      </w:hyperlink>
    </w:p>
    <w:bookmarkEnd w:id="684"/>
    <w:bookmarkStart w:id="68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5"/>
    <w:bookmarkStart w:id="686" w:name="ref-Zmo15:Liv"/>
    <w:p>
      <w:pPr>
        <w:pStyle w:val="Bibliography"/>
      </w:pPr>
      <w:r>
        <w:t xml:space="preserve">zmölnig I m, Eckel G. 2015.</w:t>
      </w:r>
      <w:r>
        <w:t xml:space="preserve"> </w:t>
      </w:r>
      <w:r>
        <w:rPr>
          <w:i/>
        </w:rPr>
        <w:t xml:space="preserve">LIVE coding: AN overview</w:t>
      </w:r>
      <w:r>
        <w:t xml:space="preserve">. Work. Pap.</w:t>
      </w:r>
    </w:p>
    <w:bookmarkEnd w:id="686"/>
    <w:bookmarkEnd w:id="6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6">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7">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8">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9">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0">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1">
    <w:p>
      <w:pPr>
        <w:pStyle w:val="FootnoteText"/>
      </w:pPr>
      <w:r>
        <w:rPr>
          <w:rStyle w:val="FootnoteReference"/>
        </w:rPr>
        <w:footnoteRef/>
      </w:r>
      <w:r>
        <w:t xml:space="preserve"> </w:t>
      </w:r>
      <w:hyperlink r:id="rId212">
        <w:r>
          <w:rPr>
            <w:rStyle w:val="Hyperlink"/>
          </w:rPr>
          <w:t xml:space="preserve">https://en.wikipedia.org/wiki/Leo_Beranek</w:t>
        </w:r>
      </w:hyperlink>
    </w:p>
  </w:footnote>
  <w:footnote w:id="214">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0">
    <w:p>
      <w:pPr>
        <w:pStyle w:val="FootnoteText"/>
      </w:pPr>
      <w:r>
        <w:rPr>
          <w:rStyle w:val="FootnoteReference"/>
        </w:rPr>
        <w:footnoteRef/>
      </w:r>
      <w:r>
        <w:t xml:space="preserve"> </w:t>
      </w:r>
      <w:hyperlink r:id="rId231">
        <w:r>
          <w:rPr>
            <w:rStyle w:val="Hyperlink"/>
          </w:rPr>
          <w:t xml:space="preserve">https://en.cppreference.com/w/cpp/language/destructor</w:t>
        </w:r>
      </w:hyperlink>
    </w:p>
  </w:footnote>
  <w:footnote w:id="237">
    <w:p>
      <w:pPr>
        <w:pStyle w:val="FootnoteText"/>
      </w:pPr>
      <w:r>
        <w:rPr>
          <w:rStyle w:val="FootnoteReference"/>
        </w:rPr>
        <w:footnoteRef/>
      </w:r>
      <w:r>
        <w:t xml:space="preserve"> </w:t>
      </w:r>
      <w:hyperlink r:id="rId238">
        <w:r>
          <w:rPr>
            <w:rStyle w:val="Hyperlink"/>
          </w:rPr>
          <w:t xml:space="preserve">https://mpc.chs.harvard.edu/</w:t>
        </w:r>
      </w:hyperlink>
    </w:p>
  </w:footnote>
  <w:footnote w:id="239">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9">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0">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3">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4">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7">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4">
        <w:r>
          <w:rPr>
            <w:rStyle w:val="Hyperlink"/>
          </w:rPr>
          <w:t xml:space="preserve">https://en.wikipedia.org/wiki/Dr._Strangelove</w:t>
        </w:r>
      </w:hyperlink>
    </w:p>
  </w:footnote>
  <w:footnote w:id="29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2">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0">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6">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2" Target="media/rId262.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1" Target="media/rId201.png" /><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53"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70"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3"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40"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7" Target="http://ismir2018.ircam.fr/doc/pdfs/114_Paper.pdf" TargetMode="External" /><Relationship Type="http://schemas.openxmlformats.org/officeDocument/2006/relationships/hyperlink" Id="rId675"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7"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2" Target="http://www.nime.org/proceedings/2007/nime2007_112.pdf" TargetMode="External" /><Relationship Type="http://schemas.openxmlformats.org/officeDocument/2006/relationships/hyperlink" Id="rId683" Target="http://www.nime.org/proceedings/2007/nime2007_352.pdf" TargetMode="External" /><Relationship Type="http://schemas.openxmlformats.org/officeDocument/2006/relationships/hyperlink" Id="rId557" Target="http://www.nime.org/proceedings/2007/nime2007_409.pdf" TargetMode="External" /><Relationship Type="http://schemas.openxmlformats.org/officeDocument/2006/relationships/hyperlink" Id="rId533" Target="http://www.nime.org/proceedings/2008/nime2008_221.pdf" TargetMode="External" /><Relationship Type="http://schemas.openxmlformats.org/officeDocument/2006/relationships/hyperlink" Id="rId580"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1" Target="https://en.cppreference.com/w/cpp/language/destructor" TargetMode="External" /><Relationship Type="http://schemas.openxmlformats.org/officeDocument/2006/relationships/hyperlink" Id="rId294" Target="https://en.wikipedia.org/wiki/Dr._Strangelove" TargetMode="External" /><Relationship Type="http://schemas.openxmlformats.org/officeDocument/2006/relationships/hyperlink" Id="rId212" Target="https://en.wikipedia.org/wiki/Leo_Beranek" TargetMode="External" /><Relationship Type="http://schemas.openxmlformats.org/officeDocument/2006/relationships/hyperlink" Id="rId339" Target="https://fdch.github.io/abby" TargetMode="External" /><Relationship Type="http://schemas.openxmlformats.org/officeDocument/2006/relationships/hyperlink" Id="rId340" Target="https://github.com/fdch/litrev" TargetMode="External" /><Relationship Type="http://schemas.openxmlformats.org/officeDocument/2006/relationships/hyperlink" Id="rId619"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50"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8"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3" Target="https://www.mersenne.org/primes/" TargetMode="External" /><Relationship Type="http://schemas.openxmlformats.org/officeDocument/2006/relationships/hyperlink" Id="rId299"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53"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70"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3"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40"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7" Target="http://ismir2018.ircam.fr/doc/pdfs/114_Paper.pdf" TargetMode="External" /><Relationship Type="http://schemas.openxmlformats.org/officeDocument/2006/relationships/hyperlink" Id="rId675"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7"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2" Target="http://www.nime.org/proceedings/2007/nime2007_112.pdf" TargetMode="External" /><Relationship Type="http://schemas.openxmlformats.org/officeDocument/2006/relationships/hyperlink" Id="rId683" Target="http://www.nime.org/proceedings/2007/nime2007_352.pdf" TargetMode="External" /><Relationship Type="http://schemas.openxmlformats.org/officeDocument/2006/relationships/hyperlink" Id="rId557" Target="http://www.nime.org/proceedings/2007/nime2007_409.pdf" TargetMode="External" /><Relationship Type="http://schemas.openxmlformats.org/officeDocument/2006/relationships/hyperlink" Id="rId533" Target="http://www.nime.org/proceedings/2008/nime2008_221.pdf" TargetMode="External" /><Relationship Type="http://schemas.openxmlformats.org/officeDocument/2006/relationships/hyperlink" Id="rId580"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1" Target="https://en.cppreference.com/w/cpp/language/destructor" TargetMode="External" /><Relationship Type="http://schemas.openxmlformats.org/officeDocument/2006/relationships/hyperlink" Id="rId294" Target="https://en.wikipedia.org/wiki/Dr._Strangelove" TargetMode="External" /><Relationship Type="http://schemas.openxmlformats.org/officeDocument/2006/relationships/hyperlink" Id="rId212" Target="https://en.wikipedia.org/wiki/Leo_Beranek" TargetMode="External" /><Relationship Type="http://schemas.openxmlformats.org/officeDocument/2006/relationships/hyperlink" Id="rId339" Target="https://fdch.github.io/abby" TargetMode="External" /><Relationship Type="http://schemas.openxmlformats.org/officeDocument/2006/relationships/hyperlink" Id="rId340" Target="https://github.com/fdch/litrev" TargetMode="External" /><Relationship Type="http://schemas.openxmlformats.org/officeDocument/2006/relationships/hyperlink" Id="rId619"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50"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8"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3" Target="https://www.mersenne.org/primes/" TargetMode="External" /><Relationship Type="http://schemas.openxmlformats.org/officeDocument/2006/relationships/hyperlink" Id="rId299"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2019-04-09T13:42:48Z</dcterms:created>
  <dcterms:modified xsi:type="dcterms:W3CDTF">2019-04-09T13:42:48Z</dcterms:modified>
</cp:coreProperties>
</file>

<file path=docProps/custom.xml><?xml version="1.0" encoding="utf-8"?>
<Properties xmlns="http://schemas.openxmlformats.org/officeDocument/2006/custom-properties" xmlns:vt="http://schemas.openxmlformats.org/officeDocument/2006/docPropsVTypes"/>
</file>