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20.jpg" ContentType="image/jpeg"/>
  <Override PartName="/word/media/rId71.png" ContentType="image/png"/>
  <Override PartName="/word/media/rId267.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50.png" ContentType="image/png"/>
  <Override PartName="/word/media/rId78.png" ContentType="image/png"/>
  <Override PartName="/word/media/rId86.png" ContentType="image/png"/>
  <Override PartName="/word/media/rId100.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 Robert Rowe implemented linked lists in the</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1"/>
      </w:r>
    </w:p>
    <w:p>
      <w:pPr>
        <w:pStyle w:val="Heading5"/>
      </w:pPr>
      <w:bookmarkStart w:id="112" w:name="selva"/>
      <w:r>
        <w:t xml:space="preserve">Selva</w:t>
      </w:r>
      <w:bookmarkEnd w:id="112"/>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3"/>
      </w:r>
      <w:r>
        <w:t xml:space="preserve"> </w:t>
      </w:r>
      <w:r>
        <w:t xml:space="preserve">using 14-hour long recordings taken from a forest</w:t>
      </w:r>
      <w:r>
        <w:rPr>
          <w:rStyle w:val="FootnoteReference"/>
        </w:rPr>
        <w:footnoteReference w:id="115"/>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6" w:name="ocean"/>
      <w:r>
        <w:t xml:space="preserve">Ocean</w:t>
      </w:r>
      <w:bookmarkEnd w:id="116"/>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7" w:name="molecules"/>
      <w:r>
        <w:t xml:space="preserve">Molecules</w:t>
      </w:r>
      <w:bookmarkEnd w:id="117"/>
    </w:p>
    <w:p>
      <w:pPr>
        <w:pStyle w:val="FirstParagraph"/>
      </w:pPr>
      <w:r>
        <w:t xml:space="preserve">Morawitz (2016)</w:t>
      </w:r>
      <w:r>
        <w:t xml:space="preserve"> </w:t>
      </w:r>
      <w:r>
        <w:t xml:space="preserve">(Morawitz 2016)</w:t>
      </w:r>
      <w:r>
        <w:t xml:space="preserve"> </w:t>
      </w:r>
      <w:r>
        <w:t xml:space="preserve">used molecular sonification in his piece</w:t>
      </w:r>
      <w:r>
        <w:t xml:space="preserve"> </w:t>
      </w:r>
      <w:r>
        <w:rPr>
          <w:i/>
        </w:rPr>
        <w:t xml:space="preserve">Spin Dynamics</w:t>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8" w:name="gender-distribution"/>
      <w:r>
        <w:t xml:space="preserve">Gender Distribution</w:t>
      </w:r>
      <w:bookmarkEnd w:id="118"/>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9" w:name="sonification:installations"/>
      <w:r>
        <w:t xml:space="preserve">Sonification Installations</w:t>
      </w:r>
      <w:bookmarkEnd w:id="119"/>
    </w:p>
    <w:p>
      <w:pPr>
        <w:pStyle w:val="Heading5"/>
      </w:pPr>
      <w:bookmarkStart w:id="120" w:name="ip-based-soundscape"/>
      <w:r>
        <w:t xml:space="preserve">IP-based soundscape</w:t>
      </w:r>
      <w:bookmarkEnd w:id="120"/>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1" w:name="earthquakes"/>
      <w:r>
        <w:t xml:space="preserve">Earthquakes</w:t>
      </w:r>
      <w:bookmarkEnd w:id="121"/>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2" w:name="gpu-based-waveforms"/>
      <w:r>
        <w:t xml:space="preserve">GPU-based waveforms</w:t>
      </w:r>
      <w:bookmarkEnd w:id="122"/>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3"/>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5"/>
      </w:r>
      <w:r>
        <w:t xml:space="preserve">, they used the generated waveforms as a database, composing each waveform together with their visual generators as a collage.</w:t>
      </w:r>
    </w:p>
    <w:p>
      <w:pPr>
        <w:pStyle w:val="Heading5"/>
      </w:pPr>
      <w:bookmarkStart w:id="127" w:name="ucanny-faces"/>
      <w:r>
        <w:t xml:space="preserve">Ucanny Faces</w:t>
      </w:r>
      <w:bookmarkEnd w:id="127"/>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8" w:name="sonification:software"/>
      <w:r>
        <w:t xml:space="preserve">Sonification Software</w:t>
      </w:r>
      <w:bookmarkEnd w:id="128"/>
    </w:p>
    <w:p>
      <w:pPr>
        <w:pStyle w:val="Heading5"/>
      </w:pPr>
      <w:bookmarkStart w:id="129" w:name="sonart"/>
      <w:r>
        <w:t xml:space="preserve">SonArt</w:t>
      </w:r>
      <w:bookmarkEnd w:id="12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0" w:name="dataplayer"/>
      <w:r>
        <w:t xml:space="preserve">DataPlayer</w:t>
      </w:r>
      <w:bookmarkEnd w:id="13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1" w:name="madbpm"/>
      <w:r>
        <w:t xml:space="preserve">madBPM</w:t>
      </w:r>
      <w:bookmarkEnd w:id="131"/>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32" w:name="computer_music"/>
      <w:r>
        <w:t xml:space="preserve">Computer Music</w:t>
      </w:r>
      <w:bookmarkEnd w:id="132"/>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4"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3"/>
                    <a:stretch>
                      <a:fillRect/>
                    </a:stretch>
                  </pic:blipFill>
                  <pic:spPr bwMode="auto">
                    <a:xfrm>
                      <a:off x="0" y="0"/>
                      <a:ext cx="1181100" cy="863600"/>
                    </a:xfrm>
                    <a:prstGeom prst="rect">
                      <a:avLst/>
                    </a:prstGeom>
                    <a:noFill/>
                    <a:ln w="9525">
                      <a:noFill/>
                      <a:headEnd/>
                      <a:tailEnd/>
                    </a:ln>
                  </pic:spPr>
                </pic:pic>
              </a:graphicData>
            </a:graphic>
          </wp:inline>
        </w:drawing>
      </w:r>
      <w:bookmarkEnd w:id="134"/>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5" w:name="computer:sssp"/>
      <w:r>
        <w:t xml:space="preserve">Hierarchical environments</w:t>
      </w:r>
      <w:bookmarkEnd w:id="13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6" w:name="reducing-cognitive-burden"/>
      <w:r>
        <w:t xml:space="preserve">Reducing cognitive burden</w:t>
      </w:r>
      <w:bookmarkEnd w:id="136"/>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7"/>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8" w:name="a-hierarchical-representation"/>
      <w:r>
        <w:t xml:space="preserve">A Hierarchical Representation</w:t>
      </w:r>
      <w:bookmarkEnd w:id="13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9" w:name="black-boxing"/>
      <w:r>
        <w:t xml:space="preserve">Black-boxing</w:t>
      </w:r>
      <w:bookmarkEnd w:id="139"/>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0" w:name="computer:free"/>
      <w:r>
        <w:t xml:space="preserve">Generality and Portability</w:t>
      </w:r>
      <w:bookmarkEnd w:id="14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1" w:name="computer:vanilla"/>
      <w:r>
        <w:t xml:space="preserve">Simplification</w:t>
      </w:r>
      <w:bookmarkEnd w:id="14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2" w:name="computer:balance"/>
      <w:r>
        <w:t xml:space="preserve">Balance</w:t>
      </w:r>
      <w:bookmarkEnd w:id="142"/>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4" w:name="img:truax_generality_b"/>
      <w:r>
        <w:t xml:space="preserve">[img:truax_generality_b]</w:t>
      </w:r>
      <w:bookmarkEnd w:id="14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5" w:name="applications:notation"/>
      <w:r>
        <w:t xml:space="preserve">Music Notation Software</w:t>
      </w:r>
      <w:bookmarkEnd w:id="14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6" w:name="darms-and-score"/>
      <w:r>
        <w:t xml:space="preserve">DARMS and SCORE</w:t>
      </w:r>
      <w:bookmarkEnd w:id="14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7" w:name="from-staves-to-speakers"/>
      <w:r>
        <w:t xml:space="preserve">From Staves to Speakers</w:t>
      </w:r>
      <w:bookmarkEnd w:id="14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8" w:name="theoretical-performance"/>
      <w:r>
        <w:t xml:space="preserve">Theoretical Performance</w:t>
      </w:r>
      <w:bookmarkEnd w:id="14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9" w:name="enter-objects"/>
      <w:r>
        <w:t xml:space="preserve">Enter Objects</w:t>
      </w:r>
      <w:bookmarkEnd w:id="149"/>
    </w:p>
    <w:p>
      <w:pPr>
        <w:pStyle w:val="CaptionedFigure"/>
      </w:pPr>
      <w:bookmarkStart w:id="151"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50"/>
                    <a:stretch>
                      <a:fillRect/>
                    </a:stretch>
                  </pic:blipFill>
                  <pic:spPr bwMode="auto">
                    <a:xfrm>
                      <a:off x="0" y="0"/>
                      <a:ext cx="5334000" cy="1616153"/>
                    </a:xfrm>
                    <a:prstGeom prst="rect">
                      <a:avLst/>
                    </a:prstGeom>
                    <a:noFill/>
                    <a:ln w="9525">
                      <a:noFill/>
                      <a:headEnd/>
                      <a:tailEnd/>
                    </a:ln>
                  </pic:spPr>
                </pic:pic>
              </a:graphicData>
            </a:graphic>
          </wp:inline>
        </w:drawing>
      </w:r>
      <w:bookmarkEnd w:id="151"/>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2" w:name="computer:real-time"/>
      <w:r>
        <w:t xml:space="preserve">Max</w:t>
      </w:r>
      <w:bookmarkEnd w:id="152"/>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3"/>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4" w:name="computer:kyma"/>
      <w:r>
        <w:t xml:space="preserve">Kyma</w:t>
      </w:r>
      <w:bookmarkEnd w:id="154"/>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5"/>
      </w:r>
    </w:p>
    <w:p>
      <w:pPr>
        <w:pStyle w:val="Heading5"/>
      </w:pPr>
      <w:bookmarkStart w:id="157" w:name="computer:puredata"/>
      <w:r>
        <w:t xml:space="preserve">Pure Data</w:t>
      </w:r>
      <w:bookmarkEnd w:id="157"/>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8" w:name="graphic_scores"/>
      <w:r>
        <w:t xml:space="preserve">Graphic Scores</w:t>
      </w:r>
      <w:bookmarkEnd w:id="158"/>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9"/>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60" w:name="openmusic"/>
      <w:r>
        <w:t xml:space="preserve">OpenMusic</w:t>
      </w:r>
      <w:bookmarkEnd w:id="160"/>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61" w:name="heaps-and-nodes"/>
      <w:r>
        <w:t xml:space="preserve">Heaps and Nodes</w:t>
      </w:r>
      <w:bookmarkEnd w:id="161"/>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62" w:name="applications"/>
      <w:r>
        <w:t xml:space="preserve">Applications</w:t>
      </w:r>
      <w:bookmarkEnd w:id="162"/>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 In this section, I provide a glimpse of the many shapes that this reconfiguration has taken, some in the form of artistic ventures, program extensions, and some as innovative research. In any case, these examples point to moments in which data structure design changed computer music.</w:t>
      </w:r>
    </w:p>
    <w:p>
      <w:pPr>
        <w:pStyle w:val="Heading4"/>
      </w:pPr>
      <w:bookmarkStart w:id="163" w:name="corpus-based"/>
      <w:r>
        <w:t xml:space="preserve">Corpus-based</w:t>
      </w:r>
      <w:bookmarkEnd w:id="163"/>
    </w:p>
    <w:p>
      <w:pPr>
        <w:pStyle w:val="Heading5"/>
      </w:pPr>
      <w:bookmarkStart w:id="164" w:name="concatenative"/>
      <w:r>
        <w:t xml:space="preserve">Concatenative</w:t>
      </w:r>
      <w:bookmarkEnd w:id="164"/>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w:t>
      </w:r>
    </w:p>
    <w:p>
      <w:pPr>
        <w:pStyle w:val="Heading5"/>
      </w:pPr>
      <w:bookmarkStart w:id="165" w:name="alternative-approaches-to-concatenation"/>
      <w:r>
        <w:t xml:space="preserve">Alternative approaches to concatenation</w:t>
      </w:r>
      <w:bookmarkEnd w:id="165"/>
    </w:p>
    <w:p>
      <w:pPr>
        <w:pStyle w:val="FirstParagraph"/>
      </w:pPr>
      <w:r>
        <w:t xml:space="preserve">Kobayashi (2003)</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 very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w:t>
      </w:r>
    </w:p>
    <w:p>
      <w:pPr>
        <w:pStyle w:val="Heading5"/>
      </w:pPr>
      <w:bookmarkStart w:id="166" w:name="orchestration"/>
      <w:r>
        <w:t xml:space="preserve">Orchestration</w:t>
      </w:r>
      <w:bookmarkEnd w:id="166"/>
    </w:p>
    <w:p>
      <w:pPr>
        <w:pStyle w:val="FirstParagraph"/>
      </w:pPr>
      <w:r>
        <w:t xml:space="preserve">“</w:t>
      </w:r>
      <w:r>
        <w:t xml:space="preserve">a new tool for computer-aided orchestration, with which composers can specify a target sound and replicate it with a given, pre-determined orchestra</w:t>
      </w:r>
      <w:r>
        <w:t xml:space="preserve">”</w:t>
      </w:r>
      <w:r>
        <w:t xml:space="preserve"> </w:t>
      </w:r>
      <w:r>
        <w:t xml:space="preserve">(Carpentier et al. 2006)</w:t>
      </w:r>
      <w:r>
        <w:t xml:space="preserve"> </w:t>
      </w:r>
      <w:r>
        <w:t xml:space="preserve">two paradigms:</w:t>
      </w:r>
      <w:r>
        <w:t xml:space="preserve"> </w:t>
      </w:r>
      <w:r>
        <w:t xml:space="preserve">“</w:t>
      </w:r>
      <w:r>
        <w:t xml:space="preserve">must be reasonably small and understandable to a composer.</w:t>
      </w:r>
      <w:r>
        <w:t xml:space="preserve">”</w:t>
      </w:r>
      <w:r>
        <w:t xml:space="preserve"> </w:t>
      </w:r>
      <w:r>
        <w:t xml:space="preserve">“</w:t>
      </w:r>
      <w:r>
        <w:t xml:space="preserve">as interactive as possible, giving the user full control of each step of the orchestration process.</w:t>
      </w:r>
      <w:r>
        <w:t xml:space="preserve">”</w:t>
      </w:r>
    </w:p>
    <w:p>
      <w:pPr>
        <w:pStyle w:val="Heading5"/>
      </w:pPr>
      <w:bookmarkStart w:id="167" w:name="software-libraries"/>
      <w:r>
        <w:t xml:space="preserve">Software Libraries</w:t>
      </w:r>
      <w:bookmarkEnd w:id="167"/>
    </w:p>
    <w:p>
      <w:pPr>
        <w:pStyle w:val="FirstParagraph"/>
      </w:pPr>
      <w:r>
        <w:t xml:space="preserve">Scwharz designed</w:t>
      </w:r>
      <w:r>
        <w:t xml:space="preserve"> </w:t>
      </w:r>
      <w:r>
        <w:t xml:space="preserve">catart</w:t>
      </w:r>
      <w:r>
        <w:t xml:space="preserve"> </w:t>
      </w:r>
      <w:r>
        <w:t xml:space="preserve">as a concatenative synthesis toolkit</w:t>
      </w:r>
      <w:r>
        <w:t xml:space="preserve"> </w:t>
      </w:r>
      <w:r>
        <w:t xml:space="preserve">(Schwarz 2006b)</w:t>
      </w:r>
      <w:r>
        <w:t xml:space="preserve">, and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BodyText"/>
      </w:pP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w:t>
      </w:r>
    </w:p>
    <w:p>
      <w:pPr>
        <w:pStyle w:val="BodyText"/>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w:t>
      </w:r>
      <w:r>
        <w:t xml:space="preserve"> </w:t>
      </w:r>
      <w:r>
        <w:t xml:space="preserve">bfcc</w:t>
      </w:r>
      <w:r>
        <w:t xml:space="preserve"> </w:t>
      </w:r>
      <w:r>
        <w:t xml:space="preserve">performed on multiple successive analysis windows was the most efficient way to do so. Thus, a database of percussive sounds could be navigated by performing this type of analysis, enabling a fast and</w:t>
      </w:r>
      <w:r>
        <w:t xml:space="preserve"> </w:t>
      </w:r>
      <w:r>
        <w:t xml:space="preserve">cpu</w:t>
      </w:r>
      <w:r>
        <w:t xml:space="preserve">-inexpensive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BodyText"/>
      </w:pPr>
      <w:r>
        <w:t xml:space="preserve">essentia</w:t>
      </w:r>
      <w:r>
        <w:t xml:space="preserve"> </w:t>
      </w:r>
      <w:r>
        <w:t xml:space="preserve">(Bogdanov et al. 2013)</w:t>
      </w:r>
    </w:p>
    <w:p>
      <w:pPr>
        <w:pStyle w:val="Heading4"/>
      </w:pPr>
      <w:bookmarkStart w:id="168" w:name="querying-methods"/>
      <w:r>
        <w:t xml:space="preserve">Querying Methods</w:t>
      </w:r>
      <w:bookmarkEnd w:id="168"/>
    </w:p>
    <w:p>
      <w:pPr>
        <w:pStyle w:val="Heading5"/>
      </w:pPr>
      <w:bookmarkStart w:id="169" w:name="query-by-content"/>
      <w:r>
        <w:t xml:space="preserve">Query-by-content</w:t>
      </w:r>
      <w:bookmarkEnd w:id="169"/>
    </w:p>
    <w:p>
      <w:pPr>
        <w:pStyle w:val="FirstParagraph"/>
      </w:pPr>
      <w:r>
        <w:t xml:space="preserve">One of the innovations that brought together</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queries, these keywords relating to content enable</w:t>
      </w:r>
      <w:r>
        <w:t xml:space="preserve"> </w:t>
      </w:r>
      <w:r>
        <w:t xml:space="preserve">‘</w:t>
      </w:r>
      <w:r>
        <w:t xml:space="preserve">query-by-content</w:t>
      </w:r>
      <w:r>
        <w:t xml:space="preserve">’</w:t>
      </w:r>
      <w:r>
        <w:t xml:space="preserve"> </w:t>
      </w:r>
      <w:r>
        <w:t xml:space="preserve">database searches. Today, many online databases such as</w:t>
      </w:r>
      <w:r>
        <w:t xml:space="preserve"> </w:t>
      </w:r>
      <w:r>
        <w:t xml:space="preserve">freesound</w:t>
      </w:r>
      <w:r>
        <w:t xml:space="preserve"> </w:t>
      </w:r>
      <w:r>
        <w:t xml:space="preserve">or</w:t>
      </w:r>
      <w:r>
        <w:t xml:space="preserve"> </w:t>
      </w:r>
      <w:r>
        <w:t xml:space="preserve">looperman</w:t>
      </w:r>
      <w:r>
        <w:t xml:space="preserve"> </w:t>
      </w:r>
      <w:r>
        <w:t xml:space="preserve">already enable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content-based querying of audio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and many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 such as</w:t>
      </w:r>
      <w:r>
        <w:t xml:space="preserve"> </w:t>
      </w:r>
      <w:r>
        <w:rPr>
          <w:i/>
        </w:rPr>
        <w:t xml:space="preserve">Data Jockey</w:t>
      </w:r>
      <w:r>
        <w:t xml:space="preserve"> </w:t>
      </w:r>
      <w:r>
        <w:t xml:space="preserve">(Norman &amp; Amatriain 2007)</w:t>
      </w:r>
      <w:r>
        <w:t xml:space="preserve">. Besides other</w:t>
      </w:r>
      <w:r>
        <w:t xml:space="preserve"> </w:t>
      </w:r>
      <w:r>
        <w:t xml:space="preserve">mir</w:t>
      </w:r>
      <w:r>
        <w:t xml:space="preserve"> </w:t>
      </w:r>
      <w:r>
        <w:t xml:space="preserve">techniques such as beat recognition and synchronization, with this software this system enabled users generation of personalized audio description databases that could be queried by tags and metadata, but most importantly by content.</w:t>
      </w:r>
    </w:p>
    <w:p>
      <w:pPr>
        <w:pStyle w:val="Heading5"/>
      </w:pPr>
      <w:bookmarkStart w:id="170" w:name="similarities"/>
      <w:r>
        <w:t xml:space="preserve">Similarities</w:t>
      </w:r>
      <w:bookmarkEnd w:id="170"/>
    </w:p>
    <w:p>
      <w:pPr>
        <w:pStyle w:val="FirstParagraph"/>
      </w:pPr>
      <w:r>
        <w:t xml:space="preserve">Real-time uses of content-based querying result in a much different approach. Instead of typing the descriptive keyword, users would be able to input sounds (by singing or by providing any other sample array) in order to obtain a target sound file from an audio database. These systems generally use spectral similarities between the incoming signal from a microphone to obtain matches from a database of audio segments. Concatenative syntesis uses this type of technique but for the single purpose of sample concatenation (at the analysis frame level). In this sense, concatenative synthesis is really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a software system dedicate to real-time matching of audio-visual streams by using audio input as feed for an audio shingling algorithm based on</w:t>
      </w:r>
      <w:r>
        <w:t xml:space="preserve"> </w:t>
      </w:r>
      <w:r>
        <w:t xml:space="preserve">lfccs</w:t>
      </w:r>
      <w:r>
        <w:t xml:space="preserve">.</w:t>
      </w:r>
      <w:r>
        <w:rPr>
          <w:rStyle w:val="FootnoteReference"/>
        </w:rPr>
        <w:footnoteReference w:id="171"/>
      </w:r>
    </w:p>
    <w:p>
      <w:pPr>
        <w:pStyle w:val="BodyText"/>
      </w:pPr>
      <w:r>
        <w:t xml:space="preserve">Navigating a database by way of similarities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72"/>
      </w:r>
      <w:r>
        <w:t xml:space="preserve"> </w:t>
      </w:r>
      <w:r>
        <w:t xml:space="preserve">This database contained information from some audio descriptors such as brightness, noisiness, and loudness of the beginning of each analyzed sound file. The participants were able to navigate a bank of percussion timbres based on basic spectral content. Frisson’s PhD dissertation provides an overview of multimedia browsing by similarity</w:t>
      </w:r>
      <w:r>
        <w:t xml:space="preserve"> </w:t>
      </w:r>
      <w:r>
        <w:t xml:space="preserve">(Frisson 2015)</w:t>
      </w:r>
      <w:r>
        <w:t xml:space="preserve">.</w:t>
      </w:r>
    </w:p>
    <w:p>
      <w:pPr>
        <w:pStyle w:val="Heading5"/>
      </w:pPr>
      <w:bookmarkStart w:id="173" w:name="hybrid-queries"/>
      <w:r>
        <w:t xml:space="preserve">Hybrid Queries</w:t>
      </w:r>
      <w:bookmarkEnd w:id="173"/>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74" w:name="traversing"/>
      <w:r>
        <w:t xml:space="preserve">Traversing</w:t>
      </w:r>
      <w:bookmarkEnd w:id="174"/>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5" w:name="sensorial-networks"/>
      <w:r>
        <w:t xml:space="preserve">Sensorial Networks</w:t>
      </w:r>
      <w:bookmarkEnd w:id="175"/>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6" w:name="involuntary-navigation"/>
      <w:r>
        <w:t xml:space="preserve">Involuntary Navigation</w:t>
      </w:r>
      <w:bookmarkEnd w:id="176"/>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7" w:name="networked-collaborations"/>
      <w:r>
        <w:t xml:space="preserve">Networked Collaborations</w:t>
      </w:r>
      <w:bookmarkEnd w:id="177"/>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8" w:name="mobile-devices"/>
      <w:r>
        <w:t xml:space="preserve">Mobile Devices</w:t>
      </w:r>
      <w:bookmarkEnd w:id="178"/>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9" w:name="resource-sharing"/>
      <w:r>
        <w:t xml:space="preserve">Resource Sharing</w:t>
      </w:r>
      <w:bookmarkEnd w:id="179"/>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80"/>
      </w:r>
      <w:r>
        <w:t xml:space="preserve"> </w:t>
      </w:r>
      <w:r>
        <w:t xml:space="preserve">In any case, what is common between these forms of sharing is an entropic and endless plurality.</w:t>
      </w:r>
    </w:p>
    <w:p>
      <w:pPr>
        <w:pStyle w:val="Heading5"/>
      </w:pPr>
      <w:bookmarkStart w:id="181" w:name="multimodal-datasets"/>
      <w:r>
        <w:t xml:space="preserve">Multimodal Datasets</w:t>
      </w:r>
      <w:bookmarkEnd w:id="181"/>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82" w:name="formats"/>
      <w:r>
        <w:t xml:space="preserve">Formats</w:t>
      </w:r>
      <w:bookmarkEnd w:id="182"/>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83" w:name="live-coding"/>
      <w:r>
        <w:t xml:space="preserve">Live Coding</w:t>
      </w:r>
      <w:bookmarkEnd w:id="183"/>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BodyText"/>
      </w:pPr>
      <w:r>
        <w:t xml:space="preserve">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p>
    <w:p>
      <w:pPr>
        <w:pStyle w:val="Heading1"/>
      </w:pPr>
      <w:bookmarkStart w:id="184" w:name="chapter:Database_Aesthetics"/>
      <w:r>
        <w:t xml:space="preserve">Database Aesthetics</w:t>
      </w:r>
      <w:bookmarkEnd w:id="184"/>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5" w:name="section:Listening_Databases"/>
      <w:r>
        <w:t xml:space="preserve">Listening Databases</w:t>
      </w:r>
      <w:bookmarkEnd w:id="185"/>
    </w:p>
    <w:p>
      <w:pPr>
        <w:pStyle w:val="Heading3"/>
      </w:pPr>
      <w:bookmarkStart w:id="186" w:name="resonance_of_a_return"/>
      <w:r>
        <w:t xml:space="preserve">The Resonance Of A Return</w:t>
      </w:r>
      <w:bookmarkEnd w:id="186"/>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7" w:name="sonorous-presence"/>
      <w:r>
        <w:t xml:space="preserve">Sonorous presence</w:t>
      </w:r>
      <w:bookmarkEnd w:id="187"/>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8" w:name="an-a-priori-filter"/>
      <w:r>
        <w:t xml:space="preserve">An a priori filter</w:t>
      </w:r>
      <w:bookmarkEnd w:id="188"/>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9" w:name="sonorous-presence-in-an-attack"/>
      <w:r>
        <w:t xml:space="preserve">Sonorous presence in an attack</w:t>
      </w:r>
      <w:bookmarkEnd w:id="189"/>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90" w:name="referrals-and-deferrals"/>
      <w:r>
        <w:t xml:space="preserve">Referrals and Deferrals</w:t>
      </w:r>
      <w:bookmarkEnd w:id="190"/>
    </w:p>
    <w:p>
      <w:pPr>
        <w:pStyle w:val="FirstParagraph"/>
      </w:pPr>
      <w:r>
        <w:t xml:space="preserve">The structure of the listening experience is one of infinite referrals and deferrals.</w:t>
      </w:r>
      <w:r>
        <w:rPr>
          <w:rStyle w:val="FootnoteReference"/>
        </w:rPr>
        <w:footnoteReference w:id="191"/>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2" w:name="a-loop"/>
      <w:r>
        <w:t xml:space="preserve">A Loop</w:t>
      </w:r>
      <w:bookmarkEnd w:id="192"/>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3" w:name="an-approach-to-self"/>
      <w:r>
        <w:t xml:space="preserve">An Approach to Self</w:t>
      </w:r>
      <w:bookmarkEnd w:id="19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4"/>
      </w:r>
    </w:p>
    <w:p>
      <w:pPr>
        <w:pStyle w:val="Heading3"/>
      </w:pPr>
      <w:bookmarkStart w:id="195" w:name="network"/>
      <w:r>
        <w:t xml:space="preserve">Resonant Network</w:t>
      </w:r>
      <w:bookmarkEnd w:id="195"/>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6" w:name="an-illusory-violin"/>
      <w:r>
        <w:t xml:space="preserve">An Illusory Violin</w:t>
      </w:r>
      <w:bookmarkEnd w:id="196"/>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7" w:name="virtuality"/>
      <w:r>
        <w:t xml:space="preserve">Virtuality</w:t>
      </w:r>
      <w:bookmarkEnd w:id="197"/>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8" w:name="performativity-of-networks"/>
      <w:r>
        <w:t xml:space="preserve">Performativity of Networks</w:t>
      </w:r>
      <w:bookmarkEnd w:id="198"/>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9" w:name="a-resonant-movement-of-a-thing"/>
      <w:r>
        <w:t xml:space="preserve">A Resonant Movement of a Thing</w:t>
      </w:r>
      <w:bookmarkEnd w:id="199"/>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200" w:name="positive-feedback"/>
      <w:r>
        <w:t xml:space="preserve">Positive Feedback</w:t>
      </w:r>
      <w:bookmarkEnd w:id="200"/>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1" w:name="the-work-of-actors"/>
      <w:r>
        <w:t xml:space="preserve">The Work of Actors</w:t>
      </w:r>
      <w:bookmarkEnd w:id="201"/>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2" w:name="inoperativity"/>
      <w:r>
        <w:t xml:space="preserve">The Unworking Network</w:t>
      </w:r>
      <w:bookmarkEnd w:id="202"/>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3" w:name="community-as-unwork"/>
      <w:r>
        <w:t xml:space="preserve">Community as unwork</w:t>
      </w:r>
      <w:bookmarkEnd w:id="203"/>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4" w:name="resonant-inoperativity"/>
      <w:r>
        <w:t xml:space="preserve">Resonant Inoperativity</w:t>
      </w:r>
      <w:bookmarkEnd w:id="204"/>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5" w:name="space-of-community"/>
      <w:r>
        <w:t xml:space="preserve">Space of Community</w:t>
      </w:r>
      <w:bookmarkEnd w:id="205"/>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6" w:name="at-the-limit"/>
      <w:r>
        <w:t xml:space="preserve">At the Limit</w:t>
      </w:r>
      <w:bookmarkEnd w:id="206"/>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7" w:name="reticulated-skin"/>
      <w:r>
        <w:t xml:space="preserve">Reticulated Skin</w:t>
      </w:r>
      <w:bookmarkEnd w:id="207"/>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8" w:name="resistance-in-database-music"/>
      <w:r>
        <w:t xml:space="preserve">Resistance in Database Music</w:t>
      </w:r>
      <w:bookmarkEnd w:id="208"/>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9" w:name="section:Databases_And_Memory"/>
      <w:r>
        <w:t xml:space="preserve">Databases And Memory</w:t>
      </w:r>
      <w:bookmarkEnd w:id="209"/>
    </w:p>
    <w:p>
      <w:pPr>
        <w:pStyle w:val="Heading3"/>
      </w:pPr>
      <w:bookmarkStart w:id="210" w:name="funeslude"/>
      <w:r>
        <w:t xml:space="preserve">Interlude: Embodied Memory</w:t>
      </w:r>
      <w:bookmarkEnd w:id="21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1"/>
      </w:r>
      <w:r>
        <w:t xml:space="preserve"> </w:t>
      </w:r>
      <w:r>
        <w:t xml:space="preserve">he was secluded in a dark and enclosed space so as not to perceive the world.</w:t>
      </w:r>
      <w:r>
        <w:rPr>
          <w:rStyle w:val="FootnoteReference"/>
        </w:rPr>
        <w:footnoteReference w:id="212"/>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3"/>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4"/>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5"/>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6"/>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8" w:name="human"/>
      <w:r>
        <w:t xml:space="preserve">The Effraction Of The Trace</w:t>
      </w:r>
      <w:bookmarkEnd w:id="218"/>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9"/>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20" w:name="memory-as-breaching"/>
      <w:r>
        <w:t xml:space="preserve">Memory as Breaching</w:t>
      </w:r>
      <w:bookmarkEnd w:id="220"/>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1" w:name="breaching-and-différance"/>
      <w:r>
        <w:t xml:space="preserve">Breaching and</w:t>
      </w:r>
      <w:r>
        <w:t xml:space="preserve"> </w:t>
      </w:r>
      <w:r>
        <w:rPr>
          <w:i/>
        </w:rPr>
        <w:t xml:space="preserve">différance</w:t>
      </w:r>
      <w:bookmarkEnd w:id="221"/>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2" w:name="hypomnesis-and-the-mystic-pad"/>
      <w:r>
        <w:t xml:space="preserve">Hypomnesis and the Mystic Pad</w:t>
      </w:r>
      <w:bookmarkEnd w:id="222"/>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3" w:name="nonhuman-authors"/>
      <w:r>
        <w:t xml:space="preserve">Nonhuman Authors</w:t>
      </w:r>
      <w:bookmarkEnd w:id="223"/>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4" w:name="database-as-agents"/>
      <w:r>
        <w:t xml:space="preserve">Database as Agents</w:t>
      </w:r>
      <w:bookmarkEnd w:id="224"/>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5" w:name="archontic"/>
      <w:r>
        <w:t xml:space="preserve">The Archontic Principle</w:t>
      </w:r>
      <w:bookmarkEnd w:id="225"/>
    </w:p>
    <w:p>
      <w:pPr>
        <w:pStyle w:val="Heading5"/>
      </w:pPr>
      <w:bookmarkStart w:id="226" w:name="archives-and-memory"/>
      <w:r>
        <w:t xml:space="preserve">Archives and Memory</w:t>
      </w:r>
      <w:bookmarkEnd w:id="226"/>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7" w:name="hierarchies"/>
      <w:r>
        <w:t xml:space="preserve">Hierarchies</w:t>
      </w:r>
      <w:bookmarkEnd w:id="227"/>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8" w:name="archontic-principle"/>
      <w:r>
        <w:t xml:space="preserve">Archontic Principle</w:t>
      </w:r>
      <w:bookmarkEnd w:id="228"/>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9" w:name="patriarchy"/>
      <w:r>
        <w:t xml:space="preserve">Patriarchy</w:t>
      </w:r>
      <w:bookmarkEnd w:id="229"/>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30" w:name="institutional-passage"/>
      <w:r>
        <w:t xml:space="preserve">Institutional Passage</w:t>
      </w:r>
      <w:bookmarkEnd w:id="230"/>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1" w:name="authorities"/>
      <w:r>
        <w:t xml:space="preserve">Authorities</w:t>
      </w:r>
      <w:bookmarkEnd w:id="231"/>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2" w:name="anarchic-memory"/>
      <w:r>
        <w:t xml:space="preserve">Anarchic Memory</w:t>
      </w:r>
      <w:bookmarkEnd w:id="232"/>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3" w:name="collective-memory"/>
      <w:r>
        <w:t xml:space="preserve">Collective Memory</w:t>
      </w:r>
      <w:bookmarkEnd w:id="233"/>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4" w:name="writing-code"/>
      <w:r>
        <w:t xml:space="preserve">Writing Code</w:t>
      </w:r>
      <w:bookmarkEnd w:id="234"/>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5"/>
      </w:r>
    </w:p>
    <w:p>
      <w:pPr>
        <w:pStyle w:val="Heading5"/>
      </w:pPr>
      <w:bookmarkStart w:id="237" w:name="anarchic-computer-memory"/>
      <w:r>
        <w:t xml:space="preserve">Anarchic Computer Memory</w:t>
      </w:r>
      <w:bookmarkEnd w:id="237"/>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8" w:name="spectrality"/>
      <w:r>
        <w:t xml:space="preserve">The Spectral Database</w:t>
      </w:r>
      <w:bookmarkEnd w:id="238"/>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9" w:name="computer-memory-and-writing"/>
      <w:r>
        <w:t xml:space="preserve">Computer Memory and Writing</w:t>
      </w:r>
      <w:bookmarkEnd w:id="239"/>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40" w:name="memory-replacement"/>
      <w:r>
        <w:t xml:space="preserve">Memory Replacement</w:t>
      </w:r>
      <w:bookmarkEnd w:id="240"/>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1" w:name="anarchic-records"/>
      <w:r>
        <w:t xml:space="preserve">Anarchic Records</w:t>
      </w:r>
      <w:bookmarkEnd w:id="241"/>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2"/>
      </w:r>
      <w:r>
        <w:t xml:space="preserve"> </w:t>
      </w:r>
      <w:r>
        <w:t xml:space="preserve">becomes an archivization process, that is, a process by which symbolic transcription leads to an ordered archive, i.e., a score.</w:t>
      </w:r>
      <w:r>
        <w:rPr>
          <w:rStyle w:val="FootnoteReference"/>
        </w:rPr>
        <w:footnoteReference w:id="244"/>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5" w:name="memory-and-framing"/>
      <w:r>
        <w:t xml:space="preserve">Memory and Framing</w:t>
      </w:r>
      <w:bookmarkEnd w:id="245"/>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6" w:name="nonhuman-tympans"/>
      <w:r>
        <w:t xml:space="preserve">Nonhuman Tympans</w:t>
      </w:r>
      <w:bookmarkEnd w:id="246"/>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7" w:name="spectrality-of-archives"/>
      <w:r>
        <w:t xml:space="preserve">Spectrality of Archives</w:t>
      </w:r>
      <w:bookmarkEnd w:id="247"/>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8" w:name="spectrality-of-databases"/>
      <w:r>
        <w:t xml:space="preserve">Spectrality of Databases</w:t>
      </w:r>
      <w:bookmarkEnd w:id="248"/>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9" w:name="agency-of-the-uncanny"/>
      <w:r>
        <w:t xml:space="preserve">Agency of the Uncanny</w:t>
      </w:r>
      <w:bookmarkEnd w:id="249"/>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50" w:name="section:Performativity_Of_Databases"/>
      <w:r>
        <w:t xml:space="preserve">Performativity Of Databases</w:t>
      </w:r>
      <w:bookmarkEnd w:id="250"/>
    </w:p>
    <w:p>
      <w:pPr>
        <w:pStyle w:val="Heading3"/>
      </w:pPr>
      <w:bookmarkStart w:id="251" w:name="gender"/>
      <w:r>
        <w:t xml:space="preserve">Gendered Database</w:t>
      </w:r>
      <w:bookmarkEnd w:id="2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2" w:name="skin-of-the-database"/>
      <w:r>
        <w:t xml:space="preserve">Skin of the Database</w:t>
      </w:r>
      <w:bookmarkEnd w:id="252"/>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3" w:name="expressing-nothing"/>
      <w:r>
        <w:t xml:space="preserve">Expressing Nothing</w:t>
      </w:r>
      <w:bookmarkEnd w:id="253"/>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4" w:name="a-historical-situation"/>
      <w:r>
        <w:t xml:space="preserve">A Historical Situation</w:t>
      </w:r>
      <w:bookmarkEnd w:id="254"/>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5" w:name="subversive-repetition"/>
      <w:r>
        <w:t xml:space="preserve">Subversive Repetition</w:t>
      </w:r>
      <w:bookmarkEnd w:id="255"/>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6" w:name="gendered-database"/>
      <w:r>
        <w:t xml:space="preserve">Gendered Database</w:t>
      </w:r>
      <w:bookmarkEnd w:id="256"/>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7" w:name="limits"/>
      <w:r>
        <w:t xml:space="preserve">Towards The Limits</w:t>
      </w:r>
      <w:bookmarkEnd w:id="257"/>
    </w:p>
    <w:p>
      <w:pPr>
        <w:pStyle w:val="Heading5"/>
      </w:pPr>
      <w:bookmarkStart w:id="258" w:name="exposure"/>
      <w:r>
        <w:t xml:space="preserve">Exposure</w:t>
      </w:r>
      <w:bookmarkEnd w:id="258"/>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9" w:name="anarchic-touch"/>
      <w:r>
        <w:t xml:space="preserve">Anarchic Touch</w:t>
      </w:r>
      <w:bookmarkEnd w:id="259"/>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60" w:name="communities-of-skin"/>
      <w:r>
        <w:t xml:space="preserve">Communities of Skin</w:t>
      </w:r>
      <w:bookmarkEnd w:id="260"/>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1" w:name="hybrid-pluralities"/>
      <w:r>
        <w:t xml:space="preserve">Hybrid Pluralities</w:t>
      </w:r>
      <w:bookmarkEnd w:id="261"/>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2" w:name="style"/>
      <w:r>
        <w:t xml:space="preserve">Contingencies Of Style</w:t>
      </w:r>
      <w:bookmarkEnd w:id="262"/>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3" w:name="style-and-timbre"/>
      <w:r>
        <w:t xml:space="preserve">Style and Timbre</w:t>
      </w:r>
      <w:bookmarkEnd w:id="263"/>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4"/>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5" w:name="endless-databases"/>
      <w:r>
        <w:t xml:space="preserve">Endless Databases</w:t>
      </w:r>
      <w:bookmarkEnd w:id="26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6" w:name="database-and-chaos"/>
      <w:r>
        <w:t xml:space="preserve">Database and Chaos</w:t>
      </w:r>
      <w:bookmarkEnd w:id="26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8" w:name="img:lorenz_plotter"/>
      <w:r>
        <w:t xml:space="preserve">[img:lorenz_plotter]</w:t>
      </w:r>
      <w:bookmarkEnd w:id="268"/>
    </w:p>
    <w:p>
      <w:pPr>
        <w:pStyle w:val="Heading5"/>
      </w:pPr>
      <w:bookmarkStart w:id="269" w:name="fractality"/>
      <w:r>
        <w:t xml:space="preserve">Fractality</w:t>
      </w:r>
      <w:bookmarkEnd w:id="26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70" w:name="a-music-work-as-a-singularity"/>
      <w:r>
        <w:t xml:space="preserve">A Music Work as a Singularity</w:t>
      </w:r>
      <w:bookmarkEnd w:id="27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1" w:name="arbitrariness"/>
      <w:r>
        <w:t xml:space="preserve">Arbitrariness</w:t>
      </w:r>
      <w:bookmarkEnd w:id="27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2" w:name="inoperative-style"/>
      <w:r>
        <w:t xml:space="preserve">Inoperative Style</w:t>
      </w:r>
      <w:bookmarkEnd w:id="272"/>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3" w:name="authority"/>
      <w:r>
        <w:t xml:space="preserve">A Specter Of Authority</w:t>
      </w:r>
      <w:bookmarkEnd w:id="27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4" w:name="the-name"/>
      <w:r>
        <w:t xml:space="preserve">The Name</w:t>
      </w:r>
      <w:bookmarkEnd w:id="27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5"/>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6" w:name="dictionaries"/>
      <w:r>
        <w:t xml:space="preserve">Dictionaries</w:t>
      </w:r>
      <w:bookmarkEnd w:id="276"/>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7" w:name="artistry"/>
      <w:r>
        <w:t xml:space="preserve">Artistry</w:t>
      </w:r>
      <w:bookmarkEnd w:id="277"/>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8"/>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9"/>
      </w:r>
    </w:p>
    <w:p>
      <w:pPr>
        <w:pStyle w:val="Heading5"/>
      </w:pPr>
      <w:bookmarkStart w:id="280" w:name="the-work-of-mice"/>
      <w:r>
        <w:t xml:space="preserve">The Work of Mice</w:t>
      </w:r>
      <w:bookmarkEnd w:id="280"/>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1" w:name="section:Rethinking_Composition"/>
      <w:r>
        <w:t xml:space="preserve">Rethinking Composition</w:t>
      </w:r>
      <w:bookmarkEnd w:id="281"/>
    </w:p>
    <w:p>
      <w:pPr>
        <w:pStyle w:val="Heading3"/>
      </w:pPr>
      <w:bookmarkStart w:id="282" w:name="performance"/>
      <w:r>
        <w:t xml:space="preserve">Interlude: Hyperbolic Reactions</w:t>
      </w:r>
      <w:bookmarkEnd w:id="282"/>
    </w:p>
    <w:p>
      <w:pPr>
        <w:pStyle w:val="Heading5"/>
      </w:pPr>
      <w:bookmarkStart w:id="283" w:name="imagining-composers"/>
      <w:r>
        <w:t xml:space="preserve">Imagining Composers</w:t>
      </w:r>
      <w:bookmarkEnd w:id="283"/>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4" w:name="composers-and-technology"/>
      <w:r>
        <w:t xml:space="preserve">Composers and Technology</w:t>
      </w:r>
      <w:bookmarkEnd w:id="284"/>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5" w:name="playing-with-shadows"/>
      <w:r>
        <w:t xml:space="preserve">Playing with Shadows</w:t>
      </w:r>
      <w:bookmarkEnd w:id="285"/>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6" w:name="composers-without-computers"/>
      <w:r>
        <w:t xml:space="preserve">Composers Without Computers</w:t>
      </w:r>
      <w:bookmarkEnd w:id="286"/>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7" w:name="databasing-without-computers"/>
      <w:r>
        <w:t xml:space="preserve">Databasing Without Computers</w:t>
      </w:r>
      <w:bookmarkEnd w:id="287"/>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8" w:name="organic"/>
      <w:r>
        <w:t xml:space="preserve">Working Composition</w:t>
      </w:r>
      <w:bookmarkEnd w:id="288"/>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9" w:name="the-work-problem"/>
      <w:r>
        <w:t xml:space="preserve">The Work Problem</w:t>
      </w:r>
      <w:bookmarkEnd w:id="289"/>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90" w:name="working-rules"/>
      <w:r>
        <w:t xml:space="preserve">Working Rules</w:t>
      </w:r>
      <w:bookmarkEnd w:id="290"/>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1" w:name="a-space-of-difference"/>
      <w:r>
        <w:t xml:space="preserve">A Space of Difference</w:t>
      </w:r>
      <w:bookmarkEnd w:id="291"/>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2"/>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3" w:name="a-severed-work"/>
      <w:r>
        <w:t xml:space="preserve">A Severed Work</w:t>
      </w:r>
      <w:bookmarkEnd w:id="293"/>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4" w:name="absorbption"/>
      <w:r>
        <w:t xml:space="preserve">Absorbption</w:t>
      </w:r>
      <w:bookmarkEnd w:id="294"/>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5" w:name="practice"/>
      <w:r>
        <w:t xml:space="preserve">The Composer As Navigator</w:t>
      </w:r>
      <w:bookmarkEnd w:id="29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6" w:name="querying-the-sieves"/>
      <w:r>
        <w:t xml:space="preserve">Querying the Sieves</w:t>
      </w:r>
      <w:bookmarkEnd w:id="296"/>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7"/>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300"/>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1"/>
      </w:r>
    </w:p>
    <w:p>
      <w:pPr>
        <w:pStyle w:val="Heading5"/>
      </w:pPr>
      <w:bookmarkStart w:id="302" w:name="sound-synthesis-parenthesis"/>
      <w:r>
        <w:t xml:space="preserve">Sound Synthesis Parenthesis</w:t>
      </w:r>
      <w:bookmarkEnd w:id="302"/>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3"/>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5" w:name="algebraic-abstractions-for-freedom"/>
      <w:r>
        <w:t xml:space="preserve">Algebraic Abstractions for Freedom</w:t>
      </w:r>
      <w:bookmarkEnd w:id="305"/>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6" w:name="a-cosmic-vessel-and-an-armchair"/>
      <w:r>
        <w:t xml:space="preserve">A Cosmic Vessel and an Armchair</w:t>
      </w:r>
      <w:bookmarkEnd w:id="306"/>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7"/>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8" w:name="improv"/>
      <w:r>
        <w:t xml:space="preserve">The Database As Performer</w:t>
      </w:r>
      <w:bookmarkEnd w:id="308"/>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9" w:name="the-computer-as-a-musical-instrument"/>
      <w:r>
        <w:t xml:space="preserve">The Computer as a Musical Instrument</w:t>
      </w:r>
      <w:bookmarkEnd w:id="309"/>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10" w:name="a-minor-liberty"/>
      <w:r>
        <w:t xml:space="preserve">A Minor Liberty</w:t>
      </w:r>
      <w:bookmarkEnd w:id="310"/>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1" w:name="the-computer-as-a-player"/>
      <w:r>
        <w:t xml:space="preserve">The Computer as a Player</w:t>
      </w:r>
      <w:bookmarkEnd w:id="311"/>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2" w:name="programming-decisions"/>
      <w:r>
        <w:t xml:space="preserve">Programming Decisions</w:t>
      </w:r>
      <w:bookmarkEnd w:id="312"/>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3" w:name="anachronic-composers"/>
      <w:r>
        <w:t xml:space="preserve">Anachronic Composers</w:t>
      </w:r>
      <w:bookmarkEnd w:id="313"/>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4" w:name="section"/>
      <w:bookmarkEnd w:id="314"/>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5"/>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6" w:name="nonhuman-composers"/>
      <w:r>
        <w:t xml:space="preserve">Nonhuman composers</w:t>
      </w:r>
      <w:bookmarkEnd w:id="316"/>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7" w:name="fractured-works"/>
      <w:r>
        <w:t xml:space="preserve">Fractured Works</w:t>
      </w:r>
      <w:bookmarkEnd w:id="317"/>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8" w:name="databasing-vessel"/>
      <w:r>
        <w:t xml:space="preserve">Databasing Vessel</w:t>
      </w:r>
      <w:bookmarkEnd w:id="318"/>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9" w:name="music"/>
      <w:r>
        <w:t xml:space="preserve">The Severed Object Of Music</w:t>
      </w:r>
      <w:bookmarkEnd w:id="319"/>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20" w:name="an-incomplete-object"/>
      <w:r>
        <w:t xml:space="preserve">An Incomplete Object</w:t>
      </w:r>
      <w:bookmarkEnd w:id="320"/>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1"/>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2" w:name="remains-of-listening"/>
      <w:r>
        <w:t xml:space="preserve">Remains of Listening</w:t>
      </w:r>
      <w:bookmarkEnd w:id="322"/>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3" w:name="sources-and-sorcerers"/>
      <w:r>
        <w:t xml:space="preserve">Sources and Sorcerers</w:t>
      </w:r>
      <w:bookmarkEnd w:id="323"/>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4" w:name="naming"/>
      <w:r>
        <w:t xml:space="preserve">Naming</w:t>
      </w:r>
      <w:bookmarkEnd w:id="324"/>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5"/>
      </w:r>
    </w:p>
    <w:p>
      <w:pPr>
        <w:pStyle w:val="Heading5"/>
      </w:pPr>
      <w:bookmarkStart w:id="326" w:name="dynamics"/>
      <w:r>
        <w:t xml:space="preserve">Dynamics</w:t>
      </w:r>
      <w:bookmarkEnd w:id="326"/>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7" w:name="masterwork"/>
      <w:r>
        <w:t xml:space="preserve">Masterwork</w:t>
      </w:r>
      <w:bookmarkEnd w:id="32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8" w:name="architecture-of-obedience"/>
      <w:r>
        <w:t xml:space="preserve">Architecture of Obedience</w:t>
      </w:r>
      <w:bookmarkEnd w:id="328"/>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9" w:name="anarchy"/>
      <w:r>
        <w:t xml:space="preserve">Anarchy And The Unwork</w:t>
      </w:r>
      <w:bookmarkEnd w:id="32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30" w:name="place-in-common"/>
      <w:r>
        <w:t xml:space="preserve">Place in Common</w:t>
      </w:r>
      <w:bookmarkEnd w:id="330"/>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1" w:name="disintegrated-imperative"/>
      <w:r>
        <w:t xml:space="preserve">Disintegrated Imperative</w:t>
      </w:r>
      <w:bookmarkEnd w:id="33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2" w:name="blind-experimentation"/>
      <w:r>
        <w:t xml:space="preserve">Blind Experimentation</w:t>
      </w:r>
      <w:bookmarkEnd w:id="332"/>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3" w:name="doctoring-the-glitch"/>
      <w:r>
        <w:t xml:space="preserve">Doctoring the Glitch</w:t>
      </w:r>
      <w:bookmarkEnd w:id="33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4" w:name="unnecessary-blindfolds"/>
      <w:r>
        <w:t xml:space="preserve">Unnecessary Blindfolds</w:t>
      </w:r>
      <w:bookmarkEnd w:id="334"/>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5" w:name="spectral-remains"/>
      <w:r>
        <w:t xml:space="preserve">Spectral Remains</w:t>
      </w:r>
      <w:bookmarkEnd w:id="33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6" w:name="macroforma"/>
      <w:r>
        <w:t xml:space="preserve">Macroforma</w:t>
      </w:r>
      <w:bookmarkEnd w:id="33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7" w:name="overfitting"/>
      <w:r>
        <w:t xml:space="preserve">Overfitting</w:t>
      </w:r>
      <w:bookmarkEnd w:id="337"/>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8" w:name="worker"/>
      <w:r>
        <w:t xml:space="preserve">[Wip] Work In Progress</w:t>
      </w:r>
      <w:bookmarkEnd w:id="33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9" w:name="chapter:Conclusion"/>
      <w:r>
        <w:t xml:space="preserve">Conclusion</w:t>
      </w:r>
      <w:bookmarkEnd w:id="339"/>
    </w:p>
    <w:p>
      <w:pPr>
        <w:pStyle w:val="FirstParagraph"/>
      </w:pPr>
      <w:r>
        <w:t xml:space="preserve">…</w:t>
      </w:r>
      <w:r>
        <w:t xml:space="preserve"> </w:t>
      </w:r>
      <w:r>
        <w:t xml:space="preserve">placeholder for conclusion abstract</w:t>
      </w:r>
      <w:r>
        <w:t xml:space="preserve"> </w:t>
      </w:r>
      <w:r>
        <w:t xml:space="preserve">…</w:t>
      </w:r>
    </w:p>
    <w:p>
      <w:pPr>
        <w:pStyle w:val="Heading1"/>
      </w:pPr>
      <w:bookmarkStart w:id="340" w:name="chapter:Appendices"/>
      <w:r>
        <w:t xml:space="preserve">Appendices</w:t>
      </w:r>
      <w:bookmarkEnd w:id="340"/>
    </w:p>
    <w:p>
      <w:pPr>
        <w:pStyle w:val="FirstParagraph"/>
      </w:pPr>
      <w:r>
        <w:t xml:space="preserve">abstract of appendices</w:t>
      </w:r>
    </w:p>
    <w:p>
      <w:pPr>
        <w:pStyle w:val="Heading2"/>
      </w:pPr>
      <w:bookmarkStart w:id="341" w:name="X9928d5a4298d9156e673c83842d96a99bfb66d7"/>
      <w:r>
        <w:t xml:space="preserve">DIANA: Database for Image and Audio Navigation</w:t>
      </w:r>
      <w:bookmarkEnd w:id="34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2" w:name="dbmodel"/>
      <w:r>
        <w:t xml:space="preserve">A Database Model</w:t>
      </w:r>
      <w:bookmarkEnd w:id="34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3" w:name="X7616598f194c52ee6f4c09f01c755a7090177ba"/>
      <w:r>
        <w:t xml:space="preserve">ABBY: An Online Environment for Annotated Bibliographies</w:t>
      </w:r>
      <w:bookmarkEnd w:id="343"/>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4" w:name="texdb"/>
      <w:r>
        <w:t xml:space="preserve">A Text Database</w:t>
      </w:r>
      <w:bookmarkEnd w:id="344"/>
    </w:p>
    <w:p>
      <w:pPr>
        <w:pStyle w:val="FirstParagraph"/>
      </w:pPr>
      <w:r>
        <w:t xml:space="preserve">A detailed description of the text database model…</w:t>
      </w:r>
    </w:p>
    <w:bookmarkStart w:id="680" w:name="refs"/>
    <w:bookmarkStart w:id="34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5"/>
    <w:bookmarkStart w:id="34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6"/>
    <w:bookmarkStart w:id="34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7"/>
    <w:bookmarkStart w:id="34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8"/>
    <w:bookmarkStart w:id="34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9"/>
    <w:bookmarkStart w:id="35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50">
        <w:r>
          <w:rPr>
            <w:rStyle w:val="Hyperlink"/>
          </w:rPr>
          <w:t xml:space="preserve">http://www.terasoft.com.tw/conf/ismir2014/proceedings/T014_162_Paper.pdf</w:t>
        </w:r>
      </w:hyperlink>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68:Ele"/>
    <w:p>
      <w:pPr>
        <w:pStyle w:val="Bibliography"/>
      </w:pPr>
      <w:r>
        <w:t xml:space="preserve">Barthes R, Lavers A, Smith C. 1968.</w:t>
      </w:r>
      <w:r>
        <w:t xml:space="preserve"> </w:t>
      </w:r>
      <w:r>
        <w:rPr>
          <w:i/>
        </w:rPr>
        <w:t xml:space="preserve">Elements of Semiology</w:t>
      </w:r>
      <w:r>
        <w:t xml:space="preserve">. Hill; Wang, New York. ed.</w:t>
      </w:r>
    </w:p>
    <w:bookmarkEnd w:id="361"/>
    <w:bookmarkStart w:id="362"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2"/>
    <w:bookmarkStart w:id="363"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3"/>
    <w:bookmarkStart w:id="364"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4"/>
    <w:bookmarkStart w:id="366"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5">
        <w:r>
          <w:rPr>
            <w:rStyle w:val="Hyperlink"/>
          </w:rPr>
          <w:t xml:space="preserve">http://www.terasoft.com.tw/conf/ismir2014/proceedings/T028_322_Paper.pdf</w:t>
        </w:r>
      </w:hyperlink>
    </w:p>
    <w:bookmarkEnd w:id="366"/>
    <w:bookmarkStart w:id="367"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7"/>
    <w:bookmarkStart w:id="369"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8">
        <w:r>
          <w:rPr>
            <w:rStyle w:val="Hyperlink"/>
          </w:rPr>
          <w:t xml:space="preserve">http://www.ppgia.pucpr.br/ismir2013/wp-content/uploads/2013/09/177\_Paper.pdf</w:t>
        </w:r>
      </w:hyperlink>
    </w:p>
    <w:bookmarkEnd w:id="369"/>
    <w:bookmarkStart w:id="370"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0"/>
    <w:bookmarkStart w:id="371" w:name="ref-Bor42:Fun"/>
    <w:p>
      <w:pPr>
        <w:pStyle w:val="Bibliography"/>
      </w:pPr>
      <w:r>
        <w:t xml:space="preserve">Borges JL. 1942. Funes el memorioso.</w:t>
      </w:r>
      <w:r>
        <w:t xml:space="preserve"> </w:t>
      </w:r>
      <w:r>
        <w:rPr>
          <w:i/>
        </w:rPr>
        <w:t xml:space="preserve">Ficciones</w:t>
      </w:r>
    </w:p>
    <w:bookmarkEnd w:id="371"/>
    <w:bookmarkStart w:id="372" w:name="ref-Bor95:Rat"/>
    <w:p>
      <w:pPr>
        <w:pStyle w:val="Bibliography"/>
      </w:pPr>
      <w:r>
        <w:t xml:space="preserve">Born G. 1995.</w:t>
      </w:r>
      <w:r>
        <w:t xml:space="preserve"> </w:t>
      </w:r>
      <w:r>
        <w:rPr>
          <w:i/>
        </w:rPr>
        <w:t xml:space="preserve">Rationalizing Culture</w:t>
      </w:r>
      <w:r>
        <w:t xml:space="preserve">. University of California Press. ed.</w:t>
      </w:r>
    </w:p>
    <w:bookmarkEnd w:id="372"/>
    <w:bookmarkStart w:id="37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3"/>
    <w:bookmarkStart w:id="37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4"/>
    <w:bookmarkStart w:id="375"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75"/>
    <w:bookmarkStart w:id="376"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5"/>
    <w:bookmarkStart w:id="3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6"/>
    <w:bookmarkStart w:id="39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7">
        <w:r>
          <w:rPr>
            <w:rStyle w:val="Hyperlink"/>
          </w:rPr>
          <w:t xml:space="preserve">http://www.nime.org/proceedings/2011/nime2011_329.pdf</w:t>
        </w:r>
      </w:hyperlink>
    </w:p>
    <w:bookmarkEnd w:id="398"/>
    <w:bookmarkStart w:id="39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9"/>
    <w:bookmarkStart w:id="40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400"/>
    <w:bookmarkStart w:id="401"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1"/>
    <w:bookmarkStart w:id="402" w:name="ref-Rya17:OnT"/>
    <w:p>
      <w:pPr>
        <w:pStyle w:val="Bibliography"/>
      </w:pPr>
      <w:r>
        <w:t xml:space="preserve">Carter R. 2017. On the expressive potential of suboptimal speakers</w:t>
      </w:r>
    </w:p>
    <w:bookmarkEnd w:id="402"/>
    <w:bookmarkStart w:id="403"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3"/>
    <w:bookmarkStart w:id="4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4"/>
    <w:bookmarkStart w:id="40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5"/>
    <w:bookmarkStart w:id="4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6"/>
    <w:bookmarkStart w:id="4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7"/>
    <w:bookmarkStart w:id="4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08"/>
    <w:bookmarkStart w:id="40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9"/>
    <w:bookmarkStart w:id="41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10"/>
    <w:bookmarkStart w:id="411" w:name="ref-Cho00:Voi"/>
    <w:p>
      <w:pPr>
        <w:pStyle w:val="Bibliography"/>
      </w:pPr>
      <w:r>
        <w:t xml:space="preserve">Choi I. 2000. Voices in ruins — composition with residuals</w:t>
      </w:r>
    </w:p>
    <w:bookmarkEnd w:id="411"/>
    <w:bookmarkStart w:id="41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2"/>
    <w:bookmarkStart w:id="41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3"/>
    <w:bookmarkStart w:id="41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4"/>
    <w:bookmarkStart w:id="41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5"/>
    <w:bookmarkStart w:id="41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6"/>
    <w:bookmarkStart w:id="417"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6"/>
    <w:bookmarkStart w:id="51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7">
        <w:r>
          <w:rPr>
            <w:rStyle w:val="Hyperlink"/>
          </w:rPr>
          <w:t xml:space="preserve">http://ismir2015.uma.es/articles/246_Paper.pdf</w:t>
        </w:r>
      </w:hyperlink>
    </w:p>
    <w:bookmarkEnd w:id="518"/>
    <w:bookmarkStart w:id="51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9"/>
    <w:bookmarkStart w:id="520"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0"/>
    <w:bookmarkStart w:id="52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1"/>
    <w:bookmarkStart w:id="52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2"/>
    <w:bookmarkStart w:id="52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3"/>
    <w:bookmarkStart w:id="52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4"/>
    <w:bookmarkStart w:id="52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5"/>
    <w:bookmarkStart w:id="52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6"/>
    <w:bookmarkStart w:id="52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8"/>
    <w:bookmarkStart w:id="529" w:name="ref-Lod98:MUS"/>
    <w:p>
      <w:pPr>
        <w:pStyle w:val="Bibliography"/>
      </w:pPr>
      <w:r>
        <w:t xml:space="preserve">Lodha S, Beahan J, Joseph A, Zane-ulman B. 1998. MUSE: A musical data sonification toolkit</w:t>
      </w:r>
    </w:p>
    <w:bookmarkEnd w:id="529"/>
    <w:bookmarkStart w:id="5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0"/>
    <w:bookmarkStart w:id="5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1">
        <w:r>
          <w:rPr>
            <w:rStyle w:val="Hyperlink"/>
          </w:rPr>
          <w:t xml:space="preserve">http://www.nime.org/proceedings/2008/nime2008_221.pdf</w:t>
        </w:r>
      </w:hyperlink>
    </w:p>
    <w:bookmarkEnd w:id="532"/>
    <w:bookmarkStart w:id="533"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3"/>
    <w:bookmarkStart w:id="534" w:name="ref-Man01:The"/>
    <w:p>
      <w:pPr>
        <w:pStyle w:val="Bibliography"/>
      </w:pPr>
      <w:r>
        <w:t xml:space="preserve">Manovich L. 2001.</w:t>
      </w:r>
      <w:r>
        <w:t xml:space="preserve"> </w:t>
      </w:r>
      <w:r>
        <w:rPr>
          <w:i/>
        </w:rPr>
        <w:t xml:space="preserve">The Language of New Media</w:t>
      </w:r>
      <w:r>
        <w:t xml:space="preserve">. MIT Press. ed.</w:t>
      </w:r>
    </w:p>
    <w:bookmarkEnd w:id="534"/>
    <w:bookmarkStart w:id="535" w:name="ref-Man02:Old"/>
    <w:p>
      <w:pPr>
        <w:pStyle w:val="Bibliography"/>
      </w:pPr>
      <w:r>
        <w:t xml:space="preserve">Manovich L. 2002. Old media as new media: Cinema.</w:t>
      </w:r>
      <w:r>
        <w:t xml:space="preserve"> </w:t>
      </w:r>
      <w:r>
        <w:rPr>
          <w:i/>
        </w:rPr>
        <w:t xml:space="preserve">The New Media Book</w:t>
      </w:r>
    </w:p>
    <w:bookmarkEnd w:id="535"/>
    <w:bookmarkStart w:id="5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6"/>
    <w:bookmarkStart w:id="5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7">
        <w:r>
          <w:rPr>
            <w:rStyle w:val="Hyperlink"/>
          </w:rPr>
          <w:t xml:space="preserve">http://ismir2008.ismir.net/papers/ISMIR2008_158.pdf</w:t>
        </w:r>
      </w:hyperlink>
    </w:p>
    <w:bookmarkEnd w:id="538"/>
    <w:bookmarkStart w:id="5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9"/>
    <w:bookmarkStart w:id="5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0"/>
    <w:bookmarkStart w:id="5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1"/>
    <w:bookmarkStart w:id="542" w:name="ref-csoundMethods"/>
    <w:p>
      <w:pPr>
        <w:pStyle w:val="Bibliography"/>
      </w:pPr>
      <w:r>
        <w:t xml:space="preserve">McCurdy I, Heintz J, Joaquin J, Knevel M. 2015. Methods of writing csound scores.</w:t>
      </w:r>
      <w:r>
        <w:t xml:space="preserve"> </w:t>
      </w:r>
      <w:r>
        <w:rPr>
          <w:i/>
        </w:rPr>
        <w:t xml:space="preserve">FLOSS Manuals</w:t>
      </w:r>
    </w:p>
    <w:bookmarkEnd w:id="542"/>
    <w:bookmarkStart w:id="5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3"/>
    <w:bookmarkStart w:id="5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4">
        <w:r>
          <w:rPr>
            <w:rStyle w:val="Hyperlink"/>
          </w:rPr>
          <w:t xml:space="preserve">http://ismir2018.ircam.fr/doc/pdfs/35_Paper.pdf</w:t>
        </w:r>
      </w:hyperlink>
    </w:p>
    <w:bookmarkEnd w:id="545"/>
    <w:bookmarkStart w:id="546"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6"/>
    <w:bookmarkStart w:id="54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7"/>
    <w:bookmarkStart w:id="54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8"/>
    <w:bookmarkStart w:id="54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9"/>
    <w:bookmarkStart w:id="550" w:name="ref-ods-cpp"/>
    <w:p>
      <w:pPr>
        <w:pStyle w:val="Bibliography"/>
      </w:pPr>
      <w:r>
        <w:t xml:space="preserve">Morin P. 2019.</w:t>
      </w:r>
      <w:r>
        <w:t xml:space="preserve"> </w:t>
      </w:r>
      <w:r>
        <w:rPr>
          <w:i/>
        </w:rPr>
        <w:t xml:space="preserve">Open Data Structures</w:t>
      </w:r>
      <w:r>
        <w:t xml:space="preserve">. Creative Commons. ed.</w:t>
      </w:r>
    </w:p>
    <w:bookmarkEnd w:id="550"/>
    <w:bookmarkStart w:id="55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1"/>
    <w:bookmarkStart w:id="55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2"/>
    <w:bookmarkStart w:id="55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3"/>
    <w:bookmarkStart w:id="55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4">
        <w:r>
          <w:rPr>
            <w:rStyle w:val="Hyperlink"/>
          </w:rPr>
          <w:t xml:space="preserve">http://www.nime.org/proceedings/2007/nime2007_409.pdf</w:t>
        </w:r>
      </w:hyperlink>
    </w:p>
    <w:bookmarkEnd w:id="555"/>
    <w:bookmarkStart w:id="55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6"/>
    <w:bookmarkStart w:id="557" w:name="ref-Nan07:Lis"/>
    <w:p>
      <w:pPr>
        <w:pStyle w:val="Bibliography"/>
      </w:pPr>
      <w:r>
        <w:t xml:space="preserve">Nancy J-L. 2007.</w:t>
      </w:r>
      <w:r>
        <w:t xml:space="preserve"> </w:t>
      </w:r>
      <w:r>
        <w:rPr>
          <w:i/>
        </w:rPr>
        <w:t xml:space="preserve">Listening</w:t>
      </w:r>
      <w:r>
        <w:t xml:space="preserve">. Fordham University Place. ed.</w:t>
      </w:r>
    </w:p>
    <w:bookmarkEnd w:id="557"/>
    <w:bookmarkStart w:id="55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8"/>
    <w:bookmarkStart w:id="560"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9">
        <w:r>
          <w:rPr>
            <w:rStyle w:val="Hyperlink"/>
          </w:rPr>
          <w:t xml:space="preserve">http://www.nime.org/proceedings/2007/nime2007_112.pdf</w:t>
        </w:r>
      </w:hyperlink>
    </w:p>
    <w:bookmarkEnd w:id="560"/>
    <w:bookmarkStart w:id="561"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1"/>
    <w:bookmarkStart w:id="56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2"/>
    <w:bookmarkStart w:id="56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3"/>
    <w:bookmarkStart w:id="56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4"/>
    <w:bookmarkStart w:id="56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5"/>
    <w:bookmarkStart w:id="566"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6"/>
    <w:bookmarkStart w:id="56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7"/>
    <w:bookmarkStart w:id="56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8"/>
    <w:bookmarkStart w:id="56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9"/>
    <w:bookmarkStart w:id="57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0"/>
    <w:bookmarkStart w:id="57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1"/>
    <w:bookmarkStart w:id="57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2"/>
    <w:bookmarkStart w:id="57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3">
        <w:r>
          <w:rPr>
            <w:rStyle w:val="Hyperlink"/>
          </w:rPr>
          <w:t xml:space="preserve">http://www.terasoft.com.tw/conf/ismir2014/proceedings/T064_307_Paper.pdf</w:t>
        </w:r>
      </w:hyperlink>
    </w:p>
    <w:bookmarkEnd w:id="574"/>
    <w:bookmarkStart w:id="575"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5"/>
    <w:bookmarkStart w:id="576" w:name="ref-Pos11:Int"/>
    <w:p>
      <w:pPr>
        <w:pStyle w:val="Bibliography"/>
      </w:pPr>
      <w:r>
        <w:t xml:space="preserve">Poster M. 2011. Introduction.</w:t>
      </w:r>
      <w:r>
        <w:t xml:space="preserve"> </w:t>
      </w:r>
      <w:r>
        <w:rPr>
          <w:i/>
        </w:rPr>
        <w:t xml:space="preserve">Into the Universe of Technical Images</w:t>
      </w:r>
    </w:p>
    <w:bookmarkEnd w:id="576"/>
    <w:bookmarkStart w:id="57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7">
        <w:r>
          <w:rPr>
            <w:rStyle w:val="Hyperlink"/>
          </w:rPr>
          <w:t xml:space="preserve">http://www.nime.org/proceedings/2008/nime2008_311.pdf</w:t>
        </w:r>
      </w:hyperlink>
    </w:p>
    <w:bookmarkEnd w:id="578"/>
    <w:bookmarkStart w:id="57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9"/>
    <w:bookmarkStart w:id="58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0"/>
    <w:bookmarkStart w:id="581" w:name="ref-Puc91:Som"/>
    <w:p>
      <w:pPr>
        <w:pStyle w:val="Bibliography"/>
      </w:pPr>
      <w:r>
        <w:t xml:space="preserve">Puckette M. 1991. Something digital.</w:t>
      </w:r>
      <w:r>
        <w:t xml:space="preserve"> </w:t>
      </w:r>
      <w:r>
        <w:rPr>
          <w:i/>
        </w:rPr>
        <w:t xml:space="preserve">Computer Music Journal</w:t>
      </w:r>
      <w:r>
        <w:t xml:space="preserve">. 15(4):65–69</w:t>
      </w:r>
    </w:p>
    <w:bookmarkEnd w:id="581"/>
    <w:bookmarkStart w:id="58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2"/>
    <w:bookmarkStart w:id="58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3"/>
    <w:bookmarkStart w:id="58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4"/>
    <w:bookmarkStart w:id="58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5"/>
    <w:bookmarkStart w:id="58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6"/>
    <w:bookmarkStart w:id="587"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7"/>
    <w:bookmarkStart w:id="588" w:name="ref-Roa04:Mic"/>
    <w:p>
      <w:pPr>
        <w:pStyle w:val="Bibliography"/>
      </w:pPr>
      <w:r>
        <w:t xml:space="preserve">Roads C. 2001.</w:t>
      </w:r>
      <w:r>
        <w:t xml:space="preserve"> </w:t>
      </w:r>
      <w:r>
        <w:rPr>
          <w:i/>
        </w:rPr>
        <w:t xml:space="preserve">Microsound</w:t>
      </w:r>
      <w:r>
        <w:t xml:space="preserve">. MIT Press. ed.</w:t>
      </w:r>
    </w:p>
    <w:bookmarkEnd w:id="588"/>
    <w:bookmarkStart w:id="58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9"/>
    <w:bookmarkStart w:id="59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0"/>
    <w:bookmarkStart w:id="591"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1"/>
    <w:bookmarkStart w:id="59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2"/>
    <w:bookmarkStart w:id="59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3"/>
    <w:bookmarkStart w:id="59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4"/>
    <w:bookmarkStart w:id="595"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5"/>
    <w:bookmarkStart w:id="59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6"/>
    <w:bookmarkStart w:id="59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7"/>
    <w:bookmarkStart w:id="59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8"/>
    <w:bookmarkStart w:id="59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9"/>
    <w:bookmarkStart w:id="60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0">
        <w:r>
          <w:rPr>
            <w:rStyle w:val="Hyperlink"/>
          </w:rPr>
          <w:t xml:space="preserve">http://ismir2005.ismir.net/proceedings/3123.pdf</w:t>
        </w:r>
      </w:hyperlink>
    </w:p>
    <w:bookmarkEnd w:id="601"/>
    <w:bookmarkStart w:id="60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2"/>
    <w:bookmarkStart w:id="60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3"/>
    <w:bookmarkStart w:id="60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4"/>
    <w:bookmarkStart w:id="60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5"/>
    <w:bookmarkStart w:id="60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6"/>
    <w:bookmarkStart w:id="60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7"/>
    <w:bookmarkStart w:id="60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8"/>
    <w:bookmarkStart w:id="60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9"/>
    <w:bookmarkStart w:id="610" w:name="ref-Sch06:Rea"/>
    <w:p>
      <w:pPr>
        <w:pStyle w:val="Bibliography"/>
      </w:pPr>
      <w:r>
        <w:t xml:space="preserve">Schwarz D. 2006b. Real-time corpus-based concatenative synthesis with catart., pp. 18–21</w:t>
      </w:r>
    </w:p>
    <w:bookmarkEnd w:id="610"/>
    <w:bookmarkStart w:id="61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1"/>
    <w:bookmarkStart w:id="612"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2"/>
    <w:bookmarkStart w:id="613"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3"/>
    <w:bookmarkStart w:id="614" w:name="ref-scoremus"/>
    <w:p>
      <w:pPr>
        <w:pStyle w:val="Bibliography"/>
      </w:pPr>
      <w:r>
        <w:t xml:space="preserve">Selfridge-Field E. 1997. The score music publishing system.</w:t>
      </w:r>
      <w:r>
        <w:t xml:space="preserve"> </w:t>
      </w:r>
      <w:r>
        <w:rPr>
          <w:i/>
        </w:rPr>
        <w:t xml:space="preserve">SCORE</w:t>
      </w:r>
    </w:p>
    <w:bookmarkEnd w:id="614"/>
    <w:bookmarkStart w:id="61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5"/>
    <w:bookmarkStart w:id="61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6">
        <w:r>
          <w:rPr>
            <w:rStyle w:val="Hyperlink"/>
          </w:rPr>
          <w:t xml:space="preserve">https://hal.archives-ouvertes.fr/hal-01393959</w:t>
        </w:r>
      </w:hyperlink>
    </w:p>
    <w:bookmarkEnd w:id="617"/>
    <w:bookmarkStart w:id="61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8"/>
    <w:bookmarkStart w:id="61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9"/>
    <w:bookmarkStart w:id="62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0"/>
    <w:bookmarkStart w:id="621" w:name="ref-10.2307/941442"/>
    <w:p>
      <w:pPr>
        <w:pStyle w:val="Bibliography"/>
      </w:pPr>
      <w:r>
        <w:t xml:space="preserve">Skinner R. 1990a. Music software.</w:t>
      </w:r>
      <w:r>
        <w:t xml:space="preserve"> </w:t>
      </w:r>
      <w:r>
        <w:rPr>
          <w:i/>
        </w:rPr>
        <w:t xml:space="preserve">Notes</w:t>
      </w:r>
      <w:r>
        <w:t xml:space="preserve">. 46(3):660–84</w:t>
      </w:r>
    </w:p>
    <w:bookmarkEnd w:id="621"/>
    <w:bookmarkStart w:id="622" w:name="ref-10.2307/940555"/>
    <w:p>
      <w:pPr>
        <w:pStyle w:val="Bibliography"/>
      </w:pPr>
      <w:r>
        <w:t xml:space="preserve">Skinner R. 1990b. Music software.</w:t>
      </w:r>
      <w:r>
        <w:t xml:space="preserve"> </w:t>
      </w:r>
      <w:r>
        <w:rPr>
          <w:i/>
        </w:rPr>
        <w:t xml:space="preserve">Notes</w:t>
      </w:r>
      <w:r>
        <w:t xml:space="preserve">. 47(1):91–101</w:t>
      </w:r>
    </w:p>
    <w:bookmarkEnd w:id="622"/>
    <w:bookmarkStart w:id="62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3"/>
    <w:bookmarkStart w:id="62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4"/>
    <w:bookmarkStart w:id="62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5"/>
    <w:bookmarkStart w:id="626" w:name="ref-Ste12:MP3"/>
    <w:p>
      <w:pPr>
        <w:pStyle w:val="Bibliography"/>
      </w:pPr>
      <w:r>
        <w:t xml:space="preserve">Sterne J. 2012.</w:t>
      </w:r>
      <w:r>
        <w:t xml:space="preserve"> </w:t>
      </w:r>
      <w:r>
        <w:rPr>
          <w:i/>
        </w:rPr>
        <w:t xml:space="preserve">MP3: The Meaning of a Format</w:t>
      </w:r>
      <w:r>
        <w:t xml:space="preserve">. Duke University Press. ed.</w:t>
      </w:r>
    </w:p>
    <w:bookmarkEnd w:id="626"/>
    <w:bookmarkStart w:id="62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7"/>
    <w:bookmarkStart w:id="62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8"/>
    <w:bookmarkStart w:id="629" w:name="ref-Sze08:Lis"/>
    <w:p>
      <w:pPr>
        <w:pStyle w:val="Bibliography"/>
      </w:pPr>
      <w:r>
        <w:t xml:space="preserve">Szendy P. 2008.</w:t>
      </w:r>
      <w:r>
        <w:t xml:space="preserve"> </w:t>
      </w:r>
      <w:r>
        <w:rPr>
          <w:i/>
        </w:rPr>
        <w:t xml:space="preserve">Listen: A History of Our Ears</w:t>
      </w:r>
      <w:r>
        <w:t xml:space="preserve">. Fordham University. ed.</w:t>
      </w:r>
    </w:p>
    <w:bookmarkEnd w:id="629"/>
    <w:bookmarkStart w:id="63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0"/>
    <w:bookmarkStart w:id="631" w:name="ref-Sch07:How"/>
    <w:p>
      <w:pPr>
        <w:pStyle w:val="Bibliography"/>
      </w:pPr>
      <w:r>
        <w:t xml:space="preserve">Thiebaut J-B, Bello J, Schwarz D. 2007. How musical are images? From sound representation to image sonification: An eco systemic approach</w:t>
      </w:r>
    </w:p>
    <w:bookmarkEnd w:id="631"/>
    <w:bookmarkStart w:id="63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2"/>
    <w:bookmarkStart w:id="63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3"/>
    <w:bookmarkStart w:id="63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4"/>
    <w:bookmarkStart w:id="635"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5"/>
    <w:bookmarkStart w:id="63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6"/>
    <w:bookmarkStart w:id="63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7"/>
    <w:bookmarkStart w:id="63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8"/>
    <w:bookmarkStart w:id="639" w:name="ref-Var04:The"/>
    <w:p>
      <w:pPr>
        <w:pStyle w:val="Bibliography"/>
      </w:pPr>
      <w:r>
        <w:t xml:space="preserve">Varese E. 2004. The liberation of sound.</w:t>
      </w:r>
      <w:r>
        <w:t xml:space="preserve"> </w:t>
      </w:r>
      <w:r>
        <w:rPr>
          <w:i/>
        </w:rPr>
        <w:t xml:space="preserve">Audio Culture: Readings in Modern Music</w:t>
      </w:r>
    </w:p>
    <w:bookmarkEnd w:id="639"/>
    <w:bookmarkStart w:id="640" w:name="ref-Ver84:The"/>
    <w:p>
      <w:pPr>
        <w:pStyle w:val="Bibliography"/>
      </w:pPr>
      <w:r>
        <w:t xml:space="preserve">Vercoe B. 1984. The synthetic performer in the context of live performance</w:t>
      </w:r>
    </w:p>
    <w:bookmarkEnd w:id="640"/>
    <w:bookmarkStart w:id="64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1"/>
    <w:bookmarkStart w:id="642"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2"/>
    <w:bookmarkStart w:id="64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3">
        <w:r>
          <w:rPr>
            <w:rStyle w:val="Hyperlink"/>
          </w:rPr>
          <w:t xml:space="preserve">https://ismir2017.smcnus.org/wp-content/uploads/2017/10/180_Paper.pdf</w:t>
        </w:r>
      </w:hyperlink>
    </w:p>
    <w:bookmarkEnd w:id="644"/>
    <w:bookmarkStart w:id="64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5"/>
    <w:bookmarkStart w:id="64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6">
        <w:r>
          <w:rPr>
            <w:rStyle w:val="Hyperlink"/>
          </w:rPr>
          <w:t xml:space="preserve">http://ismir2002.ismir.net/proceedings/02-FP06-3.pdf</w:t>
        </w:r>
      </w:hyperlink>
    </w:p>
    <w:bookmarkEnd w:id="647"/>
    <w:bookmarkStart w:id="64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8"/>
    <w:bookmarkStart w:id="64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9"/>
    <w:bookmarkStart w:id="65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0"/>
    <w:bookmarkStart w:id="65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1"/>
    <w:bookmarkStart w:id="65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2"/>
    <w:bookmarkStart w:id="653"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3"/>
    <w:bookmarkStart w:id="65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4"/>
    <w:bookmarkStart w:id="655"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5"/>
    <w:bookmarkStart w:id="656"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6"/>
    <w:bookmarkStart w:id="657" w:name="ref-Wei07:Oce"/>
    <w:p>
      <w:pPr>
        <w:pStyle w:val="Bibliography"/>
      </w:pPr>
      <w:r>
        <w:t xml:space="preserve">Weinbren G. 2007. Ocean, database, recut.</w:t>
      </w:r>
      <w:r>
        <w:t xml:space="preserve"> </w:t>
      </w:r>
      <w:r>
        <w:rPr>
          <w:i/>
        </w:rPr>
        <w:t xml:space="preserve">Database Aesthetics: Art in the Age of Information Overflow</w:t>
      </w:r>
    </w:p>
    <w:bookmarkEnd w:id="657"/>
    <w:bookmarkStart w:id="65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8"/>
    <w:bookmarkStart w:id="65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9"/>
    <w:bookmarkStart w:id="66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0">
        <w:r>
          <w:rPr>
            <w:rStyle w:val="Hyperlink"/>
          </w:rPr>
          <w:t xml:space="preserve">http://ismir2018.ircam.fr/doc/pdfs/114_Paper.pdf</w:t>
        </w:r>
      </w:hyperlink>
    </w:p>
    <w:bookmarkEnd w:id="661"/>
    <w:bookmarkStart w:id="662"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2"/>
    <w:bookmarkStart w:id="66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3">
        <w:r>
          <w:rPr>
            <w:rStyle w:val="Hyperlink"/>
          </w:rPr>
          <w:t xml:space="preserve">http://ismir2004.ismir.net/proceedings/p010-page-48-paper227.pdf</w:t>
        </w:r>
      </w:hyperlink>
    </w:p>
    <w:bookmarkEnd w:id="664"/>
    <w:bookmarkStart w:id="665"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5"/>
    <w:bookmarkStart w:id="666"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6"/>
    <w:bookmarkStart w:id="6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7"/>
    <w:bookmarkStart w:id="6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8">
        <w:r>
          <w:rPr>
            <w:rStyle w:val="Hyperlink"/>
          </w:rPr>
          <w:t xml:space="preserve">http://ismir2018.ircam.fr/doc/pdfs/188_Paper.pdf</w:t>
        </w:r>
      </w:hyperlink>
    </w:p>
    <w:bookmarkEnd w:id="669"/>
    <w:bookmarkStart w:id="6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0"/>
    <w:bookmarkStart w:id="6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1"/>
    <w:bookmarkStart w:id="6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2"/>
    <w:bookmarkStart w:id="6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3"/>
    <w:bookmarkStart w:id="6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4"/>
    <w:bookmarkStart w:id="6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5"/>
    <w:bookmarkStart w:id="6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6">
        <w:r>
          <w:rPr>
            <w:rStyle w:val="Hyperlink"/>
          </w:rPr>
          <w:t xml:space="preserve">http://www.nime.org/proceedings/2007/nime2007_352.pdf</w:t>
        </w:r>
      </w:hyperlink>
    </w:p>
    <w:bookmarkEnd w:id="677"/>
    <w:bookmarkStart w:id="6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8"/>
    <w:bookmarkStart w:id="679" w:name="ref-Zmo15:Liv"/>
    <w:p>
      <w:pPr>
        <w:pStyle w:val="Bibliography"/>
      </w:pPr>
      <w:r>
        <w:t xml:space="preserve">zmölnig I m, Eckel G. 2015.</w:t>
      </w:r>
      <w:r>
        <w:t xml:space="preserve"> </w:t>
      </w:r>
      <w:r>
        <w:rPr>
          <w:i/>
        </w:rPr>
        <w:t xml:space="preserve">LIVE coding: AN overview</w:t>
      </w:r>
      <w:r>
        <w:t xml:space="preserve">. Work. Pap.</w:t>
      </w:r>
    </w:p>
    <w:bookmarkEnd w:id="679"/>
    <w:bookmarkEnd w:id="6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1">
    <w:p>
      <w:pPr>
        <w:pStyle w:val="FootnoteText"/>
      </w:pPr>
      <w:r>
        <w:rPr>
          <w:rStyle w:val="FootnoteReference"/>
        </w:rPr>
        <w:footnoteRef/>
      </w:r>
      <w:r>
        <w:t xml:space="preserve"> </w:t>
      </w:r>
      <w:r>
        <w:t xml:space="preserve">From a lecture given by Judy Klein at New York University’s Waverly Project, on February 2nd, 2017.</w:t>
      </w:r>
    </w:p>
  </w:footnote>
  <w:footnote w:id="113">
    <w:p>
      <w:pPr>
        <w:pStyle w:val="FootnoteText"/>
      </w:pPr>
      <w:r>
        <w:rPr>
          <w:rStyle w:val="FootnoteReference"/>
        </w:rPr>
        <w:footnoteRef/>
      </w:r>
      <w:r>
        <w:t xml:space="preserve"> </w:t>
      </w:r>
      <w:hyperlink r:id="rId114">
        <w:r>
          <w:rPr>
            <w:rStyle w:val="Hyperlink"/>
          </w:rPr>
          <w:t xml:space="preserve">http://www.natashabarrett.org/viva.html</w:t>
        </w:r>
      </w:hyperlink>
    </w:p>
  </w:footnote>
  <w:footnote w:id="115">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23">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4">
        <w:r>
          <w:rPr>
            <w:rStyle w:val="Hyperlink"/>
          </w:rPr>
          <w:t xml:space="preserve">https://developer.apple.com/documentation/metal</w:t>
        </w:r>
      </w:hyperlink>
    </w:p>
  </w:footnote>
  <w:footnote w:id="125">
    <w:p>
      <w:pPr>
        <w:pStyle w:val="FootnoteText"/>
      </w:pPr>
      <w:r>
        <w:rPr>
          <w:rStyle w:val="FootnoteReference"/>
        </w:rPr>
        <w:footnoteRef/>
      </w:r>
      <w:r>
        <w:t xml:space="preserve"> </w:t>
      </w:r>
      <w:hyperlink r:id="rId126">
        <w:r>
          <w:rPr>
            <w:rStyle w:val="Hyperlink"/>
          </w:rPr>
          <w:t xml:space="preserve">https://vimeo.com/167646306</w:t>
        </w:r>
      </w:hyperlink>
    </w:p>
  </w:footnote>
  <w:footnote w:id="137">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3">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5">
    <w:p>
      <w:pPr>
        <w:pStyle w:val="FootnoteText"/>
      </w:pPr>
      <w:r>
        <w:rPr>
          <w:rStyle w:val="FootnoteReference"/>
        </w:rPr>
        <w:footnoteRef/>
      </w:r>
      <w:r>
        <w:t xml:space="preserve"> </w:t>
      </w:r>
      <w:hyperlink r:id="rId156">
        <w:r>
          <w:rPr>
            <w:rStyle w:val="Hyperlink"/>
          </w:rPr>
          <w:t xml:space="preserve">https://kyma.symbolicsound.com/</w:t>
        </w:r>
      </w:hyperlink>
    </w:p>
  </w:footnote>
  <w:footnote w:id="159">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71">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72">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80">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1">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4">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1">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2">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3">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4">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5">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6">
    <w:p>
      <w:pPr>
        <w:pStyle w:val="FootnoteText"/>
      </w:pPr>
      <w:r>
        <w:rPr>
          <w:rStyle w:val="FootnoteReference"/>
        </w:rPr>
        <w:footnoteRef/>
      </w:r>
      <w:r>
        <w:t xml:space="preserve"> </w:t>
      </w:r>
      <w:hyperlink r:id="rId217">
        <w:r>
          <w:rPr>
            <w:rStyle w:val="Hyperlink"/>
          </w:rPr>
          <w:t xml:space="preserve">https://en.wikipedia.org/wiki/Leo_Beranek</w:t>
        </w:r>
      </w:hyperlink>
    </w:p>
  </w:footnote>
  <w:footnote w:id="219">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5">
    <w:p>
      <w:pPr>
        <w:pStyle w:val="FootnoteText"/>
      </w:pPr>
      <w:r>
        <w:rPr>
          <w:rStyle w:val="FootnoteReference"/>
        </w:rPr>
        <w:footnoteRef/>
      </w:r>
      <w:r>
        <w:t xml:space="preserve"> </w:t>
      </w:r>
      <w:hyperlink r:id="rId236">
        <w:r>
          <w:rPr>
            <w:rStyle w:val="Hyperlink"/>
          </w:rPr>
          <w:t xml:space="preserve">https://en.cppreference.com/w/cpp/language/destructor</w:t>
        </w:r>
      </w:hyperlink>
    </w:p>
  </w:footnote>
  <w:footnote w:id="242">
    <w:p>
      <w:pPr>
        <w:pStyle w:val="FootnoteText"/>
      </w:pPr>
      <w:r>
        <w:rPr>
          <w:rStyle w:val="FootnoteReference"/>
        </w:rPr>
        <w:footnoteRef/>
      </w:r>
      <w:r>
        <w:t xml:space="preserve"> </w:t>
      </w:r>
      <w:hyperlink r:id="rId243">
        <w:r>
          <w:rPr>
            <w:rStyle w:val="Hyperlink"/>
          </w:rPr>
          <w:t xml:space="preserve">https://mpc.chs.harvard.edu/</w:t>
        </w:r>
      </w:hyperlink>
    </w:p>
  </w:footnote>
  <w:footnote w:id="244">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4">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5">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8">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9">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2">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7">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8">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9">
        <w:r>
          <w:rPr>
            <w:rStyle w:val="Hyperlink"/>
          </w:rPr>
          <w:t xml:space="preserve">https://en.wikipedia.org/wiki/Dr._Strangelove</w:t>
        </w:r>
      </w:hyperlink>
    </w:p>
  </w:footnote>
  <w:footnote w:id="300">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1">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3">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4">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7">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5">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1">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5">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7" Target="media/rId267.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9"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7"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50"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6" Target="https://en.cppreference.com/w/cpp/language/destructor" TargetMode="External" /><Relationship Type="http://schemas.openxmlformats.org/officeDocument/2006/relationships/hyperlink" Id="rId299"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7"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3"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8" Target="https://www.mersenne.org/primes/" TargetMode="External" /><Relationship Type="http://schemas.openxmlformats.org/officeDocument/2006/relationships/hyperlink" Id="rId30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9"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7"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50"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6" Target="https://en.cppreference.com/w/cpp/language/destructor" TargetMode="External" /><Relationship Type="http://schemas.openxmlformats.org/officeDocument/2006/relationships/hyperlink" Id="rId299"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7"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3"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8" Target="https://www.mersenne.org/primes/" TargetMode="External" /><Relationship Type="http://schemas.openxmlformats.org/officeDocument/2006/relationships/hyperlink" Id="rId30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2019-04-05T20:34:32Z</dcterms:created>
  <dcterms:modified xsi:type="dcterms:W3CDTF">2019-04-05T20:34:32Z</dcterms:modified>
</cp:coreProperties>
</file>

<file path=docProps/custom.xml><?xml version="1.0" encoding="utf-8"?>
<Properties xmlns="http://schemas.openxmlformats.org/officeDocument/2006/custom-properties" xmlns:vt="http://schemas.openxmlformats.org/officeDocument/2006/docPropsVTypes"/>
</file>