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18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2"/>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2"/>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2"/>
      </w:pPr>
      <w:bookmarkStart w:id="23" w:name="preface"/>
      <w:r>
        <w:t xml:space="preserve">Preface</w:t>
      </w:r>
      <w:bookmarkEnd w:id="23"/>
    </w:p>
    <w:p>
      <w:pPr>
        <w:pStyle w:val="Heading1"/>
      </w:pPr>
      <w:bookmarkStart w:id="24" w:name="part: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part: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part: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chapter: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1.1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7ab881690f76f52aba925dc54865e1f73267329"/>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5"/>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5"/>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5"/>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5"/>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2.1</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6"/>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6"/>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6"/>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6"/>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6"/>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6"/>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6"/>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6"/>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6"/>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6"/>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6"/>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3.3.0.1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6"/>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5"/>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2.4.0.7</w:t>
        </w:r>
      </w:hyperlink>
      <w:r>
        <w:t xml:space="preserve">).</w:t>
      </w:r>
    </w:p>
    <w:p>
      <w:pPr>
        <w:pStyle w:val="Heading5"/>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6"/>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5"/>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5"/>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2.4.0.3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2.4.0.7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2.4.0.5</w:t>
        </w:r>
      </w:hyperlink>
      <w:r>
        <w:t xml:space="preserve">); object databases (See</w:t>
      </w:r>
      <w:r>
        <w:t xml:space="preserve"> </w:t>
      </w:r>
      <w:hyperlink w:anchor="model:object">
        <w:r>
          <w:rPr>
            <w:rStyle w:val="Hyperlink"/>
          </w:rPr>
          <w:t xml:space="preserve">2.4.0.6</w:t>
        </w:r>
      </w:hyperlink>
      <w:r>
        <w:t xml:space="preserve">); and database systems using combinations of different models.</w:t>
      </w:r>
    </w:p>
    <w:p>
      <w:pPr>
        <w:pStyle w:val="Heading5"/>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5"/>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5"/>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5"/>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dea5a5195a4792f8d47d2449c0c95d6ca09754c"/>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3.3.0.2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5"/>
      </w:pPr>
      <w:bookmarkStart w:id="103" w:name="sonification:parametermapping"/>
      <w:r>
        <w:t xml:space="preserve">Parameter mapping</w:t>
      </w:r>
      <w:bookmarkEnd w:id="103"/>
    </w:p>
    <w:p>
      <w:pPr>
        <w:pStyle w:val="Heading6"/>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6"/>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5"/>
      </w:pPr>
      <w:bookmarkStart w:id="107" w:name="sonification:model"/>
      <w:r>
        <w:t xml:space="preserve">Model-based sonification</w:t>
      </w:r>
      <w:bookmarkEnd w:id="107"/>
    </w:p>
    <w:p>
      <w:pPr>
        <w:pStyle w:val="Heading6"/>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5"/>
      </w:pPr>
      <w:bookmarkStart w:id="109" w:name="sonification:artistic"/>
      <w:r>
        <w:t xml:space="preserve">Artistic sonification</w:t>
      </w:r>
      <w:bookmarkEnd w:id="109"/>
    </w:p>
    <w:p>
      <w:pPr>
        <w:pStyle w:val="Heading6"/>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6"/>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6"/>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6"/>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6"/>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5"/>
      </w:pPr>
      <w:bookmarkStart w:id="115" w:name="sonification:installations"/>
      <w:r>
        <w:t xml:space="preserve">Sonification Installations</w:t>
      </w:r>
      <w:bookmarkEnd w:id="115"/>
    </w:p>
    <w:p>
      <w:pPr>
        <w:pStyle w:val="Heading6"/>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6"/>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6"/>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6"/>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5"/>
      </w:pPr>
      <w:bookmarkStart w:id="124" w:name="sonification:software"/>
      <w:r>
        <w:t xml:space="preserve">Sonification Software</w:t>
      </w:r>
      <w:bookmarkEnd w:id="124"/>
    </w:p>
    <w:p>
      <w:pPr>
        <w:pStyle w:val="Heading6"/>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6"/>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6"/>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5"/>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6"/>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6"/>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3.3.0.1.6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2.3.0.0.2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6"/>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6"/>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2.2.0.0.3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6"/>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6"/>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5"/>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6"/>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6"/>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6"/>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5"/>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6"/>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3.4</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6"/>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6"/>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6"/>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3.3.0.3.4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6"/>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6"/>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5"/>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6"/>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6"/>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2"/>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6"/>
      </w:pPr>
      <w:bookmarkStart w:id="163" w:name="software-libraries"/>
      <w:r>
        <w:t xml:space="preserve">Software Libraries</w:t>
      </w:r>
      <w:bookmarkEnd w:id="163"/>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5"/>
      </w:pPr>
      <w:bookmarkStart w:id="164" w:name="querying-methods"/>
      <w:r>
        <w:t xml:space="preserve">Querying Methods</w:t>
      </w:r>
      <w:bookmarkEnd w:id="164"/>
    </w:p>
    <w:p>
      <w:pPr>
        <w:pStyle w:val="Heading6"/>
      </w:pPr>
      <w:bookmarkStart w:id="165" w:name="query-by-content"/>
      <w:r>
        <w:t xml:space="preserve">Query-by-content</w:t>
      </w:r>
      <w:bookmarkEnd w:id="165"/>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6"/>
      </w:pPr>
      <w:bookmarkStart w:id="166" w:name="similarity-based"/>
      <w:r>
        <w:t xml:space="preserve">Similarity-based</w:t>
      </w:r>
      <w:bookmarkEnd w:id="166"/>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7"/>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8"/>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6"/>
      </w:pPr>
      <w:bookmarkStart w:id="169" w:name="hybrid-queries"/>
      <w:r>
        <w:t xml:space="preserve">Hybrid Queries</w:t>
      </w:r>
      <w:bookmarkEnd w:id="169"/>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5"/>
      </w:pPr>
      <w:bookmarkStart w:id="170" w:name="traversing-methods"/>
      <w:r>
        <w:t xml:space="preserve">Traversing Methods</w:t>
      </w:r>
      <w:bookmarkEnd w:id="170"/>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6"/>
      </w:pPr>
      <w:bookmarkStart w:id="171" w:name="sensorial-networks"/>
      <w:r>
        <w:t xml:space="preserve">Sensorial Networks</w:t>
      </w:r>
      <w:bookmarkEnd w:id="171"/>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6"/>
      </w:pPr>
      <w:bookmarkStart w:id="172" w:name="involuntary-navigation"/>
      <w:r>
        <w:t xml:space="preserve">Involuntary Navigation</w:t>
      </w:r>
      <w:bookmarkEnd w:id="172"/>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6"/>
      </w:pPr>
      <w:bookmarkStart w:id="173" w:name="networked-collaborations"/>
      <w:r>
        <w:t xml:space="preserve">Networked Collaborations</w:t>
      </w:r>
      <w:bookmarkEnd w:id="173"/>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6"/>
      </w:pPr>
      <w:bookmarkStart w:id="174" w:name="mobile-devices"/>
      <w:r>
        <w:t xml:space="preserve">Mobile Devices</w:t>
      </w:r>
      <w:bookmarkEnd w:id="174"/>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5"/>
      </w:pPr>
      <w:bookmarkStart w:id="175" w:name="resource-sharing"/>
      <w:r>
        <w:t xml:space="preserve">Resource Sharing</w:t>
      </w:r>
      <w:bookmarkEnd w:id="175"/>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6"/>
      </w:r>
      <w:r>
        <w:t xml:space="preserve"> </w:t>
      </w:r>
      <w:r>
        <w:t xml:space="preserve">In any case, what is common between these forms of sharing is an entropic and endless plurality.</w:t>
      </w:r>
    </w:p>
    <w:p>
      <w:pPr>
        <w:pStyle w:val="Heading6"/>
      </w:pPr>
      <w:bookmarkStart w:id="177" w:name="multimodal-datasets"/>
      <w:r>
        <w:t xml:space="preserve">Multimodal Datasets</w:t>
      </w:r>
      <w:bookmarkEnd w:id="177"/>
    </w:p>
    <w:p>
      <w:pPr>
        <w:pStyle w:val="FirstParagraph"/>
      </w:pPr>
      <w:r>
        <w:t xml:space="preserve">Among the many datasets that are available (See</w:t>
      </w:r>
      <w:r>
        <w:t xml:space="preserve"> </w:t>
      </w:r>
      <w:hyperlink w:anchor="mir">
        <w:r>
          <w:rPr>
            <w:rStyle w:val="Hyperlink"/>
          </w:rPr>
          <w:t xml:space="preserve">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6"/>
      </w:pPr>
      <w:bookmarkStart w:id="178" w:name="formats"/>
      <w:r>
        <w:t xml:space="preserve">Formats</w:t>
      </w:r>
      <w:bookmarkEnd w:id="178"/>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6"/>
      </w:pPr>
      <w:bookmarkStart w:id="179" w:name="live-coding"/>
      <w:r>
        <w:t xml:space="preserve">Live Coding</w:t>
      </w:r>
      <w:bookmarkEnd w:id="179"/>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5"/>
      </w:pPr>
      <w:bookmarkStart w:id="180" w:name="closing-remarks"/>
      <w:r>
        <w:t xml:space="preserve">Closing Remarks</w:t>
      </w:r>
      <w:bookmarkEnd w:id="180"/>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3.5</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2" w:name="img:intersections"/>
      <w:r>
        <w:drawing>
          <wp:inline>
            <wp:extent cx="3759200" cy="2438400"/>
            <wp:effectExtent b="0" l="0" r="0" t="0"/>
            <wp:docPr descr=" Position of the database in terms of visibility among mir, Sonification, and Computer Music. Positive values indicate visibility and negative indicate invisibility. "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1"/>
                    <a:stretch>
                      <a:fillRect/>
                    </a:stretch>
                  </pic:blipFill>
                  <pic:spPr bwMode="auto">
                    <a:xfrm>
                      <a:off x="0" y="0"/>
                      <a:ext cx="3759200" cy="2438400"/>
                    </a:xfrm>
                    <a:prstGeom prst="rect">
                      <a:avLst/>
                    </a:prstGeom>
                    <a:noFill/>
                    <a:ln w="9525">
                      <a:noFill/>
                      <a:headEnd/>
                      <a:tailEnd/>
                    </a:ln>
                  </pic:spPr>
                </pic:pic>
              </a:graphicData>
            </a:graphic>
          </wp:inline>
        </w:drawing>
      </w:r>
      <w:bookmarkEnd w:id="182"/>
    </w:p>
    <w:p>
      <w:pPr>
        <w:pStyle w:val="ImageCaption"/>
      </w:pPr>
      <w:r>
        <w:t xml:space="preserve"> </w:t>
      </w:r>
      <w:r>
        <w:t xml:space="preserve">Position of the database in terms of visibility among</w:t>
      </w:r>
      <w:r>
        <w:t xml:space="preserve"> </w:t>
      </w:r>
      <w:r>
        <w:t xml:space="preserve">mir</w:t>
      </w:r>
      <w:r>
        <w:t xml:space="preserve">, Sonification, and Computer Music. Positive values indicate visibility and negative indicate invisibility.</w:t>
      </w:r>
      <w:r>
        <w:t xml:space="preserve"> </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3" w:name="part: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chapter: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6"/>
      </w:pPr>
      <w:bookmarkStart w:id="186" w:name="sonorous-presence"/>
      <w:r>
        <w:t xml:space="preserve">Sonorous presence</w:t>
      </w:r>
      <w:bookmarkEnd w:id="186"/>
    </w:p>
    <w:p>
      <w:pPr>
        <w:pStyle w:val="FirstParagraph"/>
      </w:pPr>
      <w:r>
        <w:t xml:space="preserve">Philosopher</w:t>
      </w:r>
      <w:r>
        <w:t xml:space="preserve"> </w:t>
      </w:r>
      <w:r>
        <w:t xml:space="preserve">Nancy (2007)</w:t>
      </w:r>
      <w:r>
        <w:t xml:space="preserve"> </w:t>
      </w:r>
      <w:r>
        <w:t xml:space="preserve">brings forth an ontology of sound that is based on a performativity of listening that links an embodied theory of listening with a phenomenology of the self. For</w:t>
      </w:r>
      <w:r>
        <w:t xml:space="preserve"> </w:t>
      </w:r>
      <w:r>
        <w:t xml:space="preserve">Gratton &amp; Morin (2015)</w:t>
      </w:r>
      <w:r>
        <w:t xml:space="preserve">,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6"/>
      </w:pPr>
      <w:bookmarkStart w:id="187" w:name="an-a-priori-filter"/>
      <w:r>
        <w:t xml:space="preserve">An a priori filter</w:t>
      </w:r>
      <w:bookmarkEnd w:id="187"/>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6"/>
      </w:pPr>
      <w:bookmarkStart w:id="188" w:name="sonorous-presence-in-an-attack"/>
      <w:r>
        <w:t xml:space="preserve">Sonorous presence in an attack</w:t>
      </w:r>
      <w:bookmarkEnd w:id="188"/>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6"/>
      </w:pPr>
      <w:bookmarkStart w:id="189" w:name="referrals-and-deferrals"/>
      <w:r>
        <w:t xml:space="preserve">Referrals and Deferrals</w:t>
      </w:r>
      <w:bookmarkEnd w:id="189"/>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2.2</w:t>
        </w:r>
      </w:hyperlink>
      <w:r>
        <w:t xml:space="preserve">).</w:t>
      </w:r>
      <w:r>
        <w:rPr>
          <w:rStyle w:val="FootnoteReference"/>
        </w:rPr>
        <w:footnoteReference w:id="190"/>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6"/>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6"/>
      </w:pPr>
      <w:bookmarkStart w:id="192" w:name="an-approach-to-self"/>
      <w:r>
        <w:t xml:space="preserve">An Approach to Self</w:t>
      </w:r>
      <w:bookmarkEnd w:id="192"/>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6"/>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6"/>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6"/>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6"/>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6"/>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6"/>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6"/>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6"/>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6"/>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6"/>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6"/>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6"/>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chapter: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6"/>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6"/>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6"/>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6"/>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6"/>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6"/>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6"/>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6"/>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6"/>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6"/>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6"/>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6"/>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6"/>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6"/>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6"/>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6"/>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6"/>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6"/>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6"/>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6"/>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6"/>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6"/>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6"/>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chapter: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[section:Listening_Databases]</w:t>
        </w:r>
      </w:hyperlink>
      <w:r>
        <w:t xml:space="preserve">).</w:t>
      </w:r>
    </w:p>
    <w:p>
      <w:pPr>
        <w:pStyle w:val="Heading6"/>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6"/>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6"/>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6"/>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6"/>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6"/>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6"/>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6"/>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6"/>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6"/>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6"/>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2.2</w:t>
        </w:r>
      </w:hyperlink>
      <w:r>
        <w:t xml:space="preserve">). Considering databasing as chaotic systems brings yet another aspect to the contingency of style.</w:t>
      </w:r>
    </w:p>
    <w:p>
      <w:pPr>
        <w:pStyle w:val="Heading6"/>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7" w:name="img:lorenz_plotter"/>
      <w:r>
        <w:t xml:space="preserve">[img:lorenz_plotter]</w:t>
      </w:r>
      <w:bookmarkEnd w:id="267"/>
    </w:p>
    <w:p>
      <w:pPr>
        <w:pStyle w:val="Heading6"/>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6"/>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6"/>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6"/>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6"/>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2.3</w:t>
        </w:r>
      </w:hyperlink>
      <w:r>
        <w:t xml:space="preserve">), authority can be seen as the illusory resonance of an author. It is this illusion that I attempt to address here, this ghost which haunts music composition.</w:t>
      </w:r>
    </w:p>
    <w:p>
      <w:pPr>
        <w:pStyle w:val="Heading6"/>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6"/>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6"/>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chapter:Rethinking_Composition"/>
      <w:r>
        <w:t xml:space="preserve">Rethinking Composition</w:t>
      </w:r>
      <w:bookmarkEnd w:id="280"/>
    </w:p>
    <w:p>
      <w:pPr>
        <w:pStyle w:val="Heading3"/>
      </w:pPr>
      <w:bookmarkStart w:id="281" w:name="performance"/>
      <w:r>
        <w:t xml:space="preserve">Interlude: Hyperbolic Reactions</w:t>
      </w:r>
      <w:bookmarkEnd w:id="281"/>
    </w:p>
    <w:p>
      <w:pPr>
        <w:pStyle w:val="Heading6"/>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6"/>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6"/>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6"/>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6"/>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6"/>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6"/>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6"/>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6"/>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6"/>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6"/>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6"/>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4.4</w:t>
        </w:r>
      </w:hyperlink>
      <w:r>
        <w:t xml:space="preserve">))</w:t>
      </w:r>
    </w:p>
    <w:p>
      <w:pPr>
        <w:pStyle w:val="Heading6"/>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6"/>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6"/>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6"/>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6"/>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6"/>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3.3.0.1.4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6"/>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6"/>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6"/>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6"/>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3.1</w:t>
        </w:r>
      </w:hyperlink>
      <w:r>
        <w:t xml:space="preserve">).</w:t>
      </w:r>
    </w:p>
    <w:p>
      <w:pPr>
        <w:pStyle w:val="Heading6"/>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6"/>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6"/>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6"/>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6"/>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6"/>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6"/>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6"/>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6"/>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6"/>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6"/>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6"/>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6"/>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6"/>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6"/>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6"/>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8" w:name="part:Conclusion"/>
      <w:r>
        <w:t xml:space="preserve">Conclusion</w:t>
      </w:r>
      <w:bookmarkEnd w:id="338"/>
    </w:p>
    <w:p>
      <w:pPr>
        <w:pStyle w:val="FirstParagraph"/>
      </w:pPr>
      <w:r>
        <w:t xml:space="preserve">…</w:t>
      </w:r>
      <w:r>
        <w:t xml:space="preserve"> </w:t>
      </w:r>
      <w:r>
        <w:t xml:space="preserve">placeholder for conclusion abstract</w:t>
      </w:r>
      <w:r>
        <w:t xml:space="preserve"> </w:t>
      </w:r>
      <w:r>
        <w:t xml:space="preserve">…</w:t>
      </w:r>
    </w:p>
    <w:p>
      <w:pPr>
        <w:pStyle w:val="Heading2"/>
      </w:pPr>
      <w:bookmarkStart w:id="339" w:name="chapter:Appendices"/>
      <w:r>
        <w:t xml:space="preserve">Appendices</w:t>
      </w:r>
      <w:bookmarkEnd w:id="339"/>
    </w:p>
    <w:p>
      <w:pPr>
        <w:pStyle w:val="FirstParagraph"/>
      </w:pPr>
      <w:r>
        <w:t xml:space="preserve">abstract of appendices</w:t>
      </w:r>
    </w:p>
    <w:p>
      <w:pPr>
        <w:pStyle w:val="Heading3"/>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4"/>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3"/>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4"/>
      </w:pPr>
      <w:bookmarkStart w:id="343" w:name="texdb"/>
      <w:r>
        <w:t xml:space="preserve">A Text Database</w:t>
      </w:r>
      <w:bookmarkEnd w:id="343"/>
    </w:p>
    <w:p>
      <w:pPr>
        <w:pStyle w:val="FirstParagraph"/>
      </w:pPr>
      <w:r>
        <w:t xml:space="preserve">A detailed description of the text database model…</w:t>
      </w:r>
    </w:p>
    <w:bookmarkStart w:id="683"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20:Viv"/>
    <w:p>
      <w:pPr>
        <w:pStyle w:val="Bibliography"/>
      </w:pPr>
      <w:r>
        <w:t xml:space="preserve">Barrett N. 2000b. Viva la selva</w:t>
      </w:r>
    </w:p>
    <w:bookmarkEnd w:id="361"/>
    <w:bookmarkStart w:id="362" w:name="ref-Bar68:Ele"/>
    <w:p>
      <w:pPr>
        <w:pStyle w:val="Bibliography"/>
      </w:pPr>
      <w:r>
        <w:t xml:space="preserve">Barthes R, Lavers A, Smith C. 1968.</w:t>
      </w:r>
      <w:r>
        <w:t xml:space="preserve"> </w:t>
      </w:r>
      <w:r>
        <w:rPr>
          <w:i/>
        </w:rPr>
        <w:t xml:space="preserve">Elements of Semiology</w:t>
      </w:r>
      <w:r>
        <w:t xml:space="preserve">. Hill; Wang, New York. ed.</w:t>
      </w:r>
    </w:p>
    <w:bookmarkEnd w:id="362"/>
    <w:bookmarkStart w:id="36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3"/>
    <w:bookmarkStart w:id="3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4"/>
    <w:bookmarkStart w:id="3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5"/>
    <w:bookmarkStart w:id="3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6">
        <w:r>
          <w:rPr>
            <w:rStyle w:val="Hyperlink"/>
          </w:rPr>
          <w:t xml:space="preserve">http://www.terasoft.com.tw/conf/ismir2014/proceedings/T028_322_Paper.pdf</w:t>
        </w:r>
      </w:hyperlink>
    </w:p>
    <w:bookmarkEnd w:id="367"/>
    <w:bookmarkStart w:id="36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8"/>
    <w:bookmarkStart w:id="370"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9">
        <w:r>
          <w:rPr>
            <w:rStyle w:val="Hyperlink"/>
          </w:rPr>
          <w:t xml:space="preserve">http://www.ppgia.pucpr.br/ismir2013/wp-content/uploads/2013/09/177\_Paper.pdf</w:t>
        </w:r>
      </w:hyperlink>
    </w:p>
    <w:bookmarkEnd w:id="370"/>
    <w:bookmarkStart w:id="371"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1"/>
    <w:bookmarkStart w:id="372" w:name="ref-Bor42:Fun"/>
    <w:p>
      <w:pPr>
        <w:pStyle w:val="Bibliography"/>
      </w:pPr>
      <w:r>
        <w:t xml:space="preserve">Borges JL. 1942. Funes el memorioso.</w:t>
      </w:r>
      <w:r>
        <w:t xml:space="preserve"> </w:t>
      </w:r>
      <w:r>
        <w:rPr>
          <w:i/>
        </w:rPr>
        <w:t xml:space="preserve">Ficciones</w:t>
      </w:r>
    </w:p>
    <w:bookmarkEnd w:id="372"/>
    <w:bookmarkStart w:id="373" w:name="ref-Bor95:Rat"/>
    <w:p>
      <w:pPr>
        <w:pStyle w:val="Bibliography"/>
      </w:pPr>
      <w:r>
        <w:t xml:space="preserve">Born G. 1995.</w:t>
      </w:r>
      <w:r>
        <w:t xml:space="preserve"> </w:t>
      </w:r>
      <w:r>
        <w:rPr>
          <w:i/>
        </w:rPr>
        <w:t xml:space="preserve">Rationalizing Culture</w:t>
      </w:r>
      <w:r>
        <w:t xml:space="preserve">. University of California Press. ed.</w:t>
      </w:r>
    </w:p>
    <w:bookmarkEnd w:id="373"/>
    <w:bookmarkStart w:id="3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4"/>
    <w:bookmarkStart w:id="3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5"/>
    <w:bookmarkStart w:id="376"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2">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7">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8">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6">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181" Target="media/rId18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2019-04-06T17:54:40Z</dcterms:created>
  <dcterms:modified xsi:type="dcterms:W3CDTF">2019-04-06T17:54:40Z</dcterms:modified>
</cp:coreProperties>
</file>

<file path=docProps/custom.xml><?xml version="1.0" encoding="utf-8"?>
<Properties xmlns="http://schemas.openxmlformats.org/officeDocument/2006/custom-properties" xmlns:vt="http://schemas.openxmlformats.org/officeDocument/2006/docPropsVTypes"/>
</file>