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 CAC , Electroacoustic/electronic/computer music, Sonification, and MIR .</w:t>
      </w:r>
    </w:p>
    <w:p>
      <w:pPr>
        <w:pStyle w:val="BodyText"/>
      </w:pPr>
      <w:r>
        <w:t xml:space="preserve">In this section, I use the words ‘database’ and ‘computer’ somewhat interchangeably. This decision is not random, computers cannot exist without databases. In this context then, is all computer music database music? As I hope to demonstrate, there are overt and covert uses of the database, but the database is ubiquitous.</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2019-03-30T10:21:35Z</dcterms:created>
  <dcterms:modified xsi:type="dcterms:W3CDTF">2019-03-30T10:21:35Z</dcterms:modified>
</cp:coreProperties>
</file>

<file path=docProps/custom.xml><?xml version="1.0" encoding="utf-8"?>
<Properties xmlns="http://schemas.openxmlformats.org/officeDocument/2006/custom-properties" xmlns:vt="http://schemas.openxmlformats.org/officeDocument/2006/docPropsVTypes"/>
</file>