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png" ContentType="image/png"/>
  <Override PartName="/word/media/rId20.jpg" ContentType="image/jpeg"/>
  <Override PartName="/word/media/rId66.png" ContentType="image/png"/>
  <Override PartName="/word/media/rId207.png" ContentType="image/png"/>
  <Override PartName="/word/media/rId88.png" ContentType="image/png"/>
  <Override PartName="/word/media/rId85.png" ContentType="image/png"/>
  <Override PartName="/word/media/rId69.png" ContentType="image/png"/>
  <Override PartName="/word/media/rId78.png" ContentType="image/png"/>
  <Override PartName="/word/media/rId32.png" ContentType="image/png"/>
  <Override PartName="/word/media/rId73.png" ContentType="image/png"/>
  <Override PartName="/word/media/rId81.png" ContentType="image/png"/>
  <Override PartName="/word/media/rId91.png" ContentType="image/png"/>
  <Override PartName="/word/media/rId1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structure, time, writing, and architecture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Database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6"/>
          <w:ilvl w:val="3"/>
        </w:numPr>
      </w:pPr>
      <w:hyperlink w:anchor="model:puredata">
        <w:r>
          <w:rPr>
            <w:rStyle w:val="Hyperlink"/>
          </w:rPr>
          <w:t xml:space="preserve">Pure Data as Database System</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software">
        <w:r>
          <w:rPr>
            <w:rStyle w:val="Hyperlink"/>
          </w:rPr>
          <w:t xml:space="preserve">Sonification Software</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hierarchical-environments">
        <w:r>
          <w:rPr>
            <w:rStyle w:val="Hyperlink"/>
          </w:rPr>
          <w:t xml:space="preserve">Hierarchical environments</w:t>
        </w:r>
      </w:hyperlink>
    </w:p>
    <w:p>
      <w:pPr>
        <w:pStyle w:val="Compact"/>
        <w:numPr>
          <w:numId w:val="1009"/>
          <w:ilvl w:val="3"/>
        </w:numPr>
      </w:pPr>
      <w:hyperlink w:anchor="music-notation-software">
        <w:r>
          <w:rPr>
            <w:rStyle w:val="Hyperlink"/>
          </w:rPr>
          <w:t xml:space="preserve">Music Notation Software</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Sound 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s">
        <w:r>
          <w:rPr>
            <w:rStyle w:val="Hyperlink"/>
          </w:rPr>
          <w:t xml:space="preserve">Listening Databases</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Databases_and_Memory">
        <w:r>
          <w:rPr>
            <w:rStyle w:val="Hyperlink"/>
          </w:rPr>
          <w:t xml:space="preserve">Databases and 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tivity_of_Databases">
        <w:r>
          <w:rPr>
            <w:rStyle w:val="Hyperlink"/>
          </w:rPr>
          <w:t xml:space="preserve">Performativity of Databases</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5"/>
          <w:ilvl w:val="1"/>
        </w:numPr>
      </w:pPr>
      <w:hyperlink w:anchor="section:Rethinking_Composition">
        <w:r>
          <w:rPr>
            <w:rStyle w:val="Hyperlink"/>
          </w:rPr>
          <w:t xml:space="preserve">Rethinking Composition</w:t>
        </w:r>
      </w:hyperlink>
    </w:p>
    <w:p>
      <w:pPr>
        <w:pStyle w:val="Compact"/>
        <w:numPr>
          <w:numId w:val="1016"/>
          <w:ilvl w:val="2"/>
        </w:numPr>
      </w:pPr>
      <w:hyperlink w:anchor="performance">
        <w:r>
          <w:rPr>
            <w:rStyle w:val="Hyperlink"/>
          </w:rPr>
          <w:t xml:space="preserve">Performing the Database</w:t>
        </w:r>
      </w:hyperlink>
    </w:p>
    <w:p>
      <w:pPr>
        <w:pStyle w:val="Compact"/>
        <w:numPr>
          <w:numId w:val="1016"/>
          <w:ilvl w:val="2"/>
        </w:numPr>
      </w:pPr>
      <w:hyperlink w:anchor="organic">
        <w:r>
          <w:rPr>
            <w:rStyle w:val="Hyperlink"/>
          </w:rPr>
          <w:t xml:space="preserve">Working Composition</w:t>
        </w:r>
      </w:hyperlink>
    </w:p>
    <w:p>
      <w:pPr>
        <w:pStyle w:val="Compact"/>
        <w:numPr>
          <w:numId w:val="1016"/>
          <w:ilvl w:val="2"/>
        </w:numPr>
      </w:pPr>
      <w:hyperlink w:anchor="practice">
        <w:r>
          <w:rPr>
            <w:rStyle w:val="Hyperlink"/>
          </w:rPr>
          <w:t xml:space="preserve">The Composer as Navigator</w:t>
        </w:r>
      </w:hyperlink>
    </w:p>
    <w:p>
      <w:pPr>
        <w:pStyle w:val="Compact"/>
        <w:numPr>
          <w:numId w:val="1016"/>
          <w:ilvl w:val="2"/>
        </w:numPr>
      </w:pPr>
      <w:hyperlink w:anchor="improv">
        <w:r>
          <w:rPr>
            <w:rStyle w:val="Hyperlink"/>
          </w:rPr>
          <w:t xml:space="preserve">The Database as Performer</w:t>
        </w:r>
      </w:hyperlink>
    </w:p>
    <w:p>
      <w:pPr>
        <w:pStyle w:val="Compact"/>
        <w:numPr>
          <w:numId w:val="1015"/>
          <w:ilvl w:val="1"/>
        </w:numPr>
      </w:pPr>
      <w:hyperlink w:anchor="section:Inoperativity">
        <w:r>
          <w:rPr>
            <w:rStyle w:val="Hyperlink"/>
          </w:rPr>
          <w:t xml:space="preserve">Inoperativity</w:t>
        </w:r>
      </w:hyperlink>
    </w:p>
    <w:p>
      <w:pPr>
        <w:pStyle w:val="Compact"/>
        <w:numPr>
          <w:numId w:val="1017"/>
          <w:ilvl w:val="2"/>
        </w:numPr>
      </w:pPr>
      <w:hyperlink w:anchor="music">
        <w:r>
          <w:rPr>
            <w:rStyle w:val="Hyperlink"/>
          </w:rPr>
          <w:t xml:space="preserve">The severed object of music: composing composer</w:t>
        </w:r>
      </w:hyperlink>
    </w:p>
    <w:p>
      <w:pPr>
        <w:pStyle w:val="Compact"/>
        <w:numPr>
          <w:numId w:val="1017"/>
          <w:ilvl w:val="2"/>
        </w:numPr>
      </w:pPr>
      <w:hyperlink w:anchor="anarchy">
        <w:r>
          <w:rPr>
            <w:rStyle w:val="Hyperlink"/>
          </w:rPr>
          <w:t xml:space="preserve">Anarchy and the unwork</w:t>
        </w:r>
      </w:hyperlink>
    </w:p>
    <w:p>
      <w:pPr>
        <w:pStyle w:val="Compact"/>
        <w:numPr>
          <w:numId w:val="1017"/>
          <w:ilvl w:val="2"/>
        </w:numPr>
      </w:pPr>
      <w:hyperlink w:anchor="trans">
        <w:r>
          <w:rPr>
            <w:rStyle w:val="Hyperlink"/>
          </w:rPr>
          <w:t xml:space="preserve">Trans-inoperativity: a database politics of authorship</w:t>
        </w:r>
      </w:hyperlink>
    </w:p>
    <w:p>
      <w:pPr>
        <w:pStyle w:val="Compact"/>
        <w:numPr>
          <w:numId w:val="1017"/>
          <w:ilvl w:val="2"/>
        </w:numPr>
      </w:pPr>
      <w:hyperlink w:anchor="worker">
        <w:r>
          <w:rPr>
            <w:rStyle w:val="Hyperlink"/>
          </w:rPr>
          <w:t xml:space="preserve">[WIP] work in progress</w:t>
        </w:r>
      </w:hyperlink>
    </w:p>
    <w:p>
      <w:pPr>
        <w:pStyle w:val="Compact"/>
        <w:numPr>
          <w:numId w:val="1001"/>
          <w:ilvl w:val="0"/>
        </w:numPr>
      </w:pPr>
      <w:hyperlink w:anchor="chapter:Appendices">
        <w:r>
          <w:rPr>
            <w:rStyle w:val="Hyperlink"/>
          </w:rPr>
          <w:t xml:space="preserve">Appendices</w:t>
        </w:r>
      </w:hyperlink>
    </w:p>
    <w:p>
      <w:pPr>
        <w:pStyle w:val="Compact"/>
        <w:numPr>
          <w:numId w:val="1018"/>
          <w:ilvl w:val="1"/>
        </w:numPr>
      </w:pPr>
      <w:hyperlink w:anchor="X9928d5a4298d9156e673c83842d96a99bfb66d7">
        <w:r>
          <w:rPr>
            <w:rStyle w:val="Hyperlink"/>
          </w:rPr>
          <w:t xml:space="preserve">DIANA: Database for Image and Audio Navigation</w:t>
        </w:r>
      </w:hyperlink>
    </w:p>
    <w:p>
      <w:pPr>
        <w:pStyle w:val="Compact"/>
        <w:numPr>
          <w:numId w:val="1019"/>
          <w:ilvl w:val="2"/>
        </w:numPr>
      </w:pPr>
      <w:hyperlink w:anchor="dbmodel">
        <w:r>
          <w:rPr>
            <w:rStyle w:val="Hyperlink"/>
          </w:rPr>
          <w:t xml:space="preserve">A Database Model</w:t>
        </w:r>
      </w:hyperlink>
    </w:p>
    <w:p>
      <w:pPr>
        <w:pStyle w:val="Compact"/>
        <w:numPr>
          <w:numId w:val="1018"/>
          <w:ilvl w:val="1"/>
        </w:numPr>
      </w:pPr>
      <w:hyperlink w:anchor="X7616598f194c52ee6f4c09f01c755a7090177ba">
        <w:r>
          <w:rPr>
            <w:rStyle w:val="Hyperlink"/>
          </w:rPr>
          <w:t xml:space="preserve">ABBY: An Online Environment for Annotated Bibliographies</w:t>
        </w:r>
      </w:hyperlink>
    </w:p>
    <w:p>
      <w:pPr>
        <w:pStyle w:val="Compact"/>
        <w:numPr>
          <w:numId w:val="1020"/>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In going below the ‘note’ level, you can also go below the ‘screen’ 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[img:databasingmusic]</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 ‘recorded movement,’ 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Understanding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b112ff86a4395254a684f5a434c148b018328ac"/>
      <w:r>
        <w:t xml:space="preserve">Databasing and the History of Databases</w:t>
      </w:r>
      <w:bookmarkEnd w:id="41"/>
    </w:p>
    <w:p>
      <w:pPr>
        <w:pStyle w:val="Heading3"/>
      </w:pPr>
      <w:bookmarkStart w:id="42" w:name="databasing"/>
      <w:r>
        <w:t xml:space="preserve">Databasing: structure, time, writing, and architecture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person">
        <w:r>
          <w:rPr>
            <w:rStyle w:val="Hyperlink"/>
          </w:rPr>
          <w:t xml:space="preserve">[person]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 DBMS , which are still used in great demand by multiple contemporary companies. The computer’s capability for data processing and storage is inherent in the constitution of database systems. In fields such as CAC , working with computers meant being part of a system. The human operator is has been regarded, for example, as a co-operator</w:t>
      </w:r>
      <w:r>
        <w:t xml:space="preserve"> </w:t>
      </w:r>
      <w:r>
        <w:t xml:space="preserve">(Mathews 1963)</w:t>
      </w:r>
      <w:r>
        <w:t xml:space="preserve">. A further approach understands humans operating with computers as another component of complex systems</w:t>
      </w:r>
      <w:r>
        <w:t xml:space="preserve"> </w:t>
      </w:r>
      <w:r>
        <w:t xml:space="preserve">(Vaggione 2001)</w:t>
      </w:r>
      <w:r>
        <w:t xml:space="preserve">. In this section, I describe the different levels of database systems as a tree (See Figure</w:t>
      </w:r>
      <w:r>
        <w:t xml:space="preserve"> </w:t>
      </w:r>
      <w:hyperlink w:anchor="img:dbtree">
        <w:r>
          <w:rPr>
            <w:rStyle w:val="Hyperlink"/>
          </w:rPr>
          <w:t xml:space="preserve">4.2</w:t>
        </w:r>
      </w:hyperlink>
      <w:r>
        <w:t xml:space="preserve">), starting from basic data structures to more elaborate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 DBMS , generally used in businesses for data processing and editing, for example: MYSQL , POSTGRESQL , NOSQL , COUCHDB and MONGODB .</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 DBMS s interact with data: the MYSQL database model allows the user to load a data set in working memory, and establishes a connection between the opened memory and the input/output mechanisms. Networks of trees are data streams running by way of an IP 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 data warehouses,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1" w:name="array-data-structure"/>
      <w:r>
        <w:t xml:space="preserve">Array data structure</w:t>
      </w:r>
      <w:bookmarkEnd w:id="61"/>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2" w:name="computer:linked"/>
      <w:r>
        <w:t xml:space="preserve">Linked Lists</w:t>
      </w:r>
      <w:bookmarkEnd w:id="62"/>
    </w:p>
    <w:p>
      <w:pPr>
        <w:pStyle w:val="FirstParagraph"/>
      </w:pPr>
      <w:r>
        <w:t xml:space="preserve">One important technical shift in the use of data structures came with the concept of linked lists. A linked list is collection of data (usually a symbol table), with pointers to the ‘previous’ and/or ‘next’ 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 SSSP and CAMP 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4.3.3.3.7</w:t>
        </w:r>
      </w:hyperlink>
      <w:r>
        <w:t xml:space="preserve">)</w:t>
      </w:r>
      <w:r>
        <w:t xml:space="preserve"> </w:t>
      </w:r>
      <w:r>
        <w:t xml:space="preserve">(Rowe 1992)</w:t>
      </w:r>
      <w:r>
        <w:t xml:space="preserve">.</w:t>
      </w:r>
    </w:p>
    <w:p>
      <w:pPr>
        <w:pStyle w:val="Heading5"/>
      </w:pPr>
      <w:bookmarkStart w:id="63" w:name="computer:audacity"/>
      <w:r>
        <w:t xml:space="preserve">Sequences</w:t>
      </w:r>
      <w:bookmarkEnd w:id="63"/>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4" w:name="descriptions"/>
      <w:r>
        <w:t xml:space="preserve">A Brief History of Database Models</w:t>
      </w:r>
      <w:bookmarkEnd w:id="64"/>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 DBMS 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 DDL for structural specification of data, and a DML 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w:t>
      </w:r>
    </w:p>
    <w:p>
      <w:pPr>
        <w:pStyle w:val="BodyText"/>
      </w:pPr>
      <w:r>
        <w:t xml:space="preserve">In essence, all DBMS 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 CAAC software, Christopher Ariza</w:t>
      </w:r>
      <w:r>
        <w:t xml:space="preserve"> </w:t>
      </w:r>
      <w:r>
        <w:t xml:space="preserve">(Ariza 2005a)</w:t>
      </w:r>
      <w:r>
        <w:t xml:space="preserve"> </w:t>
      </w:r>
      <w:r>
        <w:t xml:space="preserve">claims that design choices “determines the interaction of software components and the nature of internal system processing”</w:t>
      </w:r>
      <w:r>
        <w:t xml:space="preserve"> </w:t>
      </w:r>
      <w:r>
        <w:t xml:space="preserve">(Ariza 2005a, p. 18)</w:t>
      </w:r>
      <w:r>
        <w:t xml:space="preserve">. Luckily, a failed database access in music might perhaps come as a minimal performative ‘bump’ 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5" w:name="model:hierarchical"/>
      <w:r>
        <w:t xml:space="preserve">Hierarchical</w:t>
      </w:r>
      <w:bookmarkEnd w:id="65"/>
    </w:p>
    <w:p>
      <w:pPr>
        <w:pStyle w:val="CaptionedFigure"/>
      </w:pPr>
      <w:bookmarkStart w:id="67"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6"/>
                    <a:stretch>
                      <a:fillRect/>
                    </a:stretch>
                  </pic:blipFill>
                  <pic:spPr bwMode="auto">
                    <a:xfrm>
                      <a:off x="0" y="0"/>
                      <a:ext cx="2692400" cy="1866900"/>
                    </a:xfrm>
                    <a:prstGeom prst="rect">
                      <a:avLst/>
                    </a:prstGeom>
                    <a:noFill/>
                    <a:ln w="9525">
                      <a:noFill/>
                      <a:headEnd/>
                      <a:tailEnd/>
                    </a:ln>
                  </pic:spPr>
                </pic:pic>
              </a:graphicData>
            </a:graphic>
          </wp:inline>
        </w:drawing>
      </w:r>
      <w:bookmarkEnd w:id="67"/>
    </w:p>
    <w:p>
      <w:pPr>
        <w:pStyle w:val="ImageCaption"/>
      </w:pPr>
      <w:r>
        <w:t xml:space="preserve">Diagram of the hierarchical model</w:t>
      </w:r>
    </w:p>
    <w:p>
      <w:pPr>
        <w:pStyle w:val="BodyText"/>
      </w:pPr>
      <w:r>
        <w:t xml:space="preserve">The hierarchical model was developed at IBM during the early 1960s, in conjunction with other American manufacturing conglomerates for NASA ’s Project Apollo, resulting in 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68" w:name="model:network"/>
      <w:r>
        <w:t xml:space="preserve">Network</w:t>
      </w:r>
      <w:bookmarkEnd w:id="68"/>
    </w:p>
    <w:p>
      <w:pPr>
        <w:pStyle w:val="CaptionedFigure"/>
      </w:pPr>
      <w:bookmarkStart w:id="70"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9"/>
                    <a:stretch>
                      <a:fillRect/>
                    </a:stretch>
                  </pic:blipFill>
                  <pic:spPr bwMode="auto">
                    <a:xfrm>
                      <a:off x="0" y="0"/>
                      <a:ext cx="2298700" cy="2552700"/>
                    </a:xfrm>
                    <a:prstGeom prst="rect">
                      <a:avLst/>
                    </a:prstGeom>
                    <a:noFill/>
                    <a:ln w="9525">
                      <a:noFill/>
                      <a:headEnd/>
                      <a:tailEnd/>
                    </a:ln>
                  </pic:spPr>
                </pic:pic>
              </a:graphicData>
            </a:graphic>
          </wp:inline>
        </w:drawing>
      </w:r>
      <w:bookmarkEnd w:id="70"/>
    </w:p>
    <w:p>
      <w:pPr>
        <w:pStyle w:val="ImageCaption"/>
      </w:pPr>
      <w:r>
        <w:t xml:space="preserve">Diagram of the network model</w:t>
      </w:r>
    </w:p>
    <w:p>
      <w:pPr>
        <w:pStyle w:val="BodyText"/>
      </w:pPr>
      <w:r>
        <w:t xml:space="preserve">Invented by Charles Bachman in 1959 and published at the CODASYL , the network model is a way of representing objects as nodes in a graph whose relationships can be represented as arcs. The programming language COBOL 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1" w:name="navigational-paradigm"/>
      <w:r>
        <w:t xml:space="preserve">Navigational Paradigm</w:t>
      </w:r>
      <w:bookmarkEnd w:id="71"/>
    </w:p>
    <w:p>
      <w:pPr>
        <w:pStyle w:val="FirstParagraph"/>
      </w:pPr>
      <w:r>
        <w:t xml:space="preserve">The advent of disk-based database systems, in contrast to magnetic tape or punched card systems, enabled a different way of thinking database navigation. Working for General Electric’s IDS ,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 DOM websites contains a hierarchicalstructure, they can be accessed using this navigational paradigm.</w:t>
      </w:r>
    </w:p>
    <w:p>
      <w:pPr>
        <w:pStyle w:val="Heading4"/>
      </w:pPr>
      <w:bookmarkStart w:id="72" w:name="model:relational"/>
      <w:r>
        <w:t xml:space="preserve">Relational</w:t>
      </w:r>
      <w:bookmarkEnd w:id="72"/>
    </w:p>
    <w:p>
      <w:pPr>
        <w:pStyle w:val="CaptionedFigure"/>
      </w:pPr>
      <w:bookmarkStart w:id="74"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3"/>
                    <a:stretch>
                      <a:fillRect/>
                    </a:stretch>
                  </pic:blipFill>
                  <pic:spPr bwMode="auto">
                    <a:xfrm>
                      <a:off x="0" y="0"/>
                      <a:ext cx="2540000" cy="1676400"/>
                    </a:xfrm>
                    <a:prstGeom prst="rect">
                      <a:avLst/>
                    </a:prstGeom>
                    <a:noFill/>
                    <a:ln w="9525">
                      <a:noFill/>
                      <a:headEnd/>
                      <a:tailEnd/>
                    </a:ln>
                  </pic:spPr>
                </pic:pic>
              </a:graphicData>
            </a:graphic>
          </wp:inline>
        </w:drawing>
      </w:r>
      <w:bookmarkEnd w:id="74"/>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 SQL .</w:t>
      </w:r>
    </w:p>
    <w:p>
      <w:pPr>
        <w:pStyle w:val="Heading4"/>
      </w:pPr>
      <w:bookmarkStart w:id="75" w:name="model:nonrelational"/>
      <w:r>
        <w:t xml:space="preserve">Non-Relational</w:t>
      </w:r>
      <w:bookmarkEnd w:id="75"/>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 NOSQL .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 XML , YAML , and JSON ; graph databases and mixed graph models such as the way in which the World Wide Web convention (W3C) structures websites, with a URL as a ‘name’ and their content as a ‘graph’ (See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76" w:name="model:graph"/>
      <w:r>
        <w:t xml:space="preserve">Graph</w:t>
      </w:r>
      <w:bookmarkEnd w:id="76"/>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 MAX/MSP , Kyma, among others, present their objects as a directed graph on a canvas.</w:t>
      </w:r>
    </w:p>
    <w:p>
      <w:pPr>
        <w:pStyle w:val="Heading4"/>
      </w:pPr>
      <w:bookmarkStart w:id="77" w:name="model:object"/>
      <w:r>
        <w:t xml:space="preserve">Object</w:t>
      </w:r>
      <w:bookmarkEnd w:id="77"/>
    </w:p>
    <w:p>
      <w:pPr>
        <w:pStyle w:val="CaptionedFigure"/>
      </w:pPr>
      <w:bookmarkStart w:id="79"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8"/>
                    <a:stretch>
                      <a:fillRect/>
                    </a:stretch>
                  </pic:blipFill>
                  <pic:spPr bwMode="auto">
                    <a:xfrm>
                      <a:off x="0" y="0"/>
                      <a:ext cx="3073400" cy="3111500"/>
                    </a:xfrm>
                    <a:prstGeom prst="rect">
                      <a:avLst/>
                    </a:prstGeom>
                    <a:noFill/>
                    <a:ln w="9525">
                      <a:noFill/>
                      <a:headEnd/>
                      <a:tailEnd/>
                    </a:ln>
                  </pic:spPr>
                </pic:pic>
              </a:graphicData>
            </a:graphic>
          </wp:inline>
        </w:drawing>
      </w:r>
      <w:bookmarkEnd w:id="79"/>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0" w:name="model:semistructured"/>
      <w:r>
        <w:t xml:space="preserve">Semi-structured</w:t>
      </w:r>
      <w:bookmarkEnd w:id="80"/>
    </w:p>
    <w:p>
      <w:pPr>
        <w:pStyle w:val="CaptionedFigure"/>
      </w:pPr>
      <w:bookmarkStart w:id="82"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1"/>
                    <a:stretch>
                      <a:fillRect/>
                    </a:stretch>
                  </pic:blipFill>
                  <pic:spPr bwMode="auto">
                    <a:xfrm>
                      <a:off x="0" y="0"/>
                      <a:ext cx="5334000" cy="2873505"/>
                    </a:xfrm>
                    <a:prstGeom prst="rect">
                      <a:avLst/>
                    </a:prstGeom>
                    <a:noFill/>
                    <a:ln w="9525">
                      <a:noFill/>
                      <a:headEnd/>
                      <a:tailEnd/>
                    </a:ln>
                  </pic:spPr>
                </pic:pic>
              </a:graphicData>
            </a:graphic>
          </wp:inline>
        </w:drawing>
      </w:r>
      <w:bookmarkEnd w:id="82"/>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well known database of this kind is the IMDB .</w:t>
      </w:r>
    </w:p>
    <w:p>
      <w:pPr>
        <w:pStyle w:val="Heading4"/>
      </w:pPr>
      <w:bookmarkStart w:id="83" w:name="model:puredata"/>
      <w:r>
        <w:t xml:space="preserve">Pure Data as Database System</w:t>
      </w:r>
      <w:bookmarkEnd w:id="83"/>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 ‘root’, and multiple ‘subcanvases’ that can be (almost) infinitely nested. These canvases, while being hierarchic, are traversed as in the navigational model, either for a specific keyword (a query from the ‘find’ menu), or, most importantly, for signal processing. Besides this hierarchical structure, another important aspect of the GUI 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 ‘patch’ 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 TCP/IP 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hyperlink w:anchor="fn5">
        <w:r>
          <w:rPr>
            <w:vertAlign w:val="superscript"/>
            <w:rStyle w:val="Hyperlink"/>
          </w:rPr>
          <w:t xml:space="preserve">5</w:t>
        </w:r>
      </w:hyperlink>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 ; GE ; HP ; UNISYS  </w:t>
            </w:r>
          </w:p>
        </w:tc>
        <w:tc>
          <w:p>
            <w:pPr>
              <w:pStyle w:val="Compact"/>
              <w:jc w:val="left"/>
            </w:pPr>
            <w:r>
              <w:t xml:space="preserve">IDS ; IDMS ; RDM ; TURBOIMAGE ;</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 ; SPARSITY ;  </w:t>
            </w:r>
          </w:p>
        </w:tc>
        <w:tc>
          <w:p>
            <w:pPr>
              <w:pStyle w:val="Compact"/>
              <w:jc w:val="left"/>
            </w:pPr>
            <w:r>
              <w:t xml:space="preserve">MONGODB ; REDIS ; CASSANDRA ; SPARKSEE ; 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 ; ORACLE ; POSTGRESQL ; ACCESS ; 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 ; APACHE ; AMAZON  </w:t>
            </w:r>
          </w:p>
        </w:tc>
        <w:tc>
          <w:p>
            <w:pPr>
              <w:pStyle w:val="Compact"/>
              <w:jc w:val="left"/>
            </w:pPr>
            <w:r>
              <w:t xml:space="preserve">NEO4J ; Oracle Spatial and Graph; ARANGODB ; Amazon Neptune; BOOST ; 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 APACHE  </w:t>
            </w:r>
          </w:p>
        </w:tc>
        <w:tc>
          <w:p>
            <w:pPr>
              <w:pStyle w:val="Compact"/>
              <w:jc w:val="left"/>
            </w:pPr>
            <w:r>
              <w:t xml:space="preserve">GemStone (Smalltalk); Gbase (LISP); COUCHDB</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 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 ASE ; HANA ; EXASolution; WebDNA</w:t>
            </w:r>
          </w:p>
        </w:tc>
      </w:tr>
    </w:tbl>
    <w:p>
      <w:pPr>
        <w:pStyle w:val="Heading2"/>
      </w:pPr>
      <w:bookmarkStart w:id="84" w:name="Xb1ac8120eb0efdf1ece00979462e143f6a11d8a"/>
      <w:r>
        <w:t xml:space="preserve">Databasing Sound: Applications of databases in sound</w:t>
      </w:r>
      <w:bookmarkEnd w:id="84"/>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5"/>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6" w:name="img:mir_comp_sonif_interaction"/>
      <w:r>
        <w:t xml:space="preserve">[img:mir_comp_sonif_interaction]</w:t>
      </w:r>
      <w:bookmarkEnd w:id="86"/>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 ‘database’ and ‘computer’ 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(See Figure</w:t>
      </w:r>
      <w:r>
        <w:t xml:space="preserve"> </w:t>
      </w:r>
      <w:hyperlink w:anchor="mir_comp_sonif_interaction">
        <w:r>
          <w:rPr>
            <w:rStyle w:val="Hyperlink"/>
          </w:rPr>
          <w:t xml:space="preserve">[mir_comp_sonif_interaction]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 MIR , sonification, and computer music.</w:t>
      </w:r>
    </w:p>
    <w:p>
      <w:pPr>
        <w:pStyle w:val="Heading3"/>
      </w:pPr>
      <w:bookmarkStart w:id="87" w:name="mir"/>
      <w:r>
        <w:t xml:space="preserve">Music Information Retrieval</w:t>
      </w:r>
      <w:bookmarkEnd w:id="87"/>
    </w:p>
    <w:p>
      <w:pPr>
        <w:pStyle w:val="FirstParagraph"/>
      </w:pPr>
      <w:r>
        <w:t xml:space="preserve">In MIR ,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 IR with Music Theory, and it has been present in academia for a while, most generally within Electrical Engineering departments. The objective of MIR is to obtain useful information from the analysis of sound signals. That is, MIR seeks to represent a complex signal with a small number of data points, thus defining an easily navigable information space.</w:t>
      </w:r>
    </w:p>
    <w:p>
      <w:pPr>
        <w:pStyle w:val="CaptionedFigure"/>
      </w:pPr>
      <w:bookmarkStart w:id="89"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8"/>
                    <a:stretch>
                      <a:fillRect/>
                    </a:stretch>
                  </pic:blipFill>
                  <pic:spPr bwMode="auto">
                    <a:xfrm>
                      <a:off x="0" y="0"/>
                      <a:ext cx="2743200" cy="1435100"/>
                    </a:xfrm>
                    <a:prstGeom prst="rect">
                      <a:avLst/>
                    </a:prstGeom>
                    <a:noFill/>
                    <a:ln w="9525">
                      <a:noFill/>
                      <a:headEnd/>
                      <a:tailEnd/>
                    </a:ln>
                  </pic:spPr>
                </pic:pic>
              </a:graphicData>
            </a:graphic>
          </wp:inline>
        </w:drawing>
      </w:r>
      <w:bookmarkEnd w:id="89"/>
    </w:p>
    <w:p>
      <w:pPr>
        <w:pStyle w:val="ImageCaption"/>
      </w:pPr>
      <w:r>
        <w:t xml:space="preserve">Diagram of database performance in MIR practices. The database is visibly next to the computer, and the two bottom arrows indicate the intervention of the human operator.</w:t>
      </w:r>
      <w:r>
        <w:t xml:space="preserve"> </w:t>
      </w:r>
    </w:p>
    <w:p>
      <w:pPr>
        <w:pStyle w:val="BodyText"/>
      </w:pPr>
      <w:r>
        <w:t xml:space="preserve">The space of navigation is often referred to as information or feature space, which essentially consists of a database of feature descriptors that can be navigated. Over the 18 years of the ISMIR conference, more than thirty databases of this sort have been publicly created and released, to classify millions of songs and musical genres. This type of database navigation has been used to perform automatic tasks such as categorization for recommendation systems, track separation or instrument recognition, and score transcriptions. In the following section, some of the uses of these databases will be mentioned.</w:t>
      </w:r>
      <w:hyperlink w:anchor="fn6">
        <w:r>
          <w:rPr>
            <w:vertAlign w:val="superscript"/>
            <w:rStyle w:val="Hyperlink"/>
          </w:rPr>
          <w:t xml:space="preserve">6</w:t>
        </w:r>
      </w:hyperlink>
    </w:p>
    <w:p>
      <w:pPr>
        <w:pStyle w:val="BodyText"/>
      </w:pPr>
      <w:r>
        <w:t xml:space="preserve">Among the many analytical uses of MIR over the years, I would like to point to the</w:t>
      </w:r>
      <w:r>
        <w:t xml:space="preserve"> </w:t>
      </w:r>
      <w:r>
        <w:rPr>
          <w:i/>
        </w:rPr>
        <w:t xml:space="preserve">Semantic Hi-Fi</w:t>
      </w:r>
      <w:r>
        <w:t xml:space="preserve"> </w:t>
      </w:r>
      <w:r>
        <w:t xml:space="preserve">system, under development for at IRCAM under the supervision of Hugues Vinet</w:t>
      </w:r>
      <w:r>
        <w:t xml:space="preserve"> </w:t>
      </w:r>
      <w:r>
        <w:t xml:space="preserve">(Vinet 2005)</w:t>
      </w:r>
      <w:r>
        <w:t xml:space="preserve">. It consisted of a database system aimed for content-based querying of audio files, which would enable DJ ’s to browse through files, apply beat-synchronized transitions between them, and many other automated tasks. The project lasted for over three years, and stemmed from the research of another previous project by Vinet at IRCAM , the CUIDADO project</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1"/>
          <w:ilvl w:val="0"/>
        </w:numPr>
      </w:pPr>
      <w:r>
        <w:t xml:space="preserve">to create digital libraries</w:t>
      </w:r>
      <w:r>
        <w:t xml:space="preserve"> </w:t>
      </w:r>
      <w:r>
        <w:t xml:space="preserve">(Dunn 2000)</w:t>
      </w:r>
    </w:p>
    <w:p>
      <w:pPr>
        <w:numPr>
          <w:numId w:val="1021"/>
          <w:ilvl w:val="0"/>
        </w:numPr>
      </w:pPr>
      <w:r>
        <w:t xml:space="preserve">to store actual music notation</w:t>
      </w:r>
      <w:r>
        <w:t xml:space="preserve"> </w:t>
      </w:r>
      <w:r>
        <w:t xml:space="preserve">(Good 2000)</w:t>
      </w:r>
    </w:p>
    <w:p>
      <w:pPr>
        <w:numPr>
          <w:numId w:val="1021"/>
          <w:ilvl w:val="0"/>
        </w:numPr>
      </w:pPr>
      <w:r>
        <w:t xml:space="preserve">for audio classification and clustering</w:t>
      </w:r>
      <w:r>
        <w:t xml:space="preserve"> </w:t>
      </w:r>
      <w:r>
        <w:t xml:space="preserve">(Homburg et al. 2005, Yang 2001)</w:t>
      </w:r>
    </w:p>
    <w:p>
      <w:pPr>
        <w:numPr>
          <w:numId w:val="1021"/>
          <w:ilvl w:val="0"/>
        </w:numPr>
      </w:pPr>
      <w:r>
        <w:t xml:space="preserve">for the evaluation of multiple-source, fundamental frequency estimation algorithms</w:t>
      </w:r>
      <w:r>
        <w:t xml:space="preserve"> </w:t>
      </w:r>
      <w:r>
        <w:t xml:space="preserve">(Yeh et al. 2007)</w:t>
      </w:r>
    </w:p>
    <w:p>
      <w:pPr>
        <w:numPr>
          <w:numId w:val="1021"/>
          <w:ilvl w:val="0"/>
        </w:numPr>
      </w:pPr>
      <w:r>
        <w:t xml:space="preserve">to describe performance expression</w:t>
      </w:r>
      <w:r>
        <w:t xml:space="preserve"> </w:t>
      </w:r>
      <w:r>
        <w:t xml:space="preserve">(Hashida et al. 2008)</w:t>
      </w:r>
    </w:p>
    <w:p>
      <w:pPr>
        <w:numPr>
          <w:numId w:val="1021"/>
          <w:ilvl w:val="0"/>
        </w:numPr>
      </w:pPr>
      <w:r>
        <w:t xml:space="preserve">for genre recognition and classification</w:t>
      </w:r>
      <w:r>
        <w:t xml:space="preserve"> </w:t>
      </w:r>
      <w:r>
        <w:t xml:space="preserve">(Jr. et al. 2008, Sanden et al. 2010, Xu et al. 2005)</w:t>
      </w:r>
    </w:p>
    <w:p>
      <w:pPr>
        <w:numPr>
          <w:numId w:val="1021"/>
          <w:ilvl w:val="0"/>
        </w:numPr>
      </w:pPr>
      <w:r>
        <w:t xml:space="preserve">for structural analysis</w:t>
      </w:r>
      <w:r>
        <w:t xml:space="preserve"> </w:t>
      </w:r>
      <w:r>
        <w:t xml:space="preserve">(Smith et al. 2011)</w:t>
      </w:r>
    </w:p>
    <w:p>
      <w:pPr>
        <w:numPr>
          <w:numId w:val="1021"/>
          <w:ilvl w:val="0"/>
        </w:numPr>
      </w:pPr>
      <w:r>
        <w:t xml:space="preserve">for contextual music listening pattern detection using social media</w:t>
      </w:r>
      <w:r>
        <w:t xml:space="preserve"> </w:t>
      </w:r>
      <w:r>
        <w:t xml:space="preserve">(Hauger et al. 2013)</w:t>
      </w:r>
    </w:p>
    <w:p>
      <w:pPr>
        <w:numPr>
          <w:numId w:val="1021"/>
          <w:ilvl w:val="0"/>
        </w:numPr>
      </w:pPr>
      <w:r>
        <w:t xml:space="preserve">to train models for phoneme detection</w:t>
      </w:r>
      <w:r>
        <w:t xml:space="preserve"> </w:t>
      </w:r>
      <w:r>
        <w:t xml:space="preserve">(Proutskova et al. 2012)</w:t>
      </w:r>
    </w:p>
    <w:p>
      <w:pPr>
        <w:numPr>
          <w:numId w:val="1021"/>
          <w:ilvl w:val="0"/>
        </w:numPr>
      </w:pPr>
      <w:r>
        <w:t xml:space="preserve">for schenkerian analysis</w:t>
      </w:r>
      <w:r>
        <w:t xml:space="preserve"> </w:t>
      </w:r>
      <w:r>
        <w:t xml:space="preserve">(Kirlin 2014)</w:t>
      </w:r>
    </w:p>
    <w:p>
      <w:pPr>
        <w:numPr>
          <w:numId w:val="1021"/>
          <w:ilvl w:val="0"/>
        </w:numPr>
      </w:pPr>
      <w:r>
        <w:t xml:space="preserve">for tonal music analysis using generative theory of tonal music (GTTM)</w:t>
      </w:r>
      <w:r>
        <w:t xml:space="preserve"> </w:t>
      </w:r>
      <w:r>
        <w:t xml:space="preserve">(Hamanaka et al. 2014)</w:t>
      </w:r>
    </w:p>
    <w:p>
      <w:pPr>
        <w:numPr>
          <w:numId w:val="1021"/>
          <w:ilvl w:val="0"/>
        </w:numPr>
      </w:pPr>
      <w:r>
        <w:t xml:space="preserve">for counterpoint analysis</w:t>
      </w:r>
      <w:r>
        <w:t xml:space="preserve"> </w:t>
      </w:r>
      <w:r>
        <w:t xml:space="preserve">(Antila &amp; Cumming 2014)</w:t>
      </w:r>
    </w:p>
    <w:p>
      <w:pPr>
        <w:numPr>
          <w:numId w:val="1021"/>
          <w:ilvl w:val="0"/>
        </w:numPr>
      </w:pPr>
      <w:r>
        <w:t xml:space="preserve">for emotion recognition and color associations in the listener</w:t>
      </w:r>
      <w:r>
        <w:t xml:space="preserve"> </w:t>
      </w:r>
      <w:r>
        <w:t xml:space="preserve">(Pesek et al. 2014)</w:t>
      </w:r>
    </w:p>
    <w:p>
      <w:pPr>
        <w:numPr>
          <w:numId w:val="1021"/>
          <w:ilvl w:val="0"/>
        </w:numPr>
      </w:pPr>
      <w:r>
        <w:t xml:space="preserve">for melody extraction</w:t>
      </w:r>
      <w:r>
        <w:t xml:space="preserve"> </w:t>
      </w:r>
      <w:r>
        <w:t xml:space="preserve">(Bittner et al. 2014)</w:t>
      </w:r>
    </w:p>
    <w:p>
      <w:pPr>
        <w:numPr>
          <w:numId w:val="1021"/>
          <w:ilvl w:val="0"/>
        </w:numPr>
      </w:pPr>
      <w:r>
        <w:t xml:space="preserve">for harmonic analysis</w:t>
      </w:r>
      <w:r>
        <w:t xml:space="preserve"> </w:t>
      </w:r>
      <w:r>
        <w:t xml:space="preserve">(Devaney et al. 2015)</w:t>
      </w:r>
    </w:p>
    <w:p>
      <w:pPr>
        <w:numPr>
          <w:numId w:val="1021"/>
          <w:ilvl w:val="0"/>
        </w:numPr>
      </w:pPr>
      <w:r>
        <w:t xml:space="preserve">for the evaluation of tempo estimation and key detection algorithms</w:t>
      </w:r>
      <w:r>
        <w:t xml:space="preserve"> </w:t>
      </w:r>
      <w:r>
        <w:t xml:space="preserve">(Knees et al. 2015)</w:t>
      </w:r>
    </w:p>
    <w:p>
      <w:pPr>
        <w:numPr>
          <w:numId w:val="1021"/>
          <w:ilvl w:val="0"/>
        </w:numPr>
      </w:pPr>
      <w:r>
        <w:t xml:space="preserve">for orchestration</w:t>
      </w:r>
      <w:r>
        <w:t xml:space="preserve"> </w:t>
      </w:r>
      <w:r>
        <w:t xml:space="preserve">(Crestel et al. 2017)</w:t>
      </w:r>
    </w:p>
    <w:p>
      <w:pPr>
        <w:numPr>
          <w:numId w:val="1021"/>
          <w:ilvl w:val="0"/>
        </w:numPr>
      </w:pPr>
      <w:r>
        <w:t xml:space="preserve">for computational musicology</w:t>
      </w:r>
      <w:hyperlink w:anchor="fn7">
        <w:r>
          <w:rPr>
            <w:vertAlign w:val="superscript"/>
            <w:rStyle w:val="Hyperlink"/>
          </w:rPr>
          <w:t xml:space="preserve">7</w:t>
        </w:r>
      </w:hyperlink>
      <w:r>
        <w:t xml:space="preserve"> </w:t>
      </w:r>
      <w:r>
        <w:t xml:space="preserve">(Parada-Cabaleiro et al. 2017)</w:t>
      </w:r>
    </w:p>
    <w:p>
      <w:pPr>
        <w:numPr>
          <w:numId w:val="1021"/>
          <w:ilvl w:val="0"/>
        </w:numPr>
      </w:pPr>
      <w:r>
        <w:t xml:space="preserve">for forensic analysis as a complement of video analysis</w:t>
      </w:r>
      <w:r>
        <w:t xml:space="preserve"> </w:t>
      </w:r>
      <w:r>
        <w:t xml:space="preserve">(Serizel et al. 2016)</w:t>
      </w:r>
    </w:p>
    <w:p>
      <w:pPr>
        <w:numPr>
          <w:numId w:val="1021"/>
          <w:ilvl w:val="0"/>
        </w:numPr>
      </w:pPr>
      <w:r>
        <w:t xml:space="preserve">for training and evaluating chord transcription algorithms</w:t>
      </w:r>
      <w:r>
        <w:t xml:space="preserve"> </w:t>
      </w:r>
      <w:r>
        <w:t xml:space="preserve">(Eremenko et al. 2018)</w:t>
      </w:r>
    </w:p>
    <w:p>
      <w:pPr>
        <w:numPr>
          <w:numId w:val="1021"/>
          <w:ilvl w:val="0"/>
        </w:numPr>
      </w:pPr>
      <w:r>
        <w:t xml:space="preserve">for multi-instrument recognition</w:t>
      </w:r>
      <w:r>
        <w:t xml:space="preserve"> </w:t>
      </w:r>
      <w:r>
        <w:t xml:space="preserve">(Humphrey et al. 2018)</w:t>
      </w:r>
    </w:p>
    <w:p>
      <w:pPr>
        <w:pStyle w:val="Heading3"/>
      </w:pPr>
      <w:bookmarkStart w:id="90" w:name="sonification"/>
      <w:r>
        <w:t xml:space="preserve">Sonification</w:t>
      </w:r>
      <w:bookmarkEnd w:id="90"/>
    </w:p>
    <w:p>
      <w:pPr>
        <w:pStyle w:val="CaptionedFigure"/>
      </w:pPr>
      <w:bookmarkStart w:id="92"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1"/>
                    <a:stretch>
                      <a:fillRect/>
                    </a:stretch>
                  </pic:blipFill>
                  <pic:spPr bwMode="auto">
                    <a:xfrm>
                      <a:off x="0" y="0"/>
                      <a:ext cx="2019300" cy="1879600"/>
                    </a:xfrm>
                    <a:prstGeom prst="rect">
                      <a:avLst/>
                    </a:prstGeom>
                    <a:noFill/>
                    <a:ln w="9525">
                      <a:noFill/>
                      <a:headEnd/>
                      <a:tailEnd/>
                    </a:ln>
                  </pic:spPr>
                </pic:pic>
              </a:graphicData>
            </a:graphic>
          </wp:inline>
        </w:drawing>
      </w:r>
      <w:bookmarkEnd w:id="92"/>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To a certain extent, the database is the ground floor of sonification, or what allows sonification to emerge as a practice. The sonified data is very likely to be digital</w:t>
      </w:r>
      <w:hyperlink w:anchor="fn8">
        <w:r>
          <w:rPr>
            <w:vertAlign w:val="superscript"/>
            <w:rStyle w:val="Hyperlink"/>
          </w:rPr>
          <w:t xml:space="preserve">8</w:t>
        </w:r>
      </w:hyperlink>
      <w:r>
        <w:t xml:space="preserve">, which means that data needs to be stored in a structured way for fast access by computers, that is, data needs to be anchored in a database, and its inner relationships translated acoustically</w:t>
      </w:r>
      <w:r>
        <w:t xml:space="preserve"> </w:t>
      </w:r>
      <w:r>
        <w:t xml:space="preserve">(Walker &amp; Nees 2011, p. 9)</w:t>
      </w:r>
      <w:r>
        <w:t xml:space="preserve">.</w:t>
      </w:r>
    </w:p>
    <w:p>
      <w:pPr>
        <w:pStyle w:val="BodyText"/>
      </w:pPr>
      <w:r>
        <w:t xml:space="preserve">According to Walker and Nees, there are three types of sonifications: event-based, model-based, and continuous. I understand these types of sonification are ways of performing a database. Continuous sonification (or audification) consists of directly translating waveforms of periodic data into sound, thus reading a portion of the database directly as samples</w:t>
      </w:r>
      <w:r>
        <w:t xml:space="preserve"> </w:t>
      </w:r>
      <w:r>
        <w:t xml:space="preserve">(Walker &amp; Nees 2011, p. 17)</w:t>
      </w:r>
      <w:r>
        <w:t xml:space="preserve">. Model-based sonification is useful for what is known as data exploration, a process driven by the interaction of the user with a virtual model of the data</w:t>
      </w:r>
      <w:r>
        <w:t xml:space="preserve"> </w:t>
      </w:r>
      <w:r>
        <w:t xml:space="preserve">(Walker &amp; Nees 2011, p. 17)</w:t>
      </w:r>
      <w:r>
        <w:t xml:space="preserve">. Event-based (or parameter mapping) sonification is aimed at representing changes in a database as acoustic saliences. In this sense, some dimensions of the data need to be translated into acoustic parameters, such as frequency, periodicity, density, etc.</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all of the mentioned types of sonifications, the data comes first, and it needs to be pre-processed so that it can be adapted to the sound synthesis engines of choice. Sonification, as a “relatively recent subset of auditory display,” belongs to the broader scope of information systems such as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w:t>
      </w:r>
    </w:p>
    <w:p>
      <w:pPr>
        <w:pStyle w:val="BodyText"/>
      </w:pPr>
      <w:r>
        <w:t xml:space="preserve">In what follows, I present some instances of sonification practices as described by their authors.</w:t>
      </w:r>
    </w:p>
    <w:p>
      <w:pPr>
        <w:pStyle w:val="Heading4"/>
      </w:pPr>
      <w:bookmarkStart w:id="93" w:name="sonification:parametermapping"/>
      <w:r>
        <w:t xml:space="preserve">Parameter mapping</w:t>
      </w:r>
      <w:bookmarkEnd w:id="93"/>
    </w:p>
    <w:p>
      <w:pPr>
        <w:pStyle w:val="Heading5"/>
      </w:pPr>
      <w:bookmarkStart w:id="94" w:name="dow"/>
      <w:r>
        <w:t xml:space="preserve">DOW</w:t>
      </w:r>
      <w:bookmarkEnd w:id="9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9">
        <w:r>
          <w:rPr>
            <w:vertAlign w:val="superscript"/>
            <w:rStyle w:val="Hyperlink"/>
          </w:rPr>
          <w:t xml:space="preserve">9</w:t>
        </w:r>
      </w:hyperlink>
    </w:p>
    <w:p>
      <w:pPr>
        <w:pStyle w:val="Heading5"/>
      </w:pPr>
      <w:bookmarkStart w:id="95" w:name="medical-images"/>
      <w:r>
        <w:t xml:space="preserve">Medical Images</w:t>
      </w:r>
      <w:bookmarkEnd w:id="95"/>
    </w:p>
    <w:p>
      <w:pPr>
        <w:pStyle w:val="FirstParagraph"/>
      </w:pPr>
      <w:r>
        <w:t xml:space="preserve">Cadiz et al</w:t>
      </w:r>
      <w:r>
        <w:t xml:space="preserve"> </w:t>
      </w:r>
      <w:r>
        <w:t xml:space="preserve">(Cádiz et al. 2015)</w:t>
      </w:r>
      <w:r>
        <w:t xml:space="preserve"> </w:t>
      </w:r>
      <w:r>
        <w:t xml:space="preserve">proposed a sonification approach based on statistical descriptors of ROI 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6" w:name="sonification:model"/>
      <w:r>
        <w:t xml:space="preserve">Model-based sonification</w:t>
      </w:r>
      <w:bookmarkEnd w:id="96"/>
    </w:p>
    <w:p>
      <w:pPr>
        <w:pStyle w:val="Heading5"/>
      </w:pPr>
      <w:bookmarkStart w:id="97" w:name="space"/>
      <w:r>
        <w:t xml:space="preserve">Space</w:t>
      </w:r>
      <w:bookmarkEnd w:id="9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 project</w:t>
      </w:r>
      <w:r>
        <w:t xml:space="preserve"> </w:t>
      </w:r>
      <w:r>
        <w:t xml:space="preserve">(Vogt et al. 2012)</w:t>
      </w:r>
      <w:r>
        <w:t xml:space="preserve"> </w:t>
      </w:r>
      <w:r>
        <w:t xml:space="preserve">at the IEM of the University of Music and Performing Arts in Graz. Within this installation, they proposed a three dimensional, navigable space holding a Monte Carlo simulation of the theory of QED . Within this 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8" w:name="sonification:artistic"/>
      <w:r>
        <w:t xml:space="preserve">Artistic sonification</w:t>
      </w:r>
      <w:bookmarkEnd w:id="98"/>
    </w:p>
    <w:p>
      <w:pPr>
        <w:pStyle w:val="Heading5"/>
      </w:pPr>
      <w:bookmarkStart w:id="99" w:name="wolves"/>
      <w:r>
        <w:t xml:space="preserve">Wolves</w:t>
      </w:r>
      <w:bookmarkEnd w:id="9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10">
        <w:r>
          <w:rPr>
            <w:vertAlign w:val="superscript"/>
            <w:rStyle w:val="Hyperlink"/>
          </w:rPr>
          <w:t xml:space="preserve">10</w:t>
        </w:r>
      </w:hyperlink>
    </w:p>
    <w:p>
      <w:pPr>
        <w:pStyle w:val="Heading5"/>
      </w:pPr>
      <w:bookmarkStart w:id="100" w:name="selva"/>
      <w:r>
        <w:t xml:space="preserve">Selva</w:t>
      </w:r>
      <w:bookmarkEnd w:id="100"/>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1">
        <w:r>
          <w:rPr>
            <w:vertAlign w:val="superscript"/>
            <w:rStyle w:val="Hyperlink"/>
          </w:rPr>
          <w:t xml:space="preserve">11</w:t>
        </w:r>
      </w:hyperlink>
      <w:r>
        <w:t xml:space="preserve"> </w:t>
      </w:r>
      <w:r>
        <w:t xml:space="preserve">using 14-hour long recordings taken from a forest</w:t>
      </w:r>
      <w:hyperlink w:anchor="fn12">
        <w:r>
          <w:rPr>
            <w:vertAlign w:val="superscript"/>
            <w:rStyle w:val="Hyperlink"/>
          </w:rPr>
          <w:t xml:space="preserve">12</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01" w:name="ocean"/>
      <w:r>
        <w:t xml:space="preserve">Ocean</w:t>
      </w:r>
      <w:bookmarkEnd w:id="101"/>
    </w:p>
    <w:p>
      <w:pPr>
        <w:pStyle w:val="FirstParagraph"/>
      </w:pPr>
      <w:r>
        <w:t xml:space="preserve">Bob L. Sturm</w:t>
      </w:r>
      <w:r>
        <w:t xml:space="preserve"> </w:t>
      </w:r>
      <w:r>
        <w:t xml:space="preserve">(Sturm 2002)</w:t>
      </w:r>
      <w:r>
        <w:t xml:space="preserve"> </w:t>
      </w:r>
      <w:r>
        <w:t xml:space="preserve">sonified ocean wave conditions of the US Pacific coast obtained by the CDIP since 1975. The database until 2002 contained over 50 GB of spectral and directional content of the wave-driven motions at the location of the sensing buoys. By scaling to hearable range and then performing an IFT of the data, Sturm composed a piece called ‘Pacific Pulse,’ on which frequency sweeps indicate storms beginnings (rising) and endings (falling).</w:t>
      </w:r>
    </w:p>
    <w:p>
      <w:pPr>
        <w:pStyle w:val="Heading5"/>
      </w:pPr>
      <w:bookmarkStart w:id="102" w:name="river"/>
      <w:r>
        <w:t xml:space="preserve">River</w:t>
      </w:r>
      <w:bookmarkEnd w:id="102"/>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3">
        <w:r>
          <w:rPr>
            <w:vertAlign w:val="superscript"/>
            <w:rStyle w:val="Hyperlink"/>
          </w:rPr>
          <w:t xml:space="preserve">13</w:t>
        </w:r>
      </w:hyperlink>
      <w:r>
        <w:t xml:space="preserve">, by two audification processes (direct audification and via a straightforward additive synthesis process) applied to the HMDB , a database holding NMR spectroscopies of molecules.</w:t>
      </w:r>
    </w:p>
    <w:p>
      <w:pPr>
        <w:pStyle w:val="Heading4"/>
      </w:pPr>
      <w:bookmarkStart w:id="103" w:name="sonification:software"/>
      <w:r>
        <w:t xml:space="preserve">Sonification Software</w:t>
      </w:r>
      <w:bookmarkEnd w:id="103"/>
    </w:p>
    <w:p>
      <w:pPr>
        <w:pStyle w:val="FirstParagraph"/>
      </w:pPr>
      <w:r>
        <w:t xml:space="preserve">The following software was selected from the many sonification tools built over the years. For further reference, see:</w:t>
      </w:r>
      <w:r>
        <w:t xml:space="preserve"> </w:t>
      </w:r>
      <w:r>
        <w:rPr>
          <w:i/>
        </w:rPr>
        <w:t xml:space="preserve">Listen</w:t>
      </w:r>
      <w:hyperlink w:anchor="fn14">
        <w:r>
          <w:rPr>
            <w:vertAlign w:val="superscript"/>
            <w:rStyle w:val="Hyperlink"/>
          </w:rPr>
          <w:t xml:space="preserve">14</w:t>
        </w:r>
      </w:hyperlink>
      <w:r>
        <w:t xml:space="preserve">, Pauletto and Hung’s</w:t>
      </w:r>
      <w:r>
        <w:t xml:space="preserve"> </w:t>
      </w:r>
      <w:r>
        <w:rPr>
          <w:i/>
        </w:rPr>
        <w:t xml:space="preserve">Sonification Toolkit</w:t>
      </w:r>
      <w:r>
        <w:t xml:space="preserve"> </w:t>
      </w:r>
      <w:r>
        <w:t xml:space="preserve">(Pauletto &amp; Hunt 2004)</w:t>
      </w:r>
      <w:r>
        <w:t xml:space="preserve">, and Joao Menzenes’</w:t>
      </w:r>
      <w:r>
        <w:t xml:space="preserve"> </w:t>
      </w:r>
      <w:r>
        <w:rPr>
          <w:i/>
        </w:rPr>
        <w:t xml:space="preserve">SonData</w:t>
      </w:r>
      <w:hyperlink w:anchor="fn15">
        <w:r>
          <w:rPr>
            <w:vertAlign w:val="superscript"/>
            <w:rStyle w:val="Hyperlink"/>
          </w:rPr>
          <w:t xml:space="preserve">15</w:t>
        </w:r>
      </w:hyperlink>
      <w:r>
        <w:t xml:space="preserve"> </w:t>
      </w:r>
      <w:r>
        <w:t xml:space="preserve">made using MAX/MSP .</w:t>
      </w:r>
    </w:p>
    <w:p>
      <w:pPr>
        <w:pStyle w:val="Heading5"/>
      </w:pPr>
      <w:bookmarkStart w:id="104" w:name="sonart"/>
      <w:r>
        <w:t xml:space="preserve">SONART</w:t>
      </w:r>
      <w:bookmarkEnd w:id="104"/>
    </w:p>
    <w:p>
      <w:pPr>
        <w:pStyle w:val="FirstParagraph"/>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05" w:name="dataplayer"/>
      <w:r>
        <w:t xml:space="preserve">DataPlayer</w:t>
      </w:r>
      <w:bookmarkEnd w:id="105"/>
    </w:p>
    <w:p>
      <w:pPr>
        <w:pStyle w:val="FirstParagraph"/>
      </w:pPr>
      <w:r>
        <w:t xml:space="preserve">In his CADDC environment called</w:t>
      </w:r>
      <w:r>
        <w:t xml:space="preserve"> </w:t>
      </w:r>
      <w:r>
        <w:rPr>
          <w:i/>
        </w:rPr>
        <w:t xml:space="preserve">DataPlayer</w:t>
      </w:r>
      <w:r>
        <w:t xml:space="preserve"> </w:t>
      </w:r>
      <w:r>
        <w:t xml:space="preserve">programmed as a standalone MAX/MSP application, Nardelli</w:t>
      </w:r>
      <w:r>
        <w:t xml:space="preserve"> </w:t>
      </w:r>
      <w:r>
        <w:t xml:space="preserve">(Nardelli 2015)</w:t>
      </w:r>
      <w:r>
        <w:t xml:space="preserve"> </w:t>
      </w:r>
      <w:r>
        <w:t xml:space="preserve">sonified data from the AFLOWLIB .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06" w:name="madbpm"/>
      <w:r>
        <w:t xml:space="preserve">MADBPM</w:t>
      </w:r>
      <w:bookmarkEnd w:id="106"/>
    </w:p>
    <w:p>
      <w:pPr>
        <w:pStyle w:val="FirstParagraph"/>
      </w:pPr>
      <w:r>
        <w:t xml:space="preserve">Hamilton et al</w:t>
      </w:r>
      <w:r>
        <w:t xml:space="preserve"> </w:t>
      </w:r>
      <w:r>
        <w:t xml:space="preserve">(Fox et al. 2017)</w:t>
      </w:r>
      <w:r>
        <w:t xml:space="preserve"> </w:t>
      </w:r>
      <w:r>
        <w:t xml:space="preserve">devised MADBPM , a data-ingestion engine suitable for database perceptualization, that is, sonification and visualization. This modular C++ software platform enables data loading from CSV files, multiple mapping via tagging, several traversing algorithms and units, and networked connectivity to SuperCollider for sound and OFX 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 DSL that would enable extending the functionality of these behaviors in real-time.</w:t>
      </w:r>
    </w:p>
    <w:p>
      <w:pPr>
        <w:pStyle w:val="Heading4"/>
      </w:pPr>
      <w:bookmarkStart w:id="107" w:name="sonification:installations"/>
      <w:r>
        <w:t xml:space="preserve">Sonification Installations</w:t>
      </w:r>
      <w:bookmarkEnd w:id="107"/>
    </w:p>
    <w:p>
      <w:pPr>
        <w:pStyle w:val="Heading5"/>
      </w:pPr>
      <w:bookmarkStart w:id="108" w:name="ip--based-soundscape"/>
      <w:r>
        <w:t xml:space="preserve">IP -based soundscape</w:t>
      </w:r>
      <w:bookmarkEnd w:id="108"/>
    </w:p>
    <w:p>
      <w:pPr>
        <w:pStyle w:val="FirstParagraph"/>
      </w:pPr>
      <w:r>
        <w:t xml:space="preserve">Mark Ballora et al</w:t>
      </w:r>
      <w:r>
        <w:t xml:space="preserve"> </w:t>
      </w:r>
      <w:r>
        <w:t xml:space="preserve">(Ballora et al. 2010)</w:t>
      </w:r>
      <w:r>
        <w:t xml:space="preserve"> </w:t>
      </w:r>
      <w:r>
        <w:t xml:space="preserve">sonified a database of HTTP requests at Penn State’s NC2IF . This database contained entries with four fields such as timestamp, location (latitude-longitude), IP address, and response type. Using parameter mapping, Ballora controlled rhythm and spatialization with the first two, and pitch and timbre with IP data. However, the latter ranged from the more concrete — IP to frequency space— to the more abstract — IP as a formant filter and as a high-pass filter for a brown noise generator—, thus resulting in a soundscape with different but simultaneous sonifications of the data. Therefore, the work could run in the background generating a pleasing but informative experience.</w:t>
      </w:r>
      <w:hyperlink w:anchor="fn16">
        <w:r>
          <w:rPr>
            <w:vertAlign w:val="superscript"/>
            <w:rStyle w:val="Hyperlink"/>
          </w:rPr>
          <w:t xml:space="preserve">16</w:t>
        </w:r>
      </w:hyperlink>
    </w:p>
    <w:p>
      <w:pPr>
        <w:pStyle w:val="Heading5"/>
      </w:pPr>
      <w:bookmarkStart w:id="109" w:name="earthquakes-and-faces"/>
      <w:r>
        <w:t xml:space="preserve">Earthquakes and faces</w:t>
      </w:r>
      <w:bookmarkEnd w:id="109"/>
    </w:p>
    <w:p>
      <w:pPr>
        <w:pStyle w:val="FirstParagraph"/>
      </w:pPr>
      <w:r>
        <w:t xml:space="preserve">More recent installations include PerMagnus Lindorg’s sonification of real-time earthquake data as a sound sculpture</w:t>
      </w:r>
      <w:r>
        <w:t xml:space="preserve"> </w:t>
      </w:r>
      <w:r>
        <w:t xml:space="preserve">(Lindborg 2017)</w:t>
      </w:r>
      <w:r>
        <w:t xml:space="preserve">. Within , Lindborg used data from the IRIS Data Services, which transmits seismographic data packets updated every thirty minutes from multiple observation sites. He spatialized this data using coordinates of the events using a four-speaker array located at the center of the gallery space, and mapped the rest of the data to FM synthesis parameters. Simonelli et al</w:t>
      </w:r>
      <w:r>
        <w:t xml:space="preserve"> </w:t>
      </w:r>
      <w:r>
        <w:t xml:space="preserve">(Cámara Halac 2018a, Simonelli et al. 2017)</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5"/>
      </w:pPr>
      <w:bookmarkStart w:id="110" w:name="gpu--based-waveforms"/>
      <w:r>
        <w:t xml:space="preserve">GPU -based waveforms</w:t>
      </w:r>
      <w:bookmarkEnd w:id="110"/>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 In order to carry this out, they used the Metal API</w:t>
      </w:r>
      <w:hyperlink w:anchor="fn17">
        <w:r>
          <w:rPr>
            <w:vertAlign w:val="superscript"/>
            <w:rStyle w:val="Hyperlink"/>
          </w:rPr>
          <w:t xml:space="preserve">17</w:t>
        </w:r>
      </w:hyperlink>
      <w:r>
        <w:t xml:space="preserve">, and intervened on the processing pipeline to output CPU accessible data. The audio engine running on the CPU 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8">
        <w:r>
          <w:rPr>
            <w:vertAlign w:val="superscript"/>
            <w:rStyle w:val="Hyperlink"/>
          </w:rPr>
          <w:t xml:space="preserve">18</w:t>
        </w:r>
      </w:hyperlink>
      <w:r>
        <w:t xml:space="preserve">, they used the generated waveforms as a database, composing each waveform together with their visual generators as a collage.</w:t>
      </w:r>
    </w:p>
    <w:p>
      <w:pPr>
        <w:pStyle w:val="Heading3"/>
      </w:pPr>
      <w:bookmarkStart w:id="111" w:name="computer_music"/>
      <w:r>
        <w:t xml:space="preserve">Computer Music</w:t>
      </w:r>
      <w:bookmarkEnd w:id="111"/>
    </w:p>
    <w:p>
      <w:pPr>
        <w:pStyle w:val="FirstParagraph"/>
      </w:pPr>
      <w:r>
        <w:t xml:space="preserve">Computer music programs are built on programming languages that use data structures. Composers using software indirectly work with these data structures. Therefore, the database is (invisibly)</w:t>
      </w:r>
      <w:r>
        <w:t xml:space="preserve"> </w:t>
      </w:r>
      <w:r>
        <w:rPr>
          <w:i/>
        </w:rPr>
        <w:t xml:space="preserve">behind</w:t>
      </w:r>
      <w:r>
        <w:t xml:space="preserve"> </w:t>
      </w:r>
      <w:r>
        <w:t xml:space="preserve">composition. Given that much of the programming decisions in software development consist of delimiting constraints to data structures, I will go through a set of articles that show how composers and programmers have shaped music concepts. My argument is that working with data structures changes how we think and perform music making. A composer’s database performance resonates with data structures, and by extension, with programming decisions and languages.</w:t>
      </w:r>
    </w:p>
    <w:p>
      <w:pPr>
        <w:pStyle w:val="CaptionedFigure"/>
      </w:pPr>
      <w:bookmarkStart w:id="113" w:name="img:comp"/>
      <w:r>
        <w:drawing>
          <wp:inline>
            <wp:extent cx="1181100" cy="863600"/>
            <wp:effectExtent b="0" l="0" r="0" t="0"/>
            <wp:docPr descr="Diagram of database performance in computer music practices. The database is invisibly behind the computer, within the softwares used for (and as) music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12"/>
                    <a:stretch>
                      <a:fillRect/>
                    </a:stretch>
                  </pic:blipFill>
                  <pic:spPr bwMode="auto">
                    <a:xfrm>
                      <a:off x="0" y="0"/>
                      <a:ext cx="1181100" cy="863600"/>
                    </a:xfrm>
                    <a:prstGeom prst="rect">
                      <a:avLst/>
                    </a:prstGeom>
                    <a:noFill/>
                    <a:ln w="9525">
                      <a:noFill/>
                      <a:headEnd/>
                      <a:tailEnd/>
                    </a:ln>
                  </pic:spPr>
                </pic:pic>
              </a:graphicData>
            </a:graphic>
          </wp:inline>
        </w:drawing>
      </w:r>
      <w:bookmarkEnd w:id="113"/>
    </w:p>
    <w:p>
      <w:pPr>
        <w:pStyle w:val="ImageCaption"/>
      </w:pPr>
      <w:r>
        <w:t xml:space="preserve">Diagram of database performance in computer music practices. The database is invisibly behind the computer, within the softwares used for (and as) music works.</w:t>
      </w:r>
      <w:r>
        <w:t xml:space="preserve"> </w:t>
      </w:r>
    </w:p>
    <w:p>
      <w:pPr>
        <w:pStyle w:val="Heading4"/>
      </w:pPr>
      <w:bookmarkStart w:id="114" w:name="hierarchical-environments"/>
      <w:r>
        <w:t xml:space="preserve">Hierarchical environments</w:t>
      </w:r>
      <w:bookmarkEnd w:id="114"/>
    </w:p>
    <w:p>
      <w:pPr>
        <w:pStyle w:val="Heading5"/>
      </w:pPr>
      <w:bookmarkStart w:id="115" w:name="computer:sssp"/>
      <w:r>
        <w:t xml:space="preserve">Reducing cognitive burden</w:t>
      </w:r>
      <w:bookmarkEnd w:id="115"/>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FirstParagraph"/>
      </w:pPr>
      <w:r>
        <w:t xml:space="preserve">In William Buxton’s survey of computer music practices</w:t>
      </w:r>
      <w:r>
        <w:t xml:space="preserve"> </w:t>
      </w:r>
      <w:r>
        <w:t xml:space="preserve">(Buxton 1977)</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 SSSP , he focused on HCI —a field in its very early stages in 1978—</w:t>
      </w:r>
      <w:hyperlink w:anchor="fn19">
        <w:r>
          <w:rPr>
            <w:vertAlign w:val="superscript"/>
            <w:rStyle w:val="Hyperlink"/>
          </w:rPr>
          <w:t xml:space="preserve">19</w:t>
        </w:r>
      </w:hyperlink>
      <w:r>
        <w:t xml:space="preserve">. Buxton’s concern throughout SSSP was to address the“problems and benefits arising from the use of computers in musical composition”</w:t>
      </w:r>
      <w:r>
        <w:t xml:space="preserve"> </w:t>
      </w:r>
      <w:r>
        <w:t xml:space="preserve">(Buxton et al. 1978a,b, 1980, p. 472)</w:t>
      </w:r>
      <w:r>
        <w:t xml:space="preserve">. His solution 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in SSSP , the composer’s action was reduced to four main selection tasks: timbres, pitch-time structure, orchestration, and playback. Timbres were assigned by defining waveforms for the table lookup oscillators, and pitch-time structure consisted on pitches and rhythms on a score-like GUI program called 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BodyText"/>
      </w:pPr>
      <w:r>
        <w:t xml:space="preserve">Buxton based his research on differing approaches to composition: Iannis Xenakis’s score-as-entity approach</w:t>
      </w:r>
      <w:r>
        <w:t xml:space="preserve"> </w:t>
      </w:r>
      <w:r>
        <w:t xml:space="preserve">(Xenakis 1992)</w:t>
      </w:r>
      <w:r>
        <w:t xml:space="preserve"> </w:t>
      </w:r>
      <w:r>
        <w:t xml:space="preserve">(the 1971 publication of ), an unpublished 1975 manuscript by Barry Vercoe at MIT 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 “the problem of dealing with the different structural levels of composition —from note to score—”</w:t>
      </w:r>
      <w:r>
        <w:t xml:space="preserve"> </w:t>
      </w:r>
      <w:r>
        <w:t xml:space="preserve">(Buxton et al. 1978b, p. 120)</w:t>
      </w:r>
      <w:r>
        <w:t xml:space="preserve"> </w:t>
      </w:r>
      <w:r>
        <w:t xml:space="preserve">(See</w:t>
      </w:r>
      <w:r>
        <w:t xml:space="preserve"> </w:t>
      </w:r>
      <w:hyperlink w:anchor="computer:balance">
        <w:r>
          <w:rPr>
            <w:rStyle w:val="Hyperlink"/>
          </w:rPr>
          <w:t xml:space="preserve">4.3.3.1.5</w:t>
        </w:r>
      </w:hyperlink>
      <w:r>
        <w:t xml:space="preserve">). Buxton, however, condensed these different approaches into what he called a “chunk-by-chunk” composition, where ‘chunk’ represented anything from notes to entire scores, and thus it became a scalability issue. Furthermore, he writes, “the key to allowing this ‘chunk-by-chunk’ addressing lies in our second observation: that the discussion of structural ‘levels’ immediately suggest a hierarchical internal representation of scores”</w:t>
      </w:r>
      <w:r>
        <w:t xml:space="preserve"> </w:t>
      </w:r>
      <w:r>
        <w:t xml:space="preserve">(Buxton et al. 1978b, p. 120)</w:t>
      </w:r>
      <w:r>
        <w:t xml:space="preserve">. That is to say, his solution for the scalability problem came with a hierarchical representation of scores.</w:t>
      </w:r>
    </w:p>
    <w:p>
      <w:pPr>
        <w:pStyle w:val="BodyText"/>
      </w:pPr>
      <w:r>
        <w:t xml:space="preserve">In Buxton’s SSSP , the hierarchical design depended on a data structure called</w:t>
      </w:r>
      <w:r>
        <w:t xml:space="preserve"> </w:t>
      </w:r>
      <w:r>
        <w:rPr>
          <w:i/>
        </w:rPr>
        <w:t xml:space="preserve">symbol table</w:t>
      </w:r>
      <w:r>
        <w:t xml:space="preserve">, which he subsequently divided in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 ‘leaves’ 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 paper</w:t>
      </w:r>
      <w:r>
        <w:t xml:space="preserve"> </w:t>
      </w:r>
      <w:r>
        <w:t xml:space="preserve">(Buxton et al. 1978b)</w:t>
      </w:r>
      <w:r>
        <w:t xml:space="preserve"> </w:t>
      </w:r>
      <w:r>
        <w:t xml:space="preserve">. In light of this transparency (and, perhaps, because of it), however, Buxton’s general purpose in his HCI philosophy is to make the software work in such a way that it becomes invisible to the user. This is also known as a black-box approach. His innovations in this and other projects, however, have had enormous resonances in computer science, and the concept of reducing cognitive burden of the user developed as a standard of HCI</w:t>
      </w:r>
      <w:r>
        <w:t xml:space="preserve"> </w:t>
      </w:r>
      <w:r>
        <w:t xml:space="preserve">(Buxton 2016b)</w:t>
      </w:r>
      <w:r>
        <w:t xml:space="preserve">.</w:t>
      </w:r>
    </w:p>
    <w:p>
      <w:pPr>
        <w:pStyle w:val="Heading5"/>
      </w:pPr>
      <w:bookmarkStart w:id="116" w:name="black-boxing"/>
      <w:r>
        <w:t xml:space="preserve">Black-boxing</w:t>
      </w:r>
      <w:bookmarkEnd w:id="116"/>
    </w:p>
    <w:p>
      <w:pPr>
        <w:pStyle w:val="FirstParagraph"/>
      </w:pPr>
      <w:r>
        <w:t xml:space="preserve">Vílem Flusser</w:t>
      </w:r>
      <w:r>
        <w:t xml:space="preserve"> </w:t>
      </w:r>
      <w:r>
        <w:t xml:space="preserve">(Flusser 2011)</w:t>
      </w:r>
      <w:r>
        <w:t xml:space="preserve"> </w:t>
      </w:r>
      <w:r>
        <w:t xml:space="preserve">described our ability to envision as the power to visualize beyond the surface of the image, and to bring the technical image into a concrete state of experience. The ‘image,’ in Flusser’s case is the television screen in its abstract state of “electrons in a cathode ray tube.” Therefore, he argues, “if we are asking about the power to envision, we must let the black box remain —cybernetically— black”</w:t>
      </w:r>
      <w:r>
        <w:t xml:space="preserve"> </w:t>
      </w:r>
      <w:r>
        <w:t xml:space="preserve">(Flusser 2011, p. 35)</w:t>
      </w:r>
      <w:r>
        <w:t xml:space="preserve">. By seeing past the abstract quality of media we bring an image into experience. The black box is the possibility condition for envisioning to take place. Thus, by seeing past the hidden complexities of the software, composers are able to create music with unrestrained imagination. However, as I have shown before, Hansen makes a divergent point claiming that virtuality inherent in the body is the creative potential of image in-formation (See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 </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 Composers, therefore, are given these possibilities to create, at the cost of a limited performance of the database.</w:t>
      </w:r>
    </w:p>
    <w:p>
      <w:pPr>
        <w:pStyle w:val="Heading5"/>
      </w:pPr>
      <w:bookmarkStart w:id="117" w:name="computer:free"/>
      <w:r>
        <w:t xml:space="preserve">Generality and Portability</w:t>
      </w:r>
      <w:bookmarkEnd w:id="117"/>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 SSSP lasted until 1982 due to lack of funding, and in the mid-1980s its research re-emerged with John Free</w:t>
      </w:r>
      <w:r>
        <w:t xml:space="preserve"> </w:t>
      </w:r>
      <w:r>
        <w:t xml:space="preserve">(Free 1987)</w:t>
      </w:r>
      <w:r>
        <w:t xml:space="preserve">, under Helicon Systems’ CAMP . Free’s programming philosophy thus called for generality, portability, and simplicity. Due to SSSP ’s many hardware dependencies, the code had to be completely re-written</w:t>
      </w:r>
      <w:r>
        <w:t xml:space="preserve"> </w:t>
      </w:r>
      <w:r>
        <w:t xml:space="preserve">(Free &amp; Vytas 1986)</w:t>
      </w:r>
      <w:r>
        <w:t xml:space="preserve">. Hardware development would demand higher levels of software abstractions, so that software continued to live on in newer hardware. This issue refers to the portability of software (See</w:t>
      </w:r>
      <w:r>
        <w:t xml:space="preserve"> </w:t>
      </w:r>
      <w:hyperlink w:anchor="portability">
        <w:r>
          <w:rPr>
            <w:rStyle w:val="Hyperlink"/>
          </w:rPr>
          <w:t xml:space="preserve">4.2.2.0.3</w:t>
        </w:r>
      </w:hyperlink>
      <w:r>
        <w:t xml:space="preserve">), which became a crucial aspect of Free’s programming concerns. Besides portability, Free developed SCRIVA into extensible data structures for music notation arguing for generality. Software had to be general enough so that composers could work in multiple styles. The larger implication in the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However, the programming philosophy here is that of reducing the burden of the user by taking care of the more tedious task. The cost of this, nonetheless, is that by working for the composer, the database guides and hides: it guides the composer through certain paths and hides the composer from other paths.</w:t>
      </w:r>
    </w:p>
    <w:p>
      <w:pPr>
        <w:pStyle w:val="Heading5"/>
      </w:pPr>
      <w:bookmarkStart w:id="118" w:name="computer:vanilla"/>
      <w:r>
        <w:t xml:space="preserve">Simplification</w:t>
      </w:r>
      <w:bookmarkEnd w:id="118"/>
    </w:p>
    <w:p>
      <w:pPr>
        <w:pStyle w:val="FirstParagraph"/>
      </w:pPr>
      <w:r>
        <w:t xml:space="preserve">Hardware-independence led Free to also imagine a</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Software needed to interact simultaneously with different types of hardware. Free achieved this type of interaction with the</w:t>
      </w:r>
      <w:r>
        <w:t xml:space="preserve"> </w:t>
      </w:r>
      <w:r>
        <w:rPr>
          <w:i/>
        </w:rPr>
        <w:t xml:space="preserve">Music Configuration Database</w:t>
      </w:r>
      <w:r>
        <w:t xml:space="preserve">. It consisted of an intermediate program between the physical MIDI input devices (such as the Yamaha DX7 or Casio CZ101), and the computers in the network, so that “rather than have the user tediously specify the MIDI device properties for each synthesizer”</w:t>
      </w:r>
      <w:r>
        <w:t xml:space="preserve"> </w:t>
      </w:r>
      <w:r>
        <w:t xml:space="preserve">(Free &amp; Vytas 1988, p. 133)</w:t>
      </w:r>
      <w:r>
        <w:t xml:space="preserve"> </w:t>
      </w:r>
      <w:r>
        <w:t xml:space="preserve">(channel management, control mapping, etc), these processes were handled by an intermediary database. Free’s approach, in comparison to Buxton’s, is not entirely black-boxed, since the database is open to modification by a specific set of commands provided to the user. The user can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w:t>
      </w:r>
    </w:p>
    <w:p>
      <w:pPr>
        <w:pStyle w:val="Heading5"/>
      </w:pPr>
      <w:bookmarkStart w:id="119" w:name="computer:balance"/>
      <w:r>
        <w:t xml:space="preserve">Balance</w:t>
      </w:r>
      <w:bookmarkEnd w:id="119"/>
    </w:p>
    <w:p>
      <w:pPr>
        <w:pStyle w:val="CaptionedFigure"/>
      </w:pPr>
      <w:r>
        <w:drawing>
          <wp:inline>
            <wp:extent cx="5334000" cy="3492272"/>
            <wp:effectExtent b="0" l="0" r="0" t="0"/>
            <wp:docPr descr="Barry Truax’ “Inverse Relation Between Generality and Strength” (Truax 1980, p. 51). Another version of this graph can be found in (Laske &amp; Tabor 1999, p. 38)."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20"/>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Barry Truax’ “Inverse Relation Between Generality and Strength”</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odyText"/>
      </w:pPr>
      <w:bookmarkStart w:id="121" w:name="img:truax_generality_b"/>
      <w:r>
        <w:t xml:space="preserve">[img:truax_generality_b]</w:t>
      </w:r>
      <w:bookmarkEnd w:id="121"/>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truax_generality_b">
        <w:r>
          <w:rPr>
            <w:rStyle w:val="Hyperlink"/>
          </w:rPr>
          <w:t xml:space="preserve">[truax_generality_b]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 ‘meeting halfway’ between the system and the user on account of the programmer’s capability to embed a more complex conception of hierarchy in the system. Balance refers precisely to flexibility among data structures. Since data structures can embody models of musical processes, they have an effect on the composer’s overall</w:t>
      </w:r>
      <w:r>
        <w:t xml:space="preserve"> </w:t>
      </w:r>
      <w:r>
        <w:rPr>
          <w:i/>
        </w:rPr>
        <w:t xml:space="preserve">performance</w:t>
      </w:r>
      <w:r>
        <w:t xml:space="preserve"> </w:t>
      </w:r>
      <w:r>
        <w:t xml:space="preserve">of the database in music composition. By ‘database performance’ I do not mean the quality of musical output, or the dexterity of the composer’s programming activity. By database performance I refer to the behavioral activity that comprises the scope and quality of the composer’s actions, together with the agency of this behavior within the results.</w:t>
      </w:r>
    </w:p>
    <w:p>
      <w:pPr>
        <w:pStyle w:val="Heading4"/>
      </w:pPr>
      <w:bookmarkStart w:id="122" w:name="music-notation-software"/>
      <w:r>
        <w:t xml:space="preserve">Music Notation Software</w:t>
      </w:r>
      <w:bookmarkEnd w:id="122"/>
    </w:p>
    <w:p>
      <w:pPr>
        <w:pStyle w:val="Heading5"/>
      </w:pPr>
      <w:bookmarkStart w:id="123" w:name="computer:notation"/>
      <w:r>
        <w:t xml:space="preserve">DARMS</w:t>
      </w:r>
      <w:bookmarkEnd w:id="123"/>
    </w:p>
    <w:p>
      <w:pPr>
        <w:pStyle w:val="FirstParagraph"/>
      </w:pPr>
      <w:r>
        <w:t xml:space="preserve">Other programming approaches for music notation software were developed during the 1980s, specifically using the DARMS 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in a first attempt to obtain sonic feedback out of a notation system. However, Clements’ attempt was not as successful as Leeland Smith’s famous SCORE</w:t>
      </w:r>
      <w:r>
        <w:t xml:space="preserve"> </w:t>
      </w:r>
      <w:r>
        <w:t xml:space="preserve">(Smith 1972)</w:t>
      </w:r>
      <w:r>
        <w:t xml:space="preserve">. Smith’s program consisted of a character scanner interpreting rhythmically complex musical input into MUSIC V output. Thus, it was an intermediary between music notation and computer music synthesis. With the appearance of vector graphics in the 1970s, however, SCORE shifted solely to music printing and later became commercially available with the appearance of the PostScript format in the 1980s.</w:t>
      </w:r>
      <w:hyperlink w:anchor="fn20">
        <w:r>
          <w:rPr>
            <w:vertAlign w:val="superscript"/>
            <w:rStyle w:val="Hyperlink"/>
          </w:rPr>
          <w:t xml:space="preserve">20</w:t>
        </w:r>
      </w:hyperlink>
    </w:p>
    <w:p>
      <w:pPr>
        <w:pStyle w:val="Heading5"/>
      </w:pPr>
      <w:bookmarkStart w:id="124" w:name="computer:computer"/>
      <w:r>
        <w:t xml:space="preserve">Computer Scores</w:t>
      </w:r>
      <w:bookmarkEnd w:id="124"/>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 MUSIC-11 . Written in Pascal,</w:t>
      </w:r>
      <w:r>
        <w:t xml:space="preserve"> </w:t>
      </w:r>
      <w:r>
        <w:rPr>
          <w:i/>
        </w:rPr>
        <w:t xml:space="preserve">Score-11</w:t>
      </w:r>
      <w:r>
        <w:t xml:space="preserve"> </w:t>
      </w:r>
      <w:r>
        <w:t xml:space="preserve">used circular linked lists traversed by an interpreter, and it results in MUSIC-11 -formatted output. Thus, the user creates a text file with blocks dedicated to individual instruments, and specifies parameters such as rhythm, pitch, movement (glissandi, crescendo), amplitude, etc., that are then re-formatted to fit the less musically-oriented notation of the MUSIC-N programs. Brinkman argues that such a software would result in faster and less arduous performance on the composer’s end:</w:t>
      </w:r>
    </w:p>
    <w:p>
      <w:pPr>
        <w:pStyle w:val="BlockText"/>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p>
    <w:p>
      <w:pPr>
        <w:pStyle w:val="FirstParagraph"/>
      </w:pP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 DARMS 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BodyText"/>
      </w:pPr>
      <w:r>
        <w:t xml:space="preserve">J. Stephen Dydo</w:t>
      </w:r>
      <w:r>
        <w:t xml:space="preserve"> </w:t>
      </w:r>
      <w:r>
        <w:t xml:space="preserve">(Dydo 1987)</w:t>
      </w:r>
      <w:r>
        <w:t xml:space="preserve"> </w:t>
      </w:r>
      <w:r>
        <w:t xml:space="preserve">worked on an interface to the DARMS 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 ICMC in 1987. He later released it commercially in the early 1990s at a significantly lower price than other notation software, namely</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25" w:name="computer:nutation"/>
      <w:r>
        <w:t xml:space="preserve">N</w:t>
      </w:r>
      <w:r>
        <w:rPr>
          <w:i/>
        </w:rPr>
        <w:t xml:space="preserve">u</w:t>
      </w:r>
      <w:r>
        <w:t xml:space="preserve">tation</w:t>
      </w:r>
      <w:bookmarkEnd w:id="125"/>
    </w:p>
    <w:p>
      <w:pPr>
        <w:pStyle w:val="FirstParagraph"/>
      </w:pPr>
      <w:r>
        <w:t xml:space="preserve">Another approach to music notation was carried out at CCRMA ,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BodyText"/>
      </w:pPr>
      <w:r>
        <w:t xml:space="preserve">While Diener implemented this data structure in the object-oriented programming language SMALLTALK ,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 ,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 NEXT computer provided. This resulted in an extremely malleable CAC environment, which enabled fast manipulation and sonic feedback at the cost of limiting timbre to a predefined, hardware-specific set of digital instruments.</w:t>
      </w:r>
    </w:p>
    <w:p>
      <w:pPr>
        <w:pStyle w:val="Heading5"/>
      </w:pPr>
      <w:bookmarkStart w:id="126" w:name="computer:theoretical"/>
      <w:r>
        <w:t xml:space="preserve">Theoretical Performance</w:t>
      </w:r>
      <w:bookmarkEnd w:id="126"/>
    </w:p>
    <w:p>
      <w:pPr>
        <w:pStyle w:val="FirstParagraph"/>
      </w:pPr>
      <w:r>
        <w:t xml:space="preserve">What notation software is most often criticised for is the way in which sonic feedback often comes to be equiparated to (human) music performance. When Leeland Smith presented SCORE 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27" w:name="enter-objects"/>
      <w:r>
        <w:t xml:space="preserve">Enter Objects</w:t>
      </w:r>
      <w:bookmarkEnd w:id="127"/>
    </w:p>
    <w:p>
      <w:pPr>
        <w:pStyle w:val="Heading5"/>
      </w:pPr>
      <w:bookmarkStart w:id="128" w:name="computer:realtime"/>
      <w:r>
        <w:t xml:space="preserve">Max and data structures for realtime</w:t>
      </w:r>
      <w:bookmarkEnd w:id="128"/>
    </w:p>
    <w:p>
      <w:pPr>
        <w:pStyle w:val="FirstParagraph"/>
      </w:pPr>
      <w:r>
        <w:t xml:space="preserve">Composers and programmers in the 1980s began focusing, however, on real-time performance of computer music.</w:t>
      </w:r>
      <w:hyperlink w:anchor="fn21">
        <w:r>
          <w:rPr>
            <w:vertAlign w:val="superscript"/>
            <w:rStyle w:val="Hyperlink"/>
          </w:rPr>
          <w:t xml:space="preserve">21</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light-weight, on-the-spot programming practice based on discontinuous processes. The structure of the database was placed</w:t>
      </w:r>
      <w:r>
        <w:t xml:space="preserve"> </w:t>
      </w:r>
      <w:r>
        <w:rPr>
          <w:i/>
        </w:rPr>
        <w:t xml:space="preserve">horizontally</w:t>
      </w:r>
      <w:r>
        <w:t xml:space="preserve">, that is, along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 “…rather than a programming environment, MAX is fundamentally a system for scheduling real-time tasks and managing intercommunication between them”</w:t>
      </w:r>
      <w:r>
        <w:t xml:space="preserve"> </w:t>
      </w:r>
      <w:r>
        <w:t xml:space="preserve">(Puckette 2002a)</w:t>
      </w:r>
      <w:r>
        <w:t xml:space="preserve">.</w:t>
      </w:r>
    </w:p>
    <w:p>
      <w:pPr>
        <w:pStyle w:val="Heading5"/>
      </w:pPr>
      <w:bookmarkStart w:id="129" w:name="computer:puredata"/>
      <w:r>
        <w:t xml:space="preserve">Pure Data</w:t>
      </w:r>
      <w:bookmarkEnd w:id="129"/>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5"/>
      </w:pPr>
      <w:bookmarkStart w:id="130" w:name="computer:datastructures"/>
      <w:r>
        <w:t xml:space="preserve">Data structures for graphic scores</w:t>
      </w:r>
      <w:bookmarkEnd w:id="130"/>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5"/>
      </w:pPr>
      <w:bookmarkStart w:id="131" w:name="computer:rtcmix"/>
      <w:r>
        <w:t xml:space="preserve">RtCMIX and the heap</w:t>
      </w:r>
      <w:bookmarkEnd w:id="131"/>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w:t>
      </w:r>
      <w:hyperlink w:anchor="fn22">
        <w:r>
          <w:rPr>
            <w:vertAlign w:val="superscript"/>
            <w:rStyle w:val="Hyperlink"/>
          </w:rPr>
          <w:t xml:space="preserve">22</w:t>
        </w:r>
      </w:hyperlink>
      <w:r>
        <w:t xml:space="preserve"> </w:t>
      </w:r>
      <w:r>
        <w:t xml:space="preserve">The heap 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 in order to allow for networked access to the individual synthesizers</w:t>
      </w:r>
      <w:r>
        <w:t xml:space="preserve"> </w:t>
      </w:r>
      <w:r>
        <w:t xml:space="preserve">(Garton &amp; Topper 1997)</w:t>
      </w:r>
      <w:r>
        <w:t xml:space="preserve">.</w:t>
      </w:r>
    </w:p>
    <w:p>
      <w:pPr>
        <w:pStyle w:val="Heading5"/>
      </w:pPr>
      <w:bookmarkStart w:id="132" w:name="computer:openmusic"/>
      <w:r>
        <w:t xml:space="preserve">OpenMusic</w:t>
      </w:r>
      <w:bookmarkEnd w:id="132"/>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Heading5"/>
      </w:pPr>
      <w:bookmarkStart w:id="133" w:name="computer:kyma"/>
      <w:r>
        <w:t xml:space="preserve">Kyma</w:t>
      </w:r>
      <w:bookmarkEnd w:id="133"/>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5"/>
      </w:pPr>
      <w:bookmarkStart w:id="134" w:name="computer:cypher"/>
      <w:r>
        <w:t xml:space="preserve">Cypher</w:t>
      </w:r>
      <w:bookmarkEnd w:id="134"/>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constituted by two MIDI -based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 MIDI data with MIR 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 MIDI 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 “The feature space representation …tends to treat parameters of the sound-pressure waves carrying musical percepts as central. Register, loudness, and density are all primary components of the representation”</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coexistence of two virtually opposing models for music analysis: a hierarchical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 “Cypher’s listener and player are organized hierarchically, though these hierarchies tend toward Narmour’s network ideas rather than the more strictly structured trees of Lerdahl and Jackendoff”</w:t>
      </w:r>
      <w:r>
        <w:t xml:space="preserve"> </w:t>
      </w:r>
      <w:r>
        <w:t xml:space="preserve">(Rowe 1992 Chapter 4.3)</w:t>
      </w:r>
      <w:r>
        <w:t xml:space="preserve">.</w:t>
      </w:r>
    </w:p>
    <w:p>
      <w:pPr>
        <w:pStyle w:val="Heading5"/>
      </w:pPr>
      <w:bookmarkStart w:id="135" w:name="computer:supercollider"/>
      <w:r>
        <w:t xml:space="preserve">SuperCollider and nodes</w:t>
      </w:r>
      <w:bookmarkEnd w:id="135"/>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 SuperCollider only consumes CPU resources whenever it needs to. This economy of resources that is enabled by the data structure of the language, together with its high-level quality, make it quite remarkable.</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Ariza’s work on python’s data structures</w:t>
      </w:r>
      <w:r>
        <w:t xml:space="preserve"> </w:t>
      </w:r>
      <w:r>
        <w:t xml:space="preserve">(Ariza 2005a)</w:t>
      </w:r>
      <w:r>
        <w:t xml:space="preserve">, and Rowe’s</w:t>
      </w:r>
      <w:r>
        <w:t xml:space="preserve"> </w:t>
      </w:r>
      <w:r>
        <w:t xml:space="preserve">(Rowe 1992, 2001)</w:t>
      </w:r>
    </w:p>
    <w:p>
      <w:pPr>
        <w:pStyle w:val="Heading3"/>
      </w:pPr>
      <w:bookmarkStart w:id="136" w:name="applications"/>
      <w:r>
        <w:t xml:space="preserve">Applications</w:t>
      </w:r>
      <w:bookmarkEnd w:id="136"/>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of the artistic possibilities that the type of data structure access that is provided to composers by means of computer music software sets forth. The following examples provide a glimpse of the major trends.</w:t>
      </w:r>
    </w:p>
    <w:p>
      <w:pPr>
        <w:pStyle w:val="Heading4"/>
      </w:pPr>
      <w:bookmarkStart w:id="137" w:name="applications:synthesis"/>
      <w:r>
        <w:t xml:space="preserve">Sound Synthesis</w:t>
      </w:r>
      <w:bookmarkEnd w:id="137"/>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Ryoho Kobayashi</w:t>
      </w:r>
      <w:r>
        <w:t xml:space="preserve"> </w:t>
      </w:r>
      <w:r>
        <w:t xml:space="preserve">(Kobayashi 2003)</w:t>
      </w:r>
      <w:r>
        <w:t xml:space="preserve"> </w:t>
      </w:r>
      <w:r>
        <w:t xml:space="preserve">used a database of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3">
        <w:r>
          <w:rPr>
            <w:vertAlign w:val="superscript"/>
            <w:rStyle w:val="Hyperlink"/>
          </w:rPr>
          <w:t xml:space="preserve">23</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38" w:name="applications:navigation"/>
      <w:r>
        <w:t xml:space="preserve">Navigation</w:t>
      </w:r>
      <w:bookmarkEnd w:id="138"/>
    </w:p>
    <w:p>
      <w:pPr>
        <w:pStyle w:val="FirstParagraph"/>
      </w:pPr>
      <w:r>
        <w:t xml:space="preserve">Insook Choi</w:t>
      </w:r>
      <w:r>
        <w:t xml:space="preserve"> </w:t>
      </w:r>
      <w:r>
        <w:t xml:space="preserve">(Choi et al. 2000)</w:t>
      </w:r>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w:t>
      </w:r>
      <w:hyperlink w:anchor="fn24">
        <w:r>
          <w:rPr>
            <w:vertAlign w:val="superscript"/>
            <w:rStyle w:val="Hyperlink"/>
          </w:rPr>
          <w:t xml:space="preserve">24</w:t>
        </w:r>
      </w:hyperlink>
      <w:r>
        <w:t xml:space="preserve"> </w:t>
      </w:r>
      <w:r>
        <w:t xml:space="preserve">By creating what she termed a</w:t>
      </w:r>
      <w:r>
        <w:t xml:space="preserve"> </w:t>
      </w:r>
      <w:r>
        <w:rPr>
          <w:i/>
        </w:rPr>
        <w:t xml:space="preserve">sensorial network</w:t>
      </w:r>
      <w:r>
        <w:t xml:space="preserve"> </w:t>
      </w:r>
      <w:r>
        <w:t xml:space="preserve">made out of a database of semantic units describing speeches by famous leaders, she enabled participants of the installation to explore the information space of the database of audio recordings by walking. A motion tracking system using computer vision enabled the users to traverse the database, not in an event-triggering fashion (interpreting space as a boolean switch for each audio file), but in such a way that the sound was modulated as a function of the different ‘clouds’ of pixel data where gradually changing values as participants moved across the sensing area: “pixels do not switch on and off, they fade in and out forming clusters in the 2D camera plane according to the degree of movement projected from the corresponding floor positions”</w:t>
      </w:r>
      <w:r>
        <w:t xml:space="preserve"> </w:t>
      </w:r>
      <w:r>
        <w:t xml:space="preserve">(Choi et al. 2000)</w:t>
      </w:r>
      <w:r>
        <w:t xml:space="preserve">. Furthermore, she included hysteresis, that is, the recorded history of the observer’s interaction with a system within the system, thus enabling condition-dependent events to occur as participants’ interaction lasted longer.</w:t>
      </w:r>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5">
        <w:r>
          <w:rPr>
            <w:vertAlign w:val="superscript"/>
            <w:rStyle w:val="Hyperlink"/>
          </w:rPr>
          <w:t xml:space="preserve">25</w:t>
        </w:r>
      </w:hyperlink>
      <w:r>
        <w:t xml:space="preserve"> </w:t>
      </w:r>
      <w:r>
        <w:t xml:space="preserve">(Composition Path) which enabled users to draw paths on a map, sonifying data points which represented information (e.g., traffic, weather, culture events) along the points of the path. They used major commercial web services (e.g, Amazon, Google, and Yahoo) offering public</w:t>
      </w:r>
      <w:r>
        <w:t xml:space="preserve"> </w:t>
      </w:r>
      <w:r>
        <w:t xml:space="preserve">APIs</w:t>
      </w:r>
      <w:r>
        <w:t xml:space="preserve"> </w:t>
      </w:r>
      <w:r>
        <w:t xml:space="preserve">so that each geo-location inputted on the path acted as queries. The returned data from these services was then mixed together (</w:t>
      </w:r>
      <w:r>
        <w:rPr>
          <w:i/>
        </w:rPr>
        <w:t xml:space="preserve">data mashup</w:t>
      </w:r>
      <w:r>
        <w:t xml:space="preserve">) and mapped with a virtual synthesized via MIDI .</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BFCC performed on multiple successive analysis windows was the most efficient way to do so. Thus, a database of percussive sounds could be navigated by performing this type of analysis, enabling a fast and CPU -inexpensive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w:t>
      </w:r>
    </w:p>
    <w:p>
      <w:pPr>
        <w:pStyle w:val="Heading4"/>
      </w:pPr>
      <w:bookmarkStart w:id="139" w:name="application:performance"/>
      <w:r>
        <w:t xml:space="preserve">Performance</w:t>
      </w:r>
      <w:bookmarkEnd w:id="139"/>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26">
        <w:r>
          <w:rPr>
            <w:vertAlign w:val="superscript"/>
            <w:rStyle w:val="Hyperlink"/>
          </w:rPr>
          <w:t xml:space="preserve">26</w:t>
        </w:r>
      </w:hyperlink>
      <w:r>
        <w:t xml:space="preserve"> </w:t>
      </w:r>
      <w:r>
        <w:t xml:space="preserve">with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EDM .</w:t>
      </w:r>
    </w:p>
    <w:p>
      <w:pPr>
        <w:pStyle w:val="Heading4"/>
      </w:pPr>
      <w:bookmarkStart w:id="140" w:name="application:gesture"/>
      <w:r>
        <w:t xml:space="preserve">Gesture</w:t>
      </w:r>
      <w:bookmarkEnd w:id="140"/>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CWM ,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 Serafin et al</w:t>
      </w:r>
      <w:r>
        <w:t xml:space="preserve"> </w:t>
      </w:r>
      <w:r>
        <w:t xml:space="preserve">(Serafin et al. 2001)</w:t>
      </w:r>
      <w:r>
        <w:t xml:space="preserve"> </w:t>
      </w:r>
      <w:r>
        <w:t xml:space="preserve">managed to invert the concept of physical modeling by estimating violin bow position, pressure, and speed using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27">
        <w:r>
          <w:rPr>
            <w:vertAlign w:val="superscript"/>
            <w:rStyle w:val="Hyperlink"/>
          </w:rPr>
          <w:t xml:space="preserve">27</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28">
        <w:r>
          <w:rPr>
            <w:vertAlign w:val="superscript"/>
            <w:rStyle w:val="Hyperlink"/>
          </w:rPr>
          <w:t xml:space="preserve">28</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 on the OSC format, proposed a POSTGRESQL database for efficient storage and retrieval of gestural data aimed for real-time application. Schmeder’s paper presents a technical overview of database practices, focusing on relational databases.</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41" w:name="application:sharing"/>
      <w:r>
        <w:t xml:space="preserve">Resource Sharing</w:t>
      </w:r>
      <w:bookmarkEnd w:id="141"/>
    </w:p>
    <w:p>
      <w:pPr>
        <w:pStyle w:val="FirstParagraph"/>
      </w:pPr>
      <w:r>
        <w:t xml:space="preserve">Important research has been done in file formats suitable for data interchange. For example, the SDIF and the GDIF , widely used in audio analysis software like SPEAR ,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29">
        <w:r>
          <w:rPr>
            <w:vertAlign w:val="superscript"/>
            <w:rStyle w:val="Hyperlink"/>
          </w:rPr>
          <w:t xml:space="preserve">29</w:t>
        </w:r>
      </w:hyperlink>
      <w:r>
        <w:t xml:space="preserve"> </w:t>
      </w:r>
      <w:r>
        <w:t xml:space="preserve">project a data format for sharing between different multimedia environments. Based on previous work on file formats</w:t>
      </w:r>
      <w:hyperlink w:anchor="fn30">
        <w:r>
          <w:rPr>
            <w:vertAlign w:val="superscript"/>
            <w:rStyle w:val="Hyperlink"/>
          </w:rPr>
          <w:t xml:space="preserve">30</w:t>
        </w:r>
      </w:hyperlink>
      <w:r>
        <w:t xml:space="preserve">, they developed the IXD format which is capable of containing sequences, tags and meta-data, and presets. Their argument for an XML 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CC sound databases, such as Freesound</w:t>
      </w:r>
      <w:hyperlink w:anchor="fn31">
        <w:r>
          <w:rPr>
            <w:vertAlign w:val="superscript"/>
            <w:rStyle w:val="Hyperlink"/>
          </w:rPr>
          <w:t xml:space="preserve">31</w:t>
        </w:r>
      </w:hyperlink>
      <w:r>
        <w:t xml:space="preserve"> </w:t>
      </w:r>
      <w:r>
        <w:t xml:space="preserve">or user-made databases, enabling content-based querying by pitch or tapping.</w:t>
      </w:r>
    </w:p>
    <w:p>
      <w:pPr>
        <w:pStyle w:val="Heading1"/>
      </w:pPr>
      <w:bookmarkStart w:id="142" w:name="chapter:Database_Aesthetics"/>
      <w:r>
        <w:t xml:space="preserve">Database Aesthetics</w:t>
      </w:r>
      <w:bookmarkEnd w:id="142"/>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43" w:name="section:Listening_Databases"/>
      <w:r>
        <w:t xml:space="preserve">Listening Databases</w:t>
      </w:r>
      <w:bookmarkEnd w:id="143"/>
    </w:p>
    <w:p>
      <w:pPr>
        <w:pStyle w:val="Heading3"/>
      </w:pPr>
      <w:bookmarkStart w:id="144" w:name="resonance_of_a_return"/>
      <w:r>
        <w:t xml:space="preserve">The Resonance of a Return</w:t>
      </w:r>
      <w:bookmarkEnd w:id="144"/>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Consequently,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Heading5"/>
      </w:pPr>
      <w:bookmarkStart w:id="145" w:name="sonorous-presence"/>
      <w:r>
        <w:t xml:space="preserve">Sonorous presence</w:t>
      </w:r>
      <w:bookmarkEnd w:id="145"/>
    </w:p>
    <w:p>
      <w:pPr>
        <w:pStyle w:val="FirstParagraph"/>
      </w:pPr>
      <w:r>
        <w:t xml:space="preserve">Jean-Luc Nancy</w:t>
      </w:r>
      <w:r>
        <w:t xml:space="preserve"> </w:t>
      </w:r>
      <w:r>
        <w:t xml:space="preserve">(Nancy 2007)</w:t>
      </w:r>
      <w:r>
        <w:t xml:space="preserve"> </w:t>
      </w:r>
      <w:r>
        <w:t xml:space="preserve">brings forth an ontology of sound that is based on the performativity of listening. Linking an embodied theory of listening with a phenomenology of the self, this ontology begins by defining the ‘sonorous presence.’ For Brian Kane</w:t>
      </w:r>
      <w:r>
        <w:t xml:space="preserve"> </w:t>
      </w:r>
      <w:r>
        <w:t xml:space="preserve">(Gratton &amp; Morin 2015)</w:t>
      </w:r>
      <w:r>
        <w:t xml:space="preserve">, Nancy’s ‘sonorous presence’ is given by the combination of both the listening body as being part of the medium and the body’s sense perception linked to that medium. I understand medium here as the transmission medium upon which sound propagates, such as a space filled with gas, liquid, or solid particles of matter. Under this definition, all bodies are part of media, that is, both human and nonhuman bodies. Sound reaches, enters, and traverses bodies within media. Thus, for Nancy, sound immerses all bodies within itself. This means that sound includes all bodies within its oscillation, making listeners vibrate. Therefore, the listening subject, understood as the one that is listening (a singular listener) is always already part of sound.</w:t>
      </w:r>
    </w:p>
    <w:p>
      <w:pPr>
        <w:pStyle w:val="Heading5"/>
      </w:pPr>
      <w:bookmarkStart w:id="146" w:name="an-a-priori-filter"/>
      <w:r>
        <w:t xml:space="preserve">An a priori filter</w:t>
      </w:r>
      <w:bookmarkEnd w:id="146"/>
    </w:p>
    <w:p>
      <w:pPr>
        <w:pStyle w:val="FirstParagraph"/>
      </w:pPr>
      <w:r>
        <w:t xml:space="preserve">In being already part of sound, bodies change sound even before listening. On a mechanical level, the body is an a priori physical filter. Sound is filtered differently and uniquely within each body: my body changes the incoming sound for me, just as well it does for others. For instance, a longitudinal wave passing through a body affects how it will arrive at other points in space. Sound propagation is conditioned by the qualities of the medium. That is to say, while the combination of density, pressure, temperature, and motion affect its speed, viscosity within media affects its attenuation rate. This means that within hot and humid climates sound will move slower, and if there is wind blowing in the same direction of a sound it will travel faster. What is important here, is that this also means the listening body changes how sound moves both inside and outside of itself. On the one hand, bodies filter sounds towards one another. On the other, even before longitudinal waves reach the tympan, the same body already affects their movement. Waves change direction by way of reflection or refraction, and they fade out by way of attenuation. This means that waves are affected in different ways according to different media, some being more (concert halls) or less reflective (anechoic chambers). Since the listener’s body itself refracts, reflects, and attenuates waves, the singular filter that is the body changes wave propagation not only for itself and its own listening experience, also for the listening experience of other subjects in different places in space. This explains why empty concert halls sound more reverberant than filled concert halls.</w:t>
      </w:r>
    </w:p>
    <w:p>
      <w:pPr>
        <w:pStyle w:val="Heading5"/>
      </w:pPr>
      <w:bookmarkStart w:id="147" w:name="sonorous-presence-in-an-attack"/>
      <w:r>
        <w:t xml:space="preserve">Sonorous presence in an attack</w:t>
      </w:r>
      <w:bookmarkEnd w:id="147"/>
    </w:p>
    <w:p>
      <w:pPr>
        <w:pStyle w:val="FirstParagraph"/>
      </w:pPr>
      <w:r>
        <w:t xml:space="preserve">Sonorous presence, therefore, can be understood as follows. Since listeners are singularities in the presence of sound, and since sound itself is the singularly exposed presence, the sonorous presence is an exposition of an in-between-ness, or a resonant state of a self being exposed to itself and to one another. The experience of this exposure, however, points to the presence of sound as a sensing experience in itself (the body listening to itself listen), and not to what a given sound might signify. As Kane writes, to be listening in the sonorous present constitutes “a mode of listening that exposes itself to sense”</w:t>
      </w:r>
      <w:r>
        <w:t xml:space="preserve"> </w:t>
      </w:r>
      <w:r>
        <w:t xml:space="preserve">(Gratton &amp; Morin 2015, pp. 143–44)</w:t>
      </w:r>
      <w:r>
        <w:t xml:space="preserve">. This means that in the sonorous present, the listening body emerges as a creation of itself as sense. Therefore, in the sonorous present the first image is that of the body. In this sense, the body is given form by itself: it is self-in-formed during the sonorous present. Furthermore, the duration of this sonorous presence is none other than an instant, or what Nancy refers to as an ‘attack.’ All mechanical waves require an initial energy input. In the case of sound, particularly in musical contexts, this input is generally referred to as attack. Nancy, however, takes this notion of the attack to another plane. He refers to it as the exact moment when a sound arrives and simultaneously leaves the body: the instantaneous appearance of sound within the body. An attack therefore instantiates the sonorous presence.</w:t>
      </w:r>
    </w:p>
    <w:p>
      <w:pPr>
        <w:pStyle w:val="Heading5"/>
      </w:pPr>
      <w:bookmarkStart w:id="148" w:name="referrals-and-deferrals"/>
      <w:r>
        <w:t xml:space="preserve">Referrals and Deferrals</w:t>
      </w:r>
      <w:bookmarkEnd w:id="148"/>
    </w:p>
    <w:p>
      <w:pPr>
        <w:pStyle w:val="FirstParagraph"/>
      </w:pPr>
      <w:r>
        <w:t xml:space="preserve">The structure of the listening experience is one of infinite referrals and deferrals.</w:t>
      </w:r>
      <w:hyperlink w:anchor="fn32">
        <w:r>
          <w:rPr>
            <w:vertAlign w:val="superscript"/>
            <w:rStyle w:val="Hyperlink"/>
          </w:rPr>
          <w:t xml:space="preserve">32</w:t>
        </w:r>
      </w:hyperlink>
      <w:r>
        <w:t xml:space="preserve"> </w:t>
      </w:r>
      <w:r>
        <w:t xml:space="preserve">Inasmuch as the sensing body is aware of its own multiplicity of sense, this multiplicity is itself dislocated spatially and temporally. Thus, the distances in both time and space, between all points of the listening experience, of the singular listener and the plurality of listeners, create a web of references that is instantiated in the attack of the sonorous presence. By way of listening, Nancy approaches the notion of meaning. That is to say, for him, meaning “is made of a totality of referrals: from sign to a thing, from a state of things to a quality, from a subject to another subject or to itself, all simultaneously”</w:t>
      </w:r>
      <w:r>
        <w:t xml:space="preserve"> </w:t>
      </w:r>
      <w:r>
        <w:t xml:space="preserve">(Nancy 2007, pp. 4–9)</w:t>
      </w:r>
      <w:r>
        <w:t xml:space="preserve">. Therefore, since sound “is also made of referrals: it spreads in space, where it resounds while still resounding ‘in me’’</w:t>
      </w:r>
      <w:r>
        <w:t xml:space="preserve"> </w:t>
      </w:r>
      <w:r>
        <w:t xml:space="preserve">(Nancy 2007, pp. 4–9)</w:t>
      </w:r>
      <w:r>
        <w:t xml:space="preserve">, the result is an understanding of listening as a process that intertwines sense and signification. As a consequence of meaning within the listening experience, the self comes along resounding, emerging out of a resonating plurality.</w:t>
      </w:r>
    </w:p>
    <w:p>
      <w:pPr>
        <w:pStyle w:val="Heading5"/>
      </w:pPr>
      <w:bookmarkStart w:id="149" w:name="a-loop"/>
      <w:r>
        <w:t xml:space="preserve">A Loop</w:t>
      </w:r>
      <w:bookmarkEnd w:id="149"/>
    </w:p>
    <w:p>
      <w:pPr>
        <w:pStyle w:val="FirstParagraph"/>
      </w:pPr>
      <w:r>
        <w:t xml:space="preserve">The condition of repetition, oscillation, or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 do this in simultaneity with another subject, who is also creating itself while giving meaning to other sound waves. In listening, the vibrating link in between ourselves is also simultaneously changing the way we are listening. Thus, every singularity is in a state of being exposed to one other, that is, in resonance or in touch with on other. Within this loop, not only sound enters and leaves the body, also the sensing body and the resonant self emerge and re-emerge infinitely. Therefore, this infinitude becomes the presence of the self, in the sense that the self becomes present to itself.</w:t>
      </w:r>
    </w:p>
    <w:p>
      <w:pPr>
        <w:pStyle w:val="Heading5"/>
      </w:pPr>
      <w:bookmarkStart w:id="150" w:name="an-approach-to-self"/>
      <w:r>
        <w:t xml:space="preserve">An Approach to Self</w:t>
      </w:r>
      <w:bookmarkEnd w:id="150"/>
    </w:p>
    <w:p>
      <w:pPr>
        <w:pStyle w:val="FirstParagraph"/>
      </w:pPr>
      <w:r>
        <w:t xml:space="preserve">It is important to note that the self resonates to itself coming</w:t>
      </w:r>
      <w:r>
        <w:t xml:space="preserve"> </w:t>
      </w:r>
      <w:r>
        <w:rPr>
          <w:i/>
        </w:rPr>
        <w:t xml:space="preserve">in</w:t>
      </w:r>
      <w:r>
        <w:t xml:space="preserve">. This must be distinguished from the self understood as an expressive substance inherent to bodies, or already</w:t>
      </w:r>
      <w:r>
        <w:t xml:space="preserve"> </w:t>
      </w:r>
      <w:r>
        <w:rPr>
          <w:i/>
        </w:rPr>
        <w:t xml:space="preserve">in</w:t>
      </w:r>
      <w:r>
        <w:t xml:space="preserve"> </w:t>
      </w:r>
      <w:r>
        <w:t xml:space="preserve">the body, as if it were some originary essence that appears out of resonance. Quite the contrary, for Nancy, the phenomenality of the self comes as a result of the resonance, in the form of a return. In other words, the self is something that appears to itself, at the limit of itself, very much like sound does. This is why, for Nancy, to be listening [</w:t>
      </w:r>
      <w:r>
        <w:rPr>
          <w:i/>
        </w:rPr>
        <w:t xml:space="preserve">être à l’écoute</w:t>
      </w:r>
      <w:r>
        <w:t xml:space="preserve">] engages resonant subjects with an approach to self. This approach, however, is neither to the self, not to the self of another, but to the structure of resonance as understood in terms of a</w:t>
      </w:r>
      <w:r>
        <w:t xml:space="preserve"> </w:t>
      </w:r>
      <w:r>
        <w:rPr>
          <w:i/>
        </w:rPr>
        <w:t xml:space="preserve">relationship in self</w:t>
      </w:r>
      <w:r>
        <w:t xml:space="preserve"> </w:t>
      </w:r>
      <w:r>
        <w:t xml:space="preserve">from itself. The quote at the beginning of this section (“if something like that ever does reach the end of its formation”) points precisely to the infinite resonant process with which Nancy builds his concept of listening, but specifically, it is how he sets forth an image of a self coming from this ontology of sound.</w:t>
      </w:r>
      <w:hyperlink w:anchor="fn33">
        <w:r>
          <w:rPr>
            <w:vertAlign w:val="superscript"/>
            <w:rStyle w:val="Hyperlink"/>
          </w:rPr>
          <w:t xml:space="preserve">33</w:t>
        </w:r>
      </w:hyperlink>
    </w:p>
    <w:p>
      <w:pPr>
        <w:pStyle w:val="Heading3"/>
      </w:pPr>
      <w:bookmarkStart w:id="151" w:name="network"/>
      <w:r>
        <w:t xml:space="preserve">Resonant Network</w:t>
      </w:r>
      <w:bookmarkEnd w:id="151"/>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5"/>
      </w:pPr>
      <w:bookmarkStart w:id="152" w:name="an-illusory-violin"/>
      <w:r>
        <w:t xml:space="preserve">An Illusory Violin</w:t>
      </w:r>
      <w:bookmarkEnd w:id="152"/>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5"/>
      </w:pPr>
      <w:bookmarkStart w:id="153" w:name="virtuality"/>
      <w:r>
        <w:t xml:space="preserve">Virtuality</w:t>
      </w:r>
      <w:bookmarkEnd w:id="153"/>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 ‘virtual’ self of the violin. The ‘virtual’ 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5"/>
      </w:pPr>
      <w:bookmarkStart w:id="154" w:name="performativity-of-networks"/>
      <w:r>
        <w:t xml:space="preserve">Performativity of Networks</w:t>
      </w:r>
      <w:bookmarkEnd w:id="154"/>
    </w:p>
    <w:p>
      <w:pPr>
        <w:pStyle w:val="FirstParagraph"/>
      </w:pPr>
      <w:r>
        <w:t xml:space="preserve">Latour understands ‘networks’ as made of interconnected frames of reference. He refers to these frames as ‘semiotic actors’ 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 ‘ontological hybrids’,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5"/>
      </w:pPr>
      <w:bookmarkStart w:id="155" w:name="a-resonant-movement-of-a-thing"/>
      <w:r>
        <w:t xml:space="preserve">A Resonant Movement of a Thing</w:t>
      </w:r>
      <w:bookmarkEnd w:id="155"/>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 RAM ,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Heading5"/>
      </w:pPr>
      <w:bookmarkStart w:id="156" w:name="positive-feedback"/>
      <w:r>
        <w:t xml:space="preserve">Positive Feedback</w:t>
      </w:r>
      <w:bookmarkEnd w:id="156"/>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 ‘resonant’ and ‘network’ results in a sort of positive feedback, that unless intentionally built into an electronic circuit serving that purpose, simply falls out of the mechanical aspect of waves. Thus, sonic entropy plays against network expansion.</w:t>
      </w:r>
    </w:p>
    <w:p>
      <w:pPr>
        <w:pStyle w:val="Heading5"/>
      </w:pPr>
      <w:bookmarkStart w:id="157" w:name="the-work-of-actors"/>
      <w:r>
        <w:t xml:space="preserve">The Work of Actors</w:t>
      </w:r>
      <w:bookmarkEnd w:id="157"/>
    </w:p>
    <w:p>
      <w:pPr>
        <w:pStyle w:val="FirstParagraph"/>
      </w:pPr>
      <w:r>
        <w:t xml:space="preserve">The notion of network is to a certain extent mathematical. The spatial metaphors that are generally used, such as “close and far, up and down, local and global, inside and outside,” come to be replaced by “associations and connections”</w:t>
      </w:r>
      <w:r>
        <w:t xml:space="preserve"> </w:t>
      </w:r>
      <w:r>
        <w:t xml:space="preserve">(Latour 1990, p. 6)</w:t>
      </w:r>
      <w:r>
        <w:t xml:space="preserve">. For example, consider the case of a person writing on a laptop computer. The two actors (user, computer) have to perform what Latour calls “enormous supplementary work”</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158" w:name="inoperativity"/>
      <w:r>
        <w:t xml:space="preserve">The Unworking Network</w:t>
      </w:r>
      <w:bookmarkEnd w:id="158"/>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Inoperativity and community are intertwined, and I will describe them in the following paragraphs.</w:t>
      </w:r>
    </w:p>
    <w:p>
      <w:pPr>
        <w:pStyle w:val="BodyText"/>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That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5"/>
      </w:pPr>
      <w:bookmarkStart w:id="159" w:name="resonant-inoperativity"/>
      <w:r>
        <w:t xml:space="preserve">Resonant Inoperativity</w:t>
      </w:r>
      <w:bookmarkEnd w:id="159"/>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5"/>
      </w:pPr>
      <w:bookmarkStart w:id="160" w:name="space-of-community"/>
      <w:r>
        <w:t xml:space="preserve">Space of Community</w:t>
      </w:r>
      <w:bookmarkEnd w:id="160"/>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5"/>
      </w:pPr>
      <w:bookmarkStart w:id="161" w:name="at-the-limit"/>
      <w:r>
        <w:t xml:space="preserve">At the Limit</w:t>
      </w:r>
      <w:bookmarkEnd w:id="161"/>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5"/>
      </w:pPr>
      <w:bookmarkStart w:id="162" w:name="reticulated-skin"/>
      <w:r>
        <w:t xml:space="preserve">Reticulated Skin</w:t>
      </w:r>
      <w:bookmarkEnd w:id="162"/>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63" w:name="section:Databases_and_Memory"/>
      <w:r>
        <w:t xml:space="preserve">Databases and Memory</w:t>
      </w:r>
      <w:bookmarkEnd w:id="163"/>
    </w:p>
    <w:p>
      <w:pPr>
        <w:pStyle w:val="Heading3"/>
      </w:pPr>
      <w:bookmarkStart w:id="164" w:name="funeslude"/>
      <w:r>
        <w:t xml:space="preserve">Interlude: Embodied Memory</w:t>
      </w:r>
      <w:bookmarkEnd w:id="164"/>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hyperlink w:anchor="fn34">
        <w:r>
          <w:rPr>
            <w:vertAlign w:val="superscript"/>
            <w:rStyle w:val="Hyperlink"/>
          </w:rPr>
          <w:t xml:space="preserve">34</w:t>
        </w:r>
      </w:hyperlink>
      <w:r>
        <w:t xml:space="preserve"> </w:t>
      </w:r>
      <w:r>
        <w:t xml:space="preserve">he was secluded in a dark and enclosed space so as not to perceive the world.</w:t>
      </w:r>
      <w:hyperlink w:anchor="fn35">
        <w:r>
          <w:rPr>
            <w:vertAlign w:val="superscript"/>
            <w:rStyle w:val="Hyperlink"/>
          </w:rPr>
          <w:t xml:space="preserve">35</w:t>
        </w:r>
      </w:hyperlink>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6">
        <w:r>
          <w:rPr>
            <w:vertAlign w:val="superscript"/>
            <w:rStyle w:val="Hyperlink"/>
          </w:rPr>
          <w:t xml:space="preserve">36</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37">
        <w:r>
          <w:rPr>
            <w:vertAlign w:val="superscript"/>
            <w:rStyle w:val="Hyperlink"/>
          </w:rPr>
          <w:t xml:space="preserve">37</w:t>
        </w:r>
      </w:hyperlink>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hyperlink w:anchor="fn38">
        <w:r>
          <w:rPr>
            <w:vertAlign w:val="superscript"/>
            <w:rStyle w:val="Hyperlink"/>
          </w:rPr>
          <w:t xml:space="preserve">38</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hyperlink w:anchor="fn39">
        <w:r>
          <w:rPr>
            <w:vertAlign w:val="superscript"/>
            <w:rStyle w:val="Hyperlink"/>
          </w:rPr>
          <w:t xml:space="preserve">39</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65" w:name="human"/>
      <w:r>
        <w:t xml:space="preserve">The Effraction of the Trace</w:t>
      </w:r>
      <w:bookmarkEnd w:id="165"/>
    </w:p>
    <w:p>
      <w:pPr>
        <w:pStyle w:val="BlockText"/>
      </w:pPr>
      <w:r>
        <w:t xml:space="preserve">Lo cierto es que vivimos postergando todo lo postergable; tal vez todos sabemos profundamente que somos inmortales y que tarde o temprano, todo hombre hará todas las cosas y sabrá todo.</w:t>
      </w:r>
      <w:hyperlink w:anchor="fn40">
        <w:r>
          <w:rPr>
            <w:vertAlign w:val="superscript"/>
            <w:rStyle w:val="Hyperlink"/>
          </w:rPr>
          <w:t xml:space="preserve">40</w:t>
        </w:r>
      </w:hyperlink>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5"/>
      </w:pPr>
      <w:bookmarkStart w:id="166" w:name="memory-as-breaching"/>
      <w:r>
        <w:t xml:space="preserve">Memory as Breaching</w:t>
      </w:r>
      <w:bookmarkEnd w:id="166"/>
    </w:p>
    <w:p>
      <w:pPr>
        <w:pStyle w:val="FirstParagraph"/>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5"/>
      </w:pPr>
      <w:bookmarkStart w:id="167" w:name="breaching-and-différance"/>
      <w:r>
        <w:t xml:space="preserve">Breaching and</w:t>
      </w:r>
      <w:r>
        <w:t xml:space="preserve"> </w:t>
      </w:r>
      <w:r>
        <w:rPr>
          <w:i/>
        </w:rPr>
        <w:t xml:space="preserve">différance</w:t>
      </w:r>
      <w:bookmarkEnd w:id="167"/>
    </w:p>
    <w:p>
      <w:pPr>
        <w:pStyle w:val="FirstParagraph"/>
      </w:pPr>
      <w:r>
        <w:t xml:space="preserve">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 “trace as memory is not a pure breaching that might be reappropriated at any time as simple presence; it is rather the ungraspable and invisible difference between breaches”</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5"/>
      </w:pPr>
      <w:bookmarkStart w:id="168" w:name="hypomnesis-and-the-mystic-pad"/>
      <w:r>
        <w:t xml:space="preserve">Hypomnesis and the Mystic Pad</w:t>
      </w:r>
      <w:bookmarkEnd w:id="168"/>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 “a perpetually available innocence and an infinite reserve of traces”</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 “work of memory” itself</w:t>
      </w:r>
      <w:r>
        <w:t xml:space="preserve"> </w:t>
      </w:r>
      <w:r>
        <w:t xml:space="preserve">(Derrida 1978, p. 226)</w:t>
      </w:r>
      <w:r>
        <w:t xml:space="preserve">.</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 </w:t>
      </w:r>
      <w:r>
        <w:t xml:space="preserve">(Derrida 1978, p. 227)</w:t>
      </w:r>
    </w:p>
    <w:p>
      <w:pPr>
        <w:pStyle w:val="Heading5"/>
      </w:pPr>
      <w:bookmarkStart w:id="169" w:name="nonhuman-authors"/>
      <w:r>
        <w:t xml:space="preserve">Nonhuman Authors</w:t>
      </w:r>
      <w:bookmarkEnd w:id="169"/>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Heading5"/>
      </w:pPr>
      <w:bookmarkStart w:id="170" w:name="database-as-agents"/>
      <w:r>
        <w:t xml:space="preserve">Database as Agents</w:t>
      </w:r>
      <w:bookmarkEnd w:id="170"/>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171" w:name="archontic"/>
      <w:r>
        <w:t xml:space="preserve">The Archontic Principle</w:t>
      </w:r>
      <w:bookmarkEnd w:id="171"/>
    </w:p>
    <w:p>
      <w:pPr>
        <w:pStyle w:val="Heading5"/>
      </w:pPr>
      <w:bookmarkStart w:id="172" w:name="archives-and-memory"/>
      <w:r>
        <w:t xml:space="preserve">Archives and Memory</w:t>
      </w:r>
      <w:bookmarkEnd w:id="172"/>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Heading5"/>
      </w:pPr>
      <w:bookmarkStart w:id="173" w:name="hierarchies"/>
      <w:r>
        <w:t xml:space="preserve">Hierarchies</w:t>
      </w:r>
      <w:bookmarkEnd w:id="173"/>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 ‘fever’ 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5"/>
      </w:pPr>
      <w:bookmarkStart w:id="174" w:name="archontic-principle"/>
      <w:r>
        <w:t xml:space="preserve">Archontic Principle</w:t>
      </w:r>
      <w:bookmarkEnd w:id="174"/>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Heading5"/>
      </w:pPr>
      <w:bookmarkStart w:id="175" w:name="patriarchy"/>
      <w:r>
        <w:t xml:space="preserve">Patriarchy</w:t>
      </w:r>
      <w:bookmarkEnd w:id="175"/>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Heading5"/>
      </w:pPr>
      <w:bookmarkStart w:id="176" w:name="institutional-passage"/>
      <w:r>
        <w:t xml:space="preserve">Institutional Passage</w:t>
      </w:r>
      <w:bookmarkEnd w:id="176"/>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5"/>
      </w:pPr>
      <w:bookmarkStart w:id="177" w:name="authorities"/>
      <w:r>
        <w:t xml:space="preserve">Authorities</w:t>
      </w:r>
      <w:bookmarkEnd w:id="177"/>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5"/>
      </w:pPr>
      <w:bookmarkStart w:id="178" w:name="anarchic-memory"/>
      <w:r>
        <w:t xml:space="preserve">Anarchic Memory</w:t>
      </w:r>
      <w:bookmarkEnd w:id="178"/>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5"/>
      </w:pPr>
      <w:bookmarkStart w:id="179" w:name="collective-memory"/>
      <w:r>
        <w:t xml:space="preserve">Collective Memory</w:t>
      </w:r>
      <w:bookmarkEnd w:id="179"/>
    </w:p>
    <w:p>
      <w:pPr>
        <w:pStyle w:val="FirstParagraph"/>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 “in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5"/>
      </w:pPr>
      <w:bookmarkStart w:id="180" w:name="writing-code"/>
      <w:r>
        <w:t xml:space="preserve">Writing Code</w:t>
      </w:r>
      <w:bookmarkEnd w:id="180"/>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hyperlink w:anchor="fn41">
        <w:r>
          <w:rPr>
            <w:vertAlign w:val="superscript"/>
            <w:rStyle w:val="Hyperlink"/>
          </w:rPr>
          <w:t xml:space="preserve">41</w:t>
        </w:r>
      </w:hyperlink>
    </w:p>
    <w:p>
      <w:pPr>
        <w:pStyle w:val="Heading5"/>
      </w:pPr>
      <w:bookmarkStart w:id="181" w:name="anarchic-computer-memory"/>
      <w:r>
        <w:t xml:space="preserve">Anarchic Computer Memory</w:t>
      </w:r>
      <w:bookmarkEnd w:id="181"/>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182" w:name="spectrality"/>
      <w:r>
        <w:t xml:space="preserve">The Spectral Database</w:t>
      </w:r>
      <w:bookmarkEnd w:id="182"/>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Heading5"/>
      </w:pPr>
      <w:bookmarkStart w:id="183" w:name="computer-memory-and-writing"/>
      <w:r>
        <w:t xml:space="preserve">Computer Memory and Writing</w:t>
      </w:r>
      <w:bookmarkEnd w:id="183"/>
    </w:p>
    <w:p>
      <w:pPr>
        <w:pStyle w:val="FirstParagraph"/>
      </w:pPr>
      <w:r>
        <w:t xml:space="preserve">Despite the multiplicity of elements that constitute software programming, such as compiler instructions, hardware 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5"/>
      </w:pPr>
      <w:bookmarkStart w:id="184" w:name="memory-replacement"/>
      <w:r>
        <w:t xml:space="preserve">Memory Replacement</w:t>
      </w:r>
      <w:bookmarkEnd w:id="184"/>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5"/>
      </w:pPr>
      <w:bookmarkStart w:id="185" w:name="anarchic-records"/>
      <w:r>
        <w:t xml:space="preserve">Anarchic Records</w:t>
      </w:r>
      <w:bookmarkEnd w:id="185"/>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42">
        <w:r>
          <w:rPr>
            <w:vertAlign w:val="superscript"/>
            <w:rStyle w:val="Hyperlink"/>
          </w:rPr>
          <w:t xml:space="preserve">42</w:t>
        </w:r>
      </w:hyperlink>
      <w:r>
        <w:t xml:space="preserve"> </w:t>
      </w:r>
      <w:r>
        <w:t xml:space="preserve">becomes an archivization process, that is, a process by which symbolic transcription leads to an ordered archive, i.e., a score.</w:t>
      </w:r>
      <w:hyperlink w:anchor="fn43">
        <w:r>
          <w:rPr>
            <w:vertAlign w:val="superscript"/>
            <w:rStyle w:val="Hyperlink"/>
          </w:rPr>
          <w:t xml:space="preserve">43</w:t>
        </w:r>
      </w:hyperlink>
      <w:r>
        <w:t xml:space="preserve"> </w:t>
      </w:r>
      <w:r>
        <w:t xml:space="preserve">In Ernst’s sense, a sound file storing samples of the recorded world is anarchic because of the unfiltered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Heading5"/>
      </w:pPr>
      <w:bookmarkStart w:id="186" w:name="memory-and-framing"/>
      <w:r>
        <w:t xml:space="preserve">Memory and Framing</w:t>
      </w:r>
      <w:bookmarkEnd w:id="186"/>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5"/>
      </w:pPr>
      <w:bookmarkStart w:id="187" w:name="nonhuman-tympans"/>
      <w:r>
        <w:t xml:space="preserve">Nonhuman Tympans</w:t>
      </w:r>
      <w:bookmarkEnd w:id="187"/>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 ‘tympanic’ function of transducers, as quoted by Cathy Van Eyck in her PhD dissertation on microphones and loudspeakers: “every apparatus of sound reproduction has a tympanic function at precisely the point where it turns sound into something else…and when it turns something else into sound”</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5"/>
      </w:pPr>
      <w:bookmarkStart w:id="188" w:name="spectrality-of-archives"/>
      <w:r>
        <w:t xml:space="preserve">Spectrality of Archives</w:t>
      </w:r>
      <w:bookmarkEnd w:id="188"/>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5"/>
      </w:pPr>
      <w:bookmarkStart w:id="189" w:name="spectrality-of-databases"/>
      <w:r>
        <w:t xml:space="preserve">Spectrality of Databases</w:t>
      </w:r>
      <w:bookmarkEnd w:id="189"/>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Heading5"/>
      </w:pPr>
      <w:bookmarkStart w:id="190" w:name="agency-of-the-uncanny"/>
      <w:r>
        <w:t xml:space="preserve">Agency of the Uncanny</w:t>
      </w:r>
      <w:bookmarkEnd w:id="190"/>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91" w:name="section:Performativity_of_Databases"/>
      <w:r>
        <w:t xml:space="preserve">Performativity of Databases</w:t>
      </w:r>
      <w:bookmarkEnd w:id="191"/>
    </w:p>
    <w:p>
      <w:pPr>
        <w:pStyle w:val="Heading3"/>
      </w:pPr>
      <w:bookmarkStart w:id="192" w:name="gender"/>
      <w:r>
        <w:t xml:space="preserve">Gendered Database</w:t>
      </w:r>
      <w:bookmarkEnd w:id="192"/>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Judith Butler</w:t>
      </w:r>
      <w:r>
        <w:t xml:space="preserve"> </w:t>
      </w:r>
      <w:r>
        <w:t xml:space="preserve">(Butler 1988)</w:t>
      </w:r>
      <w:r>
        <w:t xml:space="preserve"> </w:t>
      </w:r>
      <w:r>
        <w:t xml:space="preserve">distinguishes between an expressive and performative self. The former comes from an essentialist view from the self as being ‘inside’ and displaying itself on the outside. The latter is an illusory self, strictly outside and unrelated to the “natural or linguistic given.” She understands gender within this performativity of the self. Like the self, gender emerges temporally, at the surface level of the skin of the body. This notion of gender relates with Jean-Luc Nancy’s notion of resonance and the self (See</w:t>
      </w:r>
      <w:r>
        <w:t xml:space="preserve"> </w:t>
      </w:r>
      <w:hyperlink w:anchor="section:Listening_Database">
        <w:r>
          <w:rPr>
            <w:rStyle w:val="Hyperlink"/>
          </w:rPr>
          <w:t xml:space="preserve">[section:Listening_Database]</w:t>
        </w:r>
      </w:hyperlink>
      <w:r>
        <w:t xml:space="preserve">).</w:t>
      </w:r>
    </w:p>
    <w:p>
      <w:pPr>
        <w:pStyle w:val="Heading5"/>
      </w:pPr>
      <w:bookmarkStart w:id="193" w:name="skin-of-the-database"/>
      <w:r>
        <w:t xml:space="preserve">Skin of the Database</w:t>
      </w:r>
      <w:bookmarkEnd w:id="193"/>
    </w:p>
    <w:p>
      <w:pPr>
        <w:pStyle w:val="FirstParagraph"/>
      </w:pPr>
      <w:r>
        <w:t xml:space="preserve">In the performativity of databasing resides the possibility for the skin of the database to emerge. On the one hand, this skin is the spectral surface of the database’s illusory self. On the other, it is the limit towards which the human and the nonhuman engage in resonance. The skin of the database carries the mark of a style. That is to say, in defining style as a repetition of acts, it is a form of embodiment that is ascribed to databases. Because the self of the database is inscribed on its skin, we can assign yet another quality of the database: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Heading5"/>
      </w:pPr>
      <w:bookmarkStart w:id="194" w:name="expressing-nothing"/>
      <w:r>
        <w:t xml:space="preserve">Expressing Nothing</w:t>
      </w:r>
      <w:bookmarkEnd w:id="194"/>
    </w:p>
    <w:p>
      <w:pPr>
        <w:pStyle w:val="FirstParagraph"/>
      </w:pPr>
      <w:r>
        <w:t xml:space="preserve">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Heading5"/>
      </w:pPr>
      <w:bookmarkStart w:id="195" w:name="a-historical-situation"/>
      <w:r>
        <w:t xml:space="preserve">A Historical Situation</w:t>
      </w:r>
      <w:bookmarkEnd w:id="195"/>
    </w:p>
    <w:p>
      <w:pPr>
        <w:pStyle w:val="FirstParagraph"/>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Furthermore, what this structure of embodiment entails is the constitution of not only gender, but also style. Since gender is constituted temporally, it is necessarily historical:</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Heading5"/>
      </w:pPr>
      <w:bookmarkStart w:id="196" w:name="subversive-repetition"/>
      <w:r>
        <w:t xml:space="preserve">Subversive Repetition</w:t>
      </w:r>
      <w:bookmarkEnd w:id="196"/>
    </w:p>
    <w:p>
      <w:pPr>
        <w:pStyle w:val="FirstParagraph"/>
      </w:pPr>
      <w:r>
        <w:t xml:space="preserve">Far from being a prescribed given, the constitution of gender on the body is itself a result of mediated history. In other words, gender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gender constitutes an “illusion” of a gendered self. These acts take place</w:t>
      </w:r>
      <w:r>
        <w:t xml:space="preserve"> </w:t>
      </w:r>
      <w:r>
        <w:rPr>
          <w:i/>
        </w:rPr>
        <w:t xml:space="preserve">on</w:t>
      </w:r>
      <w:r>
        <w:t xml:space="preserve"> </w:t>
      </w:r>
      <w:r>
        <w:t xml:space="preserve">the body, by the mundane instantiation of bodily gestures, movements, and enactments. Furthermore, the these acts are necessarily discontinuous, and it is because of this discontinuity that exists the possibility of gender transformation. In this sense, gender performance is neither linear nor nonlinear. It resides along an anarachic temporality that replaces teleology with the multiplicity of resonant nows. It is an inline iterative function with random breaks.</w:t>
      </w:r>
    </w:p>
    <w:p>
      <w:pPr>
        <w:pStyle w:val="Heading5"/>
      </w:pPr>
      <w:bookmarkStart w:id="197" w:name="gendered-database"/>
      <w:r>
        <w:t xml:space="preserve">Gendered Database</w:t>
      </w:r>
      <w:bookmarkEnd w:id="197"/>
    </w:p>
    <w:p>
      <w:pPr>
        <w:pStyle w:val="FirstParagraph"/>
      </w:pPr>
      <w:r>
        <w:t xml:space="preserve">The database is a collection of facts. It is facticity itself. This is what Butler’s gendered self can teach about databases: in performing the database, the database appears like gender, as a historical situation. Its body is felt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That is to say,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98" w:name="limits"/>
      <w:r>
        <w:t xml:space="preserve">Towards the Limits</w:t>
      </w:r>
      <w:bookmarkEnd w:id="198"/>
    </w:p>
    <w:p>
      <w:pPr>
        <w:pStyle w:val="Heading5"/>
      </w:pPr>
      <w:bookmarkStart w:id="199" w:name="exposure"/>
      <w:r>
        <w:t xml:space="preserve">Exposure</w:t>
      </w:r>
      <w:bookmarkEnd w:id="199"/>
    </w:p>
    <w:p>
      <w:pPr>
        <w:pStyle w:val="FirstParagraph"/>
      </w:pPr>
      <w:r>
        <w:t xml:space="preserve">The performativity of databasing can be understood in terms of what Nancy calls exposure</w:t>
      </w:r>
      <w:r>
        <w:t xml:space="preserve"> </w:t>
      </w:r>
      <w:r>
        <w:t xml:space="preserve">(Nancy 1991)</w:t>
      </w:r>
      <w:r>
        <w:t xml:space="preserve">. Exposure is the appearance of a limit and the finitud of a singularity. With this limit instantiated in the (public) moment of the performative act, is how communication emerges as that which is in common among singularities. That is to say, because it is itself nothing (“neither a ground, nor an essence, nor a substance”</w:t>
      </w:r>
      <w:r>
        <w:t xml:space="preserve"> </w:t>
      </w:r>
      <w:r>
        <w:t xml:space="preserve">(Nancy 1991, p. 31)</w:t>
      </w:r>
      <w:r>
        <w:t xml:space="preserve">) Nancy considers finitud to just appear in the form of communication: “it presents itself, it exposes itself, and thus it exists as communication”</w:t>
      </w:r>
      <w:r>
        <w:t xml:space="preserve"> </w:t>
      </w:r>
      <w:r>
        <w:t xml:space="preserve">(Nancy 1991, p. 31)</w:t>
      </w:r>
      <w:r>
        <w:t xml:space="preserve">. His emphasis on communication as exposure marks a crucial distinction on the concept of community. For Nancy, as I have described above (See</w:t>
      </w:r>
      <w:r>
        <w:t xml:space="preserve"> </w:t>
      </w:r>
      <w:hyperlink w:anchor="inoperativity">
        <w:r>
          <w:rPr>
            <w:rStyle w:val="Hyperlink"/>
          </w:rPr>
          <w:t xml:space="preserve">5.1.3</w:t>
        </w:r>
      </w:hyperlink>
      <w:r>
        <w:t xml:space="preserve">), community cannot come from an instance of work: it emerges as an instance of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Heading5"/>
      </w:pPr>
      <w:bookmarkStart w:id="200" w:name="anarchic-touch"/>
      <w:r>
        <w:t xml:space="preserve">Anarchic Touch</w:t>
      </w:r>
      <w:bookmarkEnd w:id="200"/>
    </w:p>
    <w:p>
      <w:pPr>
        <w:pStyle w:val="FirstParagraph"/>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archives. Further, the limit of the database is not instantiated out of the one, a “unitary assumption”</w:t>
      </w:r>
      <w:r>
        <w:t xml:space="preserve"> </w:t>
      </w:r>
      <w:r>
        <w:t xml:space="preserve">(Nancy 1991, p. 28)</w:t>
      </w:r>
      <w:r>
        <w:t xml:space="preserve">, or the wholeness of a single one. This finitud does not come from intentionality or any essentialist notions: it simply appears, for Nancy, in the form of touch: “…as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 [emphasis added]</w:t>
      </w:r>
      <w:r>
        <w:t xml:space="preserve"> </w:t>
      </w:r>
      <w:r>
        <w:t xml:space="preserve">(Nancy 1991, p. 28)</w:t>
      </w:r>
      <w:r>
        <w:t xml:space="preserve">. The temporality of this touch, like that of gender, is anarchic.</w:t>
      </w:r>
    </w:p>
    <w:p>
      <w:pPr>
        <w:pStyle w:val="Heading5"/>
      </w:pPr>
      <w:bookmarkStart w:id="201" w:name="communities-of-skin"/>
      <w:r>
        <w:t xml:space="preserve">Communities of Skin</w:t>
      </w:r>
      <w:bookmarkEnd w:id="201"/>
    </w:p>
    <w:p>
      <w:pPr>
        <w:pStyle w:val="FirstParagraph"/>
      </w:pPr>
      <w:r>
        <w:t xml:space="preserve">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 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with which community exposes itself.</w:t>
      </w:r>
    </w:p>
    <w:p>
      <w:pPr>
        <w:pStyle w:val="Heading5"/>
      </w:pPr>
      <w:bookmarkStart w:id="202" w:name="hybrid-pluralities"/>
      <w:r>
        <w:t xml:space="preserve">Hybrid Pluralities</w:t>
      </w:r>
      <w:bookmarkEnd w:id="202"/>
    </w:p>
    <w:p>
      <w:pPr>
        <w:pStyle w:val="FirstParagraph"/>
      </w:pPr>
      <w:r>
        <w:t xml:space="preserve">Database models tend to reside next to each other, either within a single database system or within an interconnected networked system. With this plurality of the model, databasers have access to the many features that each model offers, focusing on those features that are suitable for their needs. The skin of the database is as fluid as the constitution of gender, and if this is true, then the fluidity of databasing itself comes to represent the constitution of gender through the performativity of databasers. By resonating in such performativity, databasers approach (but do not reach) the limit of the database. This approach to the skin of the database exposes simultaneously the skin of the databaser to the database. What this exposure amounts to is not, however, an opposition of forces. It results in the fragmented state of community that resides in the different degrees of this exposure. In other words, this exposure is of a hybrid plurality that resonates at the limit. Engaging with the touch of the spectral database means reconfiguring, resounding, and remembering our own sense of touch, just as well as our own sense of self.</w:t>
      </w:r>
    </w:p>
    <w:p>
      <w:pPr>
        <w:pStyle w:val="Heading3"/>
      </w:pPr>
      <w:bookmarkStart w:id="203" w:name="style"/>
      <w:r>
        <w:t xml:space="preserve">Contingencies of Style</w:t>
      </w:r>
      <w:bookmarkEnd w:id="203"/>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A database without performance represents a disembodied ‘base’, that is, the spatially ordered set of computer hardware together with the software routines that it embeds. It is its most basic level, a foundation upon which the database tree can be performed. This ‘base’ in database comes as a stage for databasing itself: a stage without performance is an empty stage, extension of space itself. Databasing projects its own style as a result of its performance, and through this projection comes the exposure of its skin. The “stylistic repetition of acts” in the dramatic case of the gendered database is now revealed as style itself. Like skin and voice, singularity emerges as style and timbre.</w:t>
      </w:r>
    </w:p>
    <w:p>
      <w:pPr>
        <w:pStyle w:val="Heading5"/>
      </w:pPr>
      <w:bookmarkStart w:id="204" w:name="style-and-timbre"/>
      <w:r>
        <w:t xml:space="preserve">Style and Timbre</w:t>
      </w:r>
      <w:bookmarkEnd w:id="204"/>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style is a manifestation of the singular. In the sense that style does not lend itself to duplication, and provided that it happens as the apparition of an event, it exposes singularity as such. Style is thus comparable to the voice of a certain author, and also to the sound of the voice itself: timbre. That is to say, style and timbre can be understood equally as the presence of the singular: the signature that comes with the unique and irreproducible timbral quality:</w:t>
      </w:r>
      <w:hyperlink w:anchor="fn44">
        <w:r>
          <w:rPr>
            <w:vertAlign w:val="superscript"/>
            <w:rStyle w:val="Hyperlink"/>
          </w:rPr>
          <w:t xml:space="preserve">44</w:t>
        </w:r>
      </w:hyperlink>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Heading5"/>
      </w:pPr>
      <w:bookmarkStart w:id="205" w:name="endless-databases"/>
      <w:r>
        <w:t xml:space="preserve">Endless Databases</w:t>
      </w:r>
      <w:bookmarkEnd w:id="205"/>
    </w:p>
    <w:p>
      <w:pPr>
        <w:pStyle w:val="FirstParagraph"/>
      </w:pPr>
      <w:r>
        <w:t xml:space="preserve">The skin of the database unfolds in the duration of the performative act. What is exposed as its singularity is the ruggedness of the traces of which it is composed. That is to say, the discontinuities of its reticulated constitution of style. The length of this skin can only be estimated: there is no possibility of rendering it complete. In this fractured state it points to infinity. In this sense, databasing means participating in the infinite, taking a small part of the infinite: performing the infinite within the limits of our own embodiment. Furthermore, the contingent situation of resonance within the frayed spatio-temporal configuration of networks relates to the concept of chaos. I have mentioned earlier the relation between computers and users as understood in terms of complex systems (See</w:t>
      </w:r>
      <w:r>
        <w:t xml:space="preserve"> </w:t>
      </w:r>
      <w:hyperlink w:anchor="programming">
        <w:r>
          <w:rPr>
            <w:rStyle w:val="Hyperlink"/>
          </w:rPr>
          <w:t xml:space="preserve">4.2.2</w:t>
        </w:r>
      </w:hyperlink>
      <w:r>
        <w:t xml:space="preserve">). Considering databasing as chaotic systems brings yet another aspect to the contingency of style.</w:t>
      </w:r>
    </w:p>
    <w:p>
      <w:pPr>
        <w:pStyle w:val="Heading5"/>
      </w:pPr>
      <w:bookmarkStart w:id="206" w:name="database-and-chaos"/>
      <w:r>
        <w:t xml:space="preserve">Database and Chaos</w:t>
      </w:r>
      <w:bookmarkEnd w:id="206"/>
    </w:p>
    <w:p>
      <w:pPr>
        <w:pStyle w:val="FirstParagraph"/>
      </w:pPr>
      <w:r>
        <w:t xml:space="preserve">Given that this style can be considered as an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The Lorenz attractor is a dynamic system, which means that it can render very different and quite unpredictable results by minimal changes on their initial conditions, despite the fact that it is indeed a deterministic system.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w:t>
      </w:r>
    </w:p>
    <w:p>
      <w:pPr>
        <w:pStyle w:val="CaptionedFigure"/>
      </w:pPr>
      <w:r>
        <w:drawing>
          <wp:inline>
            <wp:extent cx="5334000" cy="3333750"/>
            <wp:effectExtent b="0" l="0" r="0" t="0"/>
            <wp:docPr descr="Plotting of the Lorenz system in Pure Data." title="" id="1" name="Picture"/>
            <a:graphic>
              <a:graphicData uri="http://schemas.openxmlformats.org/drawingml/2006/picture">
                <pic:pic>
                  <pic:nvPicPr>
                    <pic:cNvPr descr="/Users/federicocamarahalac/Documents/fd_work/text/waves/bin/img/lorenz_plotter.png" id="0" name="Picture"/>
                    <pic:cNvPicPr>
                      <a:picLocks noChangeArrowheads="1" noChangeAspect="1"/>
                    </pic:cNvPicPr>
                  </pic:nvPicPr>
                  <pic:blipFill>
                    <a:blip r:embed="rId207"/>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Plotting of the Lorenz system in Pure Data.</w:t>
      </w:r>
    </w:p>
    <w:p>
      <w:pPr>
        <w:pStyle w:val="BodyText"/>
      </w:pPr>
      <w:bookmarkStart w:id="208" w:name="img:lorenz_plotter"/>
      <w:r>
        <w:t xml:space="preserve">[img:lorenz_plotter]</w:t>
      </w:r>
      <w:bookmarkEnd w:id="208"/>
    </w:p>
    <w:p>
      <w:pPr>
        <w:pStyle w:val="Heading5"/>
      </w:pPr>
      <w:bookmarkStart w:id="209" w:name="fractality"/>
      <w:r>
        <w:t xml:space="preserve">Fractality</w:t>
      </w:r>
      <w:bookmarkEnd w:id="209"/>
    </w:p>
    <w:p>
      <w:pPr>
        <w:pStyle w:val="FirstParagraph"/>
      </w:pPr>
      <w:r>
        <w:t xml:space="preserve">However, identifying predictability in this way means falling in a cybernetic trap, of which Hayles already warned about when considering Turing’s Test. Hayles reads Turing’s test as a game which, in order to play you are already part of its outcome because you accept its predicates as a condition for playing. In Turing’s case, the moment you enter into the disembodied place where the screen is the only thing you see, you are already a cyborg, and the definition of the human and the nonhuman is already laid out in principle. On the one hand, by equating fidelity of data storage with fidelity of performance, one is already removing the human out of the concert stage, and the question of performance altogether, leaving only the idealist and romantic notion of the work of art in its pure and objective state. On the other, in order to allow for the style of databasing (skin) to emerge, one has to consider not only the actual staging of performance, also the staging of listening itself, which is the possibility condition for the resonating subject of the database to emerge as the communicative apparition of a skin. Therefore, the contingency of style (as chaotic state) can only emerge out of the unpredictable agency of the unfolding. This is how I consider databasing and the contingency of style: the unpredictability of databasing has the qualities of a fractal. On the one hand, because of the fractal dimension, it expands the definition of geometric figures to the infinite. On the other, it presents an unfolding symmetry (self-similarity), which relates to their shapes being replicated nearly exactly in different scales.</w:t>
      </w:r>
    </w:p>
    <w:p>
      <w:pPr>
        <w:pStyle w:val="Heading5"/>
      </w:pPr>
      <w:bookmarkStart w:id="210" w:name="a-music-work-as-a-singularity"/>
      <w:r>
        <w:t xml:space="preserve">A Music Work as a Singularity</w:t>
      </w:r>
      <w:bookmarkEnd w:id="210"/>
    </w:p>
    <w:p>
      <w:pPr>
        <w:pStyle w:val="FirstParagraph"/>
      </w:pPr>
      <w:r>
        <w:t xml:space="preserve">This aesthetic experience, it must be noted, is of a nature that slips through the cracks of traditional conceptualizations of the work of music as a result of stylistic, or stipulated constraints on the part of the composer, or stochastic procedures. For example, composer Horacio Vaggione goes to great lengths to prove that the musical work affirms itself as singularity, in the particular sense that its rules are only prescribed from within, and always in an “action-perception loop” with the composer</w:t>
      </w:r>
      <w:r>
        <w:t xml:space="preserve"> </w:t>
      </w:r>
      <w:r>
        <w:t xml:space="preserve">(Vaggione 2001)</w:t>
      </w:r>
      <w:r>
        <w:t xml:space="preserve">. What Vaggione is arguing against, is the tendency of formalized musical processes that had reshaped the black-boxed approach towards composition in CAC : “a composer [unlike a scientist] knows how to generate singular events, and how to articulate them in bigger and bigger chunks without losing the control of the singularities”</w:t>
      </w:r>
      <w:r>
        <w:t xml:space="preserve"> </w:t>
      </w:r>
      <w:r>
        <w:t xml:space="preserve">(Vaggione 1993, p. 97)</w:t>
      </w:r>
      <w:r>
        <w:t xml:space="preserve">. However, there is a fundamental concern that needs to be addressed in relation to the contingency of style. For Vaggione, style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 </w:t>
      </w:r>
      <w:r>
        <w:t xml:space="preserve">(Vaggione 2001, p. 59)</w:t>
      </w:r>
    </w:p>
    <w:p>
      <w:pPr>
        <w:pStyle w:val="Heading5"/>
      </w:pPr>
      <w:bookmarkStart w:id="211" w:name="arbitrariness"/>
      <w:r>
        <w:t xml:space="preserve">Arbitrariness</w:t>
      </w:r>
      <w:bookmarkEnd w:id="211"/>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 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which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Heading5"/>
      </w:pPr>
      <w:bookmarkStart w:id="212" w:name="inoperative-style"/>
      <w:r>
        <w:t xml:space="preserve">Inoperative Style</w:t>
      </w:r>
      <w:bookmarkEnd w:id="212"/>
    </w:p>
    <w:p>
      <w:pPr>
        <w:pStyle w:val="FirstParagraph"/>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as communication. This is what connects aesthetic experience of style with forensic (musical) analysis as well as with an encounter with the spectral. Furthermore, this is how the spectral itself cannot be but a result of the inoperative, of that which escapes the limits of the work,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Heading3"/>
      </w:pPr>
      <w:bookmarkStart w:id="213" w:name="authority"/>
      <w:r>
        <w:t xml:space="preserve">A Specter of Authority</w:t>
      </w:r>
      <w:bookmarkEnd w:id="213"/>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The figure of the author (composer/databaser) is, to a certain extent, exploded as network by the complexity of the system. However, authority is reified into the name because of the interplay among work, productivity, and product. In this section I attempt an approach to the name of the composer not by its work, but from a very different, illusory perspective of authority. However composable all Vaggonian primitives can be, the structure of the database tree itself is so vast that any attempt to comprehend it as a whole would extend it even further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 the network can be considered as the trace of the author, or better, the shadow of an illusion: the elongation of the shadows of a spectral author. Further, with the performativity of databasing, the databaser is bound to be an incomplete whole, meaning that no extension ever reaches an end.</w:t>
      </w:r>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45">
        <w:r>
          <w:rPr>
            <w:vertAlign w:val="superscript"/>
            <w:rStyle w:val="Hyperlink"/>
          </w:rPr>
          <w:t xml:space="preserve">45</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46">
        <w:r>
          <w:rPr>
            <w:vertAlign w:val="superscript"/>
            <w:rStyle w:val="Hyperlink"/>
          </w:rPr>
          <w:t xml:space="preserve">46</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47">
        <w:r>
          <w:rPr>
            <w:vertAlign w:val="superscript"/>
            <w:rStyle w:val="Hyperlink"/>
          </w:rPr>
          <w:t xml:space="preserve">47</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capacity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MIR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48">
        <w:r>
          <w:rPr>
            <w:vertAlign w:val="superscript"/>
            <w:rStyle w:val="Hyperlink"/>
          </w:rPr>
          <w:t xml:space="preserve">48</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 [emphasis added]</w:t>
      </w:r>
      <w:r>
        <w:t xml:space="preserve"> </w:t>
      </w:r>
      <w:r>
        <w:t xml:space="preserve">(Solomos 2005, p. 3)</w:t>
      </w:r>
      <w:r>
        <w:t xml:space="preserve">. Beyond the obvious gender bias in this last sentence, I would like to refer to ‘craftsmanship’ instead as ‘artistry,’ keeping its significance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49">
        <w:r>
          <w:rPr>
            <w:vertAlign w:val="superscript"/>
            <w:rStyle w:val="Hyperlink"/>
          </w:rPr>
          <w:t xml:space="preserve">49</w:t>
        </w:r>
      </w:hyperlink>
      <w:r>
        <w:t xml:space="preserve"> </w:t>
      </w:r>
      <w:r>
        <w:t xml:space="preserve">This call for artistry stems from the radical formalisms that governed computer-assisted composition in the early stages of computer music.</w:t>
      </w:r>
      <w:hyperlink w:anchor="fn50">
        <w:r>
          <w:rPr>
            <w:vertAlign w:val="superscript"/>
            <w:rStyle w:val="Hyperlink"/>
          </w:rPr>
          <w:t xml:space="preserve">50</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51">
        <w:r>
          <w:rPr>
            <w:vertAlign w:val="superscript"/>
            <w:rStyle w:val="Hyperlink"/>
          </w:rPr>
          <w:t xml:space="preserve">51</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 files in memory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expression “this (music) works”—, then comes an issue that is not only related to aesthetics, it enters the realm of the political.</w:t>
      </w:r>
    </w:p>
    <w:p>
      <w:pPr>
        <w:pStyle w:val="Heading1"/>
      </w:pPr>
      <w:bookmarkStart w:id="214" w:name="chapter:Database_Politics"/>
      <w:r>
        <w:t xml:space="preserve">Database Politics</w:t>
      </w:r>
      <w:bookmarkEnd w:id="214"/>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215" w:name="section:Rethinking_Composition"/>
      <w:r>
        <w:t xml:space="preserve">Rethinking Composition</w:t>
      </w:r>
      <w:bookmarkEnd w:id="215"/>
    </w:p>
    <w:p>
      <w:pPr>
        <w:pStyle w:val="Heading3"/>
      </w:pPr>
      <w:bookmarkStart w:id="216" w:name="performance"/>
      <w:r>
        <w:t xml:space="preserve">Performing the Database</w:t>
      </w:r>
      <w:bookmarkEnd w:id="216"/>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structures of work dynamics that were coated with false notions of collaboration.</w:t>
      </w:r>
      <w:hyperlink w:anchor="fn52">
        <w:r>
          <w:rPr>
            <w:vertAlign w:val="superscript"/>
            <w:rStyle w:val="Hyperlink"/>
          </w:rPr>
          <w:t xml:space="preserve">52</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53">
        <w:r>
          <w:rPr>
            <w:vertAlign w:val="superscript"/>
            <w:rStyle w:val="Hyperlink"/>
          </w:rPr>
          <w:t xml:space="preserve">53</w:t>
        </w:r>
      </w:hyperlink>
    </w:p>
    <w:p>
      <w:pPr>
        <w:pStyle w:val="BodyText"/>
      </w:pPr>
      <w:r>
        <w:t xml:space="preserve">Conversely,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lengths to do so: going to instrumental performances, getting a vinyl record or a tape player, etc. A composer without computers today would need to whisper the score to the performers who would, in turn, play by ear.</w:t>
      </w:r>
      <w:hyperlink w:anchor="fn54">
        <w:r>
          <w:rPr>
            <w:vertAlign w:val="superscript"/>
            <w:rStyle w:val="Hyperlink"/>
          </w:rPr>
          <w:t xml:space="preserve">54</w:t>
        </w:r>
      </w:hyperlink>
      <w:r>
        <w:t xml:space="preserve"> </w:t>
      </w:r>
      <w:r>
        <w:t xml:space="preserve">The compose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 software for computer assisted design—,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4.1.4</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217" w:name="organic"/>
      <w:r>
        <w:t xml:space="preserve">Working Composition</w:t>
      </w:r>
      <w:bookmarkEnd w:id="217"/>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Here is where ‘listening’ and ‘work’ collapse into each other, and it is how the problem of the music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55">
        <w:r>
          <w:rPr>
            <w:vertAlign w:val="superscript"/>
            <w:rStyle w:val="Hyperlink"/>
          </w:rPr>
          <w:t xml:space="preserve">55</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56">
        <w:r>
          <w:rPr>
            <w:vertAlign w:val="superscript"/>
            <w:rStyle w:val="Hyperlink"/>
          </w:rPr>
          <w:t xml:space="preserve">56</w:t>
        </w:r>
      </w:hyperlink>
      <w:r>
        <w:t xml:space="preserve"> </w:t>
      </w:r>
      <w:r>
        <w:t xml:space="preserve">However, Xenakis’ narrative contextualizes his sieve theory, devised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218" w:name="practice"/>
      <w:r>
        <w:t xml:space="preserve">The Composer as Navigator</w:t>
      </w:r>
      <w:bookmarkEnd w:id="218"/>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t>
      </w:r>
      <w:hyperlink w:anchor="fn57">
        <w:r>
          <w:rPr>
            <w:vertAlign w:val="superscript"/>
            <w:rStyle w:val="Hyperlink"/>
          </w:rPr>
          <w:t xml:space="preserve">57</w:t>
        </w:r>
      </w:hyperlink>
      <w:r>
        <w:t xml:space="preserve"> </w:t>
      </w:r>
      <w:r>
        <w:t xml:space="preserve">While Xenakis’ experiments were carried out on the IBM-7090 mainframe computer located at IBM-France in Paris, Codd himself worked at the IBM Research Laboratory in San Jose, California. Furthermore, this same computer was used by Hiller and Baker in their realization of MUSICOMP , a pioneering language for algorithmic composition</w:t>
      </w:r>
      <w:r>
        <w:t xml:space="preserve"> </w:t>
      </w:r>
      <w:r>
        <w:t xml:space="preserve">(Ariza 2005a, p. 44)</w:t>
      </w:r>
      <w:r>
        <w:t xml:space="preserve">. Most important, the IBM-7090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58">
        <w:r>
          <w:rPr>
            <w:vertAlign w:val="superscript"/>
            <w:rStyle w:val="Hyperlink"/>
          </w:rPr>
          <w:t xml:space="preserve">58</w:t>
        </w:r>
      </w:hyperlink>
      <w:r>
        <w:t xml:space="preserve"> </w:t>
      </w:r>
      <w:r>
        <w:t xml:space="preserve">Xenakis’s work on sieves came a few years after his experiments on the IBM-7090 , and his sieves program was written in Basic and then in C. However, the experience with FORTRAN IV at the IBM-7090 serves nonetheless as a common ancestor to both Xenakis and Codd. For example, composers’ transcriptions in early CAC systems were performed with tables of outputted computer data.</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Telephonehe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 </w:t>
      </w:r>
      <w:r>
        <w:t xml:space="preserve">(Ariza 2005a, p. 94)</w:t>
      </w:r>
      <w:r>
        <w:t xml:space="preserve">. In this sense, performance in CAC meant interpreting results out of a database. For further reference on the early uses of computers in CAC , I refer the reader to</w:t>
      </w:r>
      <w:r>
        <w:t xml:space="preserve"> </w:t>
      </w:r>
      <w:r>
        <w:t xml:space="preserve">Ariza (2005a)</w:t>
      </w:r>
      <w:r>
        <w:t xml:space="preserve">’s PhD thesis</w:t>
      </w:r>
      <w:r>
        <w:t xml:space="preserve"> </w:t>
      </w:r>
      <w:r>
        <w:t xml:space="preserve">(Ariza 2005a)</w:t>
      </w:r>
      <w:r>
        <w:t xml:space="preserve">.</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59">
        <w:r>
          <w:rPr>
            <w:vertAlign w:val="superscript"/>
            <w:rStyle w:val="Hyperlink"/>
          </w:rPr>
          <w:t xml:space="preserve">59</w:t>
        </w:r>
      </w:hyperlink>
    </w:p>
    <w:p>
      <w:pPr>
        <w:pStyle w:val="BlockText"/>
      </w:pPr>
      <w:r>
        <w:t xml:space="preserve">A high-speed machine such as the IBM-7090 ,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60">
        <w:r>
          <w:rPr>
            <w:vertAlign w:val="superscript"/>
            <w:rStyle w:val="Hyperlink"/>
          </w:rPr>
          <w:t xml:space="preserve">60</w:t>
        </w:r>
      </w:hyperlink>
      <w:r>
        <w:t xml:space="preserve"> </w:t>
      </w:r>
      <w:r>
        <w:t xml:space="preserve">I will close this parenthesis,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…[emphasis added]</w:t>
      </w:r>
      <w:r>
        <w:t xml:space="preserve"> </w:t>
      </w:r>
      <w:r>
        <w:t xml:space="preserve">(Xenakis 1992, p. 144)</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61">
        <w:r>
          <w:rPr>
            <w:vertAlign w:val="superscript"/>
            <w:rStyle w:val="Hyperlink"/>
          </w:rPr>
          <w:t xml:space="preserve">61</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62">
        <w:r>
          <w:rPr>
            <w:vertAlign w:val="superscript"/>
            <w:rStyle w:val="Hyperlink"/>
          </w:rPr>
          <w:t xml:space="preserve">62</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219" w:name="improv"/>
      <w:r>
        <w:t xml:space="preserve">The Database as Performer</w:t>
      </w:r>
      <w:bookmarkEnd w:id="219"/>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against the spirit of the later discussions on interaction that came out of George Lewis’ work</w:t>
      </w:r>
      <w:hyperlink w:anchor="fn63">
        <w:r>
          <w:rPr>
            <w:vertAlign w:val="superscript"/>
            <w:rStyle w:val="Hyperlink"/>
          </w:rPr>
          <w:t xml:space="preserve">63</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64">
        <w:r>
          <w:rPr>
            <w:vertAlign w:val="superscript"/>
            <w:rStyle w:val="Hyperlink"/>
            <w:i/>
          </w:rPr>
          <w:t xml:space="preserve">64</w:t>
        </w:r>
      </w:hyperlink>
      <w:r>
        <w:rPr>
          <w:i/>
        </w:rPr>
        <w:t xml:space="preserve"> </w:t>
      </w:r>
      <w:r>
        <w:rPr>
          <w:i/>
        </w:rPr>
        <w:t xml:space="preserve">is allowed the computer</w:t>
      </w:r>
      <w:r>
        <w:t xml:space="preserve">. [emphasis added]</w:t>
      </w:r>
      <w:r>
        <w:t xml:space="preserve"> </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w:t>
      </w:r>
      <w:hyperlink w:anchor="fn65">
        <w:r>
          <w:rPr>
            <w:vertAlign w:val="superscript"/>
            <w:rStyle w:val="Hyperlink"/>
          </w:rPr>
          <w:t xml:space="preserve">65</w:t>
        </w:r>
      </w:hyperlink>
      <w:r>
        <w:t xml:space="preserve"> </w:t>
      </w:r>
      <w:r>
        <w:t xml:space="preserve">a very different negotiation than Lewis’ sonic negotiation between computer and improviser.</w:t>
      </w:r>
      <w:hyperlink w:anchor="fn66">
        <w:r>
          <w:rPr>
            <w:vertAlign w:val="superscript"/>
            <w:rStyle w:val="Hyperlink"/>
          </w:rPr>
          <w:t xml:space="preserve">66</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Within interactive systems,</w:t>
      </w:r>
      <w:r>
        <w:t xml:space="preserve"> </w:t>
      </w:r>
      <w:r>
        <w:t xml:space="preserve">Rowe (1992)</w:t>
      </w:r>
      <w:r>
        <w:t xml:space="preserve"> </w:t>
      </w:r>
      <w:r>
        <w:t xml:space="preserve">(Rowe 1992)</w:t>
      </w:r>
      <w:r>
        <w:t xml:space="preserve"> </w:t>
      </w:r>
      <w:r>
        <w:t xml:space="preserve">defined these as the</w:t>
      </w:r>
      <w:r>
        <w:t xml:space="preserve"> </w:t>
      </w:r>
      <w:r>
        <w:rPr>
          <w:i/>
        </w:rPr>
        <w:t xml:space="preserve">instrument</w:t>
      </w:r>
      <w:r>
        <w:t xml:space="preserve"> </w:t>
      </w:r>
      <w:r>
        <w:t xml:space="preserve">and</w:t>
      </w:r>
      <w:r>
        <w:t xml:space="preserve"> </w:t>
      </w:r>
      <w:r>
        <w:rPr>
          <w:i/>
        </w:rPr>
        <w:t xml:space="preserve">player</w:t>
      </w:r>
      <w:r>
        <w:t xml:space="preserve"> </w:t>
      </w:r>
      <w:r>
        <w:t xml:space="preserve">paradigms. The computer as instrument consists, namely, of analyzing performance gestures and elaborating an output. Rowe further distinguishes three stages of this instrumental paradigm: sensing (collecting gestural data), processing (reading and interpreting data), and response (sonic output). In the player paradigm, however, the concern is focused on the creation of “an artificial player, a musical presence with a personality and behavior of its own…”</w:t>
      </w:r>
      <w:r>
        <w:t xml:space="preserve"> </w:t>
      </w:r>
      <w:r>
        <w:t xml:space="preserve">(Rowe 1992 Chapter 1)</w:t>
      </w:r>
      <w:r>
        <w:t xml:space="preserve">. Therefore, data is not only sensed, processed, and realized sonically: these stages can contain embedded processes that grant some level of independence. This means that the composer becomes a co-operator in the artwork, intentionally relinquishing control of the artwork’s structure to the system itself. In</w:t>
      </w:r>
      <w:r>
        <w:t xml:space="preserve"> </w:t>
      </w:r>
      <w:r>
        <w:rPr>
          <w:i/>
        </w:rPr>
        <w:t xml:space="preserve">Voyager</w:t>
      </w:r>
      <w:r>
        <w:t xml:space="preserve">, the player paradigm and its subsequence reconfiguration of authority is possible by means of a database: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67">
        <w:r>
          <w:rPr>
            <w:vertAlign w:val="superscript"/>
            <w:rStyle w:val="Hyperlink"/>
          </w:rPr>
          <w:t xml:space="preserve">67</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 MAX 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or the , is a feature, not a bug, unless it is used as an extension of the stimulus/response paradigm of interactivity. In other words, subordinating music events to triggers by a human operator brings out a certain military metaphor, which Lewis calls “hear and obey”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68">
        <w:r>
          <w:rPr>
            <w:vertAlign w:val="superscript"/>
            <w:rStyle w:val="Hyperlink"/>
          </w:rPr>
          <w:t xml:space="preserve">68</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‘improviser’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69">
        <w:r>
          <w:rPr>
            <w:vertAlign w:val="superscript"/>
            <w:rStyle w:val="Hyperlink"/>
          </w:rPr>
          <w:t xml:space="preserve">69</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4.1.5</w:t>
        </w:r>
      </w:hyperlink>
      <w:r>
        <w:t xml:space="preserve">),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Nonetheless,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220" w:name="section:Inoperativity"/>
      <w:r>
        <w:t xml:space="preserve">Inoperativity</w:t>
      </w:r>
      <w:bookmarkEnd w:id="220"/>
    </w:p>
    <w:p>
      <w:pPr>
        <w:pStyle w:val="Heading3"/>
      </w:pPr>
      <w:bookmarkStart w:id="221" w:name="music"/>
      <w:r>
        <w:t xml:space="preserve">The severed object of music: composing composer</w:t>
      </w:r>
      <w:bookmarkEnd w:id="221"/>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70">
        <w:r>
          <w:rPr>
            <w:vertAlign w:val="superscript"/>
            <w:rStyle w:val="Hyperlink"/>
          </w:rPr>
          <w:t xml:space="preserve">70</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BodyText"/>
      </w:pPr>
      <w:r>
        <w:t xml:space="preserve">I would like to point out now, that it is not my intention here to sever the head of the sorcerer,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synecdoche of the source itself, directly naming part of the source. This applies, quite literally in some cases, to the name of the program and the name of the programmer.</w:t>
      </w:r>
      <w:hyperlink w:anchor="fn71">
        <w:r>
          <w:rPr>
            <w:vertAlign w:val="superscript"/>
            <w:rStyle w:val="Hyperlink"/>
          </w:rPr>
          <w:t xml:space="preserve">71</w:t>
        </w:r>
      </w:hyperlink>
    </w:p>
    <w:p>
      <w:pPr>
        <w:pStyle w:val="BodyText"/>
      </w:pPr>
      <w:r>
        <w:t xml:space="preserve">Furthermore, the activity of the sorcerer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w:t>
      </w:r>
      <w:r>
        <w:t xml:space="preserve"> </w:t>
      </w:r>
      <w:r>
        <w:rPr>
          <w:i/>
        </w:rPr>
        <w:t xml:space="preserve">un</w:t>
      </w:r>
      <w:r>
        <w:t xml:space="preserve">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and only aim which is for it to ‘work.’ 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222" w:name="anarchy"/>
      <w:r>
        <w:t xml:space="preserve">Anarchy and the unwork</w:t>
      </w:r>
      <w:bookmarkEnd w:id="222"/>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72">
        <w:r>
          <w:rPr>
            <w:vertAlign w:val="superscript"/>
            <w:rStyle w:val="Hyperlink"/>
          </w:rPr>
          <w:t xml:space="preserve">72</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5.1.3</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aficionados”</w:t>
      </w:r>
      <w:r>
        <w:t xml:space="preserve"> </w:t>
      </w:r>
      <w:r>
        <w:t xml:space="preserve">(Cascone 2000, p. 17)</w:t>
      </w:r>
      <w:r>
        <w:t xml:space="preserve">. Therefore, Cascone’s conclusion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73">
        <w:r>
          <w:rPr>
            <w:vertAlign w:val="superscript"/>
            <w:rStyle w:val="Hyperlink"/>
          </w:rPr>
          <w:t xml:space="preserve">73</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achieve the same standards of formal cohesion that are required by the modern conception of the music ‘work’. Therefore, instead of finding an academic cure for blind experimentalism, I would claim to understand failure itself as an unnecessary blindfold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maintaining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74">
        <w:r>
          <w:rPr>
            <w:vertAlign w:val="superscript"/>
            <w:rStyle w:val="Hyperlink"/>
          </w:rPr>
          <w:t xml:space="preserve">74</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75">
        <w:r>
          <w:rPr>
            <w:vertAlign w:val="superscript"/>
            <w:rStyle w:val="Hyperlink"/>
          </w:rPr>
          <w:t xml:space="preserve">75</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eradicate the archic with the ‘an’, which means to introduce a bug in the oedipal loop that could result in unheard musical behaviors.</w:t>
      </w:r>
    </w:p>
    <w:p>
      <w:pPr>
        <w:pStyle w:val="Heading3"/>
      </w:pPr>
      <w:bookmarkStart w:id="223" w:name="trans"/>
      <w:r>
        <w:t xml:space="preserve">Trans-inoperativity: a database politics of authorship</w:t>
      </w:r>
      <w:bookmarkEnd w:id="223"/>
    </w:p>
    <w:p>
      <w:pPr>
        <w:pStyle w:val="FirstParagraph"/>
      </w:pPr>
      <w:r>
        <w:t xml:space="preserve">How can the notion of database subject enter into the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‘performativity.’ While the former is based on the notion that there is a pre 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224" w:name="worker"/>
      <w:r>
        <w:t xml:space="preserve">[WIP] work in progress</w:t>
      </w:r>
      <w:bookmarkEnd w:id="224"/>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225" w:name="chapter:Appendices"/>
      <w:r>
        <w:t xml:space="preserve">Appendices</w:t>
      </w:r>
      <w:bookmarkEnd w:id="225"/>
    </w:p>
    <w:p>
      <w:pPr>
        <w:pStyle w:val="FirstParagraph"/>
      </w:pPr>
      <w:r>
        <w:t xml:space="preserve">abstract of appendices</w:t>
      </w:r>
    </w:p>
    <w:p>
      <w:pPr>
        <w:pStyle w:val="Heading2"/>
      </w:pPr>
      <w:bookmarkStart w:id="226" w:name="X9928d5a4298d9156e673c83842d96a99bfb66d7"/>
      <w:r>
        <w:t xml:space="preserve">DIANA: Database for Image and Audio Navigation</w:t>
      </w:r>
      <w:bookmarkEnd w:id="226"/>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227" w:name="dbmodel"/>
      <w:r>
        <w:t xml:space="preserve">A Database Model</w:t>
      </w:r>
      <w:bookmarkEnd w:id="227"/>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228" w:name="X7616598f194c52ee6f4c09f01c755a7090177ba"/>
      <w:r>
        <w:t xml:space="preserve">ABBY: An Online Environment for Annotated Bibliographies</w:t>
      </w:r>
      <w:bookmarkEnd w:id="228"/>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229" w:name="texdb"/>
      <w:r>
        <w:t xml:space="preserve">A Text Database</w:t>
      </w:r>
      <w:bookmarkEnd w:id="229"/>
    </w:p>
    <w:p>
      <w:pPr>
        <w:pStyle w:val="FirstParagraph"/>
      </w:pPr>
      <w:r>
        <w:t xml:space="preserve">A detailed description of the text database model…</w:t>
      </w:r>
    </w:p>
    <w:bookmarkStart w:id="506" w:name="refs"/>
    <w:bookmarkStart w:id="230"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230"/>
    <w:bookmarkStart w:id="231"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231"/>
    <w:bookmarkStart w:id="232"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232"/>
    <w:bookmarkStart w:id="233"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233"/>
    <w:bookmarkStart w:id="234"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234"/>
    <w:bookmarkStart w:id="236"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235">
        <w:r>
          <w:rPr>
            <w:rStyle w:val="Hyperlink"/>
          </w:rPr>
          <w:t xml:space="preserve">http://www.terasoft.com.tw/conf/ismir2014/proceedings/T014_162_Paper.pdf</w:t>
        </w:r>
      </w:hyperlink>
    </w:p>
    <w:bookmarkEnd w:id="236"/>
    <w:bookmarkStart w:id="237"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237"/>
    <w:bookmarkStart w:id="238"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238"/>
    <w:bookmarkStart w:id="239"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239"/>
    <w:bookmarkStart w:id="240"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240"/>
    <w:bookmarkStart w:id="241"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241"/>
    <w:bookmarkStart w:id="242"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242"/>
    <w:bookmarkStart w:id="243"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243"/>
    <w:bookmarkStart w:id="244"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244"/>
    <w:bookmarkStart w:id="245"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245"/>
    <w:bookmarkStart w:id="246" w:name="ref-Bar68:Ele"/>
    <w:p>
      <w:pPr>
        <w:pStyle w:val="Bibliography"/>
      </w:pPr>
      <w:r>
        <w:t xml:space="preserve">Barthes R, Lavers A, Smith C. 1968.</w:t>
      </w:r>
      <w:r>
        <w:t xml:space="preserve"> </w:t>
      </w:r>
      <w:r>
        <w:rPr>
          <w:i/>
        </w:rPr>
        <w:t xml:space="preserve">Elements of Semiology</w:t>
      </w:r>
      <w:r>
        <w:t xml:space="preserve">. Hill; Wang, New York. ed.</w:t>
      </w:r>
    </w:p>
    <w:bookmarkEnd w:id="246"/>
    <w:bookmarkStart w:id="247"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247"/>
    <w:bookmarkStart w:id="248"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248"/>
    <w:bookmarkStart w:id="250"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249">
        <w:r>
          <w:rPr>
            <w:rStyle w:val="Hyperlink"/>
          </w:rPr>
          <w:t xml:space="preserve">http://www.terasoft.com.tw/conf/ismir2014/proceedings/T028_322_Paper.pdf</w:t>
        </w:r>
      </w:hyperlink>
    </w:p>
    <w:bookmarkEnd w:id="250"/>
    <w:bookmarkStart w:id="251" w:name="ref-Bor42:Fun"/>
    <w:p>
      <w:pPr>
        <w:pStyle w:val="Bibliography"/>
      </w:pPr>
      <w:r>
        <w:t xml:space="preserve">Borges JL. 1942. Funes el memorioso.</w:t>
      </w:r>
      <w:r>
        <w:t xml:space="preserve"> </w:t>
      </w:r>
      <w:r>
        <w:rPr>
          <w:i/>
        </w:rPr>
        <w:t xml:space="preserve">Ficciones</w:t>
      </w:r>
    </w:p>
    <w:bookmarkEnd w:id="251"/>
    <w:bookmarkStart w:id="252" w:name="ref-Bor95:Rat"/>
    <w:p>
      <w:pPr>
        <w:pStyle w:val="Bibliography"/>
      </w:pPr>
      <w:r>
        <w:t xml:space="preserve">Born G. 1995.</w:t>
      </w:r>
      <w:r>
        <w:t xml:space="preserve"> </w:t>
      </w:r>
      <w:r>
        <w:rPr>
          <w:i/>
        </w:rPr>
        <w:t xml:space="preserve">Rationalizing Culture</w:t>
      </w:r>
      <w:r>
        <w:t xml:space="preserve">. University of California Press. ed.</w:t>
      </w:r>
    </w:p>
    <w:bookmarkEnd w:id="252"/>
    <w:bookmarkStart w:id="253"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253"/>
    <w:bookmarkStart w:id="254"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254"/>
    <w:bookmarkStart w:id="255"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255"/>
    <w:bookmarkStart w:id="256"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256"/>
    <w:bookmarkStart w:id="257"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257"/>
    <w:bookmarkStart w:id="258"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258"/>
    <w:bookmarkStart w:id="259"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259"/>
    <w:bookmarkStart w:id="260" w:name="ref-score11manual"/>
    <w:p>
      <w:pPr>
        <w:pStyle w:val="Bibliography"/>
      </w:pPr>
      <w:r>
        <w:t xml:space="preserve">Brinkman AR. 1982. Original version of the score11 manual.</w:t>
      </w:r>
      <w:r>
        <w:t xml:space="preserve"> </w:t>
      </w:r>
      <w:r>
        <w:rPr>
          <w:i/>
        </w:rPr>
        <w:t xml:space="preserve">Score11 Manual</w:t>
      </w:r>
    </w:p>
    <w:bookmarkEnd w:id="260"/>
    <w:bookmarkStart w:id="261"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261"/>
    <w:bookmarkStart w:id="262"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262"/>
    <w:bookmarkStart w:id="264"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263">
        <w:r>
          <w:rPr>
            <w:rStyle w:val="Hyperlink"/>
          </w:rPr>
          <w:t xml:space="preserve">http://www.nime.org/proceedings/2011/nime2011_387.pdf</w:t>
        </w:r>
      </w:hyperlink>
    </w:p>
    <w:bookmarkEnd w:id="264"/>
    <w:bookmarkStart w:id="266"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265">
        <w:r>
          <w:rPr>
            <w:rStyle w:val="Hyperlink"/>
          </w:rPr>
          <w:t xml:space="preserve">http://www.nime.org/proceedings/2009/nime2009_266.pdf</w:t>
        </w:r>
      </w:hyperlink>
    </w:p>
    <w:bookmarkEnd w:id="266"/>
    <w:bookmarkStart w:id="267"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267"/>
    <w:bookmarkStart w:id="268"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268"/>
    <w:bookmarkStart w:id="269"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269"/>
    <w:bookmarkStart w:id="270" w:name="ref-Bux77:Aco"/>
    <w:p>
      <w:pPr>
        <w:pStyle w:val="Bibliography"/>
      </w:pPr>
      <w:r>
        <w:t xml:space="preserve">Buxton W. 1977. A composer’s introduction to computer music.</w:t>
      </w:r>
      <w:r>
        <w:t xml:space="preserve"> </w:t>
      </w:r>
      <w:r>
        <w:rPr>
          <w:i/>
        </w:rPr>
        <w:t xml:space="preserve">Interface</w:t>
      </w:r>
      <w:r>
        <w:t xml:space="preserve">. 6:57–72</w:t>
      </w:r>
    </w:p>
    <w:bookmarkEnd w:id="270"/>
    <w:bookmarkStart w:id="271" w:name="ref-youtube/buxton10"/>
    <w:p>
      <w:pPr>
        <w:pStyle w:val="Bibliography"/>
      </w:pPr>
      <w:r>
        <w:t xml:space="preserve">Buxton W. 2016a. Objed: The sssp sound editing tool.</w:t>
      </w:r>
      <w:r>
        <w:t xml:space="preserve"> </w:t>
      </w:r>
      <w:r>
        <w:rPr>
          <w:i/>
        </w:rPr>
        <w:t xml:space="preserve">Youtube</w:t>
      </w:r>
    </w:p>
    <w:bookmarkEnd w:id="271"/>
    <w:bookmarkStart w:id="272"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272"/>
    <w:bookmarkStart w:id="273"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273"/>
    <w:bookmarkStart w:id="274"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274"/>
    <w:bookmarkStart w:id="275"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275"/>
    <w:bookmarkStart w:id="277"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76">
        <w:r>
          <w:rPr>
            <w:rStyle w:val="Hyperlink"/>
          </w:rPr>
          <w:t xml:space="preserve">http://www.nime.org/proceedings/2011/nime2011_329.pdf</w:t>
        </w:r>
      </w:hyperlink>
    </w:p>
    <w:bookmarkEnd w:id="277"/>
    <w:bookmarkStart w:id="278"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78"/>
    <w:bookmarkStart w:id="279"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79"/>
    <w:bookmarkStart w:id="280"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80"/>
    <w:bookmarkStart w:id="281"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81"/>
    <w:bookmarkStart w:id="282"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282"/>
    <w:bookmarkStart w:id="283"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83"/>
    <w:bookmarkStart w:id="284"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84"/>
    <w:bookmarkStart w:id="285"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85"/>
    <w:bookmarkStart w:id="286"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286"/>
    <w:bookmarkStart w:id="287"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287"/>
    <w:bookmarkStart w:id="288"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88"/>
    <w:bookmarkStart w:id="289"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89"/>
    <w:bookmarkStart w:id="290"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90"/>
    <w:bookmarkStart w:id="291"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91"/>
    <w:bookmarkStart w:id="292"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92"/>
    <w:bookmarkStart w:id="293"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93"/>
    <w:bookmarkStart w:id="294"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94"/>
    <w:bookmarkStart w:id="296"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95">
        <w:r>
          <w:rPr>
            <w:rStyle w:val="Hyperlink"/>
          </w:rPr>
          <w:t xml:space="preserve">https://ismir2017.smcnus.org/wp-content/uploads/2017/10/235_Paper.pdf</w:t>
        </w:r>
      </w:hyperlink>
    </w:p>
    <w:bookmarkEnd w:id="296"/>
    <w:bookmarkStart w:id="298" w:name="ref-crowley98"/>
    <w:p>
      <w:pPr>
        <w:pStyle w:val="Bibliography"/>
      </w:pPr>
      <w:r>
        <w:t xml:space="preserve">Crowley C. 1998. Data structures for text sequences.</w:t>
      </w:r>
      <w:r>
        <w:t xml:space="preserve"> </w:t>
      </w:r>
      <w:hyperlink r:id="rId297">
        <w:r>
          <w:rPr>
            <w:rStyle w:val="Hyperlink"/>
          </w:rPr>
          <w:t xml:space="preserve">https://www.cs.unm.edu/~crowley/papers/sds.pdf</w:t>
        </w:r>
      </w:hyperlink>
    </w:p>
    <w:bookmarkEnd w:id="298"/>
    <w:bookmarkStart w:id="299"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99"/>
    <w:bookmarkStart w:id="301"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300">
        <w:r>
          <w:rPr>
            <w:rStyle w:val="Hyperlink"/>
          </w:rPr>
          <w:t xml:space="preserve">https://ismir2017.smcnus.org/wp-content/uploads/2017/10/75_Paper.pdf</w:t>
        </w:r>
      </w:hyperlink>
    </w:p>
    <w:bookmarkEnd w:id="301"/>
    <w:bookmarkStart w:id="302"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302"/>
    <w:bookmarkStart w:id="303" w:name="ref-Der78:Wri"/>
    <w:p>
      <w:pPr>
        <w:pStyle w:val="Bibliography"/>
      </w:pPr>
      <w:r>
        <w:t xml:space="preserve">Derrida J. 1978.</w:t>
      </w:r>
      <w:r>
        <w:t xml:space="preserve"> </w:t>
      </w:r>
      <w:r>
        <w:rPr>
          <w:i/>
        </w:rPr>
        <w:t xml:space="preserve">Writing and Difference</w:t>
      </w:r>
      <w:r>
        <w:t xml:space="preserve">. The University of Chicago. ed.</w:t>
      </w:r>
    </w:p>
    <w:bookmarkEnd w:id="303"/>
    <w:bookmarkStart w:id="304" w:name="ref-Der82:Mar"/>
    <w:p>
      <w:pPr>
        <w:pStyle w:val="Bibliography"/>
      </w:pPr>
      <w:r>
        <w:t xml:space="preserve">Derrida J. 1982.</w:t>
      </w:r>
      <w:r>
        <w:t xml:space="preserve"> </w:t>
      </w:r>
      <w:r>
        <w:rPr>
          <w:i/>
        </w:rPr>
        <w:t xml:space="preserve">Margins of Philosophy</w:t>
      </w:r>
      <w:r>
        <w:t xml:space="preserve">. The Harvester Press. ed.</w:t>
      </w:r>
    </w:p>
    <w:bookmarkEnd w:id="304"/>
    <w:bookmarkStart w:id="305" w:name="ref-Der95:Arc"/>
    <w:p>
      <w:pPr>
        <w:pStyle w:val="Bibliography"/>
      </w:pPr>
      <w:r>
        <w:t xml:space="preserve">Derrida J, Prenowitz E. 1995. Archive fever: A freudian impression.</w:t>
      </w:r>
      <w:r>
        <w:t xml:space="preserve"> </w:t>
      </w:r>
      <w:r>
        <w:rPr>
          <w:i/>
        </w:rPr>
        <w:t xml:space="preserve">Diacritics</w:t>
      </w:r>
      <w:r>
        <w:t xml:space="preserve">. 25(2):</w:t>
      </w:r>
    </w:p>
    <w:bookmarkEnd w:id="305"/>
    <w:bookmarkStart w:id="307"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306">
        <w:r>
          <w:rPr>
            <w:rStyle w:val="Hyperlink"/>
          </w:rPr>
          <w:t xml:space="preserve">http://ismir2015.uma.es/articles/261_Paper.pdf</w:t>
        </w:r>
      </w:hyperlink>
    </w:p>
    <w:bookmarkEnd w:id="307"/>
    <w:bookmarkStart w:id="308"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308"/>
    <w:bookmarkStart w:id="309"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309"/>
    <w:bookmarkStart w:id="310"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310"/>
    <w:bookmarkStart w:id="311"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311"/>
    <w:bookmarkStart w:id="313"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312">
        <w:r>
          <w:rPr>
            <w:rStyle w:val="Hyperlink"/>
          </w:rPr>
          <w:t xml:space="preserve">http://ismir2018.ircam.fr/doc/pdfs/265_Paper.pdf</w:t>
        </w:r>
      </w:hyperlink>
    </w:p>
    <w:bookmarkEnd w:id="313"/>
    <w:bookmarkStart w:id="315"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314">
        <w:r>
          <w:rPr>
            <w:rStyle w:val="Hyperlink"/>
          </w:rPr>
          <w:t xml:space="preserve">http://ismir2000.ismir.net/papers/invites/dunn_invite.pdf</w:t>
        </w:r>
      </w:hyperlink>
    </w:p>
    <w:bookmarkEnd w:id="315"/>
    <w:bookmarkStart w:id="316"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316"/>
    <w:bookmarkStart w:id="317"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317"/>
    <w:bookmarkStart w:id="318" w:name="ref-Eco04:The"/>
    <w:p>
      <w:pPr>
        <w:pStyle w:val="Bibliography"/>
      </w:pPr>
      <w:r>
        <w:t xml:space="preserve">Eco U. 2004. The poetics of the open work.</w:t>
      </w:r>
      <w:r>
        <w:t xml:space="preserve"> </w:t>
      </w:r>
      <w:r>
        <w:rPr>
          <w:i/>
        </w:rPr>
        <w:t xml:space="preserve">Audio Culture: Readings in Modern Music</w:t>
      </w:r>
    </w:p>
    <w:bookmarkEnd w:id="318"/>
    <w:bookmarkStart w:id="319" w:name="ref-Emm86:The"/>
    <w:p>
      <w:pPr>
        <w:pStyle w:val="Bibliography"/>
      </w:pPr>
      <w:r>
        <w:t xml:space="preserve">Emmerson S. 1986.</w:t>
      </w:r>
      <w:r>
        <w:t xml:space="preserve"> </w:t>
      </w:r>
      <w:r>
        <w:rPr>
          <w:i/>
        </w:rPr>
        <w:t xml:space="preserve">The Language of Electroacoustic Music</w:t>
      </w:r>
      <w:r>
        <w:t xml:space="preserve">. ed.</w:t>
      </w:r>
    </w:p>
    <w:bookmarkEnd w:id="319"/>
    <w:bookmarkStart w:id="321"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320">
        <w:r>
          <w:rPr>
            <w:rStyle w:val="Hyperlink"/>
          </w:rPr>
          <w:t xml:space="preserve">http://ismir2018.ircam.fr/doc/pdfs/206_Paper.pdf</w:t>
        </w:r>
      </w:hyperlink>
    </w:p>
    <w:bookmarkEnd w:id="321"/>
    <w:bookmarkStart w:id="322"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322"/>
    <w:bookmarkStart w:id="323" w:name="ref-Ern13:Dig"/>
    <w:p>
      <w:pPr>
        <w:pStyle w:val="Bibliography"/>
      </w:pPr>
      <w:r>
        <w:t xml:space="preserve">Ernst W. 2013.</w:t>
      </w:r>
      <w:r>
        <w:t xml:space="preserve"> </w:t>
      </w:r>
      <w:r>
        <w:rPr>
          <w:i/>
        </w:rPr>
        <w:t xml:space="preserve">Digital Memory and the Archive</w:t>
      </w:r>
      <w:r>
        <w:t xml:space="preserve">. University of Minnesota Press. ed.</w:t>
      </w:r>
    </w:p>
    <w:bookmarkEnd w:id="323"/>
    <w:bookmarkStart w:id="324"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324"/>
    <w:bookmarkStart w:id="325"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325"/>
    <w:bookmarkStart w:id="327"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326">
        <w:r>
          <w:rPr>
            <w:rStyle w:val="Hyperlink"/>
          </w:rPr>
          <w:t xml:space="preserve">https://ismir2017.smcnus.org/wp-content/uploads/2017/10/161_Paper.pdf</w:t>
        </w:r>
      </w:hyperlink>
    </w:p>
    <w:bookmarkEnd w:id="327"/>
    <w:bookmarkStart w:id="328"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328"/>
    <w:bookmarkStart w:id="329"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329"/>
    <w:bookmarkStart w:id="330"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330"/>
    <w:bookmarkStart w:id="331"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331"/>
    <w:bookmarkStart w:id="332"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332"/>
    <w:bookmarkStart w:id="334"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333">
        <w:r>
          <w:rPr>
            <w:rStyle w:val="Hyperlink"/>
          </w:rPr>
          <w:t xml:space="preserve">http://www.nime.org/proceedings/2010/nime2010_473.pdf</w:t>
        </w:r>
      </w:hyperlink>
    </w:p>
    <w:bookmarkEnd w:id="334"/>
    <w:bookmarkStart w:id="336"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335">
        <w:r>
          <w:rPr>
            <w:rStyle w:val="Hyperlink"/>
          </w:rPr>
          <w:t xml:space="preserve">http://www.nime.org/proceedings/2011/nime2011_124.pdf</w:t>
        </w:r>
      </w:hyperlink>
    </w:p>
    <w:bookmarkEnd w:id="336"/>
    <w:bookmarkStart w:id="337"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337"/>
    <w:bookmarkStart w:id="339"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338">
        <w:r>
          <w:rPr>
            <w:rStyle w:val="Hyperlink"/>
          </w:rPr>
          <w:t xml:space="preserve">http://ismir2000.ismir.net/posters/good.pdf</w:t>
        </w:r>
      </w:hyperlink>
    </w:p>
    <w:bookmarkEnd w:id="339"/>
    <w:bookmarkStart w:id="341"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340">
        <w:r>
          <w:rPr>
            <w:rStyle w:val="Hyperlink"/>
          </w:rPr>
          <w:t xml:space="preserve">http://ismir2002.ismir.net/proceedings/03-SP04-1.pdf</w:t>
        </w:r>
      </w:hyperlink>
    </w:p>
    <w:bookmarkEnd w:id="341"/>
    <w:bookmarkStart w:id="343"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342">
        <w:r>
          <w:rPr>
            <w:rStyle w:val="Hyperlink"/>
          </w:rPr>
          <w:t xml:space="preserve">http://ismir2003.ismir.net/papers/Goto1.PDF</w:t>
        </w:r>
      </w:hyperlink>
    </w:p>
    <w:bookmarkEnd w:id="343"/>
    <w:bookmarkStart w:id="344" w:name="ref-Gra15:The"/>
    <w:p>
      <w:pPr>
        <w:pStyle w:val="Bibliography"/>
      </w:pPr>
      <w:r>
        <w:t xml:space="preserve">Gratton P, Morin M-E. 2015.</w:t>
      </w:r>
      <w:r>
        <w:t xml:space="preserve"> </w:t>
      </w:r>
      <w:r>
        <w:rPr>
          <w:i/>
        </w:rPr>
        <w:t xml:space="preserve">The Nancy Dictionary</w:t>
      </w:r>
      <w:r>
        <w:t xml:space="preserve">. Edinburgh University Press. ed.</w:t>
      </w:r>
    </w:p>
    <w:bookmarkEnd w:id="344"/>
    <w:bookmarkStart w:id="346"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345">
        <w:r>
          <w:rPr>
            <w:rStyle w:val="Hyperlink"/>
          </w:rPr>
          <w:t xml:space="preserve">http://www.terasoft.com.tw/conf/ismir2014/proceedings/T059_257_Paper.pdf</w:t>
        </w:r>
      </w:hyperlink>
    </w:p>
    <w:bookmarkEnd w:id="346"/>
    <w:bookmarkStart w:id="347"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347"/>
    <w:bookmarkStart w:id="348"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348"/>
    <w:bookmarkStart w:id="349" w:name="ref-Han04:New"/>
    <w:p>
      <w:pPr>
        <w:pStyle w:val="Bibliography"/>
      </w:pPr>
      <w:r>
        <w:t xml:space="preserve">Hansen MBN. 2004.</w:t>
      </w:r>
      <w:r>
        <w:t xml:space="preserve"> </w:t>
      </w:r>
      <w:r>
        <w:rPr>
          <w:i/>
        </w:rPr>
        <w:t xml:space="preserve">New Philosophy for New Media</w:t>
      </w:r>
      <w:r>
        <w:t xml:space="preserve">. The MIT Press. ed.</w:t>
      </w:r>
    </w:p>
    <w:bookmarkEnd w:id="349"/>
    <w:bookmarkStart w:id="351"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350">
        <w:r>
          <w:rPr>
            <w:rStyle w:val="Hyperlink"/>
          </w:rPr>
          <w:t xml:space="preserve">http://ismir2008.ismir.net/papers/ISMIR2008_173.pdf</w:t>
        </w:r>
      </w:hyperlink>
    </w:p>
    <w:bookmarkEnd w:id="351"/>
    <w:bookmarkStart w:id="353"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352">
        <w:r>
          <w:rPr>
            <w:rStyle w:val="Hyperlink"/>
          </w:rPr>
          <w:t xml:space="preserve">http://www.ppgia.pucpr.br/ismir2013/wp-content/uploads/2013/09/85_Paper.pdf</w:t>
        </w:r>
      </w:hyperlink>
    </w:p>
    <w:bookmarkEnd w:id="353"/>
    <w:bookmarkStart w:id="354" w:name="ref-Hay93:The"/>
    <w:p>
      <w:pPr>
        <w:pStyle w:val="Bibliography"/>
      </w:pPr>
      <w:r>
        <w:t xml:space="preserve">Hayles NK. 1993. The materiality of informatics.</w:t>
      </w:r>
      <w:r>
        <w:t xml:space="preserve"> </w:t>
      </w:r>
      <w:r>
        <w:rPr>
          <w:i/>
        </w:rPr>
        <w:t xml:space="preserve">Configurations</w:t>
      </w:r>
      <w:r>
        <w:t xml:space="preserve">. 1(1):</w:t>
      </w:r>
    </w:p>
    <w:bookmarkEnd w:id="354"/>
    <w:bookmarkStart w:id="355"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355"/>
    <w:bookmarkStart w:id="357"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356">
        <w:r>
          <w:rPr>
            <w:rStyle w:val="Hyperlink"/>
          </w:rPr>
          <w:t xml:space="preserve">http://www.nime.org/proceedings/2010/nime2010_233.pdf</w:t>
        </w:r>
      </w:hyperlink>
    </w:p>
    <w:bookmarkEnd w:id="357"/>
    <w:bookmarkStart w:id="359"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358">
        <w:r>
          <w:rPr>
            <w:rStyle w:val="Hyperlink"/>
          </w:rPr>
          <w:t xml:space="preserve">http://ismir2005.ismir.net/proceedings/2117.pdf</w:t>
        </w:r>
      </w:hyperlink>
    </w:p>
    <w:bookmarkEnd w:id="359"/>
    <w:bookmarkStart w:id="361"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360">
        <w:r>
          <w:rPr>
            <w:rStyle w:val="Hyperlink"/>
          </w:rPr>
          <w:t xml:space="preserve">http://ismir2018.ircam.fr/doc/pdfs/248_Paper.pdf</w:t>
        </w:r>
      </w:hyperlink>
    </w:p>
    <w:bookmarkEnd w:id="361"/>
    <w:bookmarkStart w:id="362" w:name="ref-Mau99:Abr"/>
    <w:p>
      <w:pPr>
        <w:pStyle w:val="Bibliography"/>
      </w:pPr>
      <w:r>
        <w:t xml:space="preserve">IV JAM. 1999.</w:t>
      </w:r>
      <w:r>
        <w:t xml:space="preserve"> </w:t>
      </w:r>
      <w:r>
        <w:rPr>
          <w:i/>
        </w:rPr>
        <w:t xml:space="preserve">A Brief History of Algorithmic Composition</w:t>
      </w:r>
      <w:r>
        <w:t xml:space="preserve">. Online. ed.</w:t>
      </w:r>
    </w:p>
    <w:bookmarkEnd w:id="362"/>
    <w:bookmarkStart w:id="363"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363"/>
    <w:bookmarkStart w:id="364"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364"/>
    <w:bookmarkStart w:id="365"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365"/>
    <w:bookmarkStart w:id="367"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366">
        <w:r>
          <w:rPr>
            <w:rStyle w:val="Hyperlink"/>
          </w:rPr>
          <w:t xml:space="preserve">http://ismir2008.ismir.net/papers/ISMIR2008_106.pdf</w:t>
        </w:r>
      </w:hyperlink>
    </w:p>
    <w:bookmarkEnd w:id="367"/>
    <w:bookmarkStart w:id="368"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368"/>
    <w:bookmarkStart w:id="369"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369"/>
    <w:bookmarkStart w:id="371"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370">
        <w:r>
          <w:rPr>
            <w:rStyle w:val="Hyperlink"/>
          </w:rPr>
          <w:t xml:space="preserve">http://www.nime.org/proceedings/2004/nime2004_130.pdf</w:t>
        </w:r>
      </w:hyperlink>
    </w:p>
    <w:bookmarkEnd w:id="371"/>
    <w:bookmarkStart w:id="372"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372"/>
    <w:bookmarkStart w:id="374"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373">
        <w:r>
          <w:rPr>
            <w:rStyle w:val="Hyperlink"/>
          </w:rPr>
          <w:t xml:space="preserve">http://www.terasoft.com.tw/conf/ismir2014/proceedings/T039_344_Paper.pdf</w:t>
        </w:r>
      </w:hyperlink>
    </w:p>
    <w:bookmarkEnd w:id="374"/>
    <w:bookmarkStart w:id="375"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375"/>
    <w:bookmarkStart w:id="377"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376">
        <w:r>
          <w:rPr>
            <w:rStyle w:val="Hyperlink"/>
          </w:rPr>
          <w:t xml:space="preserve">http://ismir2015.uma.es/articles/246_Paper.pdf</w:t>
        </w:r>
      </w:hyperlink>
    </w:p>
    <w:bookmarkEnd w:id="377"/>
    <w:bookmarkStart w:id="378"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78"/>
    <w:bookmarkStart w:id="379"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379"/>
    <w:bookmarkStart w:id="380"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80"/>
    <w:bookmarkStart w:id="381"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81"/>
    <w:bookmarkStart w:id="382"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82"/>
    <w:bookmarkStart w:id="383"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83"/>
    <w:bookmarkStart w:id="384"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84"/>
    <w:bookmarkStart w:id="385"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85"/>
    <w:bookmarkStart w:id="386"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86"/>
    <w:bookmarkStart w:id="387"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87"/>
    <w:bookmarkStart w:id="389"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88">
        <w:r>
          <w:rPr>
            <w:rStyle w:val="Hyperlink"/>
          </w:rPr>
          <w:t xml:space="preserve">http://www.nime.org/proceedings/2008/nime2008_221.pdf</w:t>
        </w:r>
      </w:hyperlink>
    </w:p>
    <w:bookmarkEnd w:id="389"/>
    <w:bookmarkStart w:id="390" w:name="ref-Man01:The"/>
    <w:p>
      <w:pPr>
        <w:pStyle w:val="Bibliography"/>
      </w:pPr>
      <w:r>
        <w:t xml:space="preserve">Manovich L. 2001.</w:t>
      </w:r>
      <w:r>
        <w:t xml:space="preserve"> </w:t>
      </w:r>
      <w:r>
        <w:rPr>
          <w:i/>
        </w:rPr>
        <w:t xml:space="preserve">The Language of New Media</w:t>
      </w:r>
      <w:r>
        <w:t xml:space="preserve">. MIT Press. ed.</w:t>
      </w:r>
    </w:p>
    <w:bookmarkEnd w:id="390"/>
    <w:bookmarkStart w:id="391" w:name="ref-Man02:Old"/>
    <w:p>
      <w:pPr>
        <w:pStyle w:val="Bibliography"/>
      </w:pPr>
      <w:r>
        <w:t xml:space="preserve">Manovich L. 2002. Old media as new media: Cinema.</w:t>
      </w:r>
      <w:r>
        <w:t xml:space="preserve"> </w:t>
      </w:r>
      <w:r>
        <w:rPr>
          <w:i/>
        </w:rPr>
        <w:t xml:space="preserve">The New Media Book</w:t>
      </w:r>
    </w:p>
    <w:bookmarkEnd w:id="391"/>
    <w:bookmarkStart w:id="392"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92"/>
    <w:bookmarkStart w:id="394"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93">
        <w:r>
          <w:rPr>
            <w:rStyle w:val="Hyperlink"/>
          </w:rPr>
          <w:t xml:space="preserve">http://ismir2008.ismir.net/papers/ISMIR2008_158.pdf</w:t>
        </w:r>
      </w:hyperlink>
    </w:p>
    <w:bookmarkEnd w:id="394"/>
    <w:bookmarkStart w:id="395"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95"/>
    <w:bookmarkStart w:id="396"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96"/>
    <w:bookmarkStart w:id="397"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97"/>
    <w:bookmarkStart w:id="398" w:name="ref-csoundMethods"/>
    <w:p>
      <w:pPr>
        <w:pStyle w:val="Bibliography"/>
      </w:pPr>
      <w:r>
        <w:t xml:space="preserve">McCurdy I, Heintz J, Joaquin J, Knevel M. 2015. Methods of writing csound scores.</w:t>
      </w:r>
      <w:r>
        <w:t xml:space="preserve"> </w:t>
      </w:r>
      <w:r>
        <w:rPr>
          <w:i/>
        </w:rPr>
        <w:t xml:space="preserve">FLOSS Manuals</w:t>
      </w:r>
    </w:p>
    <w:bookmarkEnd w:id="398"/>
    <w:bookmarkStart w:id="399"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99"/>
    <w:bookmarkStart w:id="401"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400">
        <w:r>
          <w:rPr>
            <w:rStyle w:val="Hyperlink"/>
          </w:rPr>
          <w:t xml:space="preserve">http://ismir2018.ircam.fr/doc/pdfs/35_Paper.pdf</w:t>
        </w:r>
      </w:hyperlink>
    </w:p>
    <w:bookmarkEnd w:id="401"/>
    <w:bookmarkStart w:id="402"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402"/>
    <w:bookmarkStart w:id="403"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403"/>
    <w:bookmarkStart w:id="404" w:name="ref-ods-cpp"/>
    <w:p>
      <w:pPr>
        <w:pStyle w:val="Bibliography"/>
      </w:pPr>
      <w:r>
        <w:t xml:space="preserve">Morin P. 2019.</w:t>
      </w:r>
      <w:r>
        <w:t xml:space="preserve"> </w:t>
      </w:r>
      <w:r>
        <w:rPr>
          <w:i/>
        </w:rPr>
        <w:t xml:space="preserve">Open Data Structures</w:t>
      </w:r>
      <w:r>
        <w:t xml:space="preserve">. Creative Commons. ed.</w:t>
      </w:r>
    </w:p>
    <w:bookmarkEnd w:id="404"/>
    <w:bookmarkStart w:id="405"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405"/>
    <w:bookmarkStart w:id="407"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406">
        <w:r>
          <w:rPr>
            <w:rStyle w:val="Hyperlink"/>
          </w:rPr>
          <w:t xml:space="preserve">http://www.nime.org/proceedings/2007/nime2007_409.pdf</w:t>
        </w:r>
      </w:hyperlink>
    </w:p>
    <w:bookmarkEnd w:id="407"/>
    <w:bookmarkStart w:id="408"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408"/>
    <w:bookmarkStart w:id="409" w:name="ref-Nan07:Lis"/>
    <w:p>
      <w:pPr>
        <w:pStyle w:val="Bibliography"/>
      </w:pPr>
      <w:r>
        <w:t xml:space="preserve">Nancy J-L. 2007.</w:t>
      </w:r>
      <w:r>
        <w:t xml:space="preserve"> </w:t>
      </w:r>
      <w:r>
        <w:rPr>
          <w:i/>
        </w:rPr>
        <w:t xml:space="preserve">Listening</w:t>
      </w:r>
      <w:r>
        <w:t xml:space="preserve">. Fordham University Place. ed.</w:t>
      </w:r>
    </w:p>
    <w:bookmarkEnd w:id="409"/>
    <w:bookmarkStart w:id="410"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410"/>
    <w:bookmarkStart w:id="411"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411"/>
    <w:bookmarkStart w:id="412"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412"/>
    <w:bookmarkStart w:id="413"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413"/>
    <w:bookmarkStart w:id="414"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414"/>
    <w:bookmarkStart w:id="415"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415"/>
    <w:bookmarkStart w:id="416"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416"/>
    <w:bookmarkStart w:id="417"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417"/>
    <w:bookmarkStart w:id="419"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418">
        <w:r>
          <w:rPr>
            <w:rStyle w:val="Hyperlink"/>
          </w:rPr>
          <w:t xml:space="preserve">https://ismir2017.smcnus.org/wp-content/uploads/2017/10/14_Paper.pdf</w:t>
        </w:r>
      </w:hyperlink>
    </w:p>
    <w:bookmarkEnd w:id="419"/>
    <w:bookmarkStart w:id="420"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420"/>
    <w:bookmarkStart w:id="421"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421"/>
    <w:bookmarkStart w:id="422"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422"/>
    <w:bookmarkStart w:id="424"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423">
        <w:r>
          <w:rPr>
            <w:rStyle w:val="Hyperlink"/>
          </w:rPr>
          <w:t xml:space="preserve">http://www.terasoft.com.tw/conf/ismir2014/proceedings/T064_307_Paper.pdf</w:t>
        </w:r>
      </w:hyperlink>
    </w:p>
    <w:bookmarkEnd w:id="424"/>
    <w:bookmarkStart w:id="425" w:name="ref-Pos11:Int"/>
    <w:p>
      <w:pPr>
        <w:pStyle w:val="Bibliography"/>
      </w:pPr>
      <w:r>
        <w:t xml:space="preserve">Poster M. 2011. Introduction.</w:t>
      </w:r>
      <w:r>
        <w:t xml:space="preserve"> </w:t>
      </w:r>
      <w:r>
        <w:rPr>
          <w:i/>
        </w:rPr>
        <w:t xml:space="preserve">Into the Universe of Technical Images</w:t>
      </w:r>
    </w:p>
    <w:bookmarkEnd w:id="425"/>
    <w:bookmarkStart w:id="427"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426">
        <w:r>
          <w:rPr>
            <w:rStyle w:val="Hyperlink"/>
          </w:rPr>
          <w:t xml:space="preserve">http://www.nime.org/proceedings/2008/nime2008_311.pdf</w:t>
        </w:r>
      </w:hyperlink>
    </w:p>
    <w:bookmarkEnd w:id="427"/>
    <w:bookmarkStart w:id="428"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428"/>
    <w:bookmarkStart w:id="429"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429"/>
    <w:bookmarkStart w:id="430"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430"/>
    <w:bookmarkStart w:id="431"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431"/>
    <w:bookmarkStart w:id="432"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432"/>
    <w:bookmarkStart w:id="433"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433"/>
    <w:bookmarkStart w:id="434"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434"/>
    <w:bookmarkStart w:id="435" w:name="ref-Roa04:Mic"/>
    <w:p>
      <w:pPr>
        <w:pStyle w:val="Bibliography"/>
      </w:pPr>
      <w:r>
        <w:t xml:space="preserve">Roads C. 2001.</w:t>
      </w:r>
      <w:r>
        <w:t xml:space="preserve"> </w:t>
      </w:r>
      <w:r>
        <w:rPr>
          <w:i/>
        </w:rPr>
        <w:t xml:space="preserve">Microsound</w:t>
      </w:r>
      <w:r>
        <w:t xml:space="preserve">. MIT Press. ed.</w:t>
      </w:r>
    </w:p>
    <w:bookmarkEnd w:id="435"/>
    <w:bookmarkStart w:id="436" w:name="ref-Roa80:Int"/>
    <w:p>
      <w:pPr>
        <w:pStyle w:val="Bibliography"/>
      </w:pPr>
      <w:r>
        <w:t xml:space="preserve">Roads C, Mathews M. 1980. Interview with max mathews.</w:t>
      </w:r>
      <w:r>
        <w:t xml:space="preserve"> </w:t>
      </w:r>
      <w:r>
        <w:rPr>
          <w:i/>
        </w:rPr>
        <w:t xml:space="preserve">Computer Music Journal</w:t>
      </w:r>
      <w:r>
        <w:t xml:space="preserve">. 4(4):15–22</w:t>
      </w:r>
    </w:p>
    <w:bookmarkEnd w:id="436"/>
    <w:bookmarkStart w:id="437"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437"/>
    <w:bookmarkStart w:id="438"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438"/>
    <w:bookmarkStart w:id="439"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439"/>
    <w:bookmarkStart w:id="440"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440"/>
    <w:bookmarkStart w:id="441"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441"/>
    <w:bookmarkStart w:id="442"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442"/>
    <w:bookmarkStart w:id="443" w:name="ref-Row01:Mac"/>
    <w:p>
      <w:pPr>
        <w:pStyle w:val="Bibliography"/>
      </w:pPr>
      <w:r>
        <w:t xml:space="preserve">Rowe R. 2001.</w:t>
      </w:r>
      <w:r>
        <w:t xml:space="preserve"> </w:t>
      </w:r>
      <w:r>
        <w:rPr>
          <w:i/>
        </w:rPr>
        <w:t xml:space="preserve">Machine Musicianship</w:t>
      </w:r>
      <w:r>
        <w:t xml:space="preserve">. Cambridge, MA, USA: MIT Press. ed.</w:t>
      </w:r>
    </w:p>
    <w:bookmarkEnd w:id="443"/>
    <w:bookmarkStart w:id="444"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444"/>
    <w:bookmarkStart w:id="445"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445"/>
    <w:bookmarkStart w:id="446"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446"/>
    <w:bookmarkStart w:id="447"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447"/>
    <w:bookmarkStart w:id="448"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448"/>
    <w:bookmarkStart w:id="449"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449"/>
    <w:bookmarkStart w:id="450"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450"/>
    <w:bookmarkStart w:id="451"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451"/>
    <w:bookmarkStart w:id="452"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452"/>
    <w:bookmarkStart w:id="453"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453"/>
    <w:bookmarkStart w:id="454" w:name="ref-scoremus"/>
    <w:p>
      <w:pPr>
        <w:pStyle w:val="Bibliography"/>
      </w:pPr>
      <w:r>
        <w:t xml:space="preserve">Selfridge-Field E. 1997. The score music publishing system.</w:t>
      </w:r>
      <w:r>
        <w:t xml:space="preserve"> </w:t>
      </w:r>
      <w:r>
        <w:rPr>
          <w:i/>
        </w:rPr>
        <w:t xml:space="preserve">SCORE</w:t>
      </w:r>
    </w:p>
    <w:bookmarkEnd w:id="454"/>
    <w:bookmarkStart w:id="455"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455"/>
    <w:bookmarkStart w:id="457"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456">
        <w:r>
          <w:rPr>
            <w:rStyle w:val="Hyperlink"/>
          </w:rPr>
          <w:t xml:space="preserve">https://hal.archives-ouvertes.fr/hal-01393959</w:t>
        </w:r>
      </w:hyperlink>
    </w:p>
    <w:bookmarkEnd w:id="457"/>
    <w:bookmarkStart w:id="458"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458"/>
    <w:bookmarkStart w:id="459"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459"/>
    <w:bookmarkStart w:id="460"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460"/>
    <w:bookmarkStart w:id="461" w:name="ref-10.2307/941442"/>
    <w:p>
      <w:pPr>
        <w:pStyle w:val="Bibliography"/>
      </w:pPr>
      <w:r>
        <w:t xml:space="preserve">Skinner R. 1990a. Music software.</w:t>
      </w:r>
      <w:r>
        <w:t xml:space="preserve"> </w:t>
      </w:r>
      <w:r>
        <w:rPr>
          <w:i/>
        </w:rPr>
        <w:t xml:space="preserve">Notes</w:t>
      </w:r>
      <w:r>
        <w:t xml:space="preserve">. 46(3):660–84</w:t>
      </w:r>
    </w:p>
    <w:bookmarkEnd w:id="461"/>
    <w:bookmarkStart w:id="462" w:name="ref-10.2307/940555"/>
    <w:p>
      <w:pPr>
        <w:pStyle w:val="Bibliography"/>
      </w:pPr>
      <w:r>
        <w:t xml:space="preserve">Skinner R. 1990b. Music software.</w:t>
      </w:r>
      <w:r>
        <w:t xml:space="preserve"> </w:t>
      </w:r>
      <w:r>
        <w:rPr>
          <w:i/>
        </w:rPr>
        <w:t xml:space="preserve">Notes</w:t>
      </w:r>
      <w:r>
        <w:t xml:space="preserve">. 47(1):91–101</w:t>
      </w:r>
    </w:p>
    <w:bookmarkEnd w:id="462"/>
    <w:bookmarkStart w:id="463"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463"/>
    <w:bookmarkStart w:id="464"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464"/>
    <w:bookmarkStart w:id="465"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465"/>
    <w:bookmarkStart w:id="466"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466"/>
    <w:bookmarkStart w:id="467" w:name="ref-Sze08:Lis"/>
    <w:p>
      <w:pPr>
        <w:pStyle w:val="Bibliography"/>
      </w:pPr>
      <w:r>
        <w:t xml:space="preserve">Szendy P. 2008.</w:t>
      </w:r>
      <w:r>
        <w:t xml:space="preserve"> </w:t>
      </w:r>
      <w:r>
        <w:rPr>
          <w:i/>
        </w:rPr>
        <w:t xml:space="preserve">Listen: A History of Our Ears</w:t>
      </w:r>
      <w:r>
        <w:t xml:space="preserve">. Fordham University. ed.</w:t>
      </w:r>
    </w:p>
    <w:bookmarkEnd w:id="467"/>
    <w:bookmarkStart w:id="468"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468"/>
    <w:bookmarkStart w:id="469" w:name="ref-Tru73:The"/>
    <w:p>
      <w:pPr>
        <w:pStyle w:val="Bibliography"/>
      </w:pPr>
      <w:r>
        <w:t xml:space="preserve">Truax BD. 1973. The computer composition — sound synthesis programs pod4, pod5 &amp; pod6.</w:t>
      </w:r>
      <w:r>
        <w:t xml:space="preserve"> </w:t>
      </w:r>
      <w:r>
        <w:rPr>
          <w:i/>
        </w:rPr>
        <w:t xml:space="preserve">Sonological Reports</w:t>
      </w:r>
      <w:r>
        <w:t xml:space="preserve">. 2:</w:t>
      </w:r>
    </w:p>
    <w:bookmarkEnd w:id="469"/>
    <w:bookmarkStart w:id="470"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470"/>
    <w:bookmarkStart w:id="471"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471"/>
    <w:bookmarkStart w:id="472"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472"/>
    <w:bookmarkStart w:id="473"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473"/>
    <w:bookmarkStart w:id="474" w:name="ref-Var04:The"/>
    <w:p>
      <w:pPr>
        <w:pStyle w:val="Bibliography"/>
      </w:pPr>
      <w:r>
        <w:t xml:space="preserve">Varese E. 2004. The liberation of sound.</w:t>
      </w:r>
      <w:r>
        <w:t xml:space="preserve"> </w:t>
      </w:r>
      <w:r>
        <w:rPr>
          <w:i/>
        </w:rPr>
        <w:t xml:space="preserve">Audio Culture: Readings in Modern Music</w:t>
      </w:r>
    </w:p>
    <w:bookmarkEnd w:id="474"/>
    <w:bookmarkStart w:id="475"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475"/>
    <w:bookmarkStart w:id="477"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476">
        <w:r>
          <w:rPr>
            <w:rStyle w:val="Hyperlink"/>
          </w:rPr>
          <w:t xml:space="preserve">https://ismir2017.smcnus.org/wp-content/uploads/2017/10/180_Paper.pdf</w:t>
        </w:r>
      </w:hyperlink>
    </w:p>
    <w:bookmarkEnd w:id="477"/>
    <w:bookmarkStart w:id="478"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478"/>
    <w:bookmarkStart w:id="480"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479">
        <w:r>
          <w:rPr>
            <w:rStyle w:val="Hyperlink"/>
          </w:rPr>
          <w:t xml:space="preserve">http://ismir2002.ismir.net/proceedings/02-FP06-3.pdf</w:t>
        </w:r>
      </w:hyperlink>
    </w:p>
    <w:bookmarkEnd w:id="480"/>
    <w:bookmarkStart w:id="481"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481"/>
    <w:bookmarkStart w:id="482"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482"/>
    <w:bookmarkStart w:id="483"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483"/>
    <w:bookmarkStart w:id="484"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484"/>
    <w:bookmarkStart w:id="485"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485"/>
    <w:bookmarkStart w:id="486"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86"/>
    <w:bookmarkStart w:id="487" w:name="ref-Wei07:Oce"/>
    <w:p>
      <w:pPr>
        <w:pStyle w:val="Bibliography"/>
      </w:pPr>
      <w:r>
        <w:t xml:space="preserve">Weinbren G. 2007. Ocean, database, recut.</w:t>
      </w:r>
      <w:r>
        <w:t xml:space="preserve"> </w:t>
      </w:r>
      <w:r>
        <w:rPr>
          <w:i/>
        </w:rPr>
        <w:t xml:space="preserve">Database Aesthetics: Art in the Age of Information Overflow</w:t>
      </w:r>
    </w:p>
    <w:bookmarkEnd w:id="487"/>
    <w:bookmarkStart w:id="488"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88"/>
    <w:bookmarkStart w:id="489"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89"/>
    <w:bookmarkStart w:id="491"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90">
        <w:r>
          <w:rPr>
            <w:rStyle w:val="Hyperlink"/>
          </w:rPr>
          <w:t xml:space="preserve">http://ismir2018.ircam.fr/doc/pdfs/114_Paper.pdf</w:t>
        </w:r>
      </w:hyperlink>
    </w:p>
    <w:bookmarkEnd w:id="491"/>
    <w:bookmarkStart w:id="493"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92">
        <w:r>
          <w:rPr>
            <w:rStyle w:val="Hyperlink"/>
          </w:rPr>
          <w:t xml:space="preserve">http://ismir2004.ismir.net/proceedings/p010-page-48-paper227.pdf</w:t>
        </w:r>
      </w:hyperlink>
    </w:p>
    <w:bookmarkEnd w:id="493"/>
    <w:bookmarkStart w:id="494"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94"/>
    <w:bookmarkStart w:id="495"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95"/>
    <w:bookmarkStart w:id="497"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96">
        <w:r>
          <w:rPr>
            <w:rStyle w:val="Hyperlink"/>
          </w:rPr>
          <w:t xml:space="preserve">http://ismir2018.ircam.fr/doc/pdfs/188_Paper.pdf</w:t>
        </w:r>
      </w:hyperlink>
    </w:p>
    <w:bookmarkEnd w:id="497"/>
    <w:bookmarkStart w:id="498"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98"/>
    <w:bookmarkStart w:id="499"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99"/>
    <w:bookmarkStart w:id="500"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500"/>
    <w:bookmarkStart w:id="501"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501"/>
    <w:bookmarkStart w:id="502"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502"/>
    <w:bookmarkStart w:id="504"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503">
        <w:r>
          <w:rPr>
            <w:rStyle w:val="Hyperlink"/>
          </w:rPr>
          <w:t xml:space="preserve">http://www.nime.org/proceedings/2007/nime2007_352.pdf</w:t>
        </w:r>
      </w:hyperlink>
    </w:p>
    <w:bookmarkEnd w:id="504"/>
    <w:bookmarkStart w:id="505"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505"/>
    <w:bookmarkEnd w:id="506"/>
    <w:p>
      <w:r>
        <w:pict>
          <v:rect style="width:0;height:1.5pt" o:hralign="center" o:hrstd="t" o:hr="t"/>
        </w:pict>
      </w:r>
    </w:p>
    <w:bookmarkStart w:id="508" w:name="fn1"/>
    <w:p>
      <w:pPr>
        <w:numPr>
          <w:numId w:val="1022"/>
          <w:ilvl w:val="0"/>
        </w:numPr>
      </w:pPr>
      <w:r>
        <w:t xml:space="preserve">Alvin Lucier. I Am Sitting In A Room. See:</w:t>
      </w:r>
      <w:r>
        <w:t xml:space="preserve"> </w:t>
      </w:r>
      <w:hyperlink r:id="rId507">
        <w:r>
          <w:rPr>
            <w:rStyle w:val="Hyperlink"/>
          </w:rPr>
          <w:t xml:space="preserve">https://en.wikipedia.org/wiki/I_Am_Sitting_in_a_Room</w:t>
        </w:r>
      </w:hyperlink>
      <w:hyperlink w:anchor="fnref1">
        <w:r>
          <w:rPr>
            <w:rStyle w:val="Hyperlink"/>
          </w:rPr>
          <w:t xml:space="preserve">↩</w:t>
        </w:r>
      </w:hyperlink>
    </w:p>
    <w:bookmarkEnd w:id="508"/>
    <w:bookmarkStart w:id="509" w:name="fn2"/>
    <w:p>
      <w:pPr>
        <w:numPr>
          <w:numId w:val="1022"/>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509"/>
    <w:bookmarkStart w:id="510" w:name="fn3"/>
    <w:p>
      <w:pPr>
        <w:numPr>
          <w:numId w:val="1022"/>
          <w:ilvl w:val="0"/>
        </w:numPr>
      </w:pPr>
      <w:r>
        <w:t xml:space="preserve">This example was used by Manovich in the late 1990s, and it is still valid today with most multimedia editing software.</w:t>
      </w:r>
      <w:hyperlink w:anchor="fnref3">
        <w:r>
          <w:rPr>
            <w:rStyle w:val="Hyperlink"/>
          </w:rPr>
          <w:t xml:space="preserve">↩</w:t>
        </w:r>
      </w:hyperlink>
    </w:p>
    <w:bookmarkEnd w:id="510"/>
    <w:bookmarkStart w:id="511" w:name="fn4"/>
    <w:p>
      <w:pPr>
        <w:numPr>
          <w:numId w:val="1022"/>
          <w:ilvl w:val="0"/>
        </w:numPr>
      </w:pPr>
      <w:r>
        <w:t xml:space="preserve">‘Import,’ ‘export,’ and ‘render,’ refer to processes that read from or write to the computer’s disk.</w:t>
      </w:r>
      <w:hyperlink w:anchor="fnref4">
        <w:r>
          <w:rPr>
            <w:rStyle w:val="Hyperlink"/>
          </w:rPr>
          <w:t xml:space="preserve">↩</w:t>
        </w:r>
      </w:hyperlink>
    </w:p>
    <w:bookmarkEnd w:id="511"/>
    <w:bookmarkStart w:id="512" w:name="fn5"/>
    <w:p>
      <w:pPr>
        <w:numPr>
          <w:numId w:val="1022"/>
          <w:ilvl w:val="0"/>
        </w:numPr>
      </w:pPr>
      <w:r>
        <w:t xml:space="preserve">Miller Puckette suggested this during an open discussion at</w:t>
      </w:r>
      <w:hyperlink w:anchor="fnref5">
        <w:r>
          <w:rPr>
            <w:rStyle w:val="Hyperlink"/>
          </w:rPr>
          <w:t xml:space="preserve">↩</w:t>
        </w:r>
      </w:hyperlink>
    </w:p>
    <w:bookmarkEnd w:id="512"/>
    <w:bookmarkStart w:id="513" w:name="fn6"/>
    <w:p>
      <w:pPr>
        <w:numPr>
          <w:numId w:val="1022"/>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hyperlink w:anchor="fnref6">
        <w:r>
          <w:rPr>
            <w:rStyle w:val="Hyperlink"/>
          </w:rPr>
          <w:t xml:space="preserve">↩</w:t>
        </w:r>
      </w:hyperlink>
    </w:p>
    <w:bookmarkEnd w:id="513"/>
    <w:bookmarkStart w:id="514" w:name="fn7"/>
    <w:p>
      <w:pPr>
        <w:numPr>
          <w:numId w:val="1022"/>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7">
        <w:r>
          <w:rPr>
            <w:rStyle w:val="Hyperlink"/>
          </w:rPr>
          <w:t xml:space="preserve">↩</w:t>
        </w:r>
      </w:hyperlink>
    </w:p>
    <w:bookmarkEnd w:id="514"/>
    <w:bookmarkStart w:id="515" w:name="fn8"/>
    <w:p>
      <w:pPr>
        <w:numPr>
          <w:numId w:val="1022"/>
          <w:ilvl w:val="0"/>
        </w:numPr>
      </w:pPr>
      <w:r>
        <w:t xml:space="preserve">There are cases where sonification is entirely analog, such as the first sonification tool ever created: the Geiger counter</w:t>
      </w:r>
      <w:hyperlink w:anchor="fnref8">
        <w:r>
          <w:rPr>
            <w:rStyle w:val="Hyperlink"/>
          </w:rPr>
          <w:t xml:space="preserve">↩</w:t>
        </w:r>
      </w:hyperlink>
    </w:p>
    <w:bookmarkEnd w:id="515"/>
    <w:bookmarkStart w:id="516" w:name="fn9"/>
    <w:p>
      <w:pPr>
        <w:numPr>
          <w:numId w:val="1022"/>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9">
        <w:r>
          <w:rPr>
            <w:rStyle w:val="Hyperlink"/>
          </w:rPr>
          <w:t xml:space="preserve">↩</w:t>
        </w:r>
      </w:hyperlink>
    </w:p>
    <w:bookmarkEnd w:id="516"/>
    <w:bookmarkStart w:id="517" w:name="fn10"/>
    <w:p>
      <w:pPr>
        <w:numPr>
          <w:numId w:val="1022"/>
          <w:ilvl w:val="0"/>
        </w:numPr>
      </w:pPr>
      <w:r>
        <w:t xml:space="preserve">From a lecture given by Judy Klein at New York University’s Waverly Project, on February 2nd, 2017.</w:t>
      </w:r>
      <w:hyperlink w:anchor="fnref10">
        <w:r>
          <w:rPr>
            <w:rStyle w:val="Hyperlink"/>
          </w:rPr>
          <w:t xml:space="preserve">↩</w:t>
        </w:r>
      </w:hyperlink>
    </w:p>
    <w:bookmarkEnd w:id="517"/>
    <w:bookmarkStart w:id="519" w:name="fn11"/>
    <w:p>
      <w:pPr>
        <w:numPr>
          <w:numId w:val="1022"/>
          <w:ilvl w:val="0"/>
        </w:numPr>
      </w:pPr>
      <w:hyperlink r:id="rId518">
        <w:r>
          <w:rPr>
            <w:rStyle w:val="Hyperlink"/>
          </w:rPr>
          <w:t xml:space="preserve">http://www.natashabarrett.org/viva.html</w:t>
        </w:r>
      </w:hyperlink>
      <w:hyperlink w:anchor="fnref11">
        <w:r>
          <w:rPr>
            <w:rStyle w:val="Hyperlink"/>
          </w:rPr>
          <w:t xml:space="preserve">↩</w:t>
        </w:r>
      </w:hyperlink>
    </w:p>
    <w:bookmarkEnd w:id="519"/>
    <w:bookmarkStart w:id="520" w:name="fn12"/>
    <w:p>
      <w:pPr>
        <w:numPr>
          <w:numId w:val="1022"/>
          <w:ilvl w:val="0"/>
        </w:numPr>
      </w:pPr>
      <w:r>
        <w:t xml:space="preserve">A biological field station called ‘La Suerte’ in Costa Rica</w:t>
      </w:r>
      <w:hyperlink w:anchor="fnref12">
        <w:r>
          <w:rPr>
            <w:rStyle w:val="Hyperlink"/>
          </w:rPr>
          <w:t xml:space="preserve">↩</w:t>
        </w:r>
      </w:hyperlink>
    </w:p>
    <w:bookmarkEnd w:id="520"/>
    <w:bookmarkStart w:id="522" w:name="fn13"/>
    <w:p>
      <w:pPr>
        <w:numPr>
          <w:numId w:val="1022"/>
          <w:ilvl w:val="0"/>
        </w:numPr>
      </w:pPr>
      <w:hyperlink r:id="rId521">
        <w:r>
          <w:rPr>
            <w:rStyle w:val="Hyperlink"/>
          </w:rPr>
          <w:t xml:space="preserve">https://soundcloud.com/falk-morawitz/spin-dynamics-stereo-reduction</w:t>
        </w:r>
      </w:hyperlink>
      <w:hyperlink w:anchor="fnref13">
        <w:r>
          <w:rPr>
            <w:rStyle w:val="Hyperlink"/>
          </w:rPr>
          <w:t xml:space="preserve">↩</w:t>
        </w:r>
      </w:hyperlink>
    </w:p>
    <w:bookmarkEnd w:id="522"/>
    <w:bookmarkStart w:id="524" w:name="fn14"/>
    <w:p>
      <w:pPr>
        <w:numPr>
          <w:numId w:val="1022"/>
          <w:ilvl w:val="0"/>
        </w:numPr>
      </w:pPr>
      <w:hyperlink r:id="rId523">
        <w:r>
          <w:rPr>
            <w:rStyle w:val="Hyperlink"/>
          </w:rPr>
          <w:t xml:space="preserve">http://www.icad.org/websiteV2.0/Conferences/ICAD96/proc96/lodha.htm</w:t>
        </w:r>
      </w:hyperlink>
      <w:hyperlink w:anchor="fnref14">
        <w:r>
          <w:rPr>
            <w:rStyle w:val="Hyperlink"/>
          </w:rPr>
          <w:t xml:space="preserve">↩</w:t>
        </w:r>
      </w:hyperlink>
    </w:p>
    <w:bookmarkEnd w:id="524"/>
    <w:bookmarkStart w:id="526" w:name="fn15"/>
    <w:p>
      <w:pPr>
        <w:numPr>
          <w:numId w:val="1022"/>
          <w:ilvl w:val="0"/>
        </w:numPr>
      </w:pPr>
      <w:hyperlink r:id="rId525">
        <w:r>
          <w:rPr>
            <w:rStyle w:val="Hyperlink"/>
          </w:rPr>
          <w:t xml:space="preserve">https://www.joaomenezes.net/sondata</w:t>
        </w:r>
      </w:hyperlink>
      <w:hyperlink w:anchor="fnref15">
        <w:r>
          <w:rPr>
            <w:rStyle w:val="Hyperlink"/>
          </w:rPr>
          <w:t xml:space="preserve">↩</w:t>
        </w:r>
      </w:hyperlink>
    </w:p>
    <w:bookmarkEnd w:id="526"/>
    <w:bookmarkStart w:id="527" w:name="fn16"/>
    <w:p>
      <w:pPr>
        <w:numPr>
          <w:numId w:val="1022"/>
          <w:ilvl w:val="0"/>
        </w:numPr>
      </w:pPr>
      <w:r>
        <w:t xml:space="preserve">Ballora’s interface and sonification design stems from his PhD dissertation on cardiac rate sonification</w:t>
      </w:r>
      <w:r>
        <w:t xml:space="preserve"> </w:t>
      </w:r>
      <w:r>
        <w:t xml:space="preserve">(Ballora 2000)</w:t>
      </w:r>
      <w:r>
        <w:t xml:space="preserve">.</w:t>
      </w:r>
      <w:hyperlink w:anchor="fnref16">
        <w:r>
          <w:rPr>
            <w:rStyle w:val="Hyperlink"/>
          </w:rPr>
          <w:t xml:space="preserve">↩</w:t>
        </w:r>
      </w:hyperlink>
    </w:p>
    <w:bookmarkEnd w:id="527"/>
    <w:bookmarkStart w:id="529" w:name="fn17"/>
    <w:p>
      <w:pPr>
        <w:numPr>
          <w:numId w:val="1022"/>
          <w:ilvl w:val="0"/>
        </w:numPr>
      </w:pPr>
      <w:r>
        <w:t xml:space="preserve">Apple’s built-in framework to interface with the GPU . See</w:t>
      </w:r>
      <w:r>
        <w:t xml:space="preserve"> </w:t>
      </w:r>
      <w:hyperlink r:id="rId528">
        <w:r>
          <w:rPr>
            <w:rStyle w:val="Hyperlink"/>
          </w:rPr>
          <w:t xml:space="preserve">https://developer.apple.com/documentation/metal</w:t>
        </w:r>
      </w:hyperlink>
      <w:hyperlink w:anchor="fnref17">
        <w:r>
          <w:rPr>
            <w:rStyle w:val="Hyperlink"/>
          </w:rPr>
          <w:t xml:space="preserve">↩</w:t>
        </w:r>
      </w:hyperlink>
    </w:p>
    <w:bookmarkEnd w:id="529"/>
    <w:bookmarkStart w:id="531" w:name="fn18"/>
    <w:p>
      <w:pPr>
        <w:numPr>
          <w:numId w:val="1022"/>
          <w:ilvl w:val="0"/>
        </w:numPr>
      </w:pPr>
      <w:hyperlink r:id="rId530">
        <w:r>
          <w:rPr>
            <w:rStyle w:val="Hyperlink"/>
          </w:rPr>
          <w:t xml:space="preserve">https://vimeo.com/167646306</w:t>
        </w:r>
      </w:hyperlink>
      <w:hyperlink w:anchor="fnref18">
        <w:r>
          <w:rPr>
            <w:rStyle w:val="Hyperlink"/>
          </w:rPr>
          <w:t xml:space="preserve">↩</w:t>
        </w:r>
      </w:hyperlink>
    </w:p>
    <w:bookmarkEnd w:id="531"/>
    <w:bookmarkStart w:id="532" w:name="fn19"/>
    <w:p>
      <w:pPr>
        <w:numPr>
          <w:numId w:val="1022"/>
          <w:ilvl w:val="0"/>
        </w:numPr>
      </w:pPr>
      <w:r>
        <w:t xml:space="preserve">William Buxton is now considered a pioneer in HCI , and he is now a major figure in the Microsoft Research department.</w:t>
      </w:r>
      <w:hyperlink w:anchor="fnref19">
        <w:r>
          <w:rPr>
            <w:rStyle w:val="Hyperlink"/>
          </w:rPr>
          <w:t xml:space="preserve">↩</w:t>
        </w:r>
      </w:hyperlink>
    </w:p>
    <w:bookmarkEnd w:id="532"/>
    <w:bookmarkStart w:id="533" w:name="fn20"/>
    <w:p>
      <w:pPr>
        <w:numPr>
          <w:numId w:val="1022"/>
          <w:ilvl w:val="0"/>
        </w:numPr>
      </w:pPr>
      <w:r>
        <w:t xml:space="preserve">SCORE is one of the earliest music engraving softwares still in use today by major publishing houses</w:t>
      </w:r>
      <w:r>
        <w:t xml:space="preserve"> </w:t>
      </w:r>
      <w:r>
        <w:t xml:space="preserve">(Selfridge-Field 1997)</w:t>
      </w:r>
      <w:r>
        <w:t xml:space="preserve">.</w:t>
      </w:r>
      <w:hyperlink w:anchor="fnref20">
        <w:r>
          <w:rPr>
            <w:rStyle w:val="Hyperlink"/>
          </w:rPr>
          <w:t xml:space="preserve">↩</w:t>
        </w:r>
      </w:hyperlink>
    </w:p>
    <w:bookmarkEnd w:id="533"/>
    <w:bookmarkStart w:id="534" w:name="fn21"/>
    <w:p>
      <w:pPr>
        <w:numPr>
          <w:numId w:val="1022"/>
          <w:ilvl w:val="0"/>
        </w:numPr>
      </w:pPr>
      <w:r>
        <w:t xml:space="preserve">For example, note a curious paragraph published at the ICMC in 1981 stating that a real-time version of MUSIC-11 was “near completion” by a group at MIT</w:t>
      </w:r>
      <w:r>
        <w:t xml:space="preserve"> </w:t>
      </w:r>
      <w:r>
        <w:t xml:space="preserve">(Puckette et al. 1981)</w:t>
      </w:r>
      <w:r>
        <w:t xml:space="preserve">.</w:t>
      </w:r>
      <w:hyperlink w:anchor="fnref21">
        <w:r>
          <w:rPr>
            <w:rStyle w:val="Hyperlink"/>
          </w:rPr>
          <w:t xml:space="preserve">↩</w:t>
        </w:r>
      </w:hyperlink>
    </w:p>
    <w:bookmarkEnd w:id="534"/>
    <w:bookmarkStart w:id="535" w:name="fn22"/>
    <w:p>
      <w:pPr>
        <w:numPr>
          <w:numId w:val="1022"/>
          <w:ilvl w:val="0"/>
        </w:numPr>
      </w:pPr>
      <w:r>
        <w:t xml:space="preserve">A heap is a tree-based data structure with a property such keys and parent-child relationships follow a hierarchic logic.</w:t>
      </w:r>
      <w:hyperlink w:anchor="fnref22">
        <w:r>
          <w:rPr>
            <w:rStyle w:val="Hyperlink"/>
          </w:rPr>
          <w:t xml:space="preserve">↩</w:t>
        </w:r>
      </w:hyperlink>
    </w:p>
    <w:bookmarkEnd w:id="535"/>
    <w:bookmarkStart w:id="536" w:name="fn23"/>
    <w:p>
      <w:pPr>
        <w:numPr>
          <w:numId w:val="1022"/>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3">
        <w:r>
          <w:rPr>
            <w:rStyle w:val="Hyperlink"/>
          </w:rPr>
          <w:t xml:space="preserve">↩</w:t>
        </w:r>
      </w:hyperlink>
    </w:p>
    <w:bookmarkEnd w:id="536"/>
    <w:bookmarkStart w:id="539" w:name="fn24"/>
    <w:p>
      <w:pPr>
        <w:numPr>
          <w:numId w:val="1022"/>
          <w:ilvl w:val="0"/>
        </w:numPr>
      </w:pPr>
      <w:r>
        <w:t xml:space="preserve">A video of the installation can be seen here:</w:t>
      </w:r>
      <w:r>
        <w:t xml:space="preserve"> </w:t>
      </w:r>
      <w:hyperlink r:id="rId537">
        <w:r>
          <w:rPr>
            <w:rStyle w:val="Hyperlink"/>
          </w:rPr>
          <w:t xml:space="preserve">https://vimeo.com/23086026</w:t>
        </w:r>
      </w:hyperlink>
      <w:r>
        <w:t xml:space="preserve">, the artist website can be accessed here:</w:t>
      </w:r>
      <w:r>
        <w:t xml:space="preserve"> </w:t>
      </w:r>
      <w:hyperlink r:id="rId538">
        <w:r>
          <w:rPr>
            <w:rStyle w:val="Hyperlink"/>
          </w:rPr>
          <w:t xml:space="preserve">http://insookchoi.com</w:t>
        </w:r>
      </w:hyperlink>
      <w:hyperlink w:anchor="fnref24">
        <w:r>
          <w:rPr>
            <w:rStyle w:val="Hyperlink"/>
          </w:rPr>
          <w:t xml:space="preserve">↩</w:t>
        </w:r>
      </w:hyperlink>
    </w:p>
    <w:bookmarkEnd w:id="539"/>
    <w:bookmarkStart w:id="541" w:name="fn25"/>
    <w:p>
      <w:pPr>
        <w:numPr>
          <w:numId w:val="1022"/>
          <w:ilvl w:val="0"/>
        </w:numPr>
      </w:pPr>
      <w:hyperlink r:id="rId540">
        <w:r>
          <w:rPr>
            <w:rStyle w:val="Hyperlink"/>
          </w:rPr>
          <w:t xml:space="preserve">https://sihwapark.com/COMPath</w:t>
        </w:r>
      </w:hyperlink>
      <w:hyperlink w:anchor="fnref25">
        <w:r>
          <w:rPr>
            <w:rStyle w:val="Hyperlink"/>
          </w:rPr>
          <w:t xml:space="preserve">↩</w:t>
        </w:r>
      </w:hyperlink>
    </w:p>
    <w:bookmarkEnd w:id="541"/>
    <w:bookmarkStart w:id="542" w:name="fn26"/>
    <w:p>
      <w:pPr>
        <w:numPr>
          <w:numId w:val="1022"/>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6">
        <w:r>
          <w:rPr>
            <w:rStyle w:val="Hyperlink"/>
          </w:rPr>
          <w:t xml:space="preserve">↩</w:t>
        </w:r>
      </w:hyperlink>
    </w:p>
    <w:bookmarkEnd w:id="542"/>
    <w:bookmarkStart w:id="543" w:name="fn27"/>
    <w:p>
      <w:pPr>
        <w:numPr>
          <w:numId w:val="1022"/>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27">
        <w:r>
          <w:rPr>
            <w:rStyle w:val="Hyperlink"/>
          </w:rPr>
          <w:t xml:space="preserve">↩</w:t>
        </w:r>
      </w:hyperlink>
    </w:p>
    <w:bookmarkEnd w:id="543"/>
    <w:bookmarkStart w:id="544" w:name="fn28"/>
    <w:p>
      <w:pPr>
        <w:numPr>
          <w:numId w:val="1022"/>
          <w:ilvl w:val="0"/>
        </w:numPr>
      </w:pPr>
      <w:r>
        <w:t xml:space="preserve">Digital waveguides are an efficient model for physical modeling of wave propagation</w:t>
      </w:r>
      <w:hyperlink w:anchor="fnref28">
        <w:r>
          <w:rPr>
            <w:rStyle w:val="Hyperlink"/>
          </w:rPr>
          <w:t xml:space="preserve">↩</w:t>
        </w:r>
      </w:hyperlink>
    </w:p>
    <w:bookmarkEnd w:id="544"/>
    <w:bookmarkStart w:id="545" w:name="fn29"/>
    <w:p>
      <w:pPr>
        <w:numPr>
          <w:numId w:val="1022"/>
          <w:ilvl w:val="0"/>
        </w:numPr>
      </w:pPr>
      <w:r>
        <w:t xml:space="preserve">See footnote:</w:t>
      </w:r>
      <w:r>
        <w:t xml:space="preserve"> </w:t>
      </w:r>
      <w:hyperlink w:anchor="furthersoftware">
        <w:r>
          <w:rPr>
            <w:rStyle w:val="Hyperlink"/>
          </w:rPr>
          <w:t xml:space="preserve">[furthersoftware]</w:t>
        </w:r>
      </w:hyperlink>
      <w:hyperlink w:anchor="fnref29">
        <w:r>
          <w:rPr>
            <w:rStyle w:val="Hyperlink"/>
          </w:rPr>
          <w:t xml:space="preserve">↩</w:t>
        </w:r>
      </w:hyperlink>
    </w:p>
    <w:bookmarkEnd w:id="545"/>
    <w:bookmarkStart w:id="546" w:name="fn30"/>
    <w:p>
      <w:pPr>
        <w:numPr>
          <w:numId w:val="1022"/>
          <w:ilvl w:val="0"/>
        </w:numPr>
      </w:pPr>
      <w:r>
        <w:t xml:space="preserve">Important references for their research were the following file formats: SDIF , GDIF , METRIXML (developed by Amatriain in</w:t>
      </w:r>
      <w:r>
        <w:t xml:space="preserve"> </w:t>
      </w:r>
      <w:r>
        <w:t xml:space="preserve">(Amatriain 2004)</w:t>
      </w:r>
      <w:r>
        <w:t xml:space="preserve">), and the SMIL .</w:t>
      </w:r>
      <w:hyperlink w:anchor="fnref30">
        <w:r>
          <w:rPr>
            <w:rStyle w:val="Hyperlink"/>
          </w:rPr>
          <w:t xml:space="preserve">↩</w:t>
        </w:r>
      </w:hyperlink>
    </w:p>
    <w:bookmarkEnd w:id="546"/>
    <w:bookmarkStart w:id="548" w:name="fn31"/>
    <w:p>
      <w:pPr>
        <w:numPr>
          <w:numId w:val="1022"/>
          <w:ilvl w:val="0"/>
        </w:numPr>
      </w:pPr>
      <w:hyperlink r:id="rId547">
        <w:r>
          <w:rPr>
            <w:rStyle w:val="Hyperlink"/>
          </w:rPr>
          <w:t xml:space="preserve">http://freesound.org</w:t>
        </w:r>
      </w:hyperlink>
      <w:hyperlink w:anchor="fnref31">
        <w:r>
          <w:rPr>
            <w:rStyle w:val="Hyperlink"/>
          </w:rPr>
          <w:t xml:space="preserve">↩</w:t>
        </w:r>
      </w:hyperlink>
    </w:p>
    <w:bookmarkEnd w:id="548"/>
    <w:bookmarkStart w:id="549" w:name="fn32"/>
    <w:p>
      <w:pPr>
        <w:numPr>
          <w:numId w:val="1022"/>
          <w:ilvl w:val="0"/>
        </w:numPr>
      </w:pPr>
      <w:r>
        <w:t xml:space="preserve">This structure comprises Nancy’s reading of Jacques Derrida’s concept of</w:t>
      </w:r>
      <w:r>
        <w:t xml:space="preserve"> </w:t>
      </w:r>
      <w:r>
        <w:rPr>
          <w:i/>
        </w:rPr>
        <w:t xml:space="preserve">différance</w:t>
      </w:r>
      <w:r>
        <w:t xml:space="preserve"> </w:t>
      </w:r>
      <w:r>
        <w:t xml:space="preserve">and will be analyzed in the following section. 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32">
        <w:r>
          <w:rPr>
            <w:rStyle w:val="Hyperlink"/>
          </w:rPr>
          <w:t xml:space="preserve">↩</w:t>
        </w:r>
      </w:hyperlink>
    </w:p>
    <w:bookmarkEnd w:id="549"/>
    <w:bookmarkStart w:id="550" w:name="fn33"/>
    <w:p>
      <w:pPr>
        <w:numPr>
          <w:numId w:val="1022"/>
          <w:ilvl w:val="0"/>
        </w:numPr>
      </w:pPr>
      <w:r>
        <w:t xml:space="preserve">In this sense, Nancy is one of the first philosophers of the self to propose such a theorization of the self as resonance, extending his speculations to, for example, considering if the philosophical truth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33">
        <w:r>
          <w:rPr>
            <w:rStyle w:val="Hyperlink"/>
          </w:rPr>
          <w:t xml:space="preserve">↩</w:t>
        </w:r>
      </w:hyperlink>
    </w:p>
    <w:bookmarkEnd w:id="550"/>
    <w:bookmarkStart w:id="551" w:name="fn34"/>
    <w:p>
      <w:pPr>
        <w:numPr>
          <w:numId w:val="1022"/>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34">
        <w:r>
          <w:rPr>
            <w:rStyle w:val="Hyperlink"/>
          </w:rPr>
          <w:t xml:space="preserve">↩</w:t>
        </w:r>
      </w:hyperlink>
    </w:p>
    <w:bookmarkEnd w:id="551"/>
    <w:bookmarkStart w:id="552" w:name="fn35"/>
    <w:p>
      <w:pPr>
        <w:numPr>
          <w:numId w:val="1022"/>
          <w:ilvl w:val="0"/>
        </w:numPr>
      </w:pPr>
      <w:r>
        <w:t xml:space="preserve">Within this fictional universe, the only way for him to sleep was to imagine the opaqueness of an unknowable future…</w:t>
      </w:r>
      <w:hyperlink w:anchor="fnref35">
        <w:r>
          <w:rPr>
            <w:rStyle w:val="Hyperlink"/>
          </w:rPr>
          <w:t xml:space="preserve">↩</w:t>
        </w:r>
      </w:hyperlink>
    </w:p>
    <w:bookmarkEnd w:id="552"/>
    <w:bookmarkStart w:id="553" w:name="fn36"/>
    <w:p>
      <w:pPr>
        <w:numPr>
          <w:numId w:val="1022"/>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6">
        <w:r>
          <w:rPr>
            <w:rStyle w:val="Hyperlink"/>
          </w:rPr>
          <w:t xml:space="preserve">↩</w:t>
        </w:r>
      </w:hyperlink>
    </w:p>
    <w:bookmarkEnd w:id="553"/>
    <w:bookmarkStart w:id="554" w:name="fn37"/>
    <w:p>
      <w:pPr>
        <w:numPr>
          <w:numId w:val="1022"/>
          <w:ilvl w:val="0"/>
        </w:numPr>
      </w:pPr>
      <w:r>
        <w:t xml:space="preserve">For example, one of Irineo’s concerns was to reduce the amount of memories on a single day, which he downsized to about seventy thousand…</w:t>
      </w:r>
      <w:hyperlink w:anchor="fnref37">
        <w:r>
          <w:rPr>
            <w:rStyle w:val="Hyperlink"/>
          </w:rPr>
          <w:t xml:space="preserve">↩</w:t>
        </w:r>
      </w:hyperlink>
    </w:p>
    <w:bookmarkEnd w:id="554"/>
    <w:bookmarkStart w:id="555" w:name="fn38"/>
    <w:p>
      <w:pPr>
        <w:numPr>
          <w:numId w:val="1022"/>
          <w:ilvl w:val="0"/>
        </w:numPr>
      </w:pPr>
      <w:r>
        <w:t xml:space="preserve">This acousmatic quality of Funes’ voice will not be touched here, but it is indeed a good point of departure for an essay.</w:t>
      </w:r>
      <w:hyperlink w:anchor="fnref38">
        <w:r>
          <w:rPr>
            <w:rStyle w:val="Hyperlink"/>
          </w:rPr>
          <w:t xml:space="preserve">↩</w:t>
        </w:r>
      </w:hyperlink>
    </w:p>
    <w:bookmarkEnd w:id="555"/>
    <w:bookmarkStart w:id="557" w:name="fn39"/>
    <w:p>
      <w:pPr>
        <w:numPr>
          <w:numId w:val="1022"/>
          <w:ilvl w:val="0"/>
        </w:numPr>
      </w:pPr>
      <w:hyperlink r:id="rId556">
        <w:r>
          <w:rPr>
            <w:rStyle w:val="Hyperlink"/>
          </w:rPr>
          <w:t xml:space="preserve">https://en.wikipedia.org/wiki/Leo_Beranek</w:t>
        </w:r>
      </w:hyperlink>
      <w:hyperlink w:anchor="fnref39">
        <w:r>
          <w:rPr>
            <w:rStyle w:val="Hyperlink"/>
          </w:rPr>
          <w:t xml:space="preserve">↩</w:t>
        </w:r>
      </w:hyperlink>
    </w:p>
    <w:bookmarkEnd w:id="557"/>
    <w:bookmarkStart w:id="558" w:name="fn40"/>
    <w:p>
      <w:pPr>
        <w:numPr>
          <w:numId w:val="1022"/>
          <w:ilvl w:val="0"/>
        </w:numPr>
      </w:pPr>
      <w:r>
        <w:t xml:space="preserve">Anthony Kerrigan translated this fragment as: “The truth is that we all live by leaving behind; no doubt we all profoundly know that we are immortal and that sooner or later every man will do all things and know everything.” In a more literal translation of the first sentence, it reads: “What is certain is that we live deferring all that can be deferred.”</w:t>
      </w:r>
      <w:hyperlink w:anchor="fnref40">
        <w:r>
          <w:rPr>
            <w:rStyle w:val="Hyperlink"/>
          </w:rPr>
          <w:t xml:space="preserve">↩</w:t>
        </w:r>
      </w:hyperlink>
    </w:p>
    <w:bookmarkEnd w:id="558"/>
    <w:bookmarkStart w:id="560" w:name="fn41"/>
    <w:p>
      <w:pPr>
        <w:numPr>
          <w:numId w:val="1022"/>
          <w:ilvl w:val="0"/>
        </w:numPr>
      </w:pPr>
      <w:hyperlink r:id="rId559">
        <w:r>
          <w:rPr>
            <w:rStyle w:val="Hyperlink"/>
          </w:rPr>
          <w:t xml:space="preserve">https://en.cppreference.com/w/cpp/language/destructor</w:t>
        </w:r>
      </w:hyperlink>
      <w:hyperlink w:anchor="fnref41">
        <w:r>
          <w:rPr>
            <w:rStyle w:val="Hyperlink"/>
          </w:rPr>
          <w:t xml:space="preserve">↩</w:t>
        </w:r>
      </w:hyperlink>
    </w:p>
    <w:bookmarkEnd w:id="560"/>
    <w:bookmarkStart w:id="562" w:name="fn42"/>
    <w:p>
      <w:pPr>
        <w:numPr>
          <w:numId w:val="1022"/>
          <w:ilvl w:val="0"/>
        </w:numPr>
      </w:pPr>
      <w:hyperlink r:id="rId561">
        <w:r>
          <w:rPr>
            <w:rStyle w:val="Hyperlink"/>
          </w:rPr>
          <w:t xml:space="preserve">https://mpc.chs.harvard.edu/</w:t>
        </w:r>
      </w:hyperlink>
      <w:hyperlink w:anchor="fnref42">
        <w:r>
          <w:rPr>
            <w:rStyle w:val="Hyperlink"/>
          </w:rPr>
          <w:t xml:space="preserve">↩</w:t>
        </w:r>
      </w:hyperlink>
    </w:p>
    <w:bookmarkEnd w:id="562"/>
    <w:bookmarkStart w:id="563" w:name="fn43"/>
    <w:p>
      <w:pPr>
        <w:numPr>
          <w:numId w:val="1022"/>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43">
        <w:r>
          <w:rPr>
            <w:rStyle w:val="Hyperlink"/>
          </w:rPr>
          <w:t xml:space="preserve">↩</w:t>
        </w:r>
      </w:hyperlink>
    </w:p>
    <w:bookmarkEnd w:id="563"/>
    <w:bookmarkStart w:id="564" w:name="fn44"/>
    <w:p>
      <w:pPr>
        <w:numPr>
          <w:numId w:val="1022"/>
          <w:ilvl w:val="0"/>
        </w:numPr>
      </w:pPr>
      <w:r>
        <w:t xml:space="preserve">In signal processing terms, the sound of a voice might be approached with timbre stamps or vocoders, a type of Fourier-based filter in which “the spectrum of one sound is used to derive a filter for another”</w:t>
      </w:r>
      <w:r>
        <w:t xml:space="preserve"> </w:t>
      </w:r>
      <w:r>
        <w:t xml:space="preserve">(Puckette 2007)</w:t>
      </w:r>
      <w:r>
        <w:t xml:space="preserve">.</w:t>
      </w:r>
      <w:hyperlink w:anchor="fnref44">
        <w:r>
          <w:rPr>
            <w:rStyle w:val="Hyperlink"/>
          </w:rPr>
          <w:t xml:space="preserve">↩</w:t>
        </w:r>
      </w:hyperlink>
    </w:p>
    <w:bookmarkEnd w:id="564"/>
    <w:bookmarkStart w:id="565" w:name="fn45"/>
    <w:p>
      <w:pPr>
        <w:numPr>
          <w:numId w:val="1022"/>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45">
        <w:r>
          <w:rPr>
            <w:rStyle w:val="Hyperlink"/>
          </w:rPr>
          <w:t xml:space="preserve">↩</w:t>
        </w:r>
      </w:hyperlink>
    </w:p>
    <w:bookmarkEnd w:id="565"/>
    <w:bookmarkStart w:id="566" w:name="fn46"/>
    <w:p>
      <w:pPr>
        <w:numPr>
          <w:numId w:val="1022"/>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46">
        <w:r>
          <w:rPr>
            <w:rStyle w:val="Hyperlink"/>
          </w:rPr>
          <w:t xml:space="preserve">↩</w:t>
        </w:r>
      </w:hyperlink>
    </w:p>
    <w:bookmarkEnd w:id="566"/>
    <w:bookmarkStart w:id="568" w:name="fn47"/>
    <w:p>
      <w:pPr>
        <w:numPr>
          <w:numId w:val="1022"/>
          <w:ilvl w:val="0"/>
        </w:numPr>
      </w:pPr>
      <w:hyperlink r:id="rId567">
        <w:r>
          <w:rPr>
            <w:rStyle w:val="Hyperlink"/>
          </w:rPr>
          <w:t xml:space="preserve">https://ccrma.stanford.edu/~blackrse/</w:t>
        </w:r>
      </w:hyperlink>
      <w:hyperlink w:anchor="fnref47">
        <w:r>
          <w:rPr>
            <w:rStyle w:val="Hyperlink"/>
          </w:rPr>
          <w:t xml:space="preserve">↩</w:t>
        </w:r>
      </w:hyperlink>
    </w:p>
    <w:bookmarkEnd w:id="568"/>
    <w:bookmarkStart w:id="569" w:name="fn48"/>
    <w:p>
      <w:pPr>
        <w:numPr>
          <w:numId w:val="1022"/>
          <w:ilvl w:val="0"/>
        </w:numPr>
      </w:pPr>
      <w:r>
        <w:t xml:space="preserve">The word ‘microsound’ refers to sonic events shaped below the threshold of the ‘note.’ See</w:t>
      </w:r>
      <w:r>
        <w:t xml:space="preserve"> </w:t>
      </w:r>
      <w:r>
        <w:t xml:space="preserve">(Roads 2001)</w:t>
      </w:r>
      <w:hyperlink w:anchor="fnref48">
        <w:r>
          <w:rPr>
            <w:rStyle w:val="Hyperlink"/>
          </w:rPr>
          <w:t xml:space="preserve">↩</w:t>
        </w:r>
      </w:hyperlink>
    </w:p>
    <w:bookmarkEnd w:id="569"/>
    <w:bookmarkStart w:id="570" w:name="fn49"/>
    <w:p>
      <w:pPr>
        <w:numPr>
          <w:numId w:val="1022"/>
          <w:ilvl w:val="0"/>
        </w:numPr>
      </w:pPr>
      <w:r>
        <w:t xml:space="preserve">“It is clear that this ‘hand,’ is not necessarily working without the extension of a computer’s mouse</w:t>
      </w:r>
      <w:r>
        <w:t xml:space="preserve"> </w:t>
      </w:r>
      <w:r>
        <w:t xml:space="preserve">(Solomos 2005, p. 4)</w:t>
      </w:r>
      <w:r>
        <w:t xml:space="preserve">.</w:t>
      </w:r>
      <w:hyperlink w:anchor="fnref49">
        <w:r>
          <w:rPr>
            <w:rStyle w:val="Hyperlink"/>
          </w:rPr>
          <w:t xml:space="preserve">↩</w:t>
        </w:r>
      </w:hyperlink>
    </w:p>
    <w:bookmarkEnd w:id="570"/>
    <w:bookmarkStart w:id="571" w:name="fn50"/>
    <w:p>
      <w:pPr>
        <w:numPr>
          <w:numId w:val="1022"/>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r>
        <w:t xml:space="preserve">.</w:t>
      </w:r>
      <w:hyperlink w:anchor="fnref50">
        <w:r>
          <w:rPr>
            <w:rStyle w:val="Hyperlink"/>
          </w:rPr>
          <w:t xml:space="preserve">↩</w:t>
        </w:r>
      </w:hyperlink>
    </w:p>
    <w:bookmarkEnd w:id="571"/>
    <w:bookmarkStart w:id="572" w:name="fn51"/>
    <w:p>
      <w:pPr>
        <w:numPr>
          <w:numId w:val="1022"/>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(Cámara Halac 2018b)</w:t>
      </w:r>
      <w:r>
        <w:t xml:space="preserve">.</w:t>
      </w:r>
      <w:hyperlink w:anchor="fnref51">
        <w:r>
          <w:rPr>
            <w:rStyle w:val="Hyperlink"/>
          </w:rPr>
          <w:t xml:space="preserve">↩</w:t>
        </w:r>
      </w:hyperlink>
    </w:p>
    <w:bookmarkEnd w:id="572"/>
    <w:bookmarkStart w:id="573" w:name="fn52"/>
    <w:p>
      <w:pPr>
        <w:numPr>
          <w:numId w:val="1022"/>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modifications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hyperlink w:anchor="fnref52">
        <w:r>
          <w:rPr>
            <w:rStyle w:val="Hyperlink"/>
          </w:rPr>
          <w:t xml:space="preserve">↩</w:t>
        </w:r>
      </w:hyperlink>
    </w:p>
    <w:bookmarkEnd w:id="573"/>
    <w:bookmarkStart w:id="574" w:name="fn53"/>
    <w:p>
      <w:pPr>
        <w:numPr>
          <w:numId w:val="1022"/>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r>
        <w:t xml:space="preserve">.</w:t>
      </w:r>
      <w:hyperlink w:anchor="fnref53">
        <w:r>
          <w:rPr>
            <w:rStyle w:val="Hyperlink"/>
          </w:rPr>
          <w:t xml:space="preserve">↩</w:t>
        </w:r>
      </w:hyperlink>
    </w:p>
    <w:bookmarkEnd w:id="574"/>
    <w:bookmarkStart w:id="575" w:name="fn54"/>
    <w:p>
      <w:pPr>
        <w:numPr>
          <w:numId w:val="1022"/>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54">
        <w:r>
          <w:rPr>
            <w:rStyle w:val="Hyperlink"/>
          </w:rPr>
          <w:t xml:space="preserve">↩</w:t>
        </w:r>
      </w:hyperlink>
    </w:p>
    <w:bookmarkEnd w:id="575"/>
    <w:bookmarkStart w:id="576" w:name="fn55"/>
    <w:p>
      <w:pPr>
        <w:numPr>
          <w:numId w:val="1022"/>
          <w:ilvl w:val="0"/>
        </w:numPr>
      </w:pPr>
      <w:r>
        <w:t xml:space="preserve">In a recent study, sound itself proven to make (tiny) gravitational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55">
        <w:r>
          <w:rPr>
            <w:rStyle w:val="Hyperlink"/>
          </w:rPr>
          <w:t xml:space="preserve">↩</w:t>
        </w:r>
      </w:hyperlink>
    </w:p>
    <w:bookmarkEnd w:id="576"/>
    <w:bookmarkStart w:id="577" w:name="fn56"/>
    <w:p>
      <w:pPr>
        <w:numPr>
          <w:numId w:val="1022"/>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56">
        <w:r>
          <w:rPr>
            <w:rStyle w:val="Hyperlink"/>
          </w:rPr>
          <w:t xml:space="preserve">↩</w:t>
        </w:r>
      </w:hyperlink>
    </w:p>
    <w:bookmarkEnd w:id="577"/>
    <w:bookmarkStart w:id="580" w:name="fn57"/>
    <w:p>
      <w:pPr>
        <w:numPr>
          <w:numId w:val="1022"/>
          <w:ilvl w:val="0"/>
        </w:numPr>
      </w:pPr>
      <w:r>
        <w:t xml:space="preserve">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578">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579">
        <w:r>
          <w:rPr>
            <w:rStyle w:val="Hyperlink"/>
          </w:rPr>
          <w:t xml:space="preserve">https://en.wikipedia.org/wiki/Dr._Strangelove</w:t>
        </w:r>
      </w:hyperlink>
      <w:hyperlink w:anchor="fnref57">
        <w:r>
          <w:rPr>
            <w:rStyle w:val="Hyperlink"/>
          </w:rPr>
          <w:t xml:space="preserve">↩</w:t>
        </w:r>
      </w:hyperlink>
    </w:p>
    <w:bookmarkEnd w:id="580"/>
    <w:bookmarkStart w:id="581" w:name="fn58"/>
    <w:p>
      <w:pPr>
        <w:numPr>
          <w:numId w:val="1022"/>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58">
        <w:r>
          <w:rPr>
            <w:rStyle w:val="Hyperlink"/>
          </w:rPr>
          <w:t xml:space="preserve">↩</w:t>
        </w:r>
      </w:hyperlink>
    </w:p>
    <w:bookmarkEnd w:id="581"/>
    <w:bookmarkStart w:id="582" w:name="fn59"/>
    <w:p>
      <w:pPr>
        <w:numPr>
          <w:numId w:val="1022"/>
          <w:ilvl w:val="0"/>
        </w:numPr>
      </w:pPr>
      <w:r>
        <w:t xml:space="preserve">Beyond a mention of “communication studies” by Mathews et al in New Jersey</w:t>
      </w:r>
      <w:hyperlink w:anchor="fnref59">
        <w:r>
          <w:rPr>
            <w:rStyle w:val="Hyperlink"/>
          </w:rPr>
          <w:t xml:space="preserve">↩</w:t>
        </w:r>
      </w:hyperlink>
    </w:p>
    <w:bookmarkEnd w:id="582"/>
    <w:bookmarkStart w:id="584" w:name="fn60"/>
    <w:p>
      <w:pPr>
        <w:numPr>
          <w:numId w:val="1022"/>
          <w:ilvl w:val="0"/>
        </w:numPr>
      </w:pPr>
      <w:r>
        <w:t xml:space="preserve">As an example, I would refer the reader to James Tenney’s work from 1962 “Five Stochastic Studies,” which can be found on his YouTube account:</w:t>
      </w:r>
      <w:r>
        <w:t xml:space="preserve"> </w:t>
      </w:r>
      <w:hyperlink r:id="rId583">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60">
        <w:r>
          <w:rPr>
            <w:rStyle w:val="Hyperlink"/>
          </w:rPr>
          <w:t xml:space="preserve">↩</w:t>
        </w:r>
      </w:hyperlink>
    </w:p>
    <w:bookmarkEnd w:id="584"/>
    <w:bookmarkStart w:id="585" w:name="fn61"/>
    <w:p>
      <w:pPr>
        <w:numPr>
          <w:numId w:val="1022"/>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61">
        <w:r>
          <w:rPr>
            <w:rStyle w:val="Hyperlink"/>
          </w:rPr>
          <w:t xml:space="preserve">↩</w:t>
        </w:r>
      </w:hyperlink>
    </w:p>
    <w:bookmarkEnd w:id="585"/>
    <w:bookmarkStart w:id="586" w:name="fn62"/>
    <w:p>
      <w:pPr>
        <w:numPr>
          <w:numId w:val="1022"/>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62">
        <w:r>
          <w:rPr>
            <w:rStyle w:val="Hyperlink"/>
          </w:rPr>
          <w:t xml:space="preserve">↩</w:t>
        </w:r>
      </w:hyperlink>
    </w:p>
    <w:bookmarkEnd w:id="586"/>
    <w:bookmarkStart w:id="587" w:name="fn63"/>
    <w:p>
      <w:pPr>
        <w:numPr>
          <w:numId w:val="1022"/>
          <w:ilvl w:val="0"/>
        </w:numPr>
      </w:pPr>
      <w:r>
        <w:t xml:space="preserve">I am referring here to the music improvisation work/system called</w:t>
      </w:r>
      <w:r>
        <w:t xml:space="preserve"> </w:t>
      </w:r>
      <w:r>
        <w:rPr>
          <w:i/>
        </w:rPr>
        <w:t xml:space="preserve">Voyager</w:t>
      </w:r>
      <w:r>
        <w:t xml:space="preserve"> </w:t>
      </w:r>
      <w:r>
        <w:t xml:space="preserve">in the early 1990s, and to some of Lewis’ subsequent writings</w:t>
      </w:r>
      <w:r>
        <w:t xml:space="preserve"> </w:t>
      </w:r>
      <w:r>
        <w:t xml:space="preserve">(Lewis 1999, 2000; Rowe et al. 1993)</w:t>
      </w:r>
      <w:r>
        <w:t xml:space="preserve">.</w:t>
      </w:r>
      <w:hyperlink w:anchor="fnref63">
        <w:r>
          <w:rPr>
            <w:rStyle w:val="Hyperlink"/>
          </w:rPr>
          <w:t xml:space="preserve">↩</w:t>
        </w:r>
      </w:hyperlink>
    </w:p>
    <w:bookmarkEnd w:id="587"/>
    <w:bookmarkStart w:id="588" w:name="fn64"/>
    <w:p>
      <w:pPr>
        <w:numPr>
          <w:numId w:val="1022"/>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 (See</w:t>
      </w:r>
      <w:r>
        <w:t xml:space="preserve"> </w:t>
      </w:r>
      <w:hyperlink w:anchor="fdch/papers/spectral">
        <w:r>
          <w:rPr>
            <w:rStyle w:val="Hyperlink"/>
          </w:rPr>
          <w:t xml:space="preserve">[fdch/papers/spectral]</w:t>
        </w:r>
      </w:hyperlink>
      <w:r>
        <w:t xml:space="preserve">)</w:t>
      </w:r>
      <w:hyperlink w:anchor="fnref64">
        <w:r>
          <w:rPr>
            <w:rStyle w:val="Hyperlink"/>
          </w:rPr>
          <w:t xml:space="preserve">↩</w:t>
        </w:r>
      </w:hyperlink>
    </w:p>
    <w:bookmarkEnd w:id="588"/>
    <w:bookmarkStart w:id="589" w:name="fn65"/>
    <w:p>
      <w:pPr>
        <w:numPr>
          <w:numId w:val="1022"/>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w:t>
      </w:r>
      <w:hyperlink w:anchor="fnref65">
        <w:r>
          <w:rPr>
            <w:rStyle w:val="Hyperlink"/>
          </w:rPr>
          <w:t xml:space="preserve">↩</w:t>
        </w:r>
      </w:hyperlink>
    </w:p>
    <w:bookmarkEnd w:id="589"/>
    <w:bookmarkStart w:id="590" w:name="fn66"/>
    <w:p>
      <w:pPr>
        <w:numPr>
          <w:numId w:val="1022"/>
          <w:ilvl w:val="0"/>
        </w:numPr>
      </w:pPr>
      <w:r>
        <w:t xml:space="preserve">“There is no built-in hierarchy of human leader/computer follower, no ‘veto’ 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r>
        <w:t xml:space="preserve">.</w:t>
      </w:r>
      <w:hyperlink w:anchor="fnref66">
        <w:r>
          <w:rPr>
            <w:rStyle w:val="Hyperlink"/>
          </w:rPr>
          <w:t xml:space="preserve">↩</w:t>
        </w:r>
      </w:hyperlink>
    </w:p>
    <w:bookmarkEnd w:id="590"/>
    <w:bookmarkStart w:id="591" w:name="fn67"/>
    <w:p>
      <w:pPr>
        <w:numPr>
          <w:numId w:val="1022"/>
          <w:ilvl w:val="0"/>
        </w:numPr>
      </w:pPr>
      <w:r>
        <w:t xml:space="preserve">In light of these difficulties arising from programming, in response to Lewis’ criticism of the MAX patching paradigm, Miller Puckette responds: “If you wish your computer to be more than just a musical instrument —if you want it to be an improvisation partner, for instance— you need a programming language. One thing people in this situation might want to do is write MAX external C procedure”</w:t>
      </w:r>
      <w:r>
        <w:t xml:space="preserve"> </w:t>
      </w:r>
      <w:r>
        <w:t xml:space="preserve">(Rowe et al. 1993, p. 8)</w:t>
      </w:r>
      <w:r>
        <w:t xml:space="preserve">.</w:t>
      </w:r>
      <w:hyperlink w:anchor="fnref67">
        <w:r>
          <w:rPr>
            <w:rStyle w:val="Hyperlink"/>
          </w:rPr>
          <w:t xml:space="preserve">↩</w:t>
        </w:r>
      </w:hyperlink>
    </w:p>
    <w:bookmarkEnd w:id="591"/>
    <w:bookmarkStart w:id="592" w:name="fn68"/>
    <w:p>
      <w:pPr>
        <w:numPr>
          <w:numId w:val="1022"/>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68">
        <w:r>
          <w:rPr>
            <w:rStyle w:val="Hyperlink"/>
          </w:rPr>
          <w:t xml:space="preserve">↩</w:t>
        </w:r>
      </w:hyperlink>
    </w:p>
    <w:bookmarkEnd w:id="592"/>
    <w:bookmarkStart w:id="593" w:name="fn69"/>
    <w:p>
      <w:pPr>
        <w:numPr>
          <w:numId w:val="1022"/>
          <w:ilvl w:val="0"/>
        </w:numPr>
      </w:pPr>
      <w:r>
        <w:t xml:space="preserve">I hope the reader would forgive me for having borrowed these adjectives out of context —‘entirely’ and ‘really’— so as to allow my argument to echo with Lewis’ for a while.</w:t>
      </w:r>
      <w:hyperlink w:anchor="fnref69">
        <w:r>
          <w:rPr>
            <w:rStyle w:val="Hyperlink"/>
          </w:rPr>
          <w:t xml:space="preserve">↩</w:t>
        </w:r>
      </w:hyperlink>
    </w:p>
    <w:bookmarkEnd w:id="593"/>
    <w:bookmarkStart w:id="594" w:name="fn70"/>
    <w:p>
      <w:pPr>
        <w:numPr>
          <w:numId w:val="1022"/>
          <w:ilvl w:val="0"/>
        </w:numPr>
      </w:pPr>
      <w:r>
        <w:t xml:space="preserve">Since, the notion of a ‘piece’ presupposes that of the whole to which it belongs.</w:t>
      </w:r>
      <w:hyperlink w:anchor="fnref70">
        <w:r>
          <w:rPr>
            <w:rStyle w:val="Hyperlink"/>
          </w:rPr>
          <w:t xml:space="preserve">↩</w:t>
        </w:r>
      </w:hyperlink>
    </w:p>
    <w:bookmarkEnd w:id="594"/>
    <w:bookmarkStart w:id="595" w:name="fn71"/>
    <w:p>
      <w:pPr>
        <w:numPr>
          <w:numId w:val="1022"/>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71">
        <w:r>
          <w:rPr>
            <w:rStyle w:val="Hyperlink"/>
          </w:rPr>
          <w:t xml:space="preserve">↩</w:t>
        </w:r>
      </w:hyperlink>
    </w:p>
    <w:bookmarkEnd w:id="595"/>
    <w:bookmarkStart w:id="596" w:name="fn72"/>
    <w:p>
      <w:pPr>
        <w:numPr>
          <w:numId w:val="1022"/>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72">
        <w:r>
          <w:rPr>
            <w:rStyle w:val="Hyperlink"/>
          </w:rPr>
          <w:t xml:space="preserve">↩</w:t>
        </w:r>
      </w:hyperlink>
    </w:p>
    <w:bookmarkEnd w:id="596"/>
    <w:bookmarkStart w:id="597" w:name="fn73"/>
    <w:p>
      <w:pPr>
        <w:numPr>
          <w:numId w:val="1022"/>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73">
        <w:r>
          <w:rPr>
            <w:rStyle w:val="Hyperlink"/>
          </w:rPr>
          <w:t xml:space="preserve">↩</w:t>
        </w:r>
      </w:hyperlink>
    </w:p>
    <w:bookmarkEnd w:id="597"/>
    <w:bookmarkStart w:id="598" w:name="fn74"/>
    <w:p>
      <w:pPr>
        <w:numPr>
          <w:numId w:val="1022"/>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74">
        <w:r>
          <w:rPr>
            <w:rStyle w:val="Hyperlink"/>
          </w:rPr>
          <w:t xml:space="preserve">↩</w:t>
        </w:r>
      </w:hyperlink>
    </w:p>
    <w:bookmarkEnd w:id="598"/>
    <w:bookmarkStart w:id="600" w:name="fn75"/>
    <w:p>
      <w:pPr>
        <w:numPr>
          <w:numId w:val="1022"/>
          <w:ilvl w:val="0"/>
        </w:numPr>
      </w:pPr>
      <w:hyperlink r:id="rId599">
        <w:r>
          <w:rPr>
            <w:rStyle w:val="Hyperlink"/>
          </w:rPr>
          <w:t xml:space="preserve">https://en.wikipedia.org/wiki/Overfitting</w:t>
        </w:r>
      </w:hyperlink>
      <w:hyperlink w:anchor="fnref75">
        <w:r>
          <w:rPr>
            <w:rStyle w:val="Hyperlink"/>
          </w:rPr>
          <w:t xml:space="preserve">↩</w:t>
        </w:r>
      </w:hyperlink>
    </w:p>
    <w:bookmarkEnd w:id="6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png" /><Relationship Type="http://schemas.openxmlformats.org/officeDocument/2006/relationships/image" Id="rId20" Target="media/rId20.jpg" /><Relationship Type="http://schemas.openxmlformats.org/officeDocument/2006/relationships/image" Id="rId66" Target="media/rId66.png" /><Relationship Type="http://schemas.openxmlformats.org/officeDocument/2006/relationships/image" Id="rId207" Target="media/rId207.png" /><Relationship Type="http://schemas.openxmlformats.org/officeDocument/2006/relationships/image" Id="rId88" Target="media/rId88.png" /><Relationship Type="http://schemas.openxmlformats.org/officeDocument/2006/relationships/image" Id="rId85" Target="media/rId85.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91" Target="media/rId91.png" /><Relationship Type="http://schemas.openxmlformats.org/officeDocument/2006/relationships/image" Id="rId120" Target="media/rId120.png" /><Relationship Type="http://schemas.openxmlformats.org/officeDocument/2006/relationships/hyperlink" Id="rId547" Target="http://freesound.org" TargetMode="External" /><Relationship Type="http://schemas.openxmlformats.org/officeDocument/2006/relationships/hyperlink" Id="rId538" Target="http://insookchoi.com" TargetMode="External" /><Relationship Type="http://schemas.openxmlformats.org/officeDocument/2006/relationships/hyperlink" Id="rId314" Target="http://ismir2000.ismir.net/papers/invites/dunn_invite.pdf" TargetMode="External" /><Relationship Type="http://schemas.openxmlformats.org/officeDocument/2006/relationships/hyperlink" Id="rId338" Target="http://ismir2000.ismir.net/posters/good.pdf" TargetMode="External" /><Relationship Type="http://schemas.openxmlformats.org/officeDocument/2006/relationships/hyperlink" Id="rId479" Target="http://ismir2002.ismir.net/proceedings/02-FP06-3.pdf" TargetMode="External" /><Relationship Type="http://schemas.openxmlformats.org/officeDocument/2006/relationships/hyperlink" Id="rId340" Target="http://ismir2002.ismir.net/proceedings/03-SP04-1.pdf" TargetMode="External" /><Relationship Type="http://schemas.openxmlformats.org/officeDocument/2006/relationships/hyperlink" Id="rId342" Target="http://ismir2003.ismir.net/papers/Goto1.PDF" TargetMode="External" /><Relationship Type="http://schemas.openxmlformats.org/officeDocument/2006/relationships/hyperlink" Id="rId492" Target="http://ismir2004.ismir.net/proceedings/p010-page-48-paper227.pdf" TargetMode="External" /><Relationship Type="http://schemas.openxmlformats.org/officeDocument/2006/relationships/hyperlink" Id="rId358" Target="http://ismir2005.ismir.net/proceedings/2117.pdf" TargetMode="External" /><Relationship Type="http://schemas.openxmlformats.org/officeDocument/2006/relationships/hyperlink" Id="rId366" Target="http://ismir2008.ismir.net/papers/ISMIR2008_106.pdf" TargetMode="External" /><Relationship Type="http://schemas.openxmlformats.org/officeDocument/2006/relationships/hyperlink" Id="rId393" Target="http://ismir2008.ismir.net/papers/ISMIR2008_158.pdf" TargetMode="External" /><Relationship Type="http://schemas.openxmlformats.org/officeDocument/2006/relationships/hyperlink" Id="rId350" Target="http://ismir2008.ismir.net/papers/ISMIR2008_173.pdf" TargetMode="External" /><Relationship Type="http://schemas.openxmlformats.org/officeDocument/2006/relationships/hyperlink" Id="rId376" Target="http://ismir2015.uma.es/articles/246_Paper.pdf" TargetMode="External" /><Relationship Type="http://schemas.openxmlformats.org/officeDocument/2006/relationships/hyperlink" Id="rId306" Target="http://ismir2015.uma.es/articles/261_Paper.pdf" TargetMode="External" /><Relationship Type="http://schemas.openxmlformats.org/officeDocument/2006/relationships/hyperlink" Id="rId490" Target="http://ismir2018.ircam.fr/doc/pdfs/114_Paper.pdf" TargetMode="External" /><Relationship Type="http://schemas.openxmlformats.org/officeDocument/2006/relationships/hyperlink" Id="rId496" Target="http://ismir2018.ircam.fr/doc/pdfs/188_Paper.pdf" TargetMode="External" /><Relationship Type="http://schemas.openxmlformats.org/officeDocument/2006/relationships/hyperlink" Id="rId320" Target="http://ismir2018.ircam.fr/doc/pdfs/206_Paper.pdf" TargetMode="External" /><Relationship Type="http://schemas.openxmlformats.org/officeDocument/2006/relationships/hyperlink" Id="rId360" Target="http://ismir2018.ircam.fr/doc/pdfs/248_Paper.pdf" TargetMode="External" /><Relationship Type="http://schemas.openxmlformats.org/officeDocument/2006/relationships/hyperlink" Id="rId312" Target="http://ismir2018.ircam.fr/doc/pdfs/265_Paper.pdf" TargetMode="External" /><Relationship Type="http://schemas.openxmlformats.org/officeDocument/2006/relationships/hyperlink" Id="rId400" Target="http://ismir2018.ircam.fr/doc/pdfs/35_Paper.pdf" TargetMode="External" /><Relationship Type="http://schemas.openxmlformats.org/officeDocument/2006/relationships/hyperlink" Id="rId523" Target="http://www.icad.org/websiteV2.0/Conferences/ICAD96/proc96/lodha.htm" TargetMode="External" /><Relationship Type="http://schemas.openxmlformats.org/officeDocument/2006/relationships/hyperlink" Id="rId518" Target="http://www.natashabarrett.org/viva.html" TargetMode="External" /><Relationship Type="http://schemas.openxmlformats.org/officeDocument/2006/relationships/hyperlink" Id="rId370" Target="http://www.nime.org/proceedings/2004/nime2004_130.pdf" TargetMode="External" /><Relationship Type="http://schemas.openxmlformats.org/officeDocument/2006/relationships/hyperlink" Id="rId503" Target="http://www.nime.org/proceedings/2007/nime2007_352.pdf" TargetMode="External" /><Relationship Type="http://schemas.openxmlformats.org/officeDocument/2006/relationships/hyperlink" Id="rId406" Target="http://www.nime.org/proceedings/2007/nime2007_409.pdf" TargetMode="External" /><Relationship Type="http://schemas.openxmlformats.org/officeDocument/2006/relationships/hyperlink" Id="rId388" Target="http://www.nime.org/proceedings/2008/nime2008_221.pdf" TargetMode="External" /><Relationship Type="http://schemas.openxmlformats.org/officeDocument/2006/relationships/hyperlink" Id="rId426" Target="http://www.nime.org/proceedings/2008/nime2008_311.pdf" TargetMode="External" /><Relationship Type="http://schemas.openxmlformats.org/officeDocument/2006/relationships/hyperlink" Id="rId265" Target="http://www.nime.org/proceedings/2009/nime2009_266.pdf" TargetMode="External" /><Relationship Type="http://schemas.openxmlformats.org/officeDocument/2006/relationships/hyperlink" Id="rId356" Target="http://www.nime.org/proceedings/2010/nime2010_233.pdf" TargetMode="External" /><Relationship Type="http://schemas.openxmlformats.org/officeDocument/2006/relationships/hyperlink" Id="rId333" Target="http://www.nime.org/proceedings/2010/nime2010_473.pdf" TargetMode="External" /><Relationship Type="http://schemas.openxmlformats.org/officeDocument/2006/relationships/hyperlink" Id="rId335" Target="http://www.nime.org/proceedings/2011/nime2011_124.pdf" TargetMode="External" /><Relationship Type="http://schemas.openxmlformats.org/officeDocument/2006/relationships/hyperlink" Id="rId276" Target="http://www.nime.org/proceedings/2011/nime2011_329.pdf" TargetMode="External" /><Relationship Type="http://schemas.openxmlformats.org/officeDocument/2006/relationships/hyperlink" Id="rId263" Target="http://www.nime.org/proceedings/2011/nime2011_387.pdf" TargetMode="External" /><Relationship Type="http://schemas.openxmlformats.org/officeDocument/2006/relationships/hyperlink" Id="rId352" Target="http://www.ppgia.pucpr.br/ismir2013/wp-content/uploads/2013/09/85_Paper.pdf" TargetMode="External" /><Relationship Type="http://schemas.openxmlformats.org/officeDocument/2006/relationships/hyperlink" Id="rId235" Target="http://www.terasoft.com.tw/conf/ismir2014/proceedings/T014_162_Paper.pdf" TargetMode="External" /><Relationship Type="http://schemas.openxmlformats.org/officeDocument/2006/relationships/hyperlink" Id="rId249" Target="http://www.terasoft.com.tw/conf/ismir2014/proceedings/T028_322_Paper.pdf" TargetMode="External" /><Relationship Type="http://schemas.openxmlformats.org/officeDocument/2006/relationships/hyperlink" Id="rId373" Target="http://www.terasoft.com.tw/conf/ismir2014/proceedings/T039_344_Paper.pdf" TargetMode="External" /><Relationship Type="http://schemas.openxmlformats.org/officeDocument/2006/relationships/hyperlink" Id="rId345" Target="http://www.terasoft.com.tw/conf/ismir2014/proceedings/T059_257_Paper.pdf" TargetMode="External" /><Relationship Type="http://schemas.openxmlformats.org/officeDocument/2006/relationships/hyperlink" Id="rId423" Target="http://www.terasoft.com.tw/conf/ismir2014/proceedings/T064_307_Paper.pdf" TargetMode="External" /><Relationship Type="http://schemas.openxmlformats.org/officeDocument/2006/relationships/hyperlink" Id="rId567" Target="https://ccrma.stanford.edu/~blackrse/" TargetMode="External" /><Relationship Type="http://schemas.openxmlformats.org/officeDocument/2006/relationships/hyperlink" Id="rId528" Target="https://developer.apple.com/documentation/metal" TargetMode="External" /><Relationship Type="http://schemas.openxmlformats.org/officeDocument/2006/relationships/hyperlink" Id="rId559" Target="https://en.cppreference.com/w/cpp/language/destructor" TargetMode="External" /><Relationship Type="http://schemas.openxmlformats.org/officeDocument/2006/relationships/hyperlink" Id="rId579" Target="https://en.wikipedia.org/wiki/Dr._Strangelove" TargetMode="External" /><Relationship Type="http://schemas.openxmlformats.org/officeDocument/2006/relationships/hyperlink" Id="rId507" Target="https://en.wikipedia.org/wiki/I_Am_Sitting_in_a_Room" TargetMode="External" /><Relationship Type="http://schemas.openxmlformats.org/officeDocument/2006/relationships/hyperlink" Id="rId556" Target="https://en.wikipedia.org/wiki/Leo_Beranek" TargetMode="External" /><Relationship Type="http://schemas.openxmlformats.org/officeDocument/2006/relationships/hyperlink" Id="rId599" Target="https://en.wikipedia.org/wiki/Overfitting"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56" Target="https://hal.archives-ouvertes.fr/hal-01393959" TargetMode="External" /><Relationship Type="http://schemas.openxmlformats.org/officeDocument/2006/relationships/hyperlink" Id="rId418" Target="https://ismir2017.smcnus.org/wp-content/uploads/2017/10/14_Paper.pdf" TargetMode="External" /><Relationship Type="http://schemas.openxmlformats.org/officeDocument/2006/relationships/hyperlink" Id="rId326" Target="https://ismir2017.smcnus.org/wp-content/uploads/2017/10/161_Paper.pdf" TargetMode="External" /><Relationship Type="http://schemas.openxmlformats.org/officeDocument/2006/relationships/hyperlink" Id="rId476" Target="https://ismir2017.smcnus.org/wp-content/uploads/2017/10/180_Paper.pdf" TargetMode="External" /><Relationship Type="http://schemas.openxmlformats.org/officeDocument/2006/relationships/hyperlink" Id="rId295" Target="https://ismir2017.smcnus.org/wp-content/uploads/2017/10/235_Paper.pdf" TargetMode="External" /><Relationship Type="http://schemas.openxmlformats.org/officeDocument/2006/relationships/hyperlink" Id="rId300" Target="https://ismir2017.smcnus.org/wp-content/uploads/2017/10/75_Paper.pdf" TargetMode="External" /><Relationship Type="http://schemas.openxmlformats.org/officeDocument/2006/relationships/hyperlink" Id="rId561" Target="https://mpc.chs.harvard.edu/" TargetMode="External" /><Relationship Type="http://schemas.openxmlformats.org/officeDocument/2006/relationships/hyperlink" Id="rId540" Target="https://sihwapark.com/COMPath" TargetMode="External" /><Relationship Type="http://schemas.openxmlformats.org/officeDocument/2006/relationships/hyperlink" Id="rId521" Target="https://soundcloud.com/falk-morawitz/spin-dynamics-stereo-reduction" TargetMode="External" /><Relationship Type="http://schemas.openxmlformats.org/officeDocument/2006/relationships/hyperlink" Id="rId530" Target="https://vimeo.com/167646306" TargetMode="External" /><Relationship Type="http://schemas.openxmlformats.org/officeDocument/2006/relationships/hyperlink" Id="rId537" Target="https://vimeo.com/23086026" TargetMode="External" /><Relationship Type="http://schemas.openxmlformats.org/officeDocument/2006/relationships/hyperlink" Id="rId297" Target="https://www.cs.unm.edu/~crowley/papers/sds.pdf" TargetMode="External" /><Relationship Type="http://schemas.openxmlformats.org/officeDocument/2006/relationships/hyperlink" Id="rId525" Target="https://www.joaomenezes.net/sondata" TargetMode="External" /><Relationship Type="http://schemas.openxmlformats.org/officeDocument/2006/relationships/hyperlink" Id="rId578" Target="https://www.mersenne.org/primes/" TargetMode="External" /><Relationship Type="http://schemas.openxmlformats.org/officeDocument/2006/relationships/hyperlink" Id="rId583"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547" Target="http://freesound.org" TargetMode="External" /><Relationship Type="http://schemas.openxmlformats.org/officeDocument/2006/relationships/hyperlink" Id="rId538" Target="http://insookchoi.com" TargetMode="External" /><Relationship Type="http://schemas.openxmlformats.org/officeDocument/2006/relationships/hyperlink" Id="rId314" Target="http://ismir2000.ismir.net/papers/invites/dunn_invite.pdf" TargetMode="External" /><Relationship Type="http://schemas.openxmlformats.org/officeDocument/2006/relationships/hyperlink" Id="rId338" Target="http://ismir2000.ismir.net/posters/good.pdf" TargetMode="External" /><Relationship Type="http://schemas.openxmlformats.org/officeDocument/2006/relationships/hyperlink" Id="rId479" Target="http://ismir2002.ismir.net/proceedings/02-FP06-3.pdf" TargetMode="External" /><Relationship Type="http://schemas.openxmlformats.org/officeDocument/2006/relationships/hyperlink" Id="rId340" Target="http://ismir2002.ismir.net/proceedings/03-SP04-1.pdf" TargetMode="External" /><Relationship Type="http://schemas.openxmlformats.org/officeDocument/2006/relationships/hyperlink" Id="rId342" Target="http://ismir2003.ismir.net/papers/Goto1.PDF" TargetMode="External" /><Relationship Type="http://schemas.openxmlformats.org/officeDocument/2006/relationships/hyperlink" Id="rId492" Target="http://ismir2004.ismir.net/proceedings/p010-page-48-paper227.pdf" TargetMode="External" /><Relationship Type="http://schemas.openxmlformats.org/officeDocument/2006/relationships/hyperlink" Id="rId358" Target="http://ismir2005.ismir.net/proceedings/2117.pdf" TargetMode="External" /><Relationship Type="http://schemas.openxmlformats.org/officeDocument/2006/relationships/hyperlink" Id="rId366" Target="http://ismir2008.ismir.net/papers/ISMIR2008_106.pdf" TargetMode="External" /><Relationship Type="http://schemas.openxmlformats.org/officeDocument/2006/relationships/hyperlink" Id="rId393" Target="http://ismir2008.ismir.net/papers/ISMIR2008_158.pdf" TargetMode="External" /><Relationship Type="http://schemas.openxmlformats.org/officeDocument/2006/relationships/hyperlink" Id="rId350" Target="http://ismir2008.ismir.net/papers/ISMIR2008_173.pdf" TargetMode="External" /><Relationship Type="http://schemas.openxmlformats.org/officeDocument/2006/relationships/hyperlink" Id="rId376" Target="http://ismir2015.uma.es/articles/246_Paper.pdf" TargetMode="External" /><Relationship Type="http://schemas.openxmlformats.org/officeDocument/2006/relationships/hyperlink" Id="rId306" Target="http://ismir2015.uma.es/articles/261_Paper.pdf" TargetMode="External" /><Relationship Type="http://schemas.openxmlformats.org/officeDocument/2006/relationships/hyperlink" Id="rId490" Target="http://ismir2018.ircam.fr/doc/pdfs/114_Paper.pdf" TargetMode="External" /><Relationship Type="http://schemas.openxmlformats.org/officeDocument/2006/relationships/hyperlink" Id="rId496" Target="http://ismir2018.ircam.fr/doc/pdfs/188_Paper.pdf" TargetMode="External" /><Relationship Type="http://schemas.openxmlformats.org/officeDocument/2006/relationships/hyperlink" Id="rId320" Target="http://ismir2018.ircam.fr/doc/pdfs/206_Paper.pdf" TargetMode="External" /><Relationship Type="http://schemas.openxmlformats.org/officeDocument/2006/relationships/hyperlink" Id="rId360" Target="http://ismir2018.ircam.fr/doc/pdfs/248_Paper.pdf" TargetMode="External" /><Relationship Type="http://schemas.openxmlformats.org/officeDocument/2006/relationships/hyperlink" Id="rId312" Target="http://ismir2018.ircam.fr/doc/pdfs/265_Paper.pdf" TargetMode="External" /><Relationship Type="http://schemas.openxmlformats.org/officeDocument/2006/relationships/hyperlink" Id="rId400" Target="http://ismir2018.ircam.fr/doc/pdfs/35_Paper.pdf" TargetMode="External" /><Relationship Type="http://schemas.openxmlformats.org/officeDocument/2006/relationships/hyperlink" Id="rId523" Target="http://www.icad.org/websiteV2.0/Conferences/ICAD96/proc96/lodha.htm" TargetMode="External" /><Relationship Type="http://schemas.openxmlformats.org/officeDocument/2006/relationships/hyperlink" Id="rId518" Target="http://www.natashabarrett.org/viva.html" TargetMode="External" /><Relationship Type="http://schemas.openxmlformats.org/officeDocument/2006/relationships/hyperlink" Id="rId370" Target="http://www.nime.org/proceedings/2004/nime2004_130.pdf" TargetMode="External" /><Relationship Type="http://schemas.openxmlformats.org/officeDocument/2006/relationships/hyperlink" Id="rId503" Target="http://www.nime.org/proceedings/2007/nime2007_352.pdf" TargetMode="External" /><Relationship Type="http://schemas.openxmlformats.org/officeDocument/2006/relationships/hyperlink" Id="rId406" Target="http://www.nime.org/proceedings/2007/nime2007_409.pdf" TargetMode="External" /><Relationship Type="http://schemas.openxmlformats.org/officeDocument/2006/relationships/hyperlink" Id="rId388" Target="http://www.nime.org/proceedings/2008/nime2008_221.pdf" TargetMode="External" /><Relationship Type="http://schemas.openxmlformats.org/officeDocument/2006/relationships/hyperlink" Id="rId426" Target="http://www.nime.org/proceedings/2008/nime2008_311.pdf" TargetMode="External" /><Relationship Type="http://schemas.openxmlformats.org/officeDocument/2006/relationships/hyperlink" Id="rId265" Target="http://www.nime.org/proceedings/2009/nime2009_266.pdf" TargetMode="External" /><Relationship Type="http://schemas.openxmlformats.org/officeDocument/2006/relationships/hyperlink" Id="rId356" Target="http://www.nime.org/proceedings/2010/nime2010_233.pdf" TargetMode="External" /><Relationship Type="http://schemas.openxmlformats.org/officeDocument/2006/relationships/hyperlink" Id="rId333" Target="http://www.nime.org/proceedings/2010/nime2010_473.pdf" TargetMode="External" /><Relationship Type="http://schemas.openxmlformats.org/officeDocument/2006/relationships/hyperlink" Id="rId335" Target="http://www.nime.org/proceedings/2011/nime2011_124.pdf" TargetMode="External" /><Relationship Type="http://schemas.openxmlformats.org/officeDocument/2006/relationships/hyperlink" Id="rId276" Target="http://www.nime.org/proceedings/2011/nime2011_329.pdf" TargetMode="External" /><Relationship Type="http://schemas.openxmlformats.org/officeDocument/2006/relationships/hyperlink" Id="rId263" Target="http://www.nime.org/proceedings/2011/nime2011_387.pdf" TargetMode="External" /><Relationship Type="http://schemas.openxmlformats.org/officeDocument/2006/relationships/hyperlink" Id="rId352" Target="http://www.ppgia.pucpr.br/ismir2013/wp-content/uploads/2013/09/85_Paper.pdf" TargetMode="External" /><Relationship Type="http://schemas.openxmlformats.org/officeDocument/2006/relationships/hyperlink" Id="rId235" Target="http://www.terasoft.com.tw/conf/ismir2014/proceedings/T014_162_Paper.pdf" TargetMode="External" /><Relationship Type="http://schemas.openxmlformats.org/officeDocument/2006/relationships/hyperlink" Id="rId249" Target="http://www.terasoft.com.tw/conf/ismir2014/proceedings/T028_322_Paper.pdf" TargetMode="External" /><Relationship Type="http://schemas.openxmlformats.org/officeDocument/2006/relationships/hyperlink" Id="rId373" Target="http://www.terasoft.com.tw/conf/ismir2014/proceedings/T039_344_Paper.pdf" TargetMode="External" /><Relationship Type="http://schemas.openxmlformats.org/officeDocument/2006/relationships/hyperlink" Id="rId345" Target="http://www.terasoft.com.tw/conf/ismir2014/proceedings/T059_257_Paper.pdf" TargetMode="External" /><Relationship Type="http://schemas.openxmlformats.org/officeDocument/2006/relationships/hyperlink" Id="rId423" Target="http://www.terasoft.com.tw/conf/ismir2014/proceedings/T064_307_Paper.pdf" TargetMode="External" /><Relationship Type="http://schemas.openxmlformats.org/officeDocument/2006/relationships/hyperlink" Id="rId567" Target="https://ccrma.stanford.edu/~blackrse/" TargetMode="External" /><Relationship Type="http://schemas.openxmlformats.org/officeDocument/2006/relationships/hyperlink" Id="rId528" Target="https://developer.apple.com/documentation/metal" TargetMode="External" /><Relationship Type="http://schemas.openxmlformats.org/officeDocument/2006/relationships/hyperlink" Id="rId559" Target="https://en.cppreference.com/w/cpp/language/destructor" TargetMode="External" /><Relationship Type="http://schemas.openxmlformats.org/officeDocument/2006/relationships/hyperlink" Id="rId579" Target="https://en.wikipedia.org/wiki/Dr._Strangelove" TargetMode="External" /><Relationship Type="http://schemas.openxmlformats.org/officeDocument/2006/relationships/hyperlink" Id="rId507" Target="https://en.wikipedia.org/wiki/I_Am_Sitting_in_a_Room" TargetMode="External" /><Relationship Type="http://schemas.openxmlformats.org/officeDocument/2006/relationships/hyperlink" Id="rId556" Target="https://en.wikipedia.org/wiki/Leo_Beranek" TargetMode="External" /><Relationship Type="http://schemas.openxmlformats.org/officeDocument/2006/relationships/hyperlink" Id="rId599" Target="https://en.wikipedia.org/wiki/Overfitting"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56" Target="https://hal.archives-ouvertes.fr/hal-01393959" TargetMode="External" /><Relationship Type="http://schemas.openxmlformats.org/officeDocument/2006/relationships/hyperlink" Id="rId418" Target="https://ismir2017.smcnus.org/wp-content/uploads/2017/10/14_Paper.pdf" TargetMode="External" /><Relationship Type="http://schemas.openxmlformats.org/officeDocument/2006/relationships/hyperlink" Id="rId326" Target="https://ismir2017.smcnus.org/wp-content/uploads/2017/10/161_Paper.pdf" TargetMode="External" /><Relationship Type="http://schemas.openxmlformats.org/officeDocument/2006/relationships/hyperlink" Id="rId476" Target="https://ismir2017.smcnus.org/wp-content/uploads/2017/10/180_Paper.pdf" TargetMode="External" /><Relationship Type="http://schemas.openxmlformats.org/officeDocument/2006/relationships/hyperlink" Id="rId295" Target="https://ismir2017.smcnus.org/wp-content/uploads/2017/10/235_Paper.pdf" TargetMode="External" /><Relationship Type="http://schemas.openxmlformats.org/officeDocument/2006/relationships/hyperlink" Id="rId300" Target="https://ismir2017.smcnus.org/wp-content/uploads/2017/10/75_Paper.pdf" TargetMode="External" /><Relationship Type="http://schemas.openxmlformats.org/officeDocument/2006/relationships/hyperlink" Id="rId561" Target="https://mpc.chs.harvard.edu/" TargetMode="External" /><Relationship Type="http://schemas.openxmlformats.org/officeDocument/2006/relationships/hyperlink" Id="rId540" Target="https://sihwapark.com/COMPath" TargetMode="External" /><Relationship Type="http://schemas.openxmlformats.org/officeDocument/2006/relationships/hyperlink" Id="rId521" Target="https://soundcloud.com/falk-morawitz/spin-dynamics-stereo-reduction" TargetMode="External" /><Relationship Type="http://schemas.openxmlformats.org/officeDocument/2006/relationships/hyperlink" Id="rId530" Target="https://vimeo.com/167646306" TargetMode="External" /><Relationship Type="http://schemas.openxmlformats.org/officeDocument/2006/relationships/hyperlink" Id="rId537" Target="https://vimeo.com/23086026" TargetMode="External" /><Relationship Type="http://schemas.openxmlformats.org/officeDocument/2006/relationships/hyperlink" Id="rId297" Target="https://www.cs.unm.edu/~crowley/papers/sds.pdf" TargetMode="External" /><Relationship Type="http://schemas.openxmlformats.org/officeDocument/2006/relationships/hyperlink" Id="rId525" Target="https://www.joaomenezes.net/sondata" TargetMode="External" /><Relationship Type="http://schemas.openxmlformats.org/officeDocument/2006/relationships/hyperlink" Id="rId578" Target="https://www.mersenne.org/primes/" TargetMode="External" /><Relationship Type="http://schemas.openxmlformats.org/officeDocument/2006/relationships/hyperlink" Id="rId583"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2019-03-31T13:58:02Z</dcterms:created>
  <dcterms:modified xsi:type="dcterms:W3CDTF">2019-03-31T13:58:02Z</dcterms:modified>
</cp:coreProperties>
</file>

<file path=docProps/custom.xml><?xml version="1.0" encoding="utf-8"?>
<Properties xmlns="http://schemas.openxmlformats.org/officeDocument/2006/custom-properties" xmlns:vt="http://schemas.openxmlformats.org/officeDocument/2006/docPropsVTypes"/>
</file>