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4.png" ContentType="image/png"/>
  <Override PartName="/word/media/rId20.jpg" ContentType="image/jpeg"/>
  <Override PartName="/word/media/rId66.png" ContentType="image/png"/>
  <Override PartName="/word/media/rId212.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dc6db904ad977d5b954cf3c9c455f3f4fa43e5b">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ec68453c8cc129b4ce436d3f67f46ba702f92a5">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8"/>
          <w:ilvl w:val="3"/>
        </w:numPr>
      </w:pPr>
      <w:hyperlink w:anchor="sonification:software">
        <w:r>
          <w:rPr>
            <w:rStyle w:val="Hyperlink"/>
          </w:rPr>
          <w:t xml:space="preserve">Sonification Software</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s">
        <w:r>
          <w:rPr>
            <w:rStyle w:val="Hyperlink"/>
          </w:rPr>
          <w:t xml:space="preserve">Listening Databases</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Databases_And_Memory">
        <w:r>
          <w:rPr>
            <w:rStyle w:val="Hyperlink"/>
          </w:rPr>
          <w:t xml:space="preserve">Databases And 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tivity_Of_Databases">
        <w:r>
          <w:rPr>
            <w:rStyle w:val="Hyperlink"/>
          </w:rPr>
          <w:t xml:space="preserve">Performativity Of Databases</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11"/>
          <w:ilvl w:val="1"/>
        </w:numPr>
      </w:pPr>
      <w:hyperlink w:anchor="section:Rethinking_Composition">
        <w:r>
          <w:rPr>
            <w:rStyle w:val="Hyperlink"/>
          </w:rPr>
          <w:t xml:space="preserve">Rethinking Composition</w:t>
        </w:r>
      </w:hyperlink>
    </w:p>
    <w:p>
      <w:pPr>
        <w:pStyle w:val="Compact"/>
        <w:numPr>
          <w:numId w:val="1015"/>
          <w:ilvl w:val="2"/>
        </w:numPr>
      </w:pPr>
      <w:hyperlink w:anchor="performance">
        <w:r>
          <w:rPr>
            <w:rStyle w:val="Hyperlink"/>
          </w:rPr>
          <w:t xml:space="preserve">Interlude: Hyperbolic Reactions</w:t>
        </w:r>
      </w:hyperlink>
    </w:p>
    <w:p>
      <w:pPr>
        <w:pStyle w:val="Compact"/>
        <w:numPr>
          <w:numId w:val="1015"/>
          <w:ilvl w:val="2"/>
        </w:numPr>
      </w:pPr>
      <w:hyperlink w:anchor="organic">
        <w:r>
          <w:rPr>
            <w:rStyle w:val="Hyperlink"/>
          </w:rPr>
          <w:t xml:space="preserve">Working Composition</w:t>
        </w:r>
      </w:hyperlink>
    </w:p>
    <w:p>
      <w:pPr>
        <w:pStyle w:val="Compact"/>
        <w:numPr>
          <w:numId w:val="1015"/>
          <w:ilvl w:val="2"/>
        </w:numPr>
      </w:pPr>
      <w:hyperlink w:anchor="practice">
        <w:r>
          <w:rPr>
            <w:rStyle w:val="Hyperlink"/>
          </w:rPr>
          <w:t xml:space="preserve">The Composer As Navigator</w:t>
        </w:r>
      </w:hyperlink>
    </w:p>
    <w:p>
      <w:pPr>
        <w:pStyle w:val="Compact"/>
        <w:numPr>
          <w:numId w:val="1015"/>
          <w:ilvl w:val="2"/>
        </w:numPr>
      </w:pPr>
      <w:hyperlink w:anchor="improv">
        <w:r>
          <w:rPr>
            <w:rStyle w:val="Hyperlink"/>
          </w:rPr>
          <w:t xml:space="preserve">The Database As Performer</w:t>
        </w:r>
      </w:hyperlink>
    </w:p>
    <w:p>
      <w:pPr>
        <w:pStyle w:val="Compact"/>
        <w:numPr>
          <w:numId w:val="1015"/>
          <w:ilvl w:val="2"/>
        </w:numPr>
      </w:pPr>
      <w:hyperlink w:anchor="music">
        <w:r>
          <w:rPr>
            <w:rStyle w:val="Hyperlink"/>
          </w:rPr>
          <w:t xml:space="preserve">The Severed Object Of Music</w:t>
        </w:r>
      </w:hyperlink>
    </w:p>
    <w:p>
      <w:pPr>
        <w:pStyle w:val="Compact"/>
        <w:numPr>
          <w:numId w:val="1015"/>
          <w:ilvl w:val="2"/>
        </w:numPr>
      </w:pPr>
      <w:hyperlink w:anchor="anarchy">
        <w:r>
          <w:rPr>
            <w:rStyle w:val="Hyperlink"/>
          </w:rPr>
          <w:t xml:space="preserve">Anarchy And The Unwork</w:t>
        </w:r>
      </w:hyperlink>
    </w:p>
    <w:p>
      <w:pPr>
        <w:pStyle w:val="Compact"/>
        <w:numPr>
          <w:numId w:val="1015"/>
          <w:ilvl w:val="2"/>
        </w:numPr>
      </w:pPr>
      <w:hyperlink w:anchor="worker">
        <w:r>
          <w:rPr>
            <w:rStyle w:val="Hyperlink"/>
          </w:rPr>
          <w:t xml:space="preserve">[Wip] Work In Progress</w:t>
        </w:r>
      </w:hyperlink>
    </w:p>
    <w:p>
      <w:pPr>
        <w:pStyle w:val="Compact"/>
        <w:numPr>
          <w:numId w:val="1001"/>
          <w:ilvl w:val="0"/>
        </w:numPr>
      </w:pPr>
      <w:hyperlink w:anchor="chapter:Conclusion">
        <w:r>
          <w:rPr>
            <w:rStyle w:val="Hyperlink"/>
          </w:rPr>
          <w:t xml:space="preserve">Conclusion</w:t>
        </w:r>
      </w:hyperlink>
    </w:p>
    <w:p>
      <w:pPr>
        <w:pStyle w:val="Compact"/>
        <w:numPr>
          <w:numId w:val="1001"/>
          <w:ilvl w:val="0"/>
        </w:numPr>
      </w:pPr>
      <w:hyperlink w:anchor="chapter:Appendices">
        <w:r>
          <w:rPr>
            <w:rStyle w:val="Hyperlink"/>
          </w:rPr>
          <w:t xml:space="preserve">Appendices</w:t>
        </w:r>
      </w:hyperlink>
    </w:p>
    <w:p>
      <w:pPr>
        <w:pStyle w:val="Compact"/>
        <w:numPr>
          <w:numId w:val="1016"/>
          <w:ilvl w:val="1"/>
        </w:numPr>
      </w:pPr>
      <w:hyperlink w:anchor="X9928d5a4298d9156e673c83842d96a99bfb66d7">
        <w:r>
          <w:rPr>
            <w:rStyle w:val="Hyperlink"/>
          </w:rPr>
          <w:t xml:space="preserve">DIANA: Database for Image and Audio Navigation</w:t>
        </w:r>
      </w:hyperlink>
    </w:p>
    <w:p>
      <w:pPr>
        <w:pStyle w:val="Compact"/>
        <w:numPr>
          <w:numId w:val="1017"/>
          <w:ilvl w:val="2"/>
        </w:numPr>
      </w:pPr>
      <w:hyperlink w:anchor="dbmodel">
        <w:r>
          <w:rPr>
            <w:rStyle w:val="Hyperlink"/>
          </w:rPr>
          <w:t xml:space="preserve">A Database Model</w:t>
        </w:r>
      </w:hyperlink>
    </w:p>
    <w:p>
      <w:pPr>
        <w:pStyle w:val="Compact"/>
        <w:numPr>
          <w:numId w:val="1016"/>
          <w:ilvl w:val="1"/>
        </w:numPr>
      </w:pPr>
      <w:hyperlink w:anchor="X7616598f194c52ee6f4c09f01c755a7090177ba">
        <w:r>
          <w:rPr>
            <w:rStyle w:val="Hyperlink"/>
          </w:rPr>
          <w:t xml:space="preserve">ABBY: An Online Environment for Annotated Bibliographies</w:t>
        </w:r>
      </w:hyperlink>
    </w:p>
    <w:p>
      <w:pPr>
        <w:pStyle w:val="Compact"/>
        <w:numPr>
          <w:numId w:val="1018"/>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©2018–CEST Federico Nicolás Cámara Halac</w:t>
      </w:r>
    </w:p>
    <w:p>
      <w:pPr>
        <w:pStyle w:val="BodyText"/>
      </w:pPr>
      <w:r>
        <w:t xml:space="preserve">All Rights Reserved, CEST</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mir_comp_sonif_interaction">
        <w:r>
          <w:rPr>
            <w:rStyle w:val="Hyperlink"/>
          </w:rPr>
          <w:t xml:space="preserve">[img:mir_comp_sonif_interaction]</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dc6db904ad977d5b954cf3c9c455f3f4fa43e5b"/>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lst:person">
        <w:r>
          <w:rPr>
            <w:rStyle w:val="Hyperlink"/>
          </w:rPr>
          <w:t xml:space="preserve">[lst:person]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fields such as CAC , working with computers meant being part of a system. The human operator is has been regarded, for example, as a co-operator</w:t>
      </w:r>
      <w:r>
        <w:t xml:space="preserve"> </w:t>
      </w:r>
      <w:r>
        <w:t xml:space="preserve">(Mathews 1963)</w:t>
      </w:r>
      <w:r>
        <w:t xml:space="preserve">. A further approach understands humans operating with computers as another component of complex systems</w:t>
      </w:r>
      <w:r>
        <w:t xml:space="preserve"> </w:t>
      </w:r>
      <w:r>
        <w:t xml:space="preserve">(Vaggione 2001)</w:t>
      </w:r>
      <w:r>
        <w:t xml:space="preserve">. In this section, I describe the different levels of database systems as a tree (See Figure</w:t>
      </w:r>
      <w:r>
        <w:t xml:space="preserve"> </w:t>
      </w:r>
      <w:hyperlink w:anchor="img:dbtree">
        <w:r>
          <w:rPr>
            <w:rStyle w:val="Hyperlink"/>
          </w:rPr>
          <w:t xml:space="preserve">4.2</w:t>
        </w:r>
      </w:hyperlink>
      <w:r>
        <w:t xml:space="preserve">), starting from basic data structures to more elaborate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w:t>
      </w:r>
      <w:r>
        <w:t xml:space="preserve"> </w:t>
      </w:r>
      <w:r>
        <w:t xml:space="preserve">(Kamde &amp; Algur 2011)</w:t>
      </w:r>
      <w:r>
        <w:t xml:space="preserve">,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 In recent years, object relational database have emerged such as SQLOBJECT , intepreting relations as classes in the object-oriented programming paradigm.</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General Electric;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 SMALLTALK ); Gbase ( LISP ); COUCHDB ; SQLOBJECT</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Exasol AG; VMWare  </w:t>
            </w:r>
          </w:p>
        </w:tc>
        <w:tc>
          <w:p>
            <w:pPr>
              <w:pStyle w:val="Compact"/>
              <w:jc w:val="left"/>
            </w:pPr>
            <w:r>
              <w:t xml:space="preserve">TimesTen; ASE ;</w:t>
            </w:r>
          </w:p>
        </w:tc>
      </w:tr>
    </w:tbl>
    <w:p>
      <w:pPr>
        <w:pStyle w:val="Heading2"/>
      </w:pPr>
      <w:bookmarkStart w:id="84" w:name="Xec68453c8cc129b4ce436d3f67f46ba702f92a5"/>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MIR ;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ever since the first computers were used to make music the database has been an invisible partner in the music literature. I argue that by sheding some light to this inherent aspect of computers we can arrive at a clearer notion of how databases sound. Praticularly, by placing the database along a visibility continuum, we may find a reverse relation with audibility: the more invisible the database, the more present its sound. By this I do not argue in favor of neither loudness or quietness. I am only addressing the different possibilities that come from multiple access points to computers. Here I will use the words ‘database’ and ‘computer’ somewhat interchangeably. This decision comes from the fact, as I described in earlier sections, that computers cannot exist without databases. From this, we can further ask ourselves if all computer music is database music. As I hope to demonstrate, there are overt and covert uses of the database, but the database is ubiquitous in all computer practices (See Figure</w:t>
      </w:r>
      <w:r>
        <w:t xml:space="preserve"> </w:t>
      </w:r>
      <w:hyperlink w:anchor="img:mir_comp_sonif_interaction">
        <w:r>
          <w:rPr>
            <w:rStyle w:val="Hyperlink"/>
          </w:rPr>
          <w:t xml:space="preserve">[img:mir_comp_sonif_interaction]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 a navigable ‘information space,’ which is, quite literally, the discretized space of the database.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For instance, out of sound file containing millions of samples, information space reduces these points to a database of few ‘descriptors’ that point to certain ‘features’ of the sound file. A descriptor is, in essence, a small amount of data that identifies other larger data. In this case, a feature descriptor relates to the values of a certain characteristics of the analyzed audio file, such as spectral centroid, brightness, flatness, etc.</w:t>
      </w:r>
    </w:p>
    <w:p>
      <w:pPr>
        <w:pStyle w:val="BodyText"/>
      </w:pPr>
      <w:r>
        <w:t xml:space="preserve">Over the 18 years of the ISMIR conference, more than thirty databases of this sort have been publicly created and released, as a means to classify millions of songs and musical genres. This type of database navigation has been used to perform automatic tasks such as categorization for recommendation systems</w:t>
      </w:r>
      <w:r>
        <w:t xml:space="preserve"> </w:t>
      </w:r>
      <w:r>
        <w:t xml:space="preserve">(Dinuzzo et al. 2008)</w:t>
      </w:r>
      <w:r>
        <w:t xml:space="preserve">, track separation or instrument recognition, and score transcriptions, among other uses (see below). A recent emphasis in open source database creation has gained momentum</w:t>
      </w:r>
      <w:r>
        <w:t xml:space="preserve"> </w:t>
      </w:r>
      <w:r>
        <w:t xml:space="preserve">(Fonseca et al. 2017)</w:t>
      </w:r>
      <w:r>
        <w:t xml:space="preserve">, such as the FREESOUND database, or CMAM ’s TELEMETA , both collaborative database systems: the former for general use, the latter for ethno-musicological pursposes. Before sound and audio descriptor databases, however, music notation databases have been developed with a variety of file formats, such as MIDI , MUSICXML , the Humdrum</w:t>
      </w:r>
      <w:r>
        <w:t xml:space="preserve"> </w:t>
      </w:r>
      <w:r>
        <w:rPr>
          <w:rStyle w:val="VerbatimChar"/>
        </w:rPr>
        <w:t xml:space="preserve">**kern</w:t>
      </w:r>
      <w:r>
        <w:t xml:space="preserve"> </w:t>
      </w:r>
      <w:r>
        <w:t xml:space="preserve">data format</w:t>
      </w:r>
      <w:r>
        <w:t xml:space="preserve"> </w:t>
      </w:r>
      <w:r>
        <w:t xml:space="preserve">(Sapp 2005)</w:t>
      </w:r>
      <w:r>
        <w:t xml:space="preserve">, GUIDO , to name a few. For an extensive guide on musical representations, see</w:t>
      </w:r>
      <w:r>
        <w:t xml:space="preserve"> </w:t>
      </w:r>
      <w:r>
        <w:t xml:space="preserve">(Selfridge-Field 1997)</w:t>
      </w:r>
      <w:r>
        <w:t xml:space="preserve">. Some examples of these notation databases can be the Polish folksong database in the ESAC format, the electronic library for musical scores MUSEDATA , the RISM database, the Kern Scores database,</w:t>
      </w:r>
      <w:hyperlink w:anchor="fn6">
        <w:r>
          <w:rPr>
            <w:vertAlign w:val="superscript"/>
            <w:rStyle w:val="Hyperlink"/>
          </w:rPr>
          <w:t xml:space="preserve">6</w:t>
        </w:r>
      </w:hyperlink>
      <w:r>
        <w:t xml:space="preserve"> </w:t>
      </w:r>
      <w:r>
        <w:t xml:space="preserve">among others. In turn, these databases have been a fruitful area of exploration in Computational Musicology</w:t>
      </w:r>
      <w:r>
        <w:t xml:space="preserve"> </w:t>
      </w:r>
      <w:r>
        <w:t xml:space="preserve">(Yolk et al. 2011)</w:t>
      </w:r>
      <w:r>
        <w:t xml:space="preserve">, for which toolkits such as MIT ’s MUSIC21 have been developed. The MARSYAS library and the ESSENTIA libraries are some examples of programs written with MIR techniques for a variety of purposes rooted in audio analysis and synthesis. There different applications of databases are endless and so varied that would extend the scope of this study.</w:t>
      </w:r>
      <w:hyperlink w:anchor="fn7">
        <w:r>
          <w:rPr>
            <w:vertAlign w:val="superscript"/>
            <w:rStyle w:val="Hyperlink"/>
          </w:rPr>
          <w:t xml:space="preserve">7</w:t>
        </w:r>
      </w:hyperlink>
    </w:p>
    <w:p>
      <w:pPr>
        <w:pStyle w:val="BodyText"/>
      </w:pPr>
      <w:r>
        <w:t xml:space="preserve">In the following section, more specific uses of these and other audio databases will be mentioned. Some of the uses that MIR has given to the database have been:</w:t>
      </w:r>
    </w:p>
    <w:p>
      <w:pPr>
        <w:numPr>
          <w:numId w:val="1019"/>
          <w:ilvl w:val="0"/>
        </w:numPr>
      </w:pPr>
      <w:r>
        <w:t xml:space="preserve">to create digital libraries</w:t>
      </w:r>
      <w:r>
        <w:t xml:space="preserve"> </w:t>
      </w:r>
      <w:r>
        <w:t xml:space="preserve">(Dunn 2000)</w:t>
      </w:r>
    </w:p>
    <w:p>
      <w:pPr>
        <w:numPr>
          <w:numId w:val="1019"/>
          <w:ilvl w:val="0"/>
        </w:numPr>
      </w:pPr>
      <w:r>
        <w:t xml:space="preserve">to store actual music notation</w:t>
      </w:r>
      <w:r>
        <w:t xml:space="preserve"> </w:t>
      </w:r>
      <w:r>
        <w:t xml:space="preserve">(Good 2000)</w:t>
      </w:r>
    </w:p>
    <w:p>
      <w:pPr>
        <w:numPr>
          <w:numId w:val="1019"/>
          <w:ilvl w:val="0"/>
        </w:numPr>
      </w:pPr>
      <w:r>
        <w:t xml:space="preserve">for audio classification and clustering</w:t>
      </w:r>
      <w:r>
        <w:t xml:space="preserve"> </w:t>
      </w:r>
      <w:r>
        <w:t xml:space="preserve">(Homburg et al. 2005, Yang 2001)</w:t>
      </w:r>
    </w:p>
    <w:p>
      <w:pPr>
        <w:numPr>
          <w:numId w:val="1019"/>
          <w:ilvl w:val="0"/>
        </w:numPr>
      </w:pPr>
      <w:r>
        <w:t xml:space="preserve">for the evaluation of multiple-source, fundamental frequency estimation algorithms</w:t>
      </w:r>
      <w:r>
        <w:t xml:space="preserve"> </w:t>
      </w:r>
      <w:r>
        <w:t xml:space="preserve">(Yeh et al. 2007)</w:t>
      </w:r>
    </w:p>
    <w:p>
      <w:pPr>
        <w:numPr>
          <w:numId w:val="1019"/>
          <w:ilvl w:val="0"/>
        </w:numPr>
      </w:pPr>
      <w:r>
        <w:t xml:space="preserve">to describe performance expression</w:t>
      </w:r>
      <w:r>
        <w:t xml:space="preserve"> </w:t>
      </w:r>
      <w:r>
        <w:t xml:space="preserve">(Hashida et al. 2008)</w:t>
      </w:r>
    </w:p>
    <w:p>
      <w:pPr>
        <w:numPr>
          <w:numId w:val="1019"/>
          <w:ilvl w:val="0"/>
        </w:numPr>
      </w:pPr>
      <w:r>
        <w:t xml:space="preserve">for genre recognition and classification</w:t>
      </w:r>
      <w:r>
        <w:t xml:space="preserve"> </w:t>
      </w:r>
      <w:r>
        <w:t xml:space="preserve">(Correa et al. 2010, Dehkordi &amp; Banitalebi-Dehkordi 2018, Dinuzzo et al. 2008, Jr. et al. 2008, Mitra &amp; Saha 2014, Sanden et al. 2010, Tzanetakis &amp; Cook 2002, Wang &amp; Haque 2017, Xu et al. 2005)</w:t>
      </w:r>
    </w:p>
    <w:p>
      <w:pPr>
        <w:numPr>
          <w:numId w:val="1019"/>
          <w:ilvl w:val="0"/>
        </w:numPr>
      </w:pPr>
      <w:r>
        <w:t xml:space="preserve">for structural analysis</w:t>
      </w:r>
      <w:r>
        <w:t xml:space="preserve"> </w:t>
      </w:r>
      <w:r>
        <w:t xml:space="preserve">(Smith et al. 2011)</w:t>
      </w:r>
    </w:p>
    <w:p>
      <w:pPr>
        <w:numPr>
          <w:numId w:val="1019"/>
          <w:ilvl w:val="0"/>
        </w:numPr>
      </w:pPr>
      <w:r>
        <w:t xml:space="preserve">for contextual music listening pattern detection using social media</w:t>
      </w:r>
      <w:r>
        <w:t xml:space="preserve"> </w:t>
      </w:r>
      <w:r>
        <w:t xml:space="preserve">(Hauger et al. 2013)</w:t>
      </w:r>
    </w:p>
    <w:p>
      <w:pPr>
        <w:numPr>
          <w:numId w:val="1019"/>
          <w:ilvl w:val="0"/>
        </w:numPr>
      </w:pPr>
      <w:r>
        <w:t xml:space="preserve">to train models for phoneme detection</w:t>
      </w:r>
      <w:r>
        <w:t xml:space="preserve"> </w:t>
      </w:r>
      <w:r>
        <w:t xml:space="preserve">(Proutskova et al. 2012)</w:t>
      </w:r>
    </w:p>
    <w:p>
      <w:pPr>
        <w:numPr>
          <w:numId w:val="1019"/>
          <w:ilvl w:val="0"/>
        </w:numPr>
      </w:pPr>
      <w:r>
        <w:t xml:space="preserve">for schenkerian analysis</w:t>
      </w:r>
      <w:r>
        <w:t xml:space="preserve"> </w:t>
      </w:r>
      <w:r>
        <w:t xml:space="preserve">(Kirlin 2014)</w:t>
      </w:r>
    </w:p>
    <w:p>
      <w:pPr>
        <w:numPr>
          <w:numId w:val="1019"/>
          <w:ilvl w:val="0"/>
        </w:numPr>
      </w:pPr>
      <w:r>
        <w:t xml:space="preserve">for tonal music analysis using GTTM</w:t>
      </w:r>
      <w:r>
        <w:t xml:space="preserve"> </w:t>
      </w:r>
      <w:r>
        <w:t xml:space="preserve">(Hamanaka et al. 2014)</w:t>
      </w:r>
    </w:p>
    <w:p>
      <w:pPr>
        <w:numPr>
          <w:numId w:val="1019"/>
          <w:ilvl w:val="0"/>
        </w:numPr>
      </w:pPr>
      <w:r>
        <w:t xml:space="preserve">for counterpoint analysis</w:t>
      </w:r>
      <w:r>
        <w:t xml:space="preserve"> </w:t>
      </w:r>
      <w:r>
        <w:t xml:space="preserve">(Antila &amp; Cumming 2014)</w:t>
      </w:r>
    </w:p>
    <w:p>
      <w:pPr>
        <w:numPr>
          <w:numId w:val="1019"/>
          <w:ilvl w:val="0"/>
        </w:numPr>
      </w:pPr>
      <w:r>
        <w:t xml:space="preserve">for emotion recognition and color associations in the listener</w:t>
      </w:r>
      <w:r>
        <w:t xml:space="preserve"> </w:t>
      </w:r>
      <w:r>
        <w:t xml:space="preserve">(Pesek et al. 2014)</w:t>
      </w:r>
    </w:p>
    <w:p>
      <w:pPr>
        <w:numPr>
          <w:numId w:val="1019"/>
          <w:ilvl w:val="0"/>
        </w:numPr>
      </w:pPr>
      <w:r>
        <w:t xml:space="preserve">for multimodal mood prediction</w:t>
      </w:r>
      <w:r>
        <w:t xml:space="preserve"> </w:t>
      </w:r>
      <w:r>
        <w:t xml:space="preserve">(Delbouys et al. 2018)</w:t>
      </w:r>
    </w:p>
    <w:p>
      <w:pPr>
        <w:numPr>
          <w:numId w:val="1019"/>
          <w:ilvl w:val="0"/>
        </w:numPr>
      </w:pPr>
      <w:r>
        <w:t xml:space="preserve">for melody</w:t>
      </w:r>
      <w:r>
        <w:t xml:space="preserve"> </w:t>
      </w:r>
      <w:r>
        <w:t xml:space="preserve">(Bittner et al. 2014)</w:t>
      </w:r>
      <w:r>
        <w:t xml:space="preserve"> </w:t>
      </w:r>
      <w:r>
        <w:t xml:space="preserve">and singing voice</w:t>
      </w:r>
      <w:r>
        <w:t xml:space="preserve"> </w:t>
      </w:r>
      <w:r>
        <w:t xml:space="preserve">(Stoller et al. 2017)</w:t>
      </w:r>
      <w:r>
        <w:t xml:space="preserve"> </w:t>
      </w:r>
      <w:r>
        <w:t xml:space="preserve">extraction</w:t>
      </w:r>
    </w:p>
    <w:p>
      <w:pPr>
        <w:numPr>
          <w:numId w:val="1019"/>
          <w:ilvl w:val="0"/>
        </w:numPr>
      </w:pPr>
      <w:r>
        <w:t xml:space="preserve">for harmonic analysis</w:t>
      </w:r>
      <w:r>
        <w:t xml:space="preserve"> </w:t>
      </w:r>
      <w:r>
        <w:t xml:space="preserve">(Devaney et al. 2015)</w:t>
      </w:r>
    </w:p>
    <w:p>
      <w:pPr>
        <w:numPr>
          <w:numId w:val="1019"/>
          <w:ilvl w:val="0"/>
        </w:numPr>
      </w:pPr>
      <w:r>
        <w:t xml:space="preserve">for the evaluation of tempo estimation and key detection algorithms</w:t>
      </w:r>
      <w:r>
        <w:t xml:space="preserve"> </w:t>
      </w:r>
      <w:r>
        <w:t xml:space="preserve">(Knees et al. 2015)</w:t>
      </w:r>
    </w:p>
    <w:p>
      <w:pPr>
        <w:numPr>
          <w:numId w:val="1019"/>
          <w:ilvl w:val="0"/>
        </w:numPr>
      </w:pPr>
      <w:r>
        <w:t xml:space="preserve">for orchestration</w:t>
      </w:r>
      <w:r>
        <w:t xml:space="preserve"> </w:t>
      </w:r>
      <w:r>
        <w:t xml:space="preserve">(Crestel et al. 2017)</w:t>
      </w:r>
    </w:p>
    <w:p>
      <w:pPr>
        <w:numPr>
          <w:numId w:val="1019"/>
          <w:ilvl w:val="0"/>
        </w:numPr>
      </w:pPr>
      <w:r>
        <w:t xml:space="preserve">for computational musicology</w:t>
      </w:r>
      <w:hyperlink w:anchor="fn8">
        <w:r>
          <w:rPr>
            <w:vertAlign w:val="superscript"/>
            <w:rStyle w:val="Hyperlink"/>
          </w:rPr>
          <w:t xml:space="preserve">8</w:t>
        </w:r>
      </w:hyperlink>
      <w:r>
        <w:t xml:space="preserve"> </w:t>
      </w:r>
      <w:r>
        <w:t xml:space="preserve">(Parada-Cabaleiro et al. 2017)</w:t>
      </w:r>
    </w:p>
    <w:p>
      <w:pPr>
        <w:numPr>
          <w:numId w:val="1019"/>
          <w:ilvl w:val="0"/>
        </w:numPr>
      </w:pPr>
      <w:r>
        <w:t xml:space="preserve">for forensic analysis as a complement of video analysis</w:t>
      </w:r>
      <w:r>
        <w:t xml:space="preserve"> </w:t>
      </w:r>
      <w:r>
        <w:t xml:space="preserve">(Serizel et al. 2016)</w:t>
      </w:r>
    </w:p>
    <w:p>
      <w:pPr>
        <w:numPr>
          <w:numId w:val="1019"/>
          <w:ilvl w:val="0"/>
        </w:numPr>
      </w:pPr>
      <w:r>
        <w:t xml:space="preserve">for training and evaluating chord transcription algorithms</w:t>
      </w:r>
      <w:r>
        <w:t xml:space="preserve"> </w:t>
      </w:r>
      <w:r>
        <w:t xml:space="preserve">(Eremenko et al. 2018)</w:t>
      </w:r>
    </w:p>
    <w:p>
      <w:pPr>
        <w:numPr>
          <w:numId w:val="1019"/>
          <w:ilvl w:val="0"/>
        </w:numPr>
      </w:pPr>
      <w:r>
        <w:t xml:space="preserve">for training querying methods such as humming</w:t>
      </w:r>
      <w:r>
        <w:t xml:space="preserve"> </w:t>
      </w:r>
      <w:r>
        <w:t xml:space="preserve">(Brzezinski-Spiczak et al. 2013, Nagavi &amp; Bhajantri 2013, 2014)</w:t>
      </w:r>
    </w:p>
    <w:p>
      <w:pPr>
        <w:numPr>
          <w:numId w:val="1019"/>
          <w:ilvl w:val="0"/>
        </w:numPr>
      </w:pPr>
      <w:r>
        <w:t xml:space="preserve">for multi-instrument recognition</w:t>
      </w:r>
      <w:r>
        <w:t xml:space="preserve"> </w:t>
      </w:r>
      <w:r>
        <w:t xml:space="preserve">(Humphrey et al. 2018)</w:t>
      </w:r>
    </w:p>
    <w:p>
      <w:pPr>
        <w:numPr>
          <w:numId w:val="1019"/>
          <w:ilvl w:val="0"/>
        </w:numPr>
      </w:pPr>
      <w:r>
        <w:t xml:space="preserve">for adversarial audio synthesis</w:t>
      </w:r>
      <w:r>
        <w:t xml:space="preserve"> </w:t>
      </w:r>
      <w:r>
        <w:t xml:space="preserve">(Donahue et al. 2018)</w:t>
      </w:r>
    </w:p>
    <w:p>
      <w:pPr>
        <w:pStyle w:val="FirstParagraph"/>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The database is the ground floor of sonification. The sonified data is very likely to be digital,</w:t>
      </w:r>
      <w:hyperlink w:anchor="fn9">
        <w:r>
          <w:rPr>
            <w:vertAlign w:val="superscript"/>
            <w:rStyle w:val="Hyperlink"/>
          </w:rPr>
          <w:t xml:space="preserve">9</w:t>
        </w:r>
      </w:hyperlink>
      <w:r>
        <w:t xml:space="preserve"> </w:t>
      </w:r>
      <w:r>
        <w:t xml:space="preserve">which means that data needs to be stored in a structured way for fast access by computers, and the role of the sonifier is to acoustically translate the database’s inner relationships</w:t>
      </w:r>
      <w:r>
        <w:t xml:space="preserve"> </w:t>
      </w:r>
      <w:r>
        <w:t xml:space="preserve">(Walker &amp; Nees 2011, p. 9)</w:t>
      </w:r>
      <w:r>
        <w:t xml:space="preserve">.</w:t>
      </w:r>
    </w:p>
    <w:p>
      <w:pPr>
        <w:pStyle w:val="BodyText"/>
      </w:pPr>
      <w:r>
        <w:t xml:space="preserve">According to</w:t>
      </w:r>
      <w:r>
        <w:t xml:space="preserve"> </w:t>
      </w:r>
      <w:r>
        <w:t xml:space="preserve">Walker &amp; Nees (2011)</w:t>
      </w:r>
      <w:r>
        <w:t xml:space="preserve"> </w:t>
      </w:r>
      <w:r>
        <w:t xml:space="preserve">there are three types of sonification: event-based, model-based, and continuous. I see these types of sonification as ways of performing a database. Continuous sonification (audification) consists of directly translating waveforms of periodic data into sound, that is, reading non-audio data as if it were audio data</w:t>
      </w:r>
      <w:r>
        <w:t xml:space="preserve"> </w:t>
      </w:r>
      <w:r>
        <w:t xml:space="preserve">(Walker &amp; Nees 2011, p. 17)</w:t>
      </w:r>
      <w:r>
        <w:t xml:space="preserve">. Model-based sonification consists of distributing data points in such a way that enables data exploration. Generally, these models are interactive interfaces with which users navigate the database to find relationships</w:t>
      </w:r>
      <w:r>
        <w:t xml:space="preserve"> </w:t>
      </w:r>
      <w:r>
        <w:t xml:space="preserve">(Walker &amp; Nees 2011, p. 17)</w:t>
      </w:r>
      <w:r>
        <w:t xml:space="preserve">. Event-based (parameter mapping) sonification is aimed at representing changes in a database as acoustic saliences or tendencies. In this sense, dimensions of the data need to be translated (mapped) into acoustic parameters (frequency, periodicity, density, etc.), so as to listen how the generated sound behaves over time and interpret these changes within the database</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sonification, the data comes first, and it needs to be pre-processed so that it can be adapted to the sound synthesis engines of choice. Sonification is a subset of auditory display techniques, and it belongs to the broader scope of information systems and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the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w:t>
      </w:r>
      <w:r>
        <w:rPr>
          <w:i/>
        </w:rPr>
        <w:t xml:space="preserve">in</w:t>
      </w:r>
      <w:r>
        <w:t xml:space="preserve">-formed)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10">
        <w:r>
          <w:rPr>
            <w:vertAlign w:val="superscript"/>
            <w:rStyle w:val="Hyperlink"/>
          </w:rPr>
          <w:t xml:space="preserve">10</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1">
        <w:r>
          <w:rPr>
            <w:vertAlign w:val="superscript"/>
            <w:rStyle w:val="Hyperlink"/>
          </w:rPr>
          <w:t xml:space="preserve">11</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2">
        <w:r>
          <w:rPr>
            <w:vertAlign w:val="superscript"/>
            <w:rStyle w:val="Hyperlink"/>
          </w:rPr>
          <w:t xml:space="preserve">12</w:t>
        </w:r>
      </w:hyperlink>
      <w:r>
        <w:t xml:space="preserve"> </w:t>
      </w:r>
      <w:r>
        <w:t xml:space="preserve">using 14-hour long recordings taken from a forest</w:t>
      </w:r>
      <w:hyperlink w:anchor="fn13">
        <w:r>
          <w:rPr>
            <w:vertAlign w:val="superscript"/>
            <w:rStyle w:val="Hyperlink"/>
          </w:rPr>
          <w:t xml:space="preserve">13</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4">
        <w:r>
          <w:rPr>
            <w:vertAlign w:val="superscript"/>
            <w:rStyle w:val="Hyperlink"/>
          </w:rPr>
          <w:t xml:space="preserve">14</w:t>
        </w:r>
      </w:hyperlink>
      <w:r>
        <w:t xml:space="preserve">, by two audification processes (direct audification and via a straightforward additive synthesis process) applied to the HMDB , a database holding NMR spectroscopies of molecules.</w:t>
      </w:r>
    </w:p>
    <w:p>
      <w:pPr>
        <w:pStyle w:val="Heading5"/>
      </w:pPr>
      <w:bookmarkStart w:id="103" w:name="gender"/>
      <w:r>
        <w:t xml:space="preserve">Gender</w:t>
      </w:r>
      <w:bookmarkEnd w:id="103"/>
    </w:p>
    <w:p>
      <w:pPr>
        <w:pStyle w:val="FirstParagraph"/>
      </w:pPr>
      <w:r>
        <w:t xml:space="preserve">Emma Frid</w:t>
      </w:r>
      <w:r>
        <w:t xml:space="preserve"> </w:t>
      </w:r>
      <w:r>
        <w:t xml:space="preserve">(Frid 2017)</w:t>
      </w:r>
      <w:r>
        <w:t xml:space="preserve"> </w:t>
      </w:r>
      <w:r>
        <w:t xml:space="preserve">derived a database of gender distribution by applying the python module</w:t>
      </w:r>
      <w:r>
        <w:t xml:space="preserve"> </w:t>
      </w:r>
      <w:r>
        <w:rPr>
          <w:rStyle w:val="VerbatimChar"/>
        </w:rPr>
        <w:t xml:space="preserve">genderize</w:t>
      </w:r>
      <w:r>
        <w:t xml:space="preserve"> </w:t>
      </w:r>
      <w:r>
        <w:t xml:space="preserve">to author names in three main computer music conference proceedings databases: ICMC , NIME , and SMC . By assigning polar frequency ranges for each group (male and female), her sonification emphasizes the significant inequality of gender in the resulting acoustic stream segregation into male backround (continuous drone-like sound) and female foreground (fewer and sparser sounds). Her conclusion, therefore, is that “there is a need for analysis of the existing environments and social relations that surround music technology and computer music. If we identify the challenges that women are facing in our research community, we will be able to create more initiatives towards changing practices”</w:t>
      </w:r>
      <w:r>
        <w:t xml:space="preserve"> </w:t>
      </w:r>
      <w:r>
        <w:t xml:space="preserve">(Frid 2017, p. 238)</w:t>
      </w:r>
      <w:r>
        <w:t xml:space="preserve">.</w:t>
      </w:r>
    </w:p>
    <w:p>
      <w:pPr>
        <w:pStyle w:val="Heading4"/>
      </w:pPr>
      <w:bookmarkStart w:id="104" w:name="sonification:installations"/>
      <w:r>
        <w:t xml:space="preserve">Sonification Installations</w:t>
      </w:r>
      <w:bookmarkEnd w:id="104"/>
    </w:p>
    <w:p>
      <w:pPr>
        <w:pStyle w:val="Heading5"/>
      </w:pPr>
      <w:bookmarkStart w:id="105" w:name="ip-based-soundscape"/>
      <w:r>
        <w:t xml:space="preserve">IP-based soundscape</w:t>
      </w:r>
      <w:bookmarkEnd w:id="105"/>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to the more abstract ( IP as formant and highpass filters for brown noise), thus resulting in a soundscape with different but simultaneous sonifications of the data. This multi-layered approach to sonification stems from his PhD dissertation on cardiac rate sonification</w:t>
      </w:r>
      <w:r>
        <w:t xml:space="preserve"> </w:t>
      </w:r>
      <w:r>
        <w:t xml:space="preserve">(Ballora 2000)</w:t>
      </w:r>
      <w:r>
        <w:t xml:space="preserve">.</w:t>
      </w:r>
    </w:p>
    <w:p>
      <w:pPr>
        <w:pStyle w:val="Heading5"/>
      </w:pPr>
      <w:bookmarkStart w:id="106" w:name="earthquakes"/>
      <w:r>
        <w:t xml:space="preserve">Earthquakes</w:t>
      </w:r>
      <w:bookmarkEnd w:id="106"/>
    </w:p>
    <w:p>
      <w:pPr>
        <w:pStyle w:val="FirstParagraph"/>
      </w:pPr>
      <w:r>
        <w:t xml:space="preserve">Lindborg (2017)</w:t>
      </w:r>
      <w:r>
        <w:t xml:space="preserve"> </w:t>
      </w:r>
      <w:r>
        <w:t xml:space="preserve">sonified real-time earthquake data as a sound sculpture</w:t>
      </w:r>
      <w:r>
        <w:t xml:space="preserve"> </w:t>
      </w:r>
      <w:r>
        <w:t xml:space="preserve">(Lindborg 2017)</w:t>
      </w:r>
      <w:r>
        <w:t xml:space="preserve">. Within , he used data from the IRIS Data Services, which transmits seismographic data packets updated every thirty minutes from multiple observation sites. He spatialized this data using coordinates of the events and using a four-speaker array located at the center of the gallery space, and mapped the rest of the data to FM synthesis parameters.</w:t>
      </w:r>
    </w:p>
    <w:p>
      <w:pPr>
        <w:pStyle w:val="Heading5"/>
      </w:pPr>
      <w:bookmarkStart w:id="107" w:name="gpu-based-waveforms"/>
      <w:r>
        <w:t xml:space="preserve">GPU-based waveforms</w:t>
      </w:r>
      <w:bookmarkEnd w:id="107"/>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5">
        <w:r>
          <w:rPr>
            <w:vertAlign w:val="superscript"/>
            <w:rStyle w:val="Hyperlink"/>
          </w:rPr>
          <w:t xml:space="preserve">15</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6">
        <w:r>
          <w:rPr>
            <w:vertAlign w:val="superscript"/>
            <w:rStyle w:val="Hyperlink"/>
          </w:rPr>
          <w:t xml:space="preserve">16</w:t>
        </w:r>
      </w:hyperlink>
      <w:r>
        <w:t xml:space="preserve">, they used the generated waveforms as a database, composing each waveform together with their visual generators as a collage.</w:t>
      </w:r>
    </w:p>
    <w:p>
      <w:pPr>
        <w:pStyle w:val="Heading5"/>
      </w:pPr>
      <w:bookmarkStart w:id="108" w:name="ucanny-faces"/>
      <w:r>
        <w:t xml:space="preserve">Ucanny Faces</w:t>
      </w:r>
      <w:bookmarkEnd w:id="108"/>
    </w:p>
    <w:p>
      <w:pPr>
        <w:pStyle w:val="FirstParagraph"/>
      </w:pPr>
      <w:r>
        <w:t xml:space="preserve">Simonelli et al</w:t>
      </w:r>
      <w:r>
        <w:t xml:space="preserve"> </w:t>
      </w:r>
      <w:r>
        <w:t xml:space="preserve">(Simonelli et al. 2017)</w:t>
      </w:r>
      <w:r>
        <w:t xml:space="preserve"> </w:t>
      </w:r>
      <w:r>
        <w:t xml:space="preserve">designed</w:t>
      </w:r>
      <w:r>
        <w:t xml:space="preserve"> </w:t>
      </w:r>
      <w:r>
        <w:rPr>
          <w:i/>
        </w:rPr>
        <w:t xml:space="preserve">Hally</w:t>
      </w:r>
      <w:r>
        <w:t xml:space="preserve">,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 Furthermore, by video-based audio convolution,</w:t>
      </w:r>
      <w:r>
        <w:t xml:space="preserve"> </w:t>
      </w:r>
      <w:r>
        <w:rPr>
          <w:i/>
        </w:rPr>
        <w:t xml:space="preserve">Hally</w:t>
      </w:r>
      <w:r>
        <w:t xml:space="preserve"> </w:t>
      </w:r>
      <w:r>
        <w:t xml:space="preserve">aims to simulat a theory of perception based on IFT</w:t>
      </w:r>
      <w:r>
        <w:t xml:space="preserve"> </w:t>
      </w:r>
      <w:r>
        <w:t xml:space="preserve">(Connes 2012)</w:t>
      </w:r>
      <w:r>
        <w:t xml:space="preserve">. Parting from previous work by</w:t>
      </w:r>
      <w:r>
        <w:t xml:space="preserve"> </w:t>
      </w:r>
      <w:r>
        <w:t xml:space="preserve">Thiebaut et al. (2007)</w:t>
      </w:r>
      <w:r>
        <w:t xml:space="preserve"> </w:t>
      </w:r>
      <w:r>
        <w:t xml:space="preserve">on simultaneous sonification and visualization</w:t>
      </w:r>
      <w:r>
        <w:t xml:space="preserve"> </w:t>
      </w:r>
      <w:r>
        <w:t xml:space="preserve">(Thiebaut et al. 2007)</w:t>
      </w:r>
      <w:r>
        <w:t xml:space="preserve">,</w:t>
      </w:r>
      <w:r>
        <w:t xml:space="preserve"> </w:t>
      </w:r>
      <w:r>
        <w:rPr>
          <w:i/>
        </w:rPr>
        <w:t xml:space="preserve">Hally</w:t>
      </w:r>
      <w:r>
        <w:t xml:space="preserve"> </w:t>
      </w:r>
      <w:r>
        <w:t xml:space="preserve">explores the role of both sound and image in the definition of the self, by immersing the participant in an uncanny spectrality</w:t>
      </w:r>
      <w:r>
        <w:t xml:space="preserve"> </w:t>
      </w:r>
      <w:r>
        <w:t xml:space="preserve">(Cámara Halac 2018a)</w:t>
      </w:r>
      <w:r>
        <w:t xml:space="preserve">.</w:t>
      </w:r>
    </w:p>
    <w:p>
      <w:pPr>
        <w:pStyle w:val="Heading4"/>
      </w:pPr>
      <w:bookmarkStart w:id="109" w:name="sonification:software"/>
      <w:r>
        <w:t xml:space="preserve">Sonification Software</w:t>
      </w:r>
      <w:bookmarkEnd w:id="109"/>
    </w:p>
    <w:p>
      <w:pPr>
        <w:pStyle w:val="Heading5"/>
      </w:pPr>
      <w:bookmarkStart w:id="110" w:name="sonart"/>
      <w:r>
        <w:t xml:space="preserve">SonArt</w:t>
      </w:r>
      <w:bookmarkEnd w:id="110"/>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11" w:name="dataplayer"/>
      <w:r>
        <w:t xml:space="preserve">DataPlayer</w:t>
      </w:r>
      <w:bookmarkEnd w:id="111"/>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12" w:name="madbpm"/>
      <w:r>
        <w:t xml:space="preserve">madBPM</w:t>
      </w:r>
      <w:bookmarkEnd w:id="112"/>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BodyText"/>
      </w:pPr>
      <w:r>
        <w:t xml:space="preserve">For further sonification software, see SONDATA and the following references:</w:t>
      </w:r>
      <w:r>
        <w:t xml:space="preserve"> </w:t>
      </w:r>
      <w:r>
        <w:t xml:space="preserve">(Beilharz &amp; Ferguson 2009, Hildebrandt et al. 2014, Lodha et al. 1998, Pauletto &amp; Hunt 2004a,b; Walker &amp; Cothran 2003, Worrall et al. 2007)</w:t>
      </w:r>
    </w:p>
    <w:p>
      <w:pPr>
        <w:pStyle w:val="Heading3"/>
      </w:pPr>
      <w:bookmarkStart w:id="113" w:name="computer_music"/>
      <w:r>
        <w:t xml:space="preserve">Computer Music</w:t>
      </w:r>
      <w:bookmarkEnd w:id="113"/>
    </w:p>
    <w:p>
      <w:pPr>
        <w:pStyle w:val="FirstParagraph"/>
      </w:pPr>
      <w:r>
        <w:t xml:space="preserve">Delimiting constraints to data structures is one of the key aspects of software design. The first choice is generally the programming language, after which the database tree unfolds its way up to the leaves. Among these leaves is where computer music programs reside. At this level of ‘leaves’ software users are certainly aware that there is a ‘tree’ in front of them. However, their awareness does not necessarily extend to the branches, trunk, or the roots of the tree. There is endless music that can be made with leaves just as it can with paper. However, neither music quanitity nor music quality are the point here. My argument is that working with data structures changes how we think and perform music making. I claim that composers using these leaves of computer music software are working indirectly with data structures, and unless they engage with programming, they remain unaware of data structures and their constraints. ‘Indirectly,’ because there exist the twigs and the branches that connect the leaf to the trunk. These links become invisible to the non-programmer composer</w:t>
      </w:r>
      <w:r>
        <w:t xml:space="preserve"> </w:t>
      </w:r>
      <w:r>
        <w:rPr>
          <w:i/>
        </w:rPr>
        <w:t xml:space="preserve">by design</w:t>
      </w:r>
      <w:r>
        <w:t xml:space="preserve">. Like a phantom limb of the tree, the database remains invibibly</w:t>
      </w:r>
      <w:r>
        <w:t xml:space="preserve"> </w:t>
      </w:r>
      <w:r>
        <w:rPr>
          <w:i/>
        </w:rPr>
        <w:t xml:space="preserve">behind</w:t>
      </w:r>
      <w:r>
        <w:t xml:space="preserve">. Therefore, in this section I present ideas from composers and programmers that show different approaches on how music concepts change with the presence of the database.</w:t>
      </w:r>
    </w:p>
    <w:p>
      <w:pPr>
        <w:pStyle w:val="CaptionedFigure"/>
      </w:pPr>
      <w:bookmarkStart w:id="115"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4"/>
                    <a:stretch>
                      <a:fillRect/>
                    </a:stretch>
                  </pic:blipFill>
                  <pic:spPr bwMode="auto">
                    <a:xfrm>
                      <a:off x="0" y="0"/>
                      <a:ext cx="1181100" cy="863600"/>
                    </a:xfrm>
                    <a:prstGeom prst="rect">
                      <a:avLst/>
                    </a:prstGeom>
                    <a:noFill/>
                    <a:ln w="9525">
                      <a:noFill/>
                      <a:headEnd/>
                      <a:tailEnd/>
                    </a:ln>
                  </pic:spPr>
                </pic:pic>
              </a:graphicData>
            </a:graphic>
          </wp:inline>
        </w:drawing>
      </w:r>
      <w:bookmarkEnd w:id="115"/>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6" w:name="hierarchical-environments"/>
      <w:r>
        <w:t xml:space="preserve">Hierarchical environments</w:t>
      </w:r>
      <w:bookmarkEnd w:id="116"/>
    </w:p>
    <w:p>
      <w:pPr>
        <w:pStyle w:val="Heading5"/>
      </w:pPr>
      <w:bookmarkStart w:id="117" w:name="computer:sssp"/>
      <w:r>
        <w:t xml:space="preserve">Reducing cognitive burden</w:t>
      </w:r>
      <w:bookmarkEnd w:id="117"/>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 Buxton et al. 1978b, 1980)</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7">
        <w:r>
          <w:rPr>
            <w:vertAlign w:val="superscript"/>
            <w:rStyle w:val="Hyperlink"/>
          </w:rPr>
          <w:t xml:space="preserve">17</w:t>
        </w:r>
      </w:hyperlink>
      <w:r>
        <w:t xml:space="preserve">. Buxton’s concern throughout SSSP was to address the“problems and benefits arising from the use of computers in musical composition”</w:t>
      </w:r>
      <w:r>
        <w:t xml:space="preserve"> </w:t>
      </w:r>
      <w:r>
        <w:t xml:space="preserve">(Buxton et al. 1978a,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Heading5"/>
      </w:pPr>
      <w:bookmarkStart w:id="118" w:name="a-hierarchical-representation"/>
      <w:r>
        <w:t xml:space="preserve">A Hierarchical Representation</w:t>
      </w:r>
      <w:bookmarkEnd w:id="118"/>
    </w:p>
    <w:p>
      <w:pPr>
        <w:pStyle w:val="FirstParagraph"/>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4.3.3.1.6</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9" w:name="black-boxing"/>
      <w:r>
        <w:t xml:space="preserve">Black-boxing</w:t>
      </w:r>
      <w:bookmarkEnd w:id="119"/>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20" w:name="computer:free"/>
      <w:r>
        <w:t xml:space="preserve">Generality and Portability</w:t>
      </w:r>
      <w:bookmarkEnd w:id="120"/>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 That is to say, if composers take the paths given by the database as givens, then those become the only possible paths.</w:t>
      </w:r>
    </w:p>
    <w:p>
      <w:pPr>
        <w:pStyle w:val="Heading5"/>
      </w:pPr>
      <w:bookmarkStart w:id="121" w:name="computer:vanilla"/>
      <w:r>
        <w:t xml:space="preserve">Simplification</w:t>
      </w:r>
      <w:bookmarkEnd w:id="121"/>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22" w:name="computer:balance"/>
      <w:r>
        <w:t xml:space="preserve">Balance</w:t>
      </w:r>
      <w:bookmarkEnd w:id="122"/>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3"/>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4" w:name="img:truax_generality_b"/>
      <w:r>
        <w:t xml:space="preserve">[img:truax_generality_b]</w:t>
      </w:r>
      <w:bookmarkEnd w:id="124"/>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img:truax_generality_b">
        <w:r>
          <w:rPr>
            <w:rStyle w:val="Hyperlink"/>
          </w:rPr>
          <w:t xml:space="preserve">[img:truax_generality_b]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5" w:name="music-notation-software"/>
      <w:r>
        <w:t xml:space="preserve">Music Notation Software</w:t>
      </w:r>
      <w:bookmarkEnd w:id="125"/>
    </w:p>
    <w:p>
      <w:pPr>
        <w:pStyle w:val="Heading5"/>
      </w:pPr>
      <w:bookmarkStart w:id="126" w:name="computer:notation"/>
      <w:r>
        <w:t xml:space="preserve">DARMS</w:t>
      </w:r>
      <w:bookmarkEnd w:id="126"/>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18">
        <w:r>
          <w:rPr>
            <w:vertAlign w:val="superscript"/>
            <w:rStyle w:val="Hyperlink"/>
          </w:rPr>
          <w:t xml:space="preserve">18</w:t>
        </w:r>
      </w:hyperlink>
    </w:p>
    <w:p>
      <w:pPr>
        <w:pStyle w:val="Heading5"/>
      </w:pPr>
      <w:bookmarkStart w:id="127" w:name="computer:computer"/>
      <w:r>
        <w:t xml:space="preserve">Computer Scores</w:t>
      </w:r>
      <w:bookmarkEnd w:id="127"/>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8" w:name="computer:nutation"/>
      <w:r>
        <w:t xml:space="preserve">N</w:t>
      </w:r>
      <w:r>
        <w:rPr>
          <w:i/>
        </w:rPr>
        <w:t xml:space="preserve">u</w:t>
      </w:r>
      <w:r>
        <w:t xml:space="preserve">tation</w:t>
      </w:r>
      <w:bookmarkEnd w:id="128"/>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9" w:name="computer:theoretical"/>
      <w:r>
        <w:t xml:space="preserve">Theoretical Performance</w:t>
      </w:r>
      <w:bookmarkEnd w:id="129"/>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30" w:name="enter-objects"/>
      <w:r>
        <w:t xml:space="preserve">Enter Objects</w:t>
      </w:r>
      <w:bookmarkEnd w:id="130"/>
    </w:p>
    <w:p>
      <w:pPr>
        <w:pStyle w:val="Heading5"/>
      </w:pPr>
      <w:bookmarkStart w:id="131" w:name="computer:realtime"/>
      <w:r>
        <w:t xml:space="preserve">Max and data structures for realtime</w:t>
      </w:r>
      <w:bookmarkEnd w:id="131"/>
    </w:p>
    <w:p>
      <w:pPr>
        <w:pStyle w:val="FirstParagraph"/>
      </w:pPr>
      <w:r>
        <w:t xml:space="preserve">Composers and programmers in the 1980s began focusing, however, on real-time performance of computer music.</w:t>
      </w:r>
      <w:hyperlink w:anchor="fn19">
        <w:r>
          <w:rPr>
            <w:vertAlign w:val="superscript"/>
            <w:rStyle w:val="Hyperlink"/>
          </w:rPr>
          <w:t xml:space="preserve">19</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32" w:name="computer:puredata"/>
      <w:r>
        <w:t xml:space="preserve">Pure Data</w:t>
      </w:r>
      <w:bookmarkEnd w:id="132"/>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3" w:name="computer:datastructures"/>
      <w:r>
        <w:t xml:space="preserve">Data structures for graphic scores</w:t>
      </w:r>
      <w:bookmarkEnd w:id="133"/>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4" w:name="computer:rtcmix"/>
      <w:r>
        <w:t xml:space="preserve">RtCMIX and the heap</w:t>
      </w:r>
      <w:bookmarkEnd w:id="134"/>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0">
        <w:r>
          <w:rPr>
            <w:vertAlign w:val="superscript"/>
            <w:rStyle w:val="Hyperlink"/>
          </w:rPr>
          <w:t xml:space="preserve">20</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5" w:name="computer:openmusic"/>
      <w:r>
        <w:t xml:space="preserve">OpenMusic</w:t>
      </w:r>
      <w:bookmarkEnd w:id="135"/>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6" w:name="computer:kyma"/>
      <w:r>
        <w:t xml:space="preserve">Kyma</w:t>
      </w:r>
      <w:bookmarkEnd w:id="136"/>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7" w:name="computer:cypher"/>
      <w:r>
        <w:t xml:space="preserve">Cypher</w:t>
      </w:r>
      <w:bookmarkEnd w:id="137"/>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8" w:name="computer:supercollider"/>
      <w:r>
        <w:t xml:space="preserve">SuperCollider and nodes</w:t>
      </w:r>
      <w:bookmarkEnd w:id="138"/>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9" w:name="applications"/>
      <w:r>
        <w:t xml:space="preserve">Applications</w:t>
      </w:r>
      <w:bookmarkEnd w:id="139"/>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40" w:name="applications:synthesis"/>
      <w:r>
        <w:t xml:space="preserve">Sound Synthesis</w:t>
      </w:r>
      <w:bookmarkEnd w:id="140"/>
    </w:p>
    <w:p>
      <w:pPr>
        <w:pStyle w:val="FirstParagraph"/>
      </w:pPr>
      <w:r>
        <w:t xml:space="preserve">Diemo Schwarz developed the concept of data-driven concatenative sound synthesis in his PhD thesis at IRCAM</w:t>
      </w:r>
      <w:r>
        <w:t xml:space="preserve"> </w:t>
      </w:r>
      <w:r>
        <w:t xml:space="preserve">(Schwarz 2000, 2003, 2006a)</w:t>
      </w:r>
      <w:r>
        <w:t xml:space="preserve">: “Concatenative sound synthesis methods use a large database of source sounds, segmented into units, and a unit selection algorithm that finds the units that match best the sound or musical phrase to be synthesised, called the target”</w:t>
      </w:r>
      <w:r>
        <w:t xml:space="preserve"> </w:t>
      </w:r>
      <w:r>
        <w:t xml:space="preserve">(Schwarz 2006a)</w:t>
      </w:r>
      <w:r>
        <w:t xml:space="preserve">. In contrast to rule-based approaches in which sound synthesis is arrived at by models of the sound signal, concatenative synthesis joins together recorded samples thus preserving even the smallest details of the signal. Scwharz designed CATART as a concatenative synthesis toolkit</w:t>
      </w:r>
      <w:r>
        <w:t xml:space="preserve"> </w:t>
      </w:r>
      <w:r>
        <w:t xml:space="preserve">(Schwarz 2006b)</w:t>
      </w:r>
      <w:r>
        <w:t xml:space="preserve">, and later contextualized information space as a musical instrument</w:t>
      </w:r>
      <w:r>
        <w:t xml:space="preserve"> </w:t>
      </w:r>
      <w:r>
        <w:t xml:space="preserve">(Schwarz 2012)</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1">
        <w:r>
          <w:rPr>
            <w:vertAlign w:val="superscript"/>
            <w:rStyle w:val="Hyperlink"/>
          </w:rPr>
          <w:t xml:space="preserve">21</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41" w:name="applications:navigation"/>
      <w:r>
        <w:t xml:space="preserve">Navigation</w:t>
      </w:r>
      <w:bookmarkEnd w:id="141"/>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2">
        <w:r>
          <w:rPr>
            <w:vertAlign w:val="superscript"/>
            <w:rStyle w:val="Hyperlink"/>
          </w:rPr>
          <w:t xml:space="preserve">22</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3">
        <w:r>
          <w:rPr>
            <w:vertAlign w:val="superscript"/>
            <w:rStyle w:val="Hyperlink"/>
          </w:rPr>
          <w:t xml:space="preserve">23</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42" w:name="application:performance"/>
      <w:r>
        <w:t xml:space="preserve">Performance</w:t>
      </w:r>
      <w:bookmarkEnd w:id="142"/>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Hugues Vinet’s CUIDADO project, which developed into the</w:t>
      </w:r>
      <w:r>
        <w:t xml:space="preserve"> </w:t>
      </w:r>
      <w:r>
        <w:rPr>
          <w:i/>
        </w:rPr>
        <w:t xml:space="preserve">Semantic Hi-Fi</w:t>
      </w:r>
      <w:r>
        <w:t xml:space="preserve"> </w:t>
      </w:r>
      <w:r>
        <w:t xml:space="preserve">system at IRCAM</w:t>
      </w:r>
      <w:r>
        <w:t xml:space="preserve"> </w:t>
      </w:r>
      <w:r>
        <w:t xml:space="preserve">(Vinet et al. 2002a,b; Vinet 2005)</w:t>
      </w:r>
      <w:r>
        <w:t xml:space="preserve">, consists of a database system aimed at content-based querying of audio files. Vinet’s project enabled</w:t>
      </w:r>
      <w:r>
        <w:t xml:space="preserve"> </w:t>
      </w:r>
      <w:r>
        <w:t xml:space="preserve">djs</w:t>
      </w:r>
      <w:r>
        <w:t xml:space="preserve"> </w:t>
      </w:r>
      <w:r>
        <w:t xml:space="preserve">to browse through files, apply beat-synchronized transitions between them, and many other automated tasks during performance. Gerard Assayag and Shlomo Dubnov’s OMAX was another IRCAM project dedicated to realtime co-improvisation. This project was based on a dictionary “universal prediction algorithm that provides a very general and flexible approach to machine learning in the domain of musical style”</w:t>
      </w:r>
      <w:r>
        <w:t xml:space="preserve"> </w:t>
      </w:r>
      <w:r>
        <w:t xml:space="preserve">(Assayag et al. 1999)</w:t>
      </w:r>
      <w:r>
        <w:t xml:space="preserve">. OMAX later was extended to video and audio features</w:t>
      </w:r>
      <w:r>
        <w:t xml:space="preserve"> </w:t>
      </w:r>
      <w:r>
        <w:t xml:space="preserve">(Bloch &amp; Dubnov 2008)</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4">
        <w:r>
          <w:rPr>
            <w:vertAlign w:val="superscript"/>
            <w:rStyle w:val="Hyperlink"/>
          </w:rPr>
          <w:t xml:space="preserve">24</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3" w:name="application:gesture"/>
      <w:r>
        <w:t xml:space="preserve">Gesture</w:t>
      </w:r>
      <w:bookmarkEnd w:id="143"/>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5">
        <w:r>
          <w:rPr>
            <w:vertAlign w:val="superscript"/>
            <w:rStyle w:val="Hyperlink"/>
          </w:rPr>
          <w:t xml:space="preserve">25</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6">
        <w:r>
          <w:rPr>
            <w:vertAlign w:val="superscript"/>
            <w:rStyle w:val="Hyperlink"/>
          </w:rPr>
          <w:t xml:space="preserve">26</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4" w:name="application:sharing"/>
      <w:r>
        <w:t xml:space="preserve">Resource Sharing</w:t>
      </w:r>
      <w:bookmarkEnd w:id="144"/>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 project a data format for sharing between different multimedia environments. Based on previous work on file formats</w:t>
      </w:r>
      <w:hyperlink w:anchor="fn27">
        <w:r>
          <w:rPr>
            <w:vertAlign w:val="superscript"/>
            <w:rStyle w:val="Hyperlink"/>
          </w:rPr>
          <w:t xml:space="preserve">27</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 or user-made databases, enabling content-based querying by pitch or tapping.</w:t>
      </w:r>
    </w:p>
    <w:p>
      <w:pPr>
        <w:pStyle w:val="Heading1"/>
      </w:pPr>
      <w:bookmarkStart w:id="145" w:name="chapter:Database_Aesthetics"/>
      <w:r>
        <w:t xml:space="preserve">Database Aesthetics</w:t>
      </w:r>
      <w:bookmarkEnd w:id="145"/>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46" w:name="section:Listening_Databases"/>
      <w:r>
        <w:t xml:space="preserve">Listening Databases</w:t>
      </w:r>
      <w:bookmarkEnd w:id="146"/>
    </w:p>
    <w:p>
      <w:pPr>
        <w:pStyle w:val="Heading3"/>
      </w:pPr>
      <w:bookmarkStart w:id="147" w:name="resonance_of_a_return"/>
      <w:r>
        <w:t xml:space="preserve">The Resonance Of A Return</w:t>
      </w:r>
      <w:bookmarkEnd w:id="147"/>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Heading5"/>
      </w:pPr>
      <w:bookmarkStart w:id="148" w:name="sonorous-presence"/>
      <w:r>
        <w:t xml:space="preserve">Sonorous presence</w:t>
      </w:r>
      <w:bookmarkEnd w:id="148"/>
    </w:p>
    <w:p>
      <w:pPr>
        <w:pStyle w:val="FirstParagraph"/>
      </w:pPr>
      <w:r>
        <w:t xml:space="preserve">Jean-Luc Nancy</w:t>
      </w:r>
      <w:r>
        <w:t xml:space="preserve"> </w:t>
      </w:r>
      <w:r>
        <w:t xml:space="preserve">(Nancy 2007)</w:t>
      </w:r>
      <w:r>
        <w:t xml:space="preserve"> </w:t>
      </w:r>
      <w:r>
        <w:t xml:space="preserve">brings forth an ontology of sound that is based on the performativity of listening. Linking an embodied theory of listening with a phenomenology of the self, this ontology begins by defining the ‘sonorous presence.’ For Brian Kane</w:t>
      </w:r>
      <w:r>
        <w:t xml:space="preserve"> </w:t>
      </w:r>
      <w:r>
        <w:t xml:space="preserve">(Gratton &amp; Morin 2015)</w:t>
      </w:r>
      <w:r>
        <w:t xml:space="preserve">, Nancy’s ‘sonorous presence’ is given by the combination of both the listening body as being part of the medium and the body’s sense perception linked to that medium. I understand medium here as the transmission medium upon which sound propagates, such as a space filled with gas, liquid, or solid particles of matter. Under this definition, all bodies are part of media, that is, both human and nonhuman bodies. Sound reaches, enters, and traverses bodies within media. Thus, for Nancy, sound immerses all bodies within itself. This means that sound includes all bodies within its oscillation, making listeners vibrate. Therefore, the listening subject, understood as the one that is listening (a singular listener) is always already part of sound.</w:t>
      </w:r>
    </w:p>
    <w:p>
      <w:pPr>
        <w:pStyle w:val="Heading5"/>
      </w:pPr>
      <w:bookmarkStart w:id="149" w:name="an-a-priori-filter"/>
      <w:r>
        <w:t xml:space="preserve">An a priori filter</w:t>
      </w:r>
      <w:bookmarkEnd w:id="149"/>
    </w:p>
    <w:p>
      <w:pPr>
        <w:pStyle w:val="FirstParagraph"/>
      </w:pPr>
      <w:r>
        <w:t xml:space="preserve">In being already part of sound, bodies change sound even before listening. On a mechanical level, the body is an a priori physical filter. Sound is filtered differently and uniquely within each body: my body changes the incoming sound for me, just as well it does for others. For instance, a longitudinal wave passing through a body affects how it will arrive at other points in space. Sound propagation is conditioned by the qualities of the medium. That is to say, while the combination of density, pressure, temperature, and motion affect its speed, viscosity within media affects its attenuation rate. This means that within hot and humid climates sound will move slower, and if there is wind blowing in the same direction of a sound it will travel faster. What is important here, is that this also means the listening body changes how sound moves both inside and outside of itself. On the one hand, bodies filter sounds towards one another. On the other, even before longitudinal waves reach the tympan, the same body already affects their movement. Waves change direction by way of reflection or refraction, and they fade out by way of attenuation. This means that waves are affected in different ways according to different media, some being more (concert halls) or less reflective (anechoic chambers). Since the listener’s body itself refracts, reflects, and attenuates waves, the singular filter that is the body changes wave propagation not only for itself and its own listening experience, also for the listening experience of other subjects in different places in space. This explains why empty concert halls sound more reverberant than filled concert halls.</w:t>
      </w:r>
    </w:p>
    <w:p>
      <w:pPr>
        <w:pStyle w:val="Heading5"/>
      </w:pPr>
      <w:bookmarkStart w:id="150" w:name="sonorous-presence-in-an-attack"/>
      <w:r>
        <w:t xml:space="preserve">Sonorous presence in an attack</w:t>
      </w:r>
      <w:bookmarkEnd w:id="150"/>
    </w:p>
    <w:p>
      <w:pPr>
        <w:pStyle w:val="FirstParagraph"/>
      </w:pPr>
      <w:r>
        <w:t xml:space="preserve">Sonorous presence, therefore, can be understood as follows. Since listeners are singularities in the presence of sound, and since sound itself is the singularly exposed presence, the sonorous presence is an exposition of an in-between-ness, or a resonant state of a self being exposed to itself and to one another. The experience of this exposure, however, points to the presence of sound as a sensing experience in itself (the body listening to itself listen), and not to what a given sound might signify. As Kane writes, to be listening in the sonorous present constitutes “a mode of listening that exposes itself to sense”</w:t>
      </w:r>
      <w:r>
        <w:t xml:space="preserve"> </w:t>
      </w:r>
      <w:r>
        <w:t xml:space="preserve">(Gratton &amp; Morin 2015, pp. 143–44)</w:t>
      </w:r>
      <w:r>
        <w:t xml:space="preserve">. This means that in the sonorous present, the listening body emerges as a creation of itself as sense. Therefore, in the sonorous present the first image is that of the body. In this sense, the body is given form by itself: it is self-in-formed during the sonorous present. Furthermore, the duration of this sonorous presence is none other than an instant, or what Nancy refers to as an ‘attack.’ All mechanical waves require an initial energy input. In the case of sound, particularly in musical contexts, this input is generally referred to as attack. Nancy, however, takes this notion of the attack to another plane. He refers to it as the exact moment when a sound arrives and simultaneously leaves the body: the instantaneous appearance of sound within the body. An attack therefore instantiates the sonorous presence.</w:t>
      </w:r>
    </w:p>
    <w:p>
      <w:pPr>
        <w:pStyle w:val="Heading5"/>
      </w:pPr>
      <w:bookmarkStart w:id="151" w:name="referrals-and-deferrals"/>
      <w:r>
        <w:t xml:space="preserve">Referrals and Deferrals</w:t>
      </w:r>
      <w:bookmarkEnd w:id="151"/>
    </w:p>
    <w:p>
      <w:pPr>
        <w:pStyle w:val="FirstParagraph"/>
      </w:pPr>
      <w:r>
        <w:t xml:space="preserve">The structure of the listening experience is one of infinite referrals and deferrals.</w:t>
      </w:r>
      <w:hyperlink w:anchor="fn28">
        <w:r>
          <w:rPr>
            <w:vertAlign w:val="superscript"/>
            <w:rStyle w:val="Hyperlink"/>
          </w:rPr>
          <w:t xml:space="preserve">28</w:t>
        </w:r>
      </w:hyperlink>
      <w:r>
        <w:t xml:space="preserve"> </w:t>
      </w:r>
      <w:r>
        <w:t xml:space="preserve">Inasmuch as the sensing body is aware of its own multiplicity of sense, this multiplicity is itself dislocated spatially and temporally. Thus, the distances in both time and space, between all points of the listening experience, of the singular listener and the plurality of listeners, create a web of references that is instantiated in the attack of the sonorous presence. By way of listening, Nancy approaches the notion of meaning. That is to say, for him, meaning “is made of a totality of referrals: from sign to a thing, from a state of things to a quality, from a subject to another subject or to itself, all simultaneously”</w:t>
      </w:r>
      <w:r>
        <w:t xml:space="preserve"> </w:t>
      </w:r>
      <w:r>
        <w:t xml:space="preserve">(Nancy 2007, pp. 4–9)</w:t>
      </w:r>
      <w:r>
        <w:t xml:space="preserve">. Therefore, since sound “is also made of referrals: it spreads in space, where it resounds while still resounding ‘in me’’</w:t>
      </w:r>
      <w:r>
        <w:t xml:space="preserve"> </w:t>
      </w:r>
      <w:r>
        <w:t xml:space="preserve">(Nancy 2007, pp. 4–9)</w:t>
      </w:r>
      <w:r>
        <w:t xml:space="preserve">, the result is an understanding of listening as a process that intertwines sense and signification. As a consequence of meaning within the listening experience, the self comes along resounding, emerging out of a resonating plurality.</w:t>
      </w:r>
    </w:p>
    <w:p>
      <w:pPr>
        <w:pStyle w:val="Heading5"/>
      </w:pPr>
      <w:bookmarkStart w:id="152" w:name="a-loop"/>
      <w:r>
        <w:t xml:space="preserve">A Loop</w:t>
      </w:r>
      <w:bookmarkEnd w:id="152"/>
    </w:p>
    <w:p>
      <w:pPr>
        <w:pStyle w:val="FirstParagraph"/>
      </w:pPr>
      <w:r>
        <w:t xml:space="preserve">The condition of repetition, oscillation, or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 do this in simultaneity with another subject, who is also creating itself while giving meaning to other sound waves. In listening, the vibrating link in between ourselves is also simultaneously changing the way we are listening. Thus, every singularity is in a state of being exposed to one other, that is, in resonance or in touch with on other. Within this loop, not only sound enters and leaves the body, also the sensing body and the resonant self emerge and re-emerge infinitely. Therefore, this infinitude becomes the presence of the self, in the sense that the self becomes present to itself.</w:t>
      </w:r>
    </w:p>
    <w:p>
      <w:pPr>
        <w:pStyle w:val="Heading5"/>
      </w:pPr>
      <w:bookmarkStart w:id="153" w:name="an-approach-to-self"/>
      <w:r>
        <w:t xml:space="preserve">An Approach to Self</w:t>
      </w:r>
      <w:bookmarkEnd w:id="153"/>
    </w:p>
    <w:p>
      <w:pPr>
        <w:pStyle w:val="FirstParagraph"/>
      </w:pPr>
      <w:r>
        <w:t xml:space="preserve">It is important to note that the self resonates to itself coming</w:t>
      </w:r>
      <w:r>
        <w:t xml:space="preserve"> </w:t>
      </w:r>
      <w:r>
        <w:rPr>
          <w:i/>
        </w:rPr>
        <w:t xml:space="preserve">in</w:t>
      </w:r>
      <w:r>
        <w:t xml:space="preserve">. This must be distinguished from the self understood as an expressive substance inherent to bodies, or already</w:t>
      </w:r>
      <w:r>
        <w:t xml:space="preserve"> </w:t>
      </w:r>
      <w:r>
        <w:rPr>
          <w:i/>
        </w:rPr>
        <w:t xml:space="preserve">in</w:t>
      </w:r>
      <w:r>
        <w:t xml:space="preserve"> </w:t>
      </w:r>
      <w:r>
        <w:t xml:space="preserve">the body, as if it were some originary essence that appears out of resonance. Quite the contrary, for Nancy, the phenomenality of the self comes as a result of the resonance, in the form of a return. In other words, the self is something that appears to itself, at the limit of itself, very much like sound does. This is why, for Nancy, to be listening [</w:t>
      </w:r>
      <w:r>
        <w:rPr>
          <w:i/>
        </w:rPr>
        <w:t xml:space="preserve">être à l’écoute</w:t>
      </w:r>
      <w:r>
        <w:t xml:space="preserve">] engages resonant subjects with an approach to self. This approach, however, is neither to the self, not to the self of another, but to the structure of resonance as understood in terms of a</w:t>
      </w:r>
      <w:r>
        <w:t xml:space="preserve"> </w:t>
      </w:r>
      <w:r>
        <w:rPr>
          <w:i/>
        </w:rPr>
        <w:t xml:space="preserve">relationship in self</w:t>
      </w:r>
      <w:r>
        <w:t xml:space="preserve"> </w:t>
      </w:r>
      <w:r>
        <w:t xml:space="preserve">from itself. The quote at the beginning of this section (“if something like that ever does reach the end of its formation”) points precisely to the infinite resonant process with which Nancy builds his concept of listening, but specifically, it is how he sets forth an image of a self coming from this ontology of sound.</w:t>
      </w:r>
      <w:hyperlink w:anchor="fn29">
        <w:r>
          <w:rPr>
            <w:vertAlign w:val="superscript"/>
            <w:rStyle w:val="Hyperlink"/>
          </w:rPr>
          <w:t xml:space="preserve">29</w:t>
        </w:r>
      </w:hyperlink>
    </w:p>
    <w:p>
      <w:pPr>
        <w:pStyle w:val="Heading3"/>
      </w:pPr>
      <w:bookmarkStart w:id="154" w:name="network"/>
      <w:r>
        <w:t xml:space="preserve">Resonant Network</w:t>
      </w:r>
      <w:bookmarkEnd w:id="154"/>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Nancy’s resonance points to instrumental music listening, specially because of his references to composers like Wagner or Berlioz. However, the case of listening to music with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r>
        <w:t xml:space="preserve"> </w:t>
      </w:r>
      <w:r>
        <w:t xml:space="preserve">(Latour 1990, 1993)</w:t>
      </w:r>
      <w:r>
        <w:t xml:space="preserve">.</w:t>
      </w:r>
    </w:p>
    <w:p>
      <w:pPr>
        <w:pStyle w:val="Heading5"/>
      </w:pPr>
      <w:bookmarkStart w:id="155" w:name="an-illusory-violin"/>
      <w:r>
        <w:t xml:space="preserve">An Illusory Violin</w:t>
      </w:r>
      <w:bookmarkEnd w:id="155"/>
    </w:p>
    <w:p>
      <w:pPr>
        <w:pStyle w:val="FirstParagraph"/>
      </w:pPr>
      <w:r>
        <w:t xml:space="preserve">Consider, for example, an acousmatic concert in which one of the music works is made with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a network of interconnected objects that refer to each other.</w:t>
      </w:r>
    </w:p>
    <w:p>
      <w:pPr>
        <w:pStyle w:val="Heading5"/>
      </w:pPr>
      <w:bookmarkStart w:id="156" w:name="virtuality"/>
      <w:r>
        <w:t xml:space="preserve">Virtuality</w:t>
      </w:r>
      <w:bookmarkEnd w:id="156"/>
    </w:p>
    <w:p>
      <w:pPr>
        <w:pStyle w:val="FirstParagraph"/>
      </w:pPr>
      <w:r>
        <w:t xml:space="preserve">As I described in earlier sections, virtuality is our brain’s capacity to create images from the world. In listening, the virtuality of the human mind engages with the attack of the sonorous presence, and with the relationship in self. Therefore, the body listening to itself listening results not only in the self-image of the body, it also creates an image of the listened to the point of embodying a violin player altogether. That is to say, the illusory violin, however imaginary, can be listened to and, thus, it can enter into the infinite game of resonance. In this listening process, therefore, the listening subject exposes itself to itself and to the ‘virtual’ self of the violin. The ‘virtual’ in this context does not mean in opposition to the real. Quite the contrary, the virtual comes as the affective presence of the real, and it becomes the possibility condition for the reality of images. From this, it follows that the self is already an image of itself and, as such, it is a virtuality that comes out of the process of listening.</w:t>
      </w:r>
    </w:p>
    <w:p>
      <w:pPr>
        <w:pStyle w:val="Heading5"/>
      </w:pPr>
      <w:bookmarkStart w:id="157" w:name="performativity-of-networks"/>
      <w:r>
        <w:t xml:space="preserve">Performativity of Networks</w:t>
      </w:r>
      <w:bookmarkEnd w:id="157"/>
    </w:p>
    <w:p>
      <w:pPr>
        <w:pStyle w:val="FirstParagraph"/>
      </w:pPr>
      <w:r>
        <w:t xml:space="preserve">Latour understands ‘networks’ as made of interconnected frames of reference. He refers to these frames as ‘semiotic actors’ as well as their accounts of each other. In this sense, the network is comprised entirely of motion and activity. The performativity of semiotic actors is the network’s very own movement reflected back onto itself. That is to say, the network itself is the set of links that are being established as nodes, and these nodes are in constant reference to each other. Within a universe of actors, or what Latour calls ‘ontological hybrids’, or world-making</w:t>
      </w:r>
      <w:r>
        <w:t xml:space="preserve"> </w:t>
      </w:r>
      <w:r>
        <w:rPr>
          <w:i/>
        </w:rPr>
        <w:t xml:space="preserve">etceteras</w:t>
      </w:r>
      <w:r>
        <w:t xml:space="preserve">, only meaning and connectivity is present, and there is nothing that falls outside the network. The network encompasses its own actors and its own performance. Thus, performance is the defining gesture of networks. 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w:t>
      </w:r>
    </w:p>
    <w:p>
      <w:pPr>
        <w:pStyle w:val="Heading5"/>
      </w:pPr>
      <w:bookmarkStart w:id="158" w:name="a-resonant-movement-of-a-thing"/>
      <w:r>
        <w:t xml:space="preserve">A Resonant Movement of a Thing</w:t>
      </w:r>
      <w:bookmarkEnd w:id="158"/>
    </w:p>
    <w:p>
      <w:pPr>
        <w:pStyle w:val="FirstParagraph"/>
      </w:pPr>
      <w:r>
        <w:t xml:space="preserve">Considering this concept of the network as one grounded on movement, and, precisely, on the movement of meaning, there exists the possibility of thinking this movement under the scope of Nancy’s ontology of sound. That is to say, given that sound is also composed of the oscillatory motion of particles in space, and, given that this structure of infinite referral and deferrals, then Latour’s phrase can be reformulated as follows:</w:t>
      </w:r>
      <w:r>
        <w:t xml:space="preserve"> </w:t>
      </w:r>
      <w:r>
        <w:rPr>
          <w:i/>
        </w:rPr>
        <w:t xml:space="preserve">the network is not a thing, but resonant movement of a thing</w:t>
      </w:r>
      <w:r>
        <w:t xml:space="preserve">. Considering the concept of a resonating network of humans and nonhumans, the database not only enters as a node (semiotic actor) in the network, it enters as a resonating subject in its own right. If semiotic actors in Latour’s network are in constant reference to each other, it can be argued that they are in infinite resonance with each other, in a permanent state of vibration, or simply,</w:t>
      </w:r>
      <w:r>
        <w:t xml:space="preserve"> </w:t>
      </w:r>
      <w:r>
        <w:rPr>
          <w:i/>
        </w:rPr>
        <w:t xml:space="preserve">listening</w:t>
      </w:r>
      <w:r>
        <w:t xml:space="preserve">. Therefore, these listening actors may be not only human,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In other words, when the database of samples used by our virtual violin begins to sound, it is not only being listened to by the audience in the hall, it also begins to listen to itself listening. When considering the database as a resonant subject in itself, the database is granted with creative agency. In other words, the database engages within an emergent (hybrid) community of the human and the nonhuman. Our virtual violin, made of samples in RAM , makes the network resonate while resonating itself to itself. The hierarchical links between the human and the non begin to disappear in favor of a multiplicity of edges in a networked condition of resonance.</w:t>
      </w:r>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Heading5"/>
      </w:pPr>
      <w:bookmarkStart w:id="159" w:name="positive-feedback"/>
      <w:r>
        <w:t xml:space="preserve">Positive Feedback</w:t>
      </w:r>
      <w:bookmarkEnd w:id="159"/>
    </w:p>
    <w:p>
      <w:pPr>
        <w:pStyle w:val="FirstParagraph"/>
      </w:pPr>
      <w:r>
        <w:t xml:space="preserve">Connection and expansion are the mode of being of what I am calling resonant networks. Networks exist by the constant growth of their nodes and edges. Therefore, given the self-propagating quality of networks, the notion of a network unlinking itself until extinction is utterly impossible. Although it would be rational to think this way, the case of the network would imply that once a connection is disconnected, another new connection must refer to the unlinked status of the affected nodes. This new connection would, in turn, unfold a new set of connections into newer and yet unexpected directions. Therefore, a sharp distinction with sound arises: while the network is expanding in redundancy and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perceptual nothingness. In other words, coupling ‘resonant’ and ‘network’ results in a sort of positive feedback, that unless intentionally built into an electronic circuit serving that purpose, simply falls out of the mechanical aspect of waves. Thus, sonic entropy plays against network expansion.</w:t>
      </w:r>
    </w:p>
    <w:p>
      <w:pPr>
        <w:pStyle w:val="Heading5"/>
      </w:pPr>
      <w:bookmarkStart w:id="160" w:name="the-work-of-actors"/>
      <w:r>
        <w:t xml:space="preserve">The Work of Actors</w:t>
      </w:r>
      <w:bookmarkEnd w:id="160"/>
    </w:p>
    <w:p>
      <w:pPr>
        <w:pStyle w:val="FirstParagraph"/>
      </w:pPr>
      <w:r>
        <w:t xml:space="preserve">The notion of network is to a certain extent mathematical. The spatial metaphors that are generally used, such as “close and far, up and down, local and global, inside and outside,” come to be replaced by “associations and connections”</w:t>
      </w:r>
      <w:r>
        <w:t xml:space="preserve"> </w:t>
      </w:r>
      <w:r>
        <w:t xml:space="preserve">(Latour 1990, p. 6)</w:t>
      </w:r>
      <w:r>
        <w:t xml:space="preserve">. For example, consider the case of a person writing on a laptop computer. The two actors (user, computer) have to perform what Latour calls “enormous supplementary work”</w:t>
      </w:r>
      <w:r>
        <w:t xml:space="preserve"> </w:t>
      </w:r>
      <w:r>
        <w:t xml:space="preserve">(Latour 1990, p. 6)</w:t>
      </w:r>
      <w:r>
        <w:t xml:space="preserve">. While the computer has to display characters correlating glyphs to keys, the user has to visualize letters out of pixel data on screen. Therefore, the conjunction of the keyboard-to-character database with the user’s ability to create images out of a flickering lights results in an inverted proximity: letters on screen appear closer to the eyes than they are to the fingers. Distance and proximity are two concepts based on geography, a concept that within networks tends to give way to connectivity.</w:t>
      </w:r>
    </w:p>
    <w:p>
      <w:pPr>
        <w:pStyle w:val="Heading3"/>
      </w:pPr>
      <w:bookmarkStart w:id="161" w:name="inoperativity"/>
      <w:r>
        <w:t xml:space="preserve">The Unworking Network</w:t>
      </w:r>
      <w:bookmarkEnd w:id="161"/>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relates to</w:t>
      </w:r>
      <w:r>
        <w:t xml:space="preserve"> </w:t>
      </w:r>
      <w:r>
        <w:t xml:space="preserve">Nancy (1991)</w:t>
      </w:r>
      <w:r>
        <w:t xml:space="preserve">’s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Inoperativity and community are intertwined, and I will describe them in the following paragraphs.</w:t>
      </w:r>
    </w:p>
    <w:p>
      <w:pPr>
        <w:pStyle w:val="Heading5"/>
      </w:pPr>
      <w:bookmarkStart w:id="162" w:name="community-as-unwork"/>
      <w:r>
        <w:t xml:space="preserve">Community as unwork</w:t>
      </w:r>
      <w:bookmarkEnd w:id="162"/>
    </w:p>
    <w:p>
      <w:pPr>
        <w:pStyle w:val="FirstParagraph"/>
      </w:pPr>
      <w:r>
        <w:t xml:space="preserve">Referring to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That is to say,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and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Heading5"/>
      </w:pPr>
      <w:bookmarkStart w:id="163" w:name="resonant-inoperativity"/>
      <w:r>
        <w:t xml:space="preserve">Resonant Inoperativity</w:t>
      </w:r>
      <w:bookmarkEnd w:id="163"/>
    </w:p>
    <w:p>
      <w:pPr>
        <w:pStyle w:val="FirstParagraph"/>
      </w:pPr>
      <w:r>
        <w:t xml:space="preserve">Given that Nancy thinks of community as an exposure of selves towards one another, we can understand this movement of unworking as the movement of resonant networks. Furthermore, the exposure that occurs in listening can, in turn, allow a comparison between resonance and inoperativity. In this sense, the distance between the resonant subject and the sonorous presence becomes a limit upon which community is suspended. Nancy’s concept of resonance has two dimensions, one relating the body sensing itself and the other to the structure of infinite referrals and deferrals. On the one hand, the sonic medium encompasses the concept of resonance with those of exposure, immersion, and openness. Listeners are exposed to one another and in contact with themselves through the medium. Resonance exposes thus a liminality. This is also understood in terms of the reaching of the limits of the listening body. The listening subject exposing itself to a limit which comes as a form of sharing, exchange, and ultimately community.</w:t>
      </w:r>
    </w:p>
    <w:p>
      <w:pPr>
        <w:pStyle w:val="Heading5"/>
      </w:pPr>
      <w:bookmarkStart w:id="164" w:name="space-of-community"/>
      <w:r>
        <w:t xml:space="preserve">Space of Community</w:t>
      </w:r>
      <w:bookmarkEnd w:id="164"/>
    </w:p>
    <w:p>
      <w:pPr>
        <w:pStyle w:val="FirstParagraph"/>
      </w:pPr>
      <w:r>
        <w:t xml:space="preserve">This space of community is an exposure to fragmentation. Fragmentation, in this sense, means the inability for a thing to complete itself. The opening of a wound that precludes the unity. As the fragile, liminal state of fracture that this fragmentation points to, however, it maintains itself in suspension. That is to say, the contact that exists between selves is not conclusive. Therefore, if this touch, in the sense that touching permits being in common with the other, is the mark of community, it follows that it is impossible to arrive at it by means of a work. The concept of work comes from the necessity to finish things, to close objects, to sever a beginning and an ending out of a temporal and spatial continuum. The activity of work is aimed at effectively arriving at a result, applying certain effort for the purpose of a given task. Labor itself is both related to the application of forces and to creation itself, to giving birth. Art traditionally comes in the form of work. Community comes from the form of unwork.</w:t>
      </w:r>
    </w:p>
    <w:p>
      <w:pPr>
        <w:pStyle w:val="Heading5"/>
      </w:pPr>
      <w:bookmarkStart w:id="165" w:name="at-the-limit"/>
      <w:r>
        <w:t xml:space="preserve">At the Limit</w:t>
      </w:r>
      <w:bookmarkEnd w:id="165"/>
    </w:p>
    <w:p>
      <w:pPr>
        <w:pStyle w:val="FirstParagraph"/>
      </w:pPr>
      <w:r>
        <w:t xml:space="preserve">Nancy’s concept of community is exemplified by resonance and his later ontology of sound. Given the fact that the ontology of sound points to the distance between sense and signification, and, thus, to the emergence of a resonant subject during the sonorous presence, this distance can be thought of as suspended at the limit. A limit, in the sense that it constitutes an edge between two objects (actors).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Within this quality of incompleteness, which relates to suspension, but also to fracture, fragility, instability, and unpredictability, is how the notion of community as product can never be realized.</w:t>
      </w:r>
    </w:p>
    <w:p>
      <w:pPr>
        <w:pStyle w:val="Heading5"/>
      </w:pPr>
      <w:bookmarkStart w:id="166" w:name="reticulated-skin"/>
      <w:r>
        <w:t xml:space="preserve">Reticulated Skin</w:t>
      </w:r>
      <w:bookmarkEnd w:id="166"/>
    </w:p>
    <w:p>
      <w:pPr>
        <w:pStyle w:val="FirstParagraph"/>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The human and the nonhuman unfold their relations towards each other, suspending themselves in between one another. This in-between-ness is not to mean a gap between selves, but their connectedness and the same network of associations and referrals that exists between them.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reticulated,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Heading5"/>
      </w:pPr>
      <w:bookmarkStart w:id="167" w:name="resistance-in-database-music"/>
      <w:r>
        <w:t xml:space="preserve">Resistance in Database Music</w:t>
      </w:r>
      <w:bookmarkEnd w:id="167"/>
    </w:p>
    <w:p>
      <w:pPr>
        <w:pStyle w:val="FirstParagraph"/>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68" w:name="section:Databases_And_Memory"/>
      <w:r>
        <w:t xml:space="preserve">Databases And Memory</w:t>
      </w:r>
      <w:bookmarkEnd w:id="168"/>
    </w:p>
    <w:p>
      <w:pPr>
        <w:pStyle w:val="Heading3"/>
      </w:pPr>
      <w:bookmarkStart w:id="169" w:name="funeslude"/>
      <w:r>
        <w:t xml:space="preserve">Interlude: Embodied Memory</w:t>
      </w:r>
      <w:bookmarkEnd w:id="16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0">
        <w:r>
          <w:rPr>
            <w:vertAlign w:val="superscript"/>
            <w:rStyle w:val="Hyperlink"/>
          </w:rPr>
          <w:t xml:space="preserve">30</w:t>
        </w:r>
      </w:hyperlink>
      <w:r>
        <w:t xml:space="preserve"> </w:t>
      </w:r>
      <w:r>
        <w:t xml:space="preserve">he was secluded in a dark and enclosed space so as not to perceive the world.</w:t>
      </w:r>
      <w:hyperlink w:anchor="fn31">
        <w:r>
          <w:rPr>
            <w:vertAlign w:val="superscript"/>
            <w:rStyle w:val="Hyperlink"/>
          </w:rPr>
          <w:t xml:space="preserve">31</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2">
        <w:r>
          <w:rPr>
            <w:vertAlign w:val="superscript"/>
            <w:rStyle w:val="Hyperlink"/>
          </w:rPr>
          <w:t xml:space="preserve">32</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3">
        <w:r>
          <w:rPr>
            <w:vertAlign w:val="superscript"/>
            <w:rStyle w:val="Hyperlink"/>
          </w:rPr>
          <w:t xml:space="preserve">33</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4">
        <w:r>
          <w:rPr>
            <w:vertAlign w:val="superscript"/>
            <w:rStyle w:val="Hyperlink"/>
          </w:rPr>
          <w:t xml:space="preserve">34</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5">
        <w:r>
          <w:rPr>
            <w:vertAlign w:val="superscript"/>
            <w:rStyle w:val="Hyperlink"/>
          </w:rPr>
          <w:t xml:space="preserve">35</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70" w:name="human"/>
      <w:r>
        <w:t xml:space="preserve">The Effraction Of The Trace</w:t>
      </w:r>
      <w:bookmarkEnd w:id="170"/>
    </w:p>
    <w:p>
      <w:pPr>
        <w:pStyle w:val="BlockText"/>
      </w:pPr>
      <w:r>
        <w:t xml:space="preserve">Lo cierto es que vivimos postergando todo lo postergable; tal vez todos sabemos profundamente que somos inmortales y que tarde o temprano, todo hombre hará todas las cosas y sabrá todo.</w:t>
      </w:r>
      <w:hyperlink w:anchor="fn36">
        <w:r>
          <w:rPr>
            <w:vertAlign w:val="superscript"/>
            <w:rStyle w:val="Hyperlink"/>
          </w:rPr>
          <w:t xml:space="preserve">36</w:t>
        </w:r>
      </w:hyperlink>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Heading5"/>
      </w:pPr>
      <w:bookmarkStart w:id="171" w:name="memory-as-breaching"/>
      <w:r>
        <w:t xml:space="preserve">Memory as Breaching</w:t>
      </w:r>
      <w:bookmarkEnd w:id="171"/>
    </w:p>
    <w:p>
      <w:pPr>
        <w:pStyle w:val="FirstParagraph"/>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(unclosing) state of being innocently ready for the next perception.</w:t>
      </w:r>
    </w:p>
    <w:p>
      <w:pPr>
        <w:pStyle w:val="Heading5"/>
      </w:pPr>
      <w:bookmarkStart w:id="172" w:name="breaching-and-différance"/>
      <w:r>
        <w:t xml:space="preserve">Breaching and</w:t>
      </w:r>
      <w:r>
        <w:t xml:space="preserve"> </w:t>
      </w:r>
      <w:r>
        <w:rPr>
          <w:i/>
        </w:rPr>
        <w:t xml:space="preserve">différance</w:t>
      </w:r>
      <w:bookmarkEnd w:id="172"/>
    </w:p>
    <w:p>
      <w:pPr>
        <w:pStyle w:val="FirstParagraph"/>
      </w:pPr>
      <w:r>
        <w:t xml:space="preserve">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that is, a structure of infinite referrals and deferrals: “trace as memory is not a pure breaching that might be reappropriated at any time as simple presence; it is rather the ungraspable and invisible difference between breaches”</w:t>
      </w:r>
      <w:r>
        <w:t xml:space="preserve"> </w:t>
      </w:r>
      <w:r>
        <w:t xml:space="preserve">(Derrida 1978, p. 201)</w:t>
      </w:r>
      <w:r>
        <w:t xml:space="preserve"> </w:t>
      </w:r>
      <w:r>
        <w:t xml:space="preserve">Therefore, since the essence of the psyche (memory) is breaching (tracing) and the space and temporal dislocation of traces (</w:t>
      </w:r>
      <w:r>
        <w:rPr>
          <w:i/>
        </w:rPr>
        <w:t xml:space="preserve">différance</w:t>
      </w:r>
      <w:r>
        <w:t xml:space="preserve">), a link between human and nonhuman can be established: writing.</w:t>
      </w:r>
    </w:p>
    <w:p>
      <w:pPr>
        <w:pStyle w:val="Heading5"/>
      </w:pPr>
      <w:bookmarkStart w:id="173" w:name="hypomnesis-and-the-mystic-pad"/>
      <w:r>
        <w:t xml:space="preserve">Hypomnesis and the Mystic Pad</w:t>
      </w:r>
      <w:bookmarkEnd w:id="173"/>
    </w:p>
    <w:p>
      <w:pPr>
        <w:pStyle w:val="FirstParagraph"/>
      </w:pPr>
      <w:r>
        <w:t xml:space="preserve">As Derrida points out, writing as</w:t>
      </w:r>
      <w:r>
        <w:t xml:space="preserve"> </w:t>
      </w:r>
      <w:r>
        <w:rPr>
          <w:i/>
        </w:rPr>
        <w:t xml:space="preserve">hypomnesis</w:t>
      </w:r>
      <w:r>
        <w:t xml:space="preserve"> </w:t>
      </w:r>
      <w:r>
        <w:t xml:space="preserve">(as an externalization of memory) has been considered since Plato</w:t>
      </w:r>
      <w:r>
        <w:t xml:space="preserve"> </w:t>
      </w:r>
      <w:r>
        <w:t xml:space="preserve">(Derrida 1978, p. 221)</w:t>
      </w:r>
      <w:r>
        <w:t xml:space="preserve">. However,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(1925) hypomnesic device allowed Freud to shift from considering regular writable surfaces (paper), to a combination of resisting textures in a device which allowed for “a perpetually available innocence and an infinite reserve of traces”</w:t>
      </w:r>
      <w:r>
        <w:t xml:space="preserve"> </w:t>
      </w:r>
      <w:r>
        <w:t xml:space="preserve">(Derrida 1978, p. 223)</w:t>
      </w:r>
      <w:r>
        <w:t xml:space="preserve">. 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Heading5"/>
      </w:pPr>
      <w:bookmarkStart w:id="174" w:name="nonhuman-authors"/>
      <w:r>
        <w:t xml:space="preserve">Nonhuman Authors</w:t>
      </w:r>
      <w:bookmarkEnd w:id="174"/>
    </w:p>
    <w:p>
      <w:pPr>
        <w:pStyle w:val="FirstParagraph"/>
      </w:pPr>
      <w:r>
        <w:t xml:space="preserve">Since the structure of memory, as I outlined above, can be comprehended as path breaking and</w:t>
      </w:r>
      <w:r>
        <w:t xml:space="preserve"> </w:t>
      </w:r>
      <w:r>
        <w:rPr>
          <w:i/>
        </w:rPr>
        <w:t xml:space="preserve">différance</w:t>
      </w:r>
      <w:r>
        <w:t xml:space="preserve">, the concepts of resistance, referrals, and deferrals play an important role in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 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 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Heading5"/>
      </w:pPr>
      <w:bookmarkStart w:id="175" w:name="database-as-agents"/>
      <w:r>
        <w:t xml:space="preserve">Database as Agents</w:t>
      </w:r>
      <w:bookmarkEnd w:id="175"/>
    </w:p>
    <w:p>
      <w:pPr>
        <w:pStyle w:val="FirstParagraph"/>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Heading3"/>
      </w:pPr>
      <w:bookmarkStart w:id="176" w:name="archontic"/>
      <w:r>
        <w:t xml:space="preserve">The Archontic Principle</w:t>
      </w:r>
      <w:bookmarkEnd w:id="176"/>
    </w:p>
    <w:p>
      <w:pPr>
        <w:pStyle w:val="Heading5"/>
      </w:pPr>
      <w:bookmarkStart w:id="177" w:name="archives-and-memory"/>
      <w:r>
        <w:t xml:space="preserve">Archives and Memory</w:t>
      </w:r>
      <w:bookmarkEnd w:id="177"/>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Heading5"/>
      </w:pPr>
      <w:bookmarkStart w:id="178" w:name="hierarchies"/>
      <w:r>
        <w:t xml:space="preserve">Hierarchies</w:t>
      </w:r>
      <w:bookmarkEnd w:id="178"/>
    </w:p>
    <w:p>
      <w:pPr>
        <w:pStyle w:val="FirstParagraph"/>
      </w:pPr>
      <w:r>
        <w:t xml:space="preserve">From this definition of the archive, what is alluded is the hierarchical structure of civilization itself, that is, of government and legislation. Going further into this aspect of the concept of the archive would extend the limits of this text. 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 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Heading5"/>
      </w:pPr>
      <w:bookmarkStart w:id="179" w:name="archontic-principle"/>
      <w:r>
        <w:t xml:space="preserve">Archontic Principle</w:t>
      </w:r>
      <w:bookmarkEnd w:id="179"/>
    </w:p>
    <w:p>
      <w:pPr>
        <w:pStyle w:val="FirstParagraph"/>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Heading5"/>
      </w:pPr>
      <w:bookmarkStart w:id="180" w:name="patriarchy"/>
      <w:r>
        <w:t xml:space="preserve">Patriarchy</w:t>
      </w:r>
      <w:bookmarkEnd w:id="180"/>
    </w:p>
    <w:p>
      <w:pPr>
        <w:pStyle w:val="FirstParagraph"/>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Heading5"/>
      </w:pPr>
      <w:bookmarkStart w:id="181" w:name="institutional-passage"/>
      <w:r>
        <w:t xml:space="preserve">Institutional Passage</w:t>
      </w:r>
      <w:bookmarkEnd w:id="181"/>
    </w:p>
    <w:p>
      <w:pPr>
        <w:pStyle w:val="FirstParagraph"/>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Heading5"/>
      </w:pPr>
      <w:bookmarkStart w:id="182" w:name="authorities"/>
      <w:r>
        <w:t xml:space="preserve">Authorities</w:t>
      </w:r>
      <w:bookmarkEnd w:id="182"/>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Heading5"/>
      </w:pPr>
      <w:bookmarkStart w:id="183" w:name="anarchic-memory"/>
      <w:r>
        <w:t xml:space="preserve">Anarchic Memory</w:t>
      </w:r>
      <w:bookmarkEnd w:id="183"/>
    </w:p>
    <w:p>
      <w:pPr>
        <w:pStyle w:val="FirstParagraph"/>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 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(filtering and fracture), their resemblance to memory can be drawn. However, while the archive is indeed patriarchic, memory, on the other hand, in terms of the archontic principle, it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Heading5"/>
      </w:pPr>
      <w:bookmarkStart w:id="184" w:name="collective-memory"/>
      <w:r>
        <w:t xml:space="preserve">Collective Memory</w:t>
      </w:r>
      <w:bookmarkEnd w:id="184"/>
    </w:p>
    <w:p>
      <w:pPr>
        <w:pStyle w:val="FirstParagraph"/>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 “in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r>
        <w:t xml:space="preserve">”</w:t>
      </w:r>
    </w:p>
    <w:p>
      <w:pPr>
        <w:pStyle w:val="Heading5"/>
      </w:pPr>
      <w:bookmarkStart w:id="185" w:name="writing-code"/>
      <w:r>
        <w:t xml:space="preserve">Writing Code</w:t>
      </w:r>
      <w:bookmarkEnd w:id="185"/>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(words and characters), also data structures appropriate the concepts of writing and erasing. Furthermore, in resonance to the Derridean trace, erasure is embedded in the structure of writing. This is to say, that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 This self-destruction means, precisely, releasing the object’s resources, that is, to free the physical memory space that it has occupied throughout its lifetime.</w:t>
      </w:r>
      <w:hyperlink w:anchor="fn37">
        <w:r>
          <w:rPr>
            <w:vertAlign w:val="superscript"/>
            <w:rStyle w:val="Hyperlink"/>
          </w:rPr>
          <w:t xml:space="preserve">37</w:t>
        </w:r>
      </w:hyperlink>
    </w:p>
    <w:p>
      <w:pPr>
        <w:pStyle w:val="Heading5"/>
      </w:pPr>
      <w:bookmarkStart w:id="186" w:name="anarchic-computer-memory"/>
      <w:r>
        <w:t xml:space="preserve">Anarchic Computer Memory</w:t>
      </w:r>
      <w:bookmarkEnd w:id="186"/>
    </w:p>
    <w:p>
      <w:pPr>
        <w:pStyle w:val="FirstParagraph"/>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 In what follows, I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to a different dimension.</w:t>
      </w:r>
    </w:p>
    <w:p>
      <w:pPr>
        <w:pStyle w:val="Heading3"/>
      </w:pPr>
      <w:bookmarkStart w:id="187" w:name="spectrality"/>
      <w:r>
        <w:t xml:space="preserve">The Spectral Database</w:t>
      </w:r>
      <w:bookmarkEnd w:id="187"/>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Heading5"/>
      </w:pPr>
      <w:bookmarkStart w:id="188" w:name="computer-memory-and-writing"/>
      <w:r>
        <w:t xml:space="preserve">Computer Memory and Writing</w:t>
      </w:r>
      <w:bookmarkEnd w:id="188"/>
    </w:p>
    <w:p>
      <w:pPr>
        <w:pStyle w:val="FirstParagraph"/>
      </w:pPr>
      <w:r>
        <w:t xml:space="preserve">Despite the multiplicity of elements that constitute software programming, such as compiler instructions, hardware 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Von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w:t>
      </w:r>
      <w:r>
        <w:t xml:space="preserve"> </w:t>
      </w:r>
      <w:r>
        <w:rPr>
          <w:rStyle w:val="VerbatimChar"/>
        </w:rPr>
        <w:t xml:space="preserve">READ</w:t>
      </w:r>
      <w:r>
        <w:t xml:space="preserve"> </w:t>
      </w:r>
      <w:r>
        <w:t xml:space="preserve">and</w:t>
      </w:r>
      <w:r>
        <w:t xml:space="preserve"> </w:t>
      </w:r>
      <w:r>
        <w:rPr>
          <w:rStyle w:val="VerbatimChar"/>
        </w:rPr>
        <w:t xml:space="preserve">WRITE</w:t>
      </w:r>
      <w:r>
        <w:t xml:space="preserve">”</w:t>
      </w:r>
      <w:r>
        <w:t xml:space="preserve"> </w:t>
      </w:r>
      <w:r>
        <w:t xml:space="preserve">(Ernst 2013, p. 131)</w:t>
      </w:r>
      <w:r>
        <w:t xml:space="preserve">.</w:t>
      </w:r>
    </w:p>
    <w:p>
      <w:pPr>
        <w:pStyle w:val="Heading5"/>
      </w:pPr>
      <w:bookmarkStart w:id="189" w:name="memory-replacement"/>
      <w:r>
        <w:t xml:space="preserve">Memory Replacement</w:t>
      </w:r>
      <w:bookmarkEnd w:id="189"/>
    </w:p>
    <w:p>
      <w:pPr>
        <w:pStyle w:val="FirstParagraph"/>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Heading5"/>
      </w:pPr>
      <w:bookmarkStart w:id="190" w:name="anarchic-records"/>
      <w:r>
        <w:t xml:space="preserve">Anarchic Records</w:t>
      </w:r>
      <w:bookmarkEnd w:id="190"/>
    </w:p>
    <w:p>
      <w:pPr>
        <w:pStyle w:val="FirstParagraph"/>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38">
        <w:r>
          <w:rPr>
            <w:vertAlign w:val="superscript"/>
            <w:rStyle w:val="Hyperlink"/>
          </w:rPr>
          <w:t xml:space="preserve">38</w:t>
        </w:r>
      </w:hyperlink>
      <w:r>
        <w:t xml:space="preserve"> </w:t>
      </w:r>
      <w:r>
        <w:t xml:space="preserve">becomes an archivization process, that is, a process by which symbolic transcription leads to an ordered archive, i.e., a score.</w:t>
      </w:r>
      <w:hyperlink w:anchor="fn39">
        <w:r>
          <w:rPr>
            <w:vertAlign w:val="superscript"/>
            <w:rStyle w:val="Hyperlink"/>
          </w:rPr>
          <w:t xml:space="preserve">39</w:t>
        </w:r>
      </w:hyperlink>
      <w:r>
        <w:t xml:space="preserve"> </w:t>
      </w: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Heading5"/>
      </w:pPr>
      <w:bookmarkStart w:id="191" w:name="memory-and-framing"/>
      <w:r>
        <w:t xml:space="preserve">Memory and Framing</w:t>
      </w:r>
      <w:bookmarkEnd w:id="191"/>
    </w:p>
    <w:p>
      <w:pPr>
        <w:pStyle w:val="FirstParagraph"/>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Heading5"/>
      </w:pPr>
      <w:bookmarkStart w:id="192" w:name="nonhuman-tympans"/>
      <w:r>
        <w:t xml:space="preserve">Nonhuman Tympans</w:t>
      </w:r>
      <w:bookmarkEnd w:id="192"/>
    </w:p>
    <w:p>
      <w:pPr>
        <w:pStyle w:val="FirstParagraph"/>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 “every apparatus of sound reproduction has a tympanic function at precisely the point where it turns sound into something else…and when it turns something else into sound”</w:t>
      </w:r>
      <w:r>
        <w:t xml:space="preserve"> </w:t>
      </w:r>
      <w:r>
        <w:t xml:space="preserve">(Eck 2013, p. 107)</w:t>
      </w:r>
      <w:r>
        <w:t xml:space="preserve">. 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Heading5"/>
      </w:pPr>
      <w:bookmarkStart w:id="193" w:name="spectrality-of-archives"/>
      <w:r>
        <w:t xml:space="preserve">Spectrality of Archives</w:t>
      </w:r>
      <w:bookmarkEnd w:id="193"/>
    </w:p>
    <w:p>
      <w:pPr>
        <w:pStyle w:val="FirstParagraph"/>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Heading5"/>
      </w:pPr>
      <w:bookmarkStart w:id="194" w:name="spectrality-of-databases"/>
      <w:r>
        <w:t xml:space="preserve">Spectrality of Databases</w:t>
      </w:r>
      <w:bookmarkEnd w:id="194"/>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Heading5"/>
      </w:pPr>
      <w:bookmarkStart w:id="195" w:name="agency-of-the-uncanny"/>
      <w:r>
        <w:t xml:space="preserve">Agency of the Uncanny</w:t>
      </w:r>
      <w:bookmarkEnd w:id="195"/>
    </w:p>
    <w:p>
      <w:pPr>
        <w:pStyle w:val="FirstParagraph"/>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96" w:name="section:Performativity_Of_Databases"/>
      <w:r>
        <w:t xml:space="preserve">Performativity Of Databases</w:t>
      </w:r>
      <w:bookmarkEnd w:id="196"/>
    </w:p>
    <w:p>
      <w:pPr>
        <w:pStyle w:val="Heading3"/>
      </w:pPr>
      <w:bookmarkStart w:id="197" w:name="gender"/>
      <w:r>
        <w:t xml:space="preserve">Gendered Database</w:t>
      </w:r>
      <w:bookmarkEnd w:id="197"/>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Judith Butler</w:t>
      </w:r>
      <w:r>
        <w:t xml:space="preserve"> </w:t>
      </w:r>
      <w:r>
        <w:t xml:space="preserve">(Butler 1988)</w:t>
      </w:r>
      <w:r>
        <w:t xml:space="preserve"> </w:t>
      </w:r>
      <w:r>
        <w:t xml:space="preserve">distinguishes between an expressive and performative self. The former comes from an essentialist view from the self as being ‘inside’ and displaying itself on the outside. The latter is an illusory self, strictly outside and unrelated to the “natural or linguistic given.” She understands gender within this performativity of the self. Like the self, gender emerges temporally, at the surface level of the skin of the body. This notion of gender relates with Jean-Luc Nancy’s notion of resonance and the self (See</w:t>
      </w:r>
      <w:r>
        <w:t xml:space="preserve"> </w:t>
      </w:r>
      <w:hyperlink w:anchor="section:Listening_Databases">
        <w:r>
          <w:rPr>
            <w:rStyle w:val="Hyperlink"/>
          </w:rPr>
          <w:t xml:space="preserve">5.1</w:t>
        </w:r>
      </w:hyperlink>
      <w:r>
        <w:t xml:space="preserve">).</w:t>
      </w:r>
    </w:p>
    <w:p>
      <w:pPr>
        <w:pStyle w:val="Heading5"/>
      </w:pPr>
      <w:bookmarkStart w:id="198" w:name="skin-of-the-database"/>
      <w:r>
        <w:t xml:space="preserve">Skin of the Database</w:t>
      </w:r>
      <w:bookmarkEnd w:id="198"/>
    </w:p>
    <w:p>
      <w:pPr>
        <w:pStyle w:val="FirstParagraph"/>
      </w:pPr>
      <w:r>
        <w:t xml:space="preserve">In the performativity of databasing resides the possibility for the skin of the database to emerge. On the one hand, this skin is the spectral surface of the database’s illusory self. On the other, it is the limit towards which the human and the nonhuman engage in resonance. The skin of the database carries the mark of a style. That is to say, in defining style as a repetition of acts, it is a form of embodiment that is ascribed to databases. Because the self of the database is inscribed on its skin, we can assign yet another quality of the database: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Heading5"/>
      </w:pPr>
      <w:bookmarkStart w:id="199" w:name="expressing-nothing"/>
      <w:r>
        <w:t xml:space="preserve">Expressing Nothing</w:t>
      </w:r>
      <w:bookmarkEnd w:id="199"/>
    </w:p>
    <w:p>
      <w:pPr>
        <w:pStyle w:val="FirstParagraph"/>
      </w:pPr>
      <w:r>
        <w:t xml:space="preserve">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Heading5"/>
      </w:pPr>
      <w:bookmarkStart w:id="200" w:name="a-historical-situation"/>
      <w:r>
        <w:t xml:space="preserve">A Historical Situation</w:t>
      </w:r>
      <w:bookmarkEnd w:id="200"/>
    </w:p>
    <w:p>
      <w:pPr>
        <w:pStyle w:val="FirstParagraph"/>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Since gender is constituted temporally, it is necessarily historical:</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Heading5"/>
      </w:pPr>
      <w:bookmarkStart w:id="201" w:name="subversive-repetition"/>
      <w:r>
        <w:t xml:space="preserve">Subversive Repetition</w:t>
      </w:r>
      <w:bookmarkEnd w:id="201"/>
    </w:p>
    <w:p>
      <w:pPr>
        <w:pStyle w:val="FirstParagraph"/>
      </w:pPr>
      <w:r>
        <w:t xml:space="preserve">Far from being a prescribed given, the constitution of gender on the body is itself a result of mediated history. In other words, gender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gender constitutes an “illusion” of a gendered self. These acts take place</w:t>
      </w:r>
      <w:r>
        <w:t xml:space="preserve"> </w:t>
      </w:r>
      <w:r>
        <w:rPr>
          <w:i/>
        </w:rPr>
        <w:t xml:space="preserve">on</w:t>
      </w:r>
      <w:r>
        <w:t xml:space="preserve"> </w:t>
      </w:r>
      <w:r>
        <w:t xml:space="preserve">the body, by the mundane instantiation of bodily gestures, movements, and enactments. Furthermore, the these acts are necessarily discontinuous, and it is because of this discontinuity that exists the possibility of gender transformation. In this sense, gender performance is neither linear nor nonlinear. It resides along an anarachic temporality that replaces teleology with the multiplicity of resonant nows. It is an inline iterative function with random breaks.</w:t>
      </w:r>
    </w:p>
    <w:p>
      <w:pPr>
        <w:pStyle w:val="Heading5"/>
      </w:pPr>
      <w:bookmarkStart w:id="202" w:name="gendered-database"/>
      <w:r>
        <w:t xml:space="preserve">Gendered Database</w:t>
      </w:r>
      <w:bookmarkEnd w:id="202"/>
    </w:p>
    <w:p>
      <w:pPr>
        <w:pStyle w:val="FirstParagraph"/>
      </w:pPr>
      <w:r>
        <w:t xml:space="preserve">The database is a collection of facts. It is facticity itself. This is what Butler’s gendered self can teach about databases: in performing the database, the database appears like gender, as a historical situation. Its body is felt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That is to say,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203" w:name="limits"/>
      <w:r>
        <w:t xml:space="preserve">Towards The Limits</w:t>
      </w:r>
      <w:bookmarkEnd w:id="203"/>
    </w:p>
    <w:p>
      <w:pPr>
        <w:pStyle w:val="Heading5"/>
      </w:pPr>
      <w:bookmarkStart w:id="204" w:name="exposure"/>
      <w:r>
        <w:t xml:space="preserve">Exposure</w:t>
      </w:r>
      <w:bookmarkEnd w:id="204"/>
    </w:p>
    <w:p>
      <w:pPr>
        <w:pStyle w:val="FirstParagraph"/>
      </w:pPr>
      <w:r>
        <w:t xml:space="preserve">The performativity of databasing can be understood in terms of what Nancy calls exposure</w:t>
      </w:r>
      <w:r>
        <w:t xml:space="preserve"> </w:t>
      </w:r>
      <w:r>
        <w:t xml:space="preserve">(Nancy 1991)</w:t>
      </w:r>
      <w:r>
        <w:t xml:space="preserve">. Exposure is the appearance of a limit and the finitud of a singularity. With this limit instantiated in the (public) moment of the performative act, is how communication emerges as that which is in common among singularities. That is to say, because it is itself nothing (“neither a ground, nor an essence, nor a substance”</w:t>
      </w:r>
      <w:r>
        <w:t xml:space="preserve"> </w:t>
      </w:r>
      <w:r>
        <w:t xml:space="preserve">(Nancy 1991, p. 31)</w:t>
      </w:r>
      <w:r>
        <w:t xml:space="preserve">) Nancy considers finitud to just appear in the form of communication: “it presents itself, it exposes itself, and thus it exists as communication”</w:t>
      </w:r>
      <w:r>
        <w:t xml:space="preserve"> </w:t>
      </w:r>
      <w:r>
        <w:t xml:space="preserve">(Nancy 1991, p. 31)</w:t>
      </w:r>
      <w:r>
        <w:t xml:space="preserve">. His emphasis on communication as exposure marks a crucial distinction on the concept of community. For Nancy, as I have described above (See</w:t>
      </w:r>
      <w:r>
        <w:t xml:space="preserve"> </w:t>
      </w:r>
      <w:hyperlink w:anchor="inoperativity">
        <w:r>
          <w:rPr>
            <w:rStyle w:val="Hyperlink"/>
          </w:rPr>
          <w:t xml:space="preserve">5.1.3</w:t>
        </w:r>
      </w:hyperlink>
      <w:r>
        <w:t xml:space="preserve">), community cannot come from an instance of work: it emerges as an instance of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Heading5"/>
      </w:pPr>
      <w:bookmarkStart w:id="205" w:name="anarchic-touch"/>
      <w:r>
        <w:t xml:space="preserve">Anarchic Touch</w:t>
      </w:r>
      <w:bookmarkEnd w:id="205"/>
    </w:p>
    <w:p>
      <w:pPr>
        <w:pStyle w:val="FirstParagraph"/>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archives. Further, the limit of the database is not instantiated out of the one, a “unitary assumption”</w:t>
      </w:r>
      <w:r>
        <w:t xml:space="preserve"> </w:t>
      </w:r>
      <w:r>
        <w:t xml:space="preserve">(Nancy 1991, p. 28)</w:t>
      </w:r>
      <w:r>
        <w:t xml:space="preserve">, or the wholeness of a single one. This finitud does not come from intentionality or any essentialist notions: it simply appears, for Nancy, in the form of touch: “…as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 [emphasis added]</w:t>
      </w:r>
      <w:r>
        <w:t xml:space="preserve"> </w:t>
      </w:r>
      <w:r>
        <w:t xml:space="preserve">(Nancy 1991, p. 28)</w:t>
      </w:r>
      <w:r>
        <w:t xml:space="preserve">. The temporality of this touch, like that of gender, is anarchic.</w:t>
      </w:r>
    </w:p>
    <w:p>
      <w:pPr>
        <w:pStyle w:val="Heading5"/>
      </w:pPr>
      <w:bookmarkStart w:id="206" w:name="communities-of-skin"/>
      <w:r>
        <w:t xml:space="preserve">Communities of Skin</w:t>
      </w:r>
      <w:bookmarkEnd w:id="206"/>
    </w:p>
    <w:p>
      <w:pPr>
        <w:pStyle w:val="FirstParagraph"/>
      </w:pPr>
      <w:r>
        <w:t xml:space="preserve">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 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with which community exposes itself.</w:t>
      </w:r>
    </w:p>
    <w:p>
      <w:pPr>
        <w:pStyle w:val="Heading5"/>
      </w:pPr>
      <w:bookmarkStart w:id="207" w:name="hybrid-pluralities"/>
      <w:r>
        <w:t xml:space="preserve">Hybrid Pluralities</w:t>
      </w:r>
      <w:bookmarkEnd w:id="207"/>
    </w:p>
    <w:p>
      <w:pPr>
        <w:pStyle w:val="FirstParagraph"/>
      </w:pPr>
      <w:r>
        <w:t xml:space="preserve">Database models tend to reside next to each other, either within a single database system or within an interconnected networked system. With this plurality of the model, databasers have access to the many features that each model offers, focusing on those features that are suitable for their needs. The skin of the database is as fluid as the constitution of gender, and if this is true, then the fluidity of databasing itself comes to represent the constitution of gender through the performativity of databasers. By resonating in such performativity, databasers approach (but do not reach) the limit of the database. This approach to the skin of the database exposes simultaneously the skin of the databaser to the database. What this exposure amounts to is not, however, an opposition of forces. It results in the fragmented state of community that resides in the different degrees of this exposure. In other words, this exposure is of a hybrid plurality that resonates at the limit. Engaging with the touch of the spectral database means reconfiguring, resounding, and remembering our own sense of touch, just as well as our own sense of self.</w:t>
      </w:r>
    </w:p>
    <w:p>
      <w:pPr>
        <w:pStyle w:val="Heading3"/>
      </w:pPr>
      <w:bookmarkStart w:id="208" w:name="style"/>
      <w:r>
        <w:t xml:space="preserve">Contingencies Of Style</w:t>
      </w:r>
      <w:bookmarkEnd w:id="208"/>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A database without performance represents a disembodied ‘base’, that is, the spatially ordered set of computer hardware together with the software routines that it embeds. It is its most basic level, a foundation upon which the database tree can be performed. This ‘base’ in database comes as a stage for databasing itself: a stage without performance is an empty stage, extension of space itself. Databasing projects its own style as a result of its performance, and through this projection comes the exposure of its skin. The “stylistic repetition of acts” in the dramatic case of the gendered database is now revealed as style itself. Like skin and voice, singularity emerges as style and timbre.</w:t>
      </w:r>
    </w:p>
    <w:p>
      <w:pPr>
        <w:pStyle w:val="Heading5"/>
      </w:pPr>
      <w:bookmarkStart w:id="209" w:name="style-and-timbre"/>
      <w:r>
        <w:t xml:space="preserve">Style and Timbre</w:t>
      </w:r>
      <w:bookmarkEnd w:id="209"/>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style is a manifestation of the singular. In the sense that style does not lend itself to duplication, and provided that it happens as the apparition of an event, it exposes singularity as such. Style is thus comparable to the voice of a certain author, and also to the sound of the voice itself: timbre. That is to say, style and timbre can be understood equally as the presence of the singular: the signature that comes with the unique and irreproducible timbral quality:</w:t>
      </w:r>
      <w:hyperlink w:anchor="fn40">
        <w:r>
          <w:rPr>
            <w:vertAlign w:val="superscript"/>
            <w:rStyle w:val="Hyperlink"/>
          </w:rPr>
          <w:t xml:space="preserve">40</w:t>
        </w:r>
      </w:hyperlink>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Heading5"/>
      </w:pPr>
      <w:bookmarkStart w:id="210" w:name="endless-databases"/>
      <w:r>
        <w:t xml:space="preserve">Endless Databases</w:t>
      </w:r>
      <w:bookmarkEnd w:id="210"/>
    </w:p>
    <w:p>
      <w:pPr>
        <w:pStyle w:val="FirstParagraph"/>
      </w:pPr>
      <w:r>
        <w:t xml:space="preserve">The skin of the database unfolds in the duration of the performative act. What is exposed as its singularity is the ruggedness of the traces of which it is composed. That is to say, the discontinuities of its reticulated constitution of style. The length of this skin can only be estimated: there is no possibility of rendering it complete. In this fractured state it points to infinity. In this sense, databasing means participating in the infinite, taking a small part of the infinite: performing the infinite within the limits of our own embodiment. Furthermore, the contingent situation of resonance within the frayed spatio-temporal configuration of networks relates to the concept of chaos. I have mentioned earlier the relation between computers and users as understood in terms of complex systems (See</w:t>
      </w:r>
      <w:r>
        <w:t xml:space="preserve"> </w:t>
      </w:r>
      <w:hyperlink w:anchor="programming">
        <w:r>
          <w:rPr>
            <w:rStyle w:val="Hyperlink"/>
          </w:rPr>
          <w:t xml:space="preserve">4.2.2</w:t>
        </w:r>
      </w:hyperlink>
      <w:r>
        <w:t xml:space="preserve">). Considering databasing as chaotic systems brings yet another aspect to the contingency of style.</w:t>
      </w:r>
    </w:p>
    <w:p>
      <w:pPr>
        <w:pStyle w:val="Heading5"/>
      </w:pPr>
      <w:bookmarkStart w:id="211" w:name="database-and-chaos"/>
      <w:r>
        <w:t xml:space="preserve">Database and Chaos</w:t>
      </w:r>
      <w:bookmarkEnd w:id="211"/>
    </w:p>
    <w:p>
      <w:pPr>
        <w:pStyle w:val="FirstParagraph"/>
      </w:pPr>
      <w:r>
        <w:t xml:space="preserve">Given that this style can be considered as an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 Figure</w:t>
      </w:r>
      <w:r>
        <w:t xml:space="preserve"> </w:t>
      </w:r>
      <w:hyperlink w:anchor="img:lorenz_plotter">
        <w:r>
          <w:rPr>
            <w:rStyle w:val="Hyperlink"/>
          </w:rPr>
          <w:t xml:space="preserve">[img:lorenz_plotter]</w:t>
        </w:r>
      </w:hyperlink>
      <w:r>
        <w:t xml:space="preserve">). The Lorenz attractor is a dynamic system, which means that it can render very different and quite unpredictable results by minimal changes on their initial conditions, despite the fact that it is indeed a deterministic system. Furthermore, a graph of a dynamic systems presents fractal properties.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w:t>
      </w:r>
    </w:p>
    <w:p>
      <w:pPr>
        <w:pStyle w:val="CaptionedFigure"/>
      </w:pPr>
      <w:r>
        <w:drawing>
          <wp:inline>
            <wp:extent cx="5334000" cy="3333750"/>
            <wp:effectExtent b="0" l="0" r="0" t="0"/>
            <wp:docPr descr="Plotting of the Lorenz system in Pure Data." title="" id="1" name="Picture"/>
            <a:graphic>
              <a:graphicData uri="http://schemas.openxmlformats.org/drawingml/2006/picture">
                <pic:pic>
                  <pic:nvPicPr>
                    <pic:cNvPr descr="/Users/federicocamarahalac/Documents/fd_work/text/waves/bin/img/lorenz_plotter.png" id="0" name="Picture"/>
                    <pic:cNvPicPr>
                      <a:picLocks noChangeArrowheads="1" noChangeAspect="1"/>
                    </pic:cNvPicPr>
                  </pic:nvPicPr>
                  <pic:blipFill>
                    <a:blip r:embed="rId212"/>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 xml:space="preserve">Plotting of the Lorenz system in Pure Data.</w:t>
      </w:r>
    </w:p>
    <w:p>
      <w:pPr>
        <w:pStyle w:val="BodyText"/>
      </w:pPr>
      <w:bookmarkStart w:id="213" w:name="img:lorenz_plotter"/>
      <w:r>
        <w:t xml:space="preserve">[img:lorenz_plotter]</w:t>
      </w:r>
      <w:bookmarkEnd w:id="213"/>
    </w:p>
    <w:p>
      <w:pPr>
        <w:pStyle w:val="Heading5"/>
      </w:pPr>
      <w:bookmarkStart w:id="214" w:name="fractality"/>
      <w:r>
        <w:t xml:space="preserve">Fractality</w:t>
      </w:r>
      <w:bookmarkEnd w:id="214"/>
    </w:p>
    <w:p>
      <w:pPr>
        <w:pStyle w:val="FirstParagraph"/>
      </w:pPr>
      <w:r>
        <w:t xml:space="preserve">However, identifying predictability in this way means falling in a cybernetic trap, of which Hayles already warned about when considering Turing’s Test. Hayles reads Turing’s test as a game which, in order to play you are already part of its outcome because you accept its predicates as a condition for playing. In Turing’s case, the moment you enter into the disembodied place where the screen is the only thing you see, you are already a cyborg, and the definition of the human and the nonhuman is already laid out in principle. On the one hand, by equating fidelity of data storage with fidelity of performance, one is already removing the human out of the concert stage, and the question of performance altogether, leaving only the idealist and romantic notion of the work of art in its pure and objective state. On the other, in order to allow for the style of databasing (skin) to emerge, one has to consider not only the actual staging of performance, also the staging of listening itself, which is the possibility condition for the resonating subject of the database to emerge as the communicative apparition of a skin. Therefore, the contingency of style (as chaotic state) can only emerge out of the unpredictable agency of the unfolding. This is how I consider databasing and the contingency of style: the unpredictability of databasing has the qualities of a fractal. On the one hand, because of the fractal dimension, it expands the definition of geometric figures to the infinite. On the other, it presents an unfolding symmetry (self-similarity), which relates to their shapes being replicated nearly exactly in different scales.</w:t>
      </w:r>
    </w:p>
    <w:p>
      <w:pPr>
        <w:pStyle w:val="Heading5"/>
      </w:pPr>
      <w:bookmarkStart w:id="215" w:name="a-music-work-as-a-singularity"/>
      <w:r>
        <w:t xml:space="preserve">A Music Work as a Singularity</w:t>
      </w:r>
      <w:bookmarkEnd w:id="215"/>
    </w:p>
    <w:p>
      <w:pPr>
        <w:pStyle w:val="FirstParagraph"/>
      </w:pPr>
      <w:r>
        <w:t xml:space="preserve">This aesthetic experience, it must be noted, is of a nature that slips through the cracks of traditional conceptualizations of the work of music as a result of stylistic, or stipulated constraints on the part of the composer, or stochastic procedures. For example, composer Horacio Vaggione goes to great lengths to prove that the musical work affirms itself as singularity, in the particular sense that its rules are only prescribed from within, and always in an “action-perception loop” with the composer</w:t>
      </w:r>
      <w:r>
        <w:t xml:space="preserve"> </w:t>
      </w:r>
      <w:r>
        <w:t xml:space="preserve">(Vaggione 2001)</w:t>
      </w:r>
      <w:r>
        <w:t xml:space="preserve">. What Vaggione is arguing against, is the tendency of formalized musical processes that had reshaped the black-boxed approach towards composition in CAC : “a composer [unlike a scientist] knows how to generate singular events, and how to articulate them in bigger and bigger chunks without losing the control of the singularities”</w:t>
      </w:r>
      <w:r>
        <w:t xml:space="preserve"> </w:t>
      </w:r>
      <w:r>
        <w:t xml:space="preserve">(Vaggione 1993, p. 97)</w:t>
      </w:r>
      <w:r>
        <w:t xml:space="preserve">. However, there is a fundamental concern that needs to be addressed in relation to the contingency of style. For Vaggione, style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Heading5"/>
      </w:pPr>
      <w:bookmarkStart w:id="216" w:name="arbitrariness"/>
      <w:r>
        <w:t xml:space="preserve">Arbitrariness</w:t>
      </w:r>
      <w:bookmarkEnd w:id="216"/>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 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which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Heading5"/>
      </w:pPr>
      <w:bookmarkStart w:id="217" w:name="inoperative-style"/>
      <w:r>
        <w:t xml:space="preserve">Inoperative Style</w:t>
      </w:r>
      <w:bookmarkEnd w:id="217"/>
    </w:p>
    <w:p>
      <w:pPr>
        <w:pStyle w:val="FirstParagraph"/>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as communication. This is what connects aesthetic experience of style with forensic (musical) analysis as well as with an encounter with the spectral. Furthermore, this is how the spectral itself cannot be but a result of the inoperative, of that which escapes the limits of the work,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Heading3"/>
      </w:pPr>
      <w:bookmarkStart w:id="218" w:name="authority"/>
      <w:r>
        <w:t xml:space="preserve">A Specter Of Authority</w:t>
      </w:r>
      <w:bookmarkEnd w:id="218"/>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The figure of the author (composer/databaser) is, to a certain extent, exploded as network by the complexity of the system. However, authority is reified into the name because of the interplay among work, productivity, and product. In this section I attempt an approach to the name of the composer not by its work, but from the illusory perspective of authority. However composable all Vaggonian primitives can be, the structure of the database tree is so vast that any attempt to comprehend it as a whole would extend it even further (See</w:t>
      </w:r>
      <w:r>
        <w:t xml:space="preserve"> </w:t>
      </w:r>
      <w:hyperlink w:anchor="network">
        <w:r>
          <w:rPr>
            <w:rStyle w:val="Hyperlink"/>
          </w:rPr>
          <w:t xml:space="preserve">5.1.2</w:t>
        </w:r>
      </w:hyperlink>
      <w:r>
        <w:t xml:space="preserve">). However, this determines neither the extent of the performativity of databasing, nor the agency of the human. Quite the contrary, expansion through the network can be considered as the trace of the author, or better, the elongation of the spectral shape of an author. Further, with the performativity of databasing, the databaser too becomes incomplete.</w:t>
      </w:r>
    </w:p>
    <w:p>
      <w:pPr>
        <w:pStyle w:val="Heading5"/>
      </w:pPr>
      <w:bookmarkStart w:id="219" w:name="the-name"/>
      <w:r>
        <w:t xml:space="preserve">The Name</w:t>
      </w:r>
      <w:bookmarkEnd w:id="219"/>
    </w:p>
    <w:p>
      <w:pPr>
        <w:pStyle w:val="FirstParagraph"/>
      </w:pPr>
      <w:r>
        <w:t xml:space="preserve">The infinitude in the fractality of databasing, however, is at some point reified in a figure or a name. This figure is the place where authority is condensed, and it responds to traditionally essentialist conceptualizations of the romantic author which, despite the many attempts during 20th century,</w:t>
      </w:r>
      <w:hyperlink w:anchor="fn41">
        <w:r>
          <w:rPr>
            <w:vertAlign w:val="superscript"/>
            <w:rStyle w:val="Hyperlink"/>
          </w:rPr>
          <w:t xml:space="preserve">41</w:t>
        </w:r>
      </w:hyperlink>
      <w:r>
        <w:t xml:space="preserve"> </w:t>
      </w:r>
      <w:r>
        <w:t xml:space="preserve">are still in effect today, specifically in the field of music composition. It is not the purpose of this section to criticize this tradition, namely because I don’t consider it relevant for the purposes of databasing. Focusing on it would be missing the point. That is to say, in the case of databasing, such figure of an essential author is simply dislocated and forced upon the structure of the network, and it is anachronic because it constitutes a temporality set against the temporality of networks. Databasing, as resonant performativity already exists beyond this traditional figure of the author. However, in its spectrality that stems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Heading5"/>
      </w:pPr>
      <w:bookmarkStart w:id="220" w:name="dictionaries"/>
      <w:r>
        <w:t xml:space="preserve">Dictionaries</w:t>
      </w:r>
      <w:bookmarkEnd w:id="220"/>
    </w:p>
    <w:p>
      <w:pPr>
        <w:pStyle w:val="FirstParagraph"/>
      </w:pPr>
      <w:r>
        <w:t xml:space="preserve">Consider how style is used in some cases of CAC . David Cope’s EMI</w:t>
      </w:r>
      <w:r>
        <w:t xml:space="preserve"> </w:t>
      </w:r>
      <w:r>
        <w:t xml:space="preserve">(Cope 1987a)</w:t>
      </w:r>
      <w:r>
        <w:t xml:space="preserve">, for example, can be considered a formalization of compositional authority. That is to say, intentional stylization “based on a large database of style descriptions, or rules, of different compositional strategies”</w:t>
      </w:r>
      <w:r>
        <w:t xml:space="preserve"> </w:t>
      </w:r>
      <w:r>
        <w:t xml:space="preserve">(IV 1999, p. 3)</w:t>
      </w:r>
      <w:r>
        <w:t xml:space="preserve">. Written in the functional programming language LISP , EMI ’s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1987b, p. 38)</w:t>
      </w:r>
      <w:r>
        <w:t xml:space="preserve">. Cope’s approach is inherently hirearchical, and thus based on the premise that music is a language. Therefore, Cope designed dictionaries (databases) of MIDI scores representing the internal relations between composed elements. From items in the dictionary, logically correct inferrences are drawn (predicate calculus)</w:t>
      </w:r>
      <w:r>
        <w:t xml:space="preserve"> </w:t>
      </w:r>
      <w:r>
        <w:t xml:space="preserve">(Cope 1987a, p. 1)</w:t>
      </w:r>
      <w:r>
        <w:t xml:space="preserve">. Thus, EMI is aimed at generalizations that reify the authority of the composer as style:</w:t>
      </w:r>
    </w:p>
    <w:p>
      <w:pPr>
        <w:pStyle w:val="BlockText"/>
      </w:pPr>
      <w:r>
        <w:t xml:space="preserve">Years of consistent interactive use have resulted in dictionaries which so complement the author’s own style that compositions show little evidence of the origins (man/machine) of the music.</w:t>
      </w:r>
      <w:r>
        <w:t xml:space="preserve"> </w:t>
      </w:r>
      <w:r>
        <w:t xml:space="preserve">(Cope 1987a, p. 179)</w:t>
      </w:r>
    </w:p>
    <w:p>
      <w:pPr>
        <w:pStyle w:val="Heading5"/>
      </w:pPr>
      <w:bookmarkStart w:id="221" w:name="artistry"/>
      <w:r>
        <w:t xml:space="preserve">Artistry</w:t>
      </w:r>
      <w:bookmarkEnd w:id="221"/>
    </w:p>
    <w:p>
      <w:pPr>
        <w:pStyle w:val="FirstParagraph"/>
      </w:pPr>
      <w:r>
        <w:t xml:space="preserve">Vaggione, in response to a formalized approach to music —among many that exist in the literature</w:t>
      </w:r>
      <w:r>
        <w:t xml:space="preserve"> </w:t>
      </w:r>
      <w:r>
        <w:t xml:space="preserve">(Ariza 2005a, Hiller &amp; Isaacson 1959, Truax 1976, Xenakis 1992)</w:t>
      </w:r>
      <w:r>
        <w:t xml:space="preserve">—, proposes the equal role of the informal (or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42">
        <w:r>
          <w:rPr>
            <w:vertAlign w:val="superscript"/>
            <w:rStyle w:val="Hyperlink"/>
          </w:rPr>
          <w:t xml:space="preserve">42</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Craftsmanship refers to the manual and direct action of the hand of the composer. The hand, as Makis Solomos very well points out, is not to be understood as being without the tool (mouse) that it needs to use in order to precisely locate sounds on the timeline interface</w:t>
      </w:r>
      <w:r>
        <w:t xml:space="preserve"> </w:t>
      </w:r>
      <w:r>
        <w:t xml:space="preserve">(Solomos 2005, p. 4)</w:t>
      </w:r>
      <w:r>
        <w:t xml:space="preserve">. Craftsmanship might be better understood, however, as ‘artistry,’ thus keeping its relation to hand-made crafts, while maintaining a link with articulation, one of Vaggione’s crucial concepts. While articulation relates to the composer’s operativity on multiple time scales, artistry relates to the arbitrariness of choice. It is thus a reaction to the abundandy of radical formalism and automation in CAC</w:t>
      </w:r>
      <w:r>
        <w:t xml:space="preserve"> </w:t>
      </w:r>
      <w:r>
        <w:t xml:space="preserve">(Solomos 2005, p. 3)</w:t>
      </w:r>
      <w:r>
        <w:t xml:space="preserve">. Therefore, Vaggione writes, “to write music ‘manually’, note by note, partial by partial, or grain by grain, is an approach proper to a composer, and he should not be embarrassed about using this aspect of his craftsmanship”’</w:t>
      </w:r>
      <w:r>
        <w:t xml:space="preserve"> </w:t>
      </w:r>
      <w:r>
        <w:t xml:space="preserve">(Solomos 2005, p. 3)</w:t>
      </w:r>
      <w:r>
        <w:t xml:space="preserve">. Vaggione built his terminology not in opposition, but in the spirit of reconfiguring CAC from an embodied stance coming from outside information theory. This stance is not only evident in Vaggione’s writings and music. To a debatable extent, it is a point of departure to think of a branch of Argentinian electroacoustic identity that developed in France.</w:t>
      </w:r>
      <w:hyperlink w:anchor="fn43">
        <w:r>
          <w:rPr>
            <w:vertAlign w:val="superscript"/>
            <w:rStyle w:val="Hyperlink"/>
          </w:rPr>
          <w:t xml:space="preserve">43</w:t>
        </w:r>
      </w:hyperlink>
    </w:p>
    <w:p>
      <w:pPr>
        <w:pStyle w:val="Heading5"/>
      </w:pPr>
      <w:bookmarkStart w:id="222" w:name="the-work-of-mice"/>
      <w:r>
        <w:t xml:space="preserve">The Work of Mice</w:t>
      </w:r>
      <w:bookmarkEnd w:id="222"/>
    </w:p>
    <w:p>
      <w:pPr>
        <w:pStyle w:val="FirstParagraph"/>
      </w:pPr>
      <w:r>
        <w:t xml:space="preserve">Instead of being on the rule-based programming of formalization processes alone (keyboard-based input), the artistry of the composer resides in the use of the mouse. The timeline (sequence interface) workflow depends on the pointer. If the presence of the hand of the composer is evidenced by the trajectory (the course of the cursor), it shapes together with the historial of clicks, drag-n-drop motions, etc., the spectral presence of the author. This mouse, as the point of the pointer, the writing device, the ’stilus’, becomes that with which we resonate as listeners. Therefore, we perceive the marks of an authorial skin in the database music of pointers. The Vaggionian singularity-based approach to authority embeds composers and computers in a complex system, allowing for the world of music with computers to be a hybrid one. This is how the specter of the author coexists with the specter of the database, and thus, how databasing and composition reveal themselves to be instances of a performativity that resonates aesthetically through the work of music.</w:t>
      </w:r>
    </w:p>
    <w:p>
      <w:pPr>
        <w:pStyle w:val="Heading2"/>
      </w:pPr>
      <w:bookmarkStart w:id="223" w:name="section:Rethinking_Composition"/>
      <w:r>
        <w:t xml:space="preserve">Rethinking Composition</w:t>
      </w:r>
      <w:bookmarkEnd w:id="223"/>
    </w:p>
    <w:p>
      <w:pPr>
        <w:pStyle w:val="Heading3"/>
      </w:pPr>
      <w:bookmarkStart w:id="224" w:name="performance"/>
      <w:r>
        <w:t xml:space="preserve">Interlude: Hyperbolic Reactions</w:t>
      </w:r>
      <w:bookmarkEnd w:id="224"/>
    </w:p>
    <w:p>
      <w:pPr>
        <w:pStyle w:val="Heading5"/>
      </w:pPr>
      <w:bookmarkStart w:id="225" w:name="imagining-composers"/>
      <w:r>
        <w:t xml:space="preserve">Imagining Composers</w:t>
      </w:r>
      <w:bookmarkEnd w:id="225"/>
    </w:p>
    <w:p>
      <w:pPr>
        <w:pStyle w:val="FirstParagraph"/>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 This reification of the composer already precludes not only the digital, also the many technological devices that have entered music composition over the years, such as tape recorders, or electronics in general. These technological devices have redefined the composer in many ways.</w:t>
      </w:r>
    </w:p>
    <w:p>
      <w:pPr>
        <w:pStyle w:val="Heading5"/>
      </w:pPr>
      <w:bookmarkStart w:id="226" w:name="composers-and-technology"/>
      <w:r>
        <w:t xml:space="preserve">Composers and Technology</w:t>
      </w:r>
      <w:bookmarkEnd w:id="226"/>
    </w:p>
    <w:p>
      <w:pPr>
        <w:pStyle w:val="FirstParagraph"/>
      </w:pPr>
      <w:r>
        <w:t xml:space="preserve">Georgina Born’s ethnography of IRCAM</w:t>
      </w:r>
      <w:r>
        <w:t xml:space="preserve"> </w:t>
      </w:r>
      <w:r>
        <w:t xml:space="preserve">(Born 1995)</w:t>
      </w:r>
      <w:r>
        <w:t xml:space="preserve">, captured how the institutionalization of music composition and technology resulted in hierarchical structures of work dynamics, and how these were coated with false notions of collaboration. Inequalities of social, economical, and political status among technicians and composers within IRCAM became privately evident. Knowing how to use computers and knowing how to compose comprised two irreconcilable poles in the institutional structure. For example, Born describes internal hierarchies such as ‘superuser’ password knowledge, source code access, software licences, and, in some cases, she showed how these hierarchies reflected on internal privacy issues: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p>
    <w:p>
      <w:pPr>
        <w:pStyle w:val="Heading5"/>
      </w:pPr>
      <w:bookmarkStart w:id="227" w:name="playing-with-shadows"/>
      <w:r>
        <w:t xml:space="preserve">Playing with Shadows</w:t>
      </w:r>
      <w:bookmarkEnd w:id="227"/>
    </w:p>
    <w:p>
      <w:pPr>
        <w:pStyle w:val="FirstParagraph"/>
      </w:pPr>
      <w:r>
        <w:t xml:space="preserve">On the one hand, it is tempting to link this irreconciliation to the extreme reification of the name Pierre Boulez. The obscure dynamics behind this reification, however privately and secretly they were kept within the institution, can be nonetheless seen as the shadow of the more general specter of the music maker. Born’s mysterious but telling anonymization of anyone but Boulez on her transcriptions might attest to this shadow. The music maker has been traditionally considered an outsider, marginalized by society, but simultaneously an integrator of society itself</w:t>
      </w:r>
      <w:r>
        <w:t xml:space="preserve"> </w:t>
      </w:r>
      <w:r>
        <w:t xml:space="preserve">(Attali 2009, p. 12)</w:t>
      </w:r>
      <w:r>
        <w:t xml:space="preserve">. On the other hand,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(perhaps) the end of music. This hyperbolic reaction would explain the need for privacy and secrecy of information, the undocumented “oral culture” of Born’s IRCAM , as well as the reversal of the human-computer subordination evidenced in the social strata of the institution. In any case, a composer without computers cannot be imagined today,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w:t>
      </w:r>
    </w:p>
    <w:p>
      <w:pPr>
        <w:pStyle w:val="Heading5"/>
      </w:pPr>
      <w:bookmarkStart w:id="228" w:name="composers-without-computers"/>
      <w:r>
        <w:t xml:space="preserve">Composers Without Computers</w:t>
      </w:r>
      <w:bookmarkEnd w:id="228"/>
    </w:p>
    <w:p>
      <w:pPr>
        <w:pStyle w:val="FirstParagraph"/>
      </w:pPr>
      <w:r>
        <w:t xml:space="preserve">Composing with or without computers cannot be seen as poles on a continuum upon which the name of the composer writes and rewrites itself. Composing cannot be separated from computers, because the human cannot be separated from the non.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To have a concert, therefore, a composer without computers today would need to whisper the score to the performers who would, in turn, play by ear. (‘By ear’, in the sense that they would need to play from memory, since no printed score would exist, for even if the composer wrote the parts, the score would have to be inscribed on a paper, and somewhere along paper networks there is at least one computer.) The composer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AUTOCAD ; before the sun sets, to avoid electricity networks altogether while we are at it; away from cities, a car driving by would be unforgivable; so far away that we would, in fact, need to bring non-perishables for the pilgrimage, and even then, packaging networks or agriculture networks would be almost impossible to avoid. 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w:t>
      </w:r>
    </w:p>
    <w:p>
      <w:pPr>
        <w:pStyle w:val="Heading5"/>
      </w:pPr>
      <w:bookmarkStart w:id="229" w:name="databasing-without-computers"/>
      <w:r>
        <w:t xml:space="preserve">Databasing Without Computers</w:t>
      </w:r>
      <w:bookmarkEnd w:id="229"/>
    </w:p>
    <w:p>
      <w:pPr>
        <w:pStyle w:val="FirstParagraph"/>
      </w:pPr>
      <w:r>
        <w:t xml:space="preserve">The same applies to databasing itself.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Heading3"/>
      </w:pPr>
      <w:bookmarkStart w:id="230" w:name="organic"/>
      <w:r>
        <w:t xml:space="preserve">Working Composition</w:t>
      </w:r>
      <w:bookmarkEnd w:id="230"/>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In Peter Szendy’s discussion on Schoenberg’s modern organicism and what he calls “the modernist regime of listening”</w:t>
      </w:r>
      <w:r>
        <w:t xml:space="preserve"> </w:t>
      </w:r>
      <w:r>
        <w:t xml:space="preserve">(Szendy 2008)</w:t>
      </w:r>
      <w:r>
        <w:t xml:space="preserve">, ‘listening’ and ‘work’ collapse into each other, and the problem of the music work can be articulated. The image of the composer and the practice of composition can be understood differently, and by extension, databasing will be reconfigured as well, and the database as that which is a product (or work) of databasing will in turn be seen differently.</w:t>
      </w:r>
    </w:p>
    <w:p>
      <w:pPr>
        <w:pStyle w:val="Heading5"/>
      </w:pPr>
      <w:bookmarkStart w:id="231" w:name="the-work-problem"/>
      <w:r>
        <w:t xml:space="preserve">The Work Problem</w:t>
      </w:r>
      <w:bookmarkEnd w:id="231"/>
    </w:p>
    <w:p>
      <w:pPr>
        <w:pStyle w:val="FirstParagraph"/>
      </w:pPr>
      <w:r>
        <w:t xml:space="preserve">In what does this articulation of the problem of the music work consist of? First of all, why is it a problem? As Szendy suggests with the metaphor of the the self-amputation of the listener, we as the body of listeners (the listening body) would be severed. Put differently, listening itself would be delineated from outside itself. That is to say, with the presence of an object (music work) which, in its interest of perfecting, polishing, and thus giving itself a ‘finish,’ would shape and reshape listening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In this sense, this listener displays a measured listening, tailored, developed into different degrees of listening like a</w:t>
      </w:r>
      <w:r>
        <w:t xml:space="preserve"> </w:t>
      </w:r>
      <w:r>
        <w:rPr>
          <w:i/>
        </w:rPr>
        <w:t xml:space="preserve">gradus ad auscultare</w:t>
      </w:r>
      <w:r>
        <w:t xml:space="preserve">, one existing beyond any psychoacoustic measuring.</w:t>
      </w:r>
    </w:p>
    <w:p>
      <w:pPr>
        <w:pStyle w:val="Heading5"/>
      </w:pPr>
      <w:bookmarkStart w:id="232" w:name="working-rules"/>
      <w:r>
        <w:t xml:space="preserve">Working Rules</w:t>
      </w:r>
      <w:bookmarkEnd w:id="232"/>
    </w:p>
    <w:p>
      <w:pPr>
        <w:pStyle w:val="FirstParagraph"/>
      </w:pPr>
      <w:r>
        <w:t xml:space="preserve">From the shaping of listening by the work, and from the working activity that is performed by the work itself, the presence of the work as an object can be thus traced. In other words, the work of the music work can be considered as the work of an agent in the composition network: the music-work-as-object and the listening-as-object become nodes. In the modernist regime, the hierarchy priorizes the ruler (work-node), and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The only exception is, of course, the extremely cultivated case of composers, which revert the arrow. This exception, however, is not so much an exception, as it is the prescription of the rule and of ruling itself, since it is this reversal what enables the structure in the first place: the ruling of the exception. 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because “…what listens to itself is not just what resounds in the self and what rebounds to the self: this same movement, and this very movement, places it outside of self and makes its rebound overflow.</w:t>
      </w:r>
      <w:r>
        <w:t xml:space="preserve"> </w:t>
      </w:r>
      <w:r>
        <w:t xml:space="preserve">(Szendy 2008 xii)</w:t>
      </w:r>
      <w:r>
        <w:t xml:space="preserve">” As I have explained before using Nancy’s concept of the resonance of a return (See</w:t>
      </w:r>
      <w:r>
        <w:t xml:space="preserve"> </w:t>
      </w:r>
      <w:hyperlink w:anchor="resonance_of_a_return">
        <w:r>
          <w:rPr>
            <w:rStyle w:val="Hyperlink"/>
          </w:rPr>
          <w:t xml:space="preserve">5.1.1</w:t>
        </w:r>
      </w:hyperlink>
      <w:r>
        <w:t xml:space="preserve">), listening is an approach to the relationship in self. Implementing this relationship within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w:t>
      </w:r>
    </w:p>
    <w:p>
      <w:pPr>
        <w:pStyle w:val="Heading5"/>
      </w:pPr>
      <w:bookmarkStart w:id="233" w:name="a-space-of-difference"/>
      <w:r>
        <w:t xml:space="preserve">A Space of Difference</w:t>
      </w:r>
      <w:bookmarkEnd w:id="233"/>
    </w:p>
    <w:p>
      <w:pPr>
        <w:pStyle w:val="FirstParagraph"/>
      </w:pPr>
      <w:r>
        <w:t xml:space="preserve">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5.1.3</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44">
        <w:r>
          <w:rPr>
            <w:vertAlign w:val="superscript"/>
            <w:rStyle w:val="Hyperlink"/>
          </w:rPr>
          <w:t xml:space="preserve">44</w:t>
        </w:r>
      </w:hyperlink>
      <w:r>
        <w:t xml:space="preserve"> </w:t>
      </w:r>
      <w:r>
        <w:t xml:space="preserve">One would be tempted, equally, to place this inoperativity outside temporality itself, but then one would forget forgetfulness itself. Inoperativity is within the resonating space of an always.</w:t>
      </w:r>
    </w:p>
    <w:p>
      <w:pPr>
        <w:pStyle w:val="Heading5"/>
      </w:pPr>
      <w:bookmarkStart w:id="234" w:name="a-severed-work"/>
      <w:r>
        <w:t xml:space="preserve">A Severed Work</w:t>
      </w:r>
      <w:bookmarkEnd w:id="234"/>
    </w:p>
    <w:p>
      <w:pPr>
        <w:pStyle w:val="FirstParagraph"/>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inattentive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Heading5"/>
      </w:pPr>
      <w:bookmarkStart w:id="235" w:name="absorbption"/>
      <w:r>
        <w:t xml:space="preserve">Absorbption</w:t>
      </w:r>
      <w:bookmarkEnd w:id="235"/>
    </w:p>
    <w:p>
      <w:pPr>
        <w:pStyle w:val="FirstParagraph"/>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fours stages of degradation of Western Music’s “outside-time structures,” article</w:t>
      </w:r>
      <w:r>
        <w:t xml:space="preserve"> </w:t>
      </w:r>
      <w:r>
        <w:rPr>
          <w:i/>
        </w:rPr>
        <w:t xml:space="preserve">Towards a Metamusic</w:t>
      </w:r>
      <w:r>
        <w:t xml:space="preserve"> </w:t>
      </w:r>
      <w:r>
        <w:t xml:space="preserve">(1967): “we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 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r>
        <w:t xml:space="preserve"> </w:t>
      </w:r>
      <w:r>
        <w:t xml:space="preserve">(Xenakis 1992, p. 200)</w:t>
      </w:r>
      <w:r>
        <w:t xml:space="preserve">. 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and composer, was identifying with ‘industrialized’ music? Is it not a product of modernity itself, as the working that listened to itself to the point of working out a Xenakis-listener-node to the extreme?</w:t>
      </w:r>
    </w:p>
    <w:p>
      <w:pPr>
        <w:pStyle w:val="Heading3"/>
      </w:pPr>
      <w:bookmarkStart w:id="236" w:name="practice"/>
      <w:r>
        <w:t xml:space="preserve">The Composer As Navigator</w:t>
      </w:r>
      <w:bookmarkEnd w:id="236"/>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Heading5"/>
      </w:pPr>
      <w:bookmarkStart w:id="237" w:name="querying-the-sieves"/>
      <w:r>
        <w:t xml:space="preserve">Querying the Sieves</w:t>
      </w:r>
      <w:bookmarkEnd w:id="237"/>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45">
        <w:r>
          <w:rPr>
            <w:vertAlign w:val="superscript"/>
            <w:rStyle w:val="Hyperlink"/>
          </w:rPr>
          <w:t xml:space="preserve">45</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by the printed FORTRAN routines for Xenakis’ 1962 work</w:t>
      </w:r>
      <w:r>
        <w:t xml:space="preserve"> </w:t>
      </w:r>
      <w:r>
        <w:rPr>
          <w:i/>
        </w:rPr>
        <w:t xml:space="preserve">Atrées (ST/10-3 060962)</w:t>
      </w:r>
      <w:r>
        <w:t xml:space="preserve"> </w:t>
      </w:r>
      <w:r>
        <w:t xml:space="preserve">(Xenakis 1992, p. 145)</w:t>
      </w:r>
      <w:r>
        <w:t xml:space="preserve">.</w:t>
      </w:r>
      <w:hyperlink w:anchor="fn46">
        <w:r>
          <w:rPr>
            <w:vertAlign w:val="superscript"/>
            <w:rStyle w:val="Hyperlink"/>
          </w:rPr>
          <w:t xml:space="preserve">46</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Xenakis’ transcriptions in early CAC systems were performed with tables of outputted computer data. Further,</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w:t>
      </w:r>
      <w:hyperlink w:anchor="fn47">
        <w:r>
          <w:rPr>
            <w:vertAlign w:val="superscript"/>
            <w:rStyle w:val="Hyperlink"/>
          </w:rPr>
          <w:t xml:space="preserve">47</w:t>
        </w:r>
      </w:hyperlink>
    </w:p>
    <w:p>
      <w:pPr>
        <w:pStyle w:val="Heading5"/>
      </w:pPr>
      <w:bookmarkStart w:id="238" w:name="sound-synthesis-parenthesis"/>
      <w:r>
        <w:t xml:space="preserve">Sound Synthesis Parenthesis</w:t>
      </w:r>
      <w:bookmarkEnd w:id="238"/>
    </w:p>
    <w:p>
      <w:pPr>
        <w:pStyle w:val="FirstParagraph"/>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at Bell Telephone Laboratories, wrote:</w:t>
      </w:r>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48">
        <w:r>
          <w:rPr>
            <w:vertAlign w:val="superscript"/>
            <w:rStyle w:val="Hyperlink"/>
          </w:rPr>
          <w:t xml:space="preserve">48</w:t>
        </w:r>
      </w:hyperlink>
      <w:r>
        <w:t xml:space="preserve"> </w:t>
      </w:r>
      <w:r>
        <w:t xml:space="preserve">I will close this parenthesis, not without returning to this discussion in the following section (See</w:t>
      </w:r>
      <w:r>
        <w:t xml:space="preserve"> </w:t>
      </w:r>
      <w:hyperlink w:anchor="improv">
        <w:r>
          <w:rPr>
            <w:rStyle w:val="Hyperlink"/>
          </w:rPr>
          <w:t xml:space="preserve">5.4.4</w:t>
        </w:r>
      </w:hyperlink>
      <w:r>
        <w:t xml:space="preserve">))</w:t>
      </w:r>
    </w:p>
    <w:p>
      <w:pPr>
        <w:pStyle w:val="Heading5"/>
      </w:pPr>
      <w:bookmarkStart w:id="239" w:name="algebraic-abstractions-for-freedom"/>
      <w:r>
        <w:t xml:space="preserve">Algebraic Abstractions for Freedom</w:t>
      </w:r>
      <w:bookmarkEnd w:id="239"/>
    </w:p>
    <w:p>
      <w:pPr>
        <w:pStyle w:val="FirstParagraph"/>
      </w:pPr>
      <w:r>
        <w:t xml:space="preserve">Xenakis’ and Codd’s papers came out around the same time: Xenakis’ english publication of</w:t>
      </w:r>
      <w:r>
        <w:t xml:space="preserve"> </w:t>
      </w:r>
      <w:r>
        <w:rPr>
          <w:i/>
        </w:rPr>
        <w:t xml:space="preserve">Towards a Metamusic</w:t>
      </w:r>
      <w:r>
        <w:t xml:space="preserve"> </w:t>
      </w:r>
      <w:r>
        <w:t xml:space="preserve">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devise any kind of algebraic queries, thus operating at a higher level of abstraction, enabling a less problematic kind of envisioning. Conversely, Xenakis writes: “freed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 [emphasis added]</w:t>
      </w:r>
      <w:r>
        <w:t xml:space="preserve"> </w:t>
      </w:r>
      <w:r>
        <w:t xml:space="preserve">(Xenakis 1992, p. 144)</w:t>
      </w:r>
      <w:r>
        <w:t xml:space="preserve">.</w:t>
      </w:r>
    </w:p>
    <w:p>
      <w:pPr>
        <w:pStyle w:val="Heading5"/>
      </w:pPr>
      <w:bookmarkStart w:id="240" w:name="a-cosmic-vessel-and-an-armchair"/>
      <w:r>
        <w:t xml:space="preserve">A Cosmic Vessel and an Armchair</w:t>
      </w:r>
      <w:bookmarkEnd w:id="240"/>
    </w:p>
    <w:p>
      <w:pPr>
        <w:pStyle w:val="FirstParagraph"/>
      </w:pPr>
      <w:r>
        <w:t xml:space="preserve">Therefore, the composer delegates to the computer the minutiae of arduous iterative computations: precisely what the computer is better at than the human. As a result, in Xenakis’ view, and in resonance with programmer Charles Bachman’s claim for the</w:t>
      </w:r>
      <w:r>
        <w:t xml:space="preserve"> </w:t>
      </w:r>
      <w:r>
        <w:rPr>
          <w:i/>
        </w:rPr>
        <w:t xml:space="preserve">The Programmer as Navigator</w:t>
      </w:r>
      <w:r>
        <w:t xml:space="preserve"> </w:t>
      </w:r>
      <w:r>
        <w:t xml:space="preserve">(Bachman 1973)</w:t>
      </w:r>
      <w:r>
        <w:t xml:space="preserve">, the composer became a pilot:</w:t>
      </w:r>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hierarchical and network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and economically expensive process combining punch cards and magnetic tapes, the composer and the databaser could change the input several times, achieving different outputs in a matter of hours.</w:t>
      </w:r>
      <w:hyperlink w:anchor="fn49">
        <w:r>
          <w:rPr>
            <w:vertAlign w:val="superscript"/>
            <w:rStyle w:val="Hyperlink"/>
          </w:rPr>
          <w:t xml:space="preserve">49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 but recalling these limitations places composition and databasing in perspective.</w:t>
      </w:r>
    </w:p>
    <w:p>
      <w:pPr>
        <w:pStyle w:val="Heading3"/>
      </w:pPr>
      <w:bookmarkStart w:id="241" w:name="improv"/>
      <w:r>
        <w:t xml:space="preserve">The Database As Performer</w:t>
      </w:r>
      <w:bookmarkEnd w:id="241"/>
    </w:p>
    <w:p>
      <w:pPr>
        <w:pStyle w:val="FirstParagraph"/>
      </w:pPr>
      <w:r>
        <w:t xml:space="preserve">I would like to take an improvisational turn that would make Xenakis fall off his armchair. Xenakis’ fall would be contemplated against the spirit of the later discussions on interaction that came with George Lewis and</w:t>
      </w:r>
      <w:r>
        <w:t xml:space="preserve"> </w:t>
      </w:r>
      <w:r>
        <w:rPr>
          <w:i/>
        </w:rPr>
        <w:t xml:space="preserve">Voyager</w:t>
      </w:r>
      <w:r>
        <w:t xml:space="preserve"> </w:t>
      </w:r>
      <w:r>
        <w:t xml:space="preserve">(Lewis 1999, 2000; Rowe et al. 1993)</w:t>
      </w:r>
      <w:r>
        <w:t xml:space="preserve">. Lewis called his approach “a improvisational, nonhierarchical, subject-subject model of discourse, rather than a stimulus/response setup”</w:t>
      </w:r>
      <w:r>
        <w:t xml:space="preserve"> </w:t>
      </w:r>
      <w:r>
        <w:t xml:space="preserve">(Lewis 1999, p. 104)</w:t>
      </w:r>
      <w:r>
        <w:t xml:space="preserve">. Thus, the activity of the composer was reconfigured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itself.</w:t>
      </w:r>
    </w:p>
    <w:p>
      <w:pPr>
        <w:pStyle w:val="Heading5"/>
      </w:pPr>
      <w:bookmarkStart w:id="242" w:name="the-computer-as-a-musical-instrument"/>
      <w:r>
        <w:t xml:space="preserve">The Computer as a Musical Instrument</w:t>
      </w:r>
      <w:bookmarkEnd w:id="242"/>
    </w:p>
    <w:p>
      <w:pPr>
        <w:pStyle w:val="FirstParagraph"/>
      </w:pPr>
      <w:r>
        <w:t xml:space="preserve">It is now pertintent to bring back Max Mathews “computer as musical instrument”</w:t>
      </w:r>
      <w:r>
        <w:t xml:space="preserve"> </w:t>
      </w:r>
      <w:r>
        <w:t xml:space="preserve">(Mathews 1963)</w:t>
      </w:r>
      <w:r>
        <w:t xml:space="preserve">. The architecture of MUSIC-V is buit on concept of the computer as an instrument that the composer performs by providing it a score. The three stages of data flow (reading, sorting, and executing) are modeled from three music concepts: score, metronome, and instrument. It is significant that two (human) elements of (european) music tradition (composer and performer) are missing from this triad, as well as the programmer. (A fourth missing element, the improviser, will appear further down this text.) On the one hand, the hybrid musical instrument that the computer represented already collapsed three concepts into one, resulting in a hybrid score/metronome/instrument. On the other hand, it can be argued that by this ellision, the three missing human terms have collapsed into one another, forming a new hybrid definition of composer, performer, and programmer. In any case, this hybridity became evident in the music work itself, as can be read from a rethorics of control in favor of the composer:</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 is allowed the computer</w:t>
      </w:r>
      <w:r>
        <w:t xml:space="preserve">. [emphasis added]</w:t>
      </w:r>
      <w:r>
        <w:t xml:space="preserve"> </w:t>
      </w:r>
      <w:r>
        <w:t xml:space="preserve">(Mathews 1963, p. 557)</w:t>
      </w:r>
    </w:p>
    <w:p>
      <w:pPr>
        <w:pStyle w:val="Heading5"/>
      </w:pPr>
      <w:bookmarkStart w:id="243" w:name="a-minor-liberty"/>
      <w:r>
        <w:t xml:space="preserve">A Minor Liberty</w:t>
      </w:r>
      <w:bookmarkEnd w:id="243"/>
    </w:p>
    <w:p>
      <w:pPr>
        <w:pStyle w:val="FirstParagraph"/>
      </w:pPr>
      <w:r>
        <w:t xml:space="preserve">As can be read at the end of the introduction to MUSIC-V</w:t>
      </w:r>
      <w:r>
        <w:t xml:space="preserve"> </w:t>
      </w:r>
      <w:r>
        <w:t xml:space="preserve">(Mathews 1963)</w:t>
      </w:r>
      <w:r>
        <w:t xml:space="preserve">, the extent of this “minor liberty” was measured against Hiller and Isaacson’s previous work</w:t>
      </w:r>
      <w:r>
        <w:t xml:space="preserve"> </w:t>
      </w:r>
      <w:r>
        <w:t xml:space="preserve">(Hiller &amp; Isaacson 1959)</w:t>
      </w:r>
      <w:r>
        <w:t xml:space="preserve">, which Mathews describes as an extreme case of the computer as composer: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On the one hand, Mathews’ argument is based on the “omnipotence” of the composer in front of the computer. Control of the music work is not something that can be delegated to the computer, unless it comprises lengthy calculations of pseudorandomness. On the other hand, as Ariza has shown, the computer output of early CAC has been often misconceived in the literature as directly musical output, disregarding the extensive transcription work on the part of composers</w:t>
      </w:r>
      <w:r>
        <w:t xml:space="preserve"> </w:t>
      </w:r>
      <w:r>
        <w:t xml:space="preserve">(Ariza 2005a)</w:t>
      </w:r>
      <w:r>
        <w:t xml:space="preserve">. Nonetheless, Mathews’ “minor liberty” can be considered as a reassurment for the reader that computers would not take control over music, let alone over the world. As I see it, arguing for control while granting some liberty relates to a negotiation between composer’s work and computer time. Because of the correlation between sonic complexity and parameter input, “the composer must make his own compromise between interest, cost, and work”</w:t>
      </w:r>
      <w:r>
        <w:t xml:space="preserve"> </w:t>
      </w:r>
      <w:r>
        <w:t xml:space="preserve">(Mathews 1963, p. 555)</w:t>
      </w:r>
      <w:r>
        <w:t xml:space="preserve">. Pseudorandom generators introduced complexity in an efficient way</w:t>
      </w:r>
      <w:r>
        <w:t xml:space="preserve"> </w:t>
      </w:r>
      <w:r>
        <w:t xml:space="preserve">(Cámara Halac 2018a)</w:t>
      </w:r>
      <w:r>
        <w:t xml:space="preserve">. Therefore, in an economical choice, arguing for omnipotence allowed for some aesthetics agency to come from computers.</w:t>
      </w:r>
    </w:p>
    <w:p>
      <w:pPr>
        <w:pStyle w:val="Heading5"/>
      </w:pPr>
      <w:bookmarkStart w:id="244" w:name="the-computer-as-a-player"/>
      <w:r>
        <w:t xml:space="preserve">The Computer as a Player</w:t>
      </w:r>
      <w:bookmarkEnd w:id="244"/>
    </w:p>
    <w:p>
      <w:pPr>
        <w:pStyle w:val="FirstParagraph"/>
      </w:pPr>
      <w:r>
        <w:t xml:space="preserve">Rowe (1992)</w:t>
      </w:r>
      <w:r>
        <w:t xml:space="preserve"> </w:t>
      </w:r>
      <w:r>
        <w:t xml:space="preserve">(Rowe 1992)</w:t>
      </w:r>
      <w:r>
        <w:t xml:space="preserve"> </w:t>
      </w:r>
      <w:r>
        <w:t xml:space="preserve">identified two paradimgs within interactive systems:</w:t>
      </w:r>
      <w:r>
        <w:t xml:space="preserve"> </w:t>
      </w:r>
      <w:r>
        <w:rPr>
          <w:i/>
        </w:rPr>
        <w:t xml:space="preserve">instrument</w:t>
      </w:r>
      <w:r>
        <w:t xml:space="preserve"> </w:t>
      </w:r>
      <w:r>
        <w:t xml:space="preserve">and</w:t>
      </w:r>
      <w:r>
        <w:t xml:space="preserve"> </w:t>
      </w:r>
      <w:r>
        <w:rPr>
          <w:i/>
        </w:rPr>
        <w:t xml:space="preserve">player</w:t>
      </w:r>
      <w:r>
        <w:t xml:space="preserve">. The instrument paradigm comprises systems in which performance gestures are sensed (collecting gestural data), processed (reading and interpreting data), and a response (sonic output) is elaborated. The player paradigm comprises the creation of “an artificial player, a musical presence with a personality and behavior of its own…”</w:t>
      </w:r>
      <w:r>
        <w:t xml:space="preserve"> </w:t>
      </w:r>
      <w:r>
        <w:t xml:space="preserve">(Rowe 1992 Chapter 1)</w:t>
      </w:r>
      <w:r>
        <w:t xml:space="preserve">. Therefore, the instrument itself contains embedded processes that grant some level of independence. This means that the composer intentionally relinquishes control of the artwork’s structure to the system itself. Like Vaggione’s concept of the computer as a complex system in which the composer “is imbedded in a network within which he or she can act, design, and experience concrete tools and (meaningful) musical situations”</w:t>
      </w:r>
      <w:r>
        <w:t xml:space="preserve"> </w:t>
      </w:r>
      <w:r>
        <w:t xml:space="preserve">(Vaggione 2001)</w:t>
      </w:r>
      <w:r>
        <w:t xml:space="preserve">, the human node breaks the traditionally hierarchical structure of composer-work. What this amount to is a distributed authority of the work among the elements of the system. For example, in</w:t>
      </w:r>
      <w:r>
        <w:t xml:space="preserve"> </w:t>
      </w:r>
      <w:r>
        <w:rPr>
          <w:i/>
        </w:rPr>
        <w:t xml:space="preserve">Voyager</w:t>
      </w:r>
      <w:r>
        <w:t xml:space="preserve">, “the computer system is not an instrument, and therefore cannot be controlled by a performer. Rather, the system is a multi-instrumental player with its own instrument”</w:t>
      </w:r>
      <w:r>
        <w:t xml:space="preserve"> </w:t>
      </w:r>
      <w:r>
        <w:t xml:space="preserve">(Lewis 1999, p. 103)</w:t>
      </w:r>
      <w:r>
        <w:t xml:space="preserve">. The computer becomes an improvisation partner. While the limitations of computer capabilities precluded more complex conceptualizations of the type of interactivity between computer and composer in MUSIC-V , as personal computers became affordable the type of negotiations no longer depeded on economic decisions. For Lewis, this negotiation existed sonically between computer and improviser:</w:t>
      </w:r>
    </w:p>
    <w:p>
      <w:pPr>
        <w:pStyle w:val="BlockText"/>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p>
    <w:p>
      <w:pPr>
        <w:pStyle w:val="Heading5"/>
      </w:pPr>
      <w:bookmarkStart w:id="245" w:name="programming-decisions"/>
      <w:r>
        <w:t xml:space="preserve">Programming Decisions</w:t>
      </w:r>
      <w:bookmarkEnd w:id="245"/>
    </w:p>
    <w:p>
      <w:pPr>
        <w:pStyle w:val="FirstParagraph"/>
      </w:pPr>
      <w:r>
        <w:t xml:space="preserve">However, in order to implement concepts coming from artificial intelligence such as machine listening and learning, the complexity of the program itself increases exponentially. In light of these difficulties arising from programming, in response to Lewis’ criticism of the MAX patching paradigm rooted on trigger-based interactivity,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 As Rowe writes:</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Furthermore, the player paradigm and its subsequence reconfiguration of authority is possible by means of an implemented database: the computer stores features during the course of the performance, which are then averaged over time, and which serve as guides for the sonic outcome on the part of the computer. As I mentioned earlier, while the guidance of the database provides paths through uncharted territories, it also hides other paths</w:t>
      </w:r>
      <w:r>
        <w:t xml:space="preserve"> </w:t>
      </w:r>
      <w:bookmarkStart w:id="246" w:name="computer:free"/>
      <w:r>
        <w:t xml:space="preserve">[computer:free]</w:t>
      </w:r>
      <w:bookmarkEnd w:id="246"/>
      <w:r>
        <w:t xml:space="preserve">.</w:t>
      </w:r>
      <w:r>
        <w:t xml:space="preserve"> </w:t>
      </w:r>
      <w:r>
        <w:rPr>
          <w:i/>
        </w:rPr>
        <w:t xml:space="preserve">Voyager</w:t>
      </w:r>
      <w:r>
        <w:t xml:space="preserve"> </w:t>
      </w:r>
      <w:r>
        <w:t xml:space="preserve">indeed brings interactivity between human and nonhumans to another stage, and because of it, music composition can be seen differently. However, the intricacies of the programming decisions are still in play, specifically in the modelling of musical concepts within data structures.</w:t>
      </w:r>
    </w:p>
    <w:p>
      <w:pPr>
        <w:pStyle w:val="Heading5"/>
      </w:pPr>
      <w:bookmarkStart w:id="247" w:name="anachronic-composers"/>
      <w:r>
        <w:t xml:space="preserve">Anachronic Composers</w:t>
      </w:r>
      <w:bookmarkEnd w:id="247"/>
    </w:p>
    <w:p>
      <w:pPr>
        <w:pStyle w:val="FirstParagraph"/>
      </w:pPr>
      <w:r>
        <w:t xml:space="preserve">This notion of interactivity differs greatly from Xenakis’ (modern) composer. He is sitting quietly in his armchair pressing buttons in 1962.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w:t>
      </w:r>
    </w:p>
    <w:p>
      <w:pPr>
        <w:pStyle w:val="Heading5"/>
      </w:pPr>
      <w:bookmarkStart w:id="248" w:name="section"/>
      <w:bookmarkEnd w:id="248"/>
    </w:p>
    <w:p>
      <w:pPr>
        <w:pStyle w:val="FirstParagraph"/>
      </w:pPr>
      <w:r>
        <w:t xml:space="preserve">Placing MAX into perspective by commenting on the social and cultural environment of computer music of the late 1980s, Lewis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(‘bang’) is a feature, not a bug, unless it is used as an extension of the stimulus/response paradigm of interactivity. In other words, in resonance with Vaggione (See</w:t>
      </w:r>
      <w:r>
        <w:t xml:space="preserve"> </w:t>
      </w:r>
      <w:hyperlink w:anchor="style">
        <w:r>
          <w:rPr>
            <w:rStyle w:val="Hyperlink"/>
          </w:rPr>
          <w:t xml:space="preserve">5.3.3</w:t>
        </w:r>
      </w:hyperlink>
      <w:r>
        <w:t xml:space="preserve">),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50">
        <w:r>
          <w:rPr>
            <w:vertAlign w:val="superscript"/>
            <w:rStyle w:val="Hyperlink"/>
          </w:rPr>
          <w:t xml:space="preserve">50</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Heading5"/>
      </w:pPr>
      <w:bookmarkStart w:id="249" w:name="nonhuman-composers"/>
      <w:r>
        <w:t xml:space="preserve">Nonhuman composers</w:t>
      </w:r>
      <w:bookmarkEnd w:id="249"/>
    </w:p>
    <w:p>
      <w:pPr>
        <w:pStyle w:val="FirstParagraph"/>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Heading5"/>
      </w:pPr>
      <w:bookmarkStart w:id="250" w:name="fractured-works"/>
      <w:r>
        <w:t xml:space="preserve">Fractured Works</w:t>
      </w:r>
      <w:bookmarkEnd w:id="250"/>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as a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[pseudorandom generators],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 I hope the reader would forgive me for having borrowed these adjectives out of context —‘entirely’ and ‘really’— so as to allow my argument to echo with Lewis’ for a while. 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w:t>
      </w:r>
    </w:p>
    <w:p>
      <w:pPr>
        <w:pStyle w:val="Heading5"/>
      </w:pPr>
      <w:bookmarkStart w:id="251" w:name="databasing-vessel"/>
      <w:r>
        <w:t xml:space="preserve">Databasing Vessel</w:t>
      </w:r>
      <w:bookmarkEnd w:id="251"/>
    </w:p>
    <w:p>
      <w:pPr>
        <w:pStyle w:val="FirstParagraph"/>
      </w:pPr>
      <w:r>
        <w:t xml:space="preserve">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and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3"/>
      </w:pPr>
      <w:bookmarkStart w:id="252" w:name="music"/>
      <w:r>
        <w:t xml:space="preserve">The Severed Object Of Music</w:t>
      </w:r>
      <w:bookmarkEnd w:id="252"/>
    </w:p>
    <w:p>
      <w:pPr>
        <w:pStyle w:val="BlockText"/>
      </w:pPr>
      <w:r>
        <w:t xml:space="preserve">[The] Heideggerian ‘work of art’ is able to present a unified picture that may be used for political purposes [it] is only what it is in the world that it opens…Nancy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 [emphasis added]</w:t>
      </w:r>
      <w:r>
        <w:t xml:space="preserve"> </w:t>
      </w:r>
      <w:r>
        <w:t xml:space="preserve">(Gratton &amp; Morin 2015)</w:t>
      </w:r>
    </w:p>
    <w:p>
      <w:pPr>
        <w:pStyle w:val="Heading5"/>
      </w:pPr>
      <w:bookmarkStart w:id="253" w:name="an-incomplete-object"/>
      <w:r>
        <w:t xml:space="preserve">An Incomplete Object</w:t>
      </w:r>
      <w:bookmarkEnd w:id="253"/>
    </w:p>
    <w:p>
      <w:pPr>
        <w:pStyle w:val="FirstParagraph"/>
      </w:pPr>
      <w:r>
        <w:t xml:space="preserve">I would like to refer once again to Jean-Luc Nancy’s concept of inoperativity (See</w:t>
      </w:r>
      <w:r>
        <w:t xml:space="preserve"> </w:t>
      </w:r>
      <w:hyperlink w:anchor="inoperativity">
        <w:r>
          <w:rPr>
            <w:rStyle w:val="Hyperlink"/>
          </w:rPr>
          <w:t xml:space="preserve">5.1.3</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51">
        <w:r>
          <w:rPr>
            <w:vertAlign w:val="superscript"/>
            <w:rStyle w:val="Hyperlink"/>
          </w:rPr>
          <w:t xml:space="preserve">51</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Heading5"/>
      </w:pPr>
      <w:bookmarkStart w:id="254" w:name="remains-of-listening"/>
      <w:r>
        <w:t xml:space="preserve">Remains of Listening</w:t>
      </w:r>
      <w:bookmarkEnd w:id="254"/>
    </w:p>
    <w:p>
      <w:pPr>
        <w:pStyle w:val="FirstParagraph"/>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in listening I choose what to listen in spite of being already deprived from that choice.</w:t>
      </w:r>
    </w:p>
    <w:p>
      <w:pPr>
        <w:pStyle w:val="Heading5"/>
      </w:pPr>
      <w:bookmarkStart w:id="255" w:name="sources-and-sorcerers"/>
      <w:r>
        <w:t xml:space="preserve">Sources and Sorcerers</w:t>
      </w:r>
      <w:bookmarkEnd w:id="255"/>
    </w:p>
    <w:p>
      <w:pPr>
        <w:pStyle w:val="FirstParagraph"/>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because ‘it’ can never be</w:t>
      </w:r>
      <w:r>
        <w:t xml:space="preserve"> </w:t>
      </w:r>
      <w:r>
        <w:rPr>
          <w:i/>
        </w:rPr>
        <w:t xml:space="preserve">completely</w:t>
      </w:r>
      <w:r>
        <w:t xml:space="preserve">. The severed object of music is always severed, but never in the same way, since there are as many severings as there are listeners, and as many listenings as there are moments. In this difference, what is resonating is the object of music, which is never one and the same because it is a singularity resonating in plurality. Composers have traditionally been considered a ‘source’ of this object, or better, the one at the door, the key keeper that has access to the door that opens up the flow of inspiration. The composer, but also the programmer with access to the source code, which unless it is opened,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Heading5"/>
      </w:pPr>
      <w:bookmarkStart w:id="256" w:name="naming"/>
      <w:r>
        <w:t xml:space="preserve">Naming</w:t>
      </w:r>
      <w:bookmarkEnd w:id="256"/>
    </w:p>
    <w:p>
      <w:pPr>
        <w:pStyle w:val="FirstParagraph"/>
      </w:pPr>
      <w:r>
        <w:t xml:space="preserve">I would like to point out now, that it is not my intention here to sever the head of the sorcerer, because it is an illusion that does not allow me to do so. It is not my illusion, although I have described how I interpret it, and it comes as a product of a reification of the composer, but also of the human itself as the one and only owner of the world —that is, owner of the mountain itself, and of the water, and every particle of the one and only universe. In being in resonance, listeners become the resonating world, that is, the self begins to resonate as space. In this sense, it is the world what is listened to, and it is a world that has no apparent origin. However, the composition —the written score, like the written code— propose their own origin —the composer, the programmer. Thus, they give an origin to the world itself by providing an answer (a name) to the question of creation: Who created this music?</w:t>
      </w:r>
      <w:r>
        <w:t xml:space="preserve"> </w:t>
      </w:r>
      <w:r>
        <w:rPr>
          <w:i/>
        </w:rPr>
        <w:t xml:space="preserve">this</w:t>
      </w:r>
      <w:r>
        <w:t xml:space="preserve"> </w:t>
      </w:r>
      <w:r>
        <w:t xml:space="preserve">composer. The answer, therefore, has a ‘this’ that comes in the form of the name of the composer. This name becomes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52">
        <w:r>
          <w:rPr>
            <w:vertAlign w:val="superscript"/>
            <w:rStyle w:val="Hyperlink"/>
          </w:rPr>
          <w:t xml:space="preserve">52</w:t>
        </w:r>
      </w:hyperlink>
    </w:p>
    <w:p>
      <w:pPr>
        <w:pStyle w:val="Heading5"/>
      </w:pPr>
      <w:bookmarkStart w:id="257" w:name="dynamics"/>
      <w:r>
        <w:t xml:space="preserve">Dynamics</w:t>
      </w:r>
      <w:bookmarkEnd w:id="257"/>
    </w:p>
    <w:p>
      <w:pPr>
        <w:pStyle w:val="FirstParagraph"/>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w:t>
      </w:r>
    </w:p>
    <w:p>
      <w:pPr>
        <w:pStyle w:val="Heading5"/>
      </w:pPr>
      <w:bookmarkStart w:id="258" w:name="masterwork"/>
      <w:r>
        <w:t xml:space="preserve">Masterwork</w:t>
      </w:r>
      <w:bookmarkEnd w:id="258"/>
    </w:p>
    <w:p>
      <w:pPr>
        <w:pStyle w:val="FirstParagraph"/>
      </w:pPr>
      <w:r>
        <w:t xml:space="preserve">Understood in this way, that is, the shape of the music as a force that produces a certain listening experience, therefore, the internal dynamics are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human">
        <w:r>
          <w:rPr>
            <w:rStyle w:val="Hyperlink"/>
          </w:rPr>
          <w:t xml:space="preserve">5.2.2</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 inattentive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Heading5"/>
      </w:pPr>
      <w:bookmarkStart w:id="259" w:name="architecture-of-obedience"/>
      <w:r>
        <w:t xml:space="preserve">Architecture of Obedience</w:t>
      </w:r>
      <w:bookmarkEnd w:id="259"/>
    </w:p>
    <w:p>
      <w:pPr>
        <w:pStyle w:val="FirstParagraph"/>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260" w:name="anarchy"/>
      <w:r>
        <w:t xml:space="preserve">Anarchy And The Unwork</w:t>
      </w:r>
      <w:bookmarkEnd w:id="260"/>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unwork of art. This resistance is a force of interruption and suspension that prevents the notion of a whole to reach completion. The case is quite different from that of the ‘open’ work, since the work never reaches completion.</w:t>
      </w:r>
    </w:p>
    <w:p>
      <w:pPr>
        <w:pStyle w:val="Heading5"/>
      </w:pPr>
      <w:bookmarkStart w:id="261" w:name="place-in-common"/>
      <w:r>
        <w:t xml:space="preserve">Place in Common</w:t>
      </w:r>
      <w:bookmarkEnd w:id="261"/>
    </w:p>
    <w:p>
      <w:pPr>
        <w:pStyle w:val="FirstParagraph"/>
      </w:pPr>
      <w:r>
        <w:t xml:space="preserve">The unwork radically differs from the notion of an open work as is the case, for example, of Umberto Eco’s famous formulation that “the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 Instead of openness being located in the interpretation, the opennes in inherent to the hybridity of its construction. The construction, in turn, is a result of the reticulated and fragmented state of exposure between the human and the nonhuman. In this sense, the limit of the unwork is the exposure of exposure itself, that is, an instantiation of the place in common.</w:t>
      </w:r>
    </w:p>
    <w:p>
      <w:pPr>
        <w:pStyle w:val="Heading5"/>
      </w:pPr>
      <w:bookmarkStart w:id="262" w:name="disintegrated-imperative"/>
      <w:r>
        <w:t xml:space="preserve">Disintegrated Imperative</w:t>
      </w:r>
      <w:bookmarkEnd w:id="262"/>
    </w:p>
    <w:p>
      <w:pPr>
        <w:pStyle w:val="FirstParagraph"/>
      </w:pPr>
      <w:r>
        <w:t xml:space="preserve">I would like to analyze the inoperativity of the music in relation to the dynamics of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Heading5"/>
      </w:pPr>
      <w:bookmarkStart w:id="263" w:name="blind-experimentation"/>
      <w:r>
        <w:t xml:space="preserve">Blind Experimentation</w:t>
      </w:r>
      <w:bookmarkEnd w:id="263"/>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w:t>
      </w:r>
    </w:p>
    <w:p>
      <w:pPr>
        <w:pStyle w:val="Heading5"/>
      </w:pPr>
      <w:bookmarkStart w:id="264" w:name="doctoring-the-glitch"/>
      <w:r>
        <w:t xml:space="preserve">Doctoring the Glitch</w:t>
      </w:r>
      <w:bookmarkEnd w:id="264"/>
    </w:p>
    <w:p>
      <w:pPr>
        <w:pStyle w:val="FirstParagraph"/>
      </w:pPr>
      <w:r>
        <w:t xml:space="preserve">It must be noted that his inclination towards bringing academic knowledge to the academy of the Internet refers not only to computer music software. Professors, generally of computer music techniques, in several universities across the USA have been openly uploading class materials, patches, softwares, and many other highly useful technical information; not to mention the free online publishing of conference proceedings that have spawned in the last 20 years. Cascone’s rendering of this educational turn can be understood with an authoritative and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Heading5"/>
      </w:pPr>
      <w:bookmarkStart w:id="265" w:name="unnecessary-blindfolds"/>
      <w:r>
        <w:t xml:space="preserve">Unnecessary Blindfolds</w:t>
      </w:r>
      <w:bookmarkEnd w:id="265"/>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in the work itself. The success, if any, exists within the composer, and as such, it does so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Heading5"/>
      </w:pPr>
      <w:bookmarkStart w:id="266" w:name="spectral-remains"/>
      <w:r>
        <w:t xml:space="preserve">Spectral Remains</w:t>
      </w:r>
      <w:bookmarkEnd w:id="266"/>
    </w:p>
    <w:p>
      <w:pPr>
        <w:pStyle w:val="FirstParagraph"/>
      </w:pPr>
      <w:r>
        <w:t xml:space="preserve">The unwork cannot behave like a force, but it can be considered the spectral remains of a force. In this sense, if there is an illusion of a force, it must appear as wreckage, an after dream, a mirror that shows us our skin of the past, the ruins of an empire, or the humidity creeping through the cracks of an old house. However, and this is a big however, these allusions to vessels, to the psyche, to architecture, and to the presence of the past altogether, must be addressed with the same strength as one would address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resonance. Our very own listening to ourselves listening. The moment where we realize it is our own self that is returning to us. This is our resistance.</w:t>
      </w:r>
    </w:p>
    <w:p>
      <w:pPr>
        <w:pStyle w:val="Heading5"/>
      </w:pPr>
      <w:bookmarkStart w:id="267" w:name="macroforma"/>
      <w:r>
        <w:t xml:space="preserve">Macroforma</w:t>
      </w:r>
      <w:bookmarkEnd w:id="267"/>
    </w:p>
    <w:p>
      <w:pPr>
        <w:pStyle w:val="FirstParagraph"/>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w:t>
      </w:r>
      <w:r>
        <w:t xml:space="preserve"> </w:t>
      </w:r>
      <w:r>
        <w:rPr>
          <w:rStyle w:val="VerbatimChar"/>
        </w:rPr>
        <w:t xml:space="preserve">macro</w:t>
      </w:r>
      <w:r>
        <w:t xml:space="preserve"> </w:t>
      </w:r>
      <w:r>
        <w:t xml:space="preserve">that has a political agency in the shaping of singularities. In order to to provide some insight into the difficulties that arise from this conceptualization of the unwork, I would like to brin again Vaggione. When he writes of the shaping of singularities, he refers to the arbitrariness of the composer. However, he intentionally maintains formal coherence by extending the singularity of a grain (conceptually) to the singularity of a work. Therefore, in expanding this singularity he is ultimately arriving at a very unique and delimited shape that is the work.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w:t>
      </w:r>
      <w:r>
        <w:t xml:space="preserve"> </w:t>
      </w:r>
      <w:r>
        <w:rPr>
          <w:i/>
        </w:rPr>
        <w:t xml:space="preserve">is</w:t>
      </w:r>
      <w:r>
        <w:t xml:space="preserve"> </w:t>
      </w:r>
      <w:r>
        <w:t xml:space="preserve">singularly,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w:t>
      </w:r>
    </w:p>
    <w:p>
      <w:pPr>
        <w:pStyle w:val="Heading5"/>
      </w:pPr>
      <w:bookmarkStart w:id="268" w:name="overfitting"/>
      <w:r>
        <w:t xml:space="preserve">Overfitting</w:t>
      </w:r>
      <w:bookmarkEnd w:id="268"/>
    </w:p>
    <w:p>
      <w:pPr>
        <w:pStyle w:val="FirstParagraph"/>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accumulated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 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269" w:name="worker"/>
      <w:r>
        <w:t xml:space="preserve">[Wip] Work In Progress</w:t>
      </w:r>
      <w:bookmarkEnd w:id="269"/>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270" w:name="chapter:Conclusion"/>
      <w:r>
        <w:t xml:space="preserve">Conclusion</w:t>
      </w:r>
      <w:bookmarkEnd w:id="270"/>
    </w:p>
    <w:p>
      <w:pPr>
        <w:pStyle w:val="FirstParagraph"/>
      </w:pPr>
      <w:r>
        <w:t xml:space="preserve">… placeholder for conclusion abstract …</w:t>
      </w:r>
    </w:p>
    <w:p>
      <w:pPr>
        <w:pStyle w:val="Heading1"/>
      </w:pPr>
      <w:bookmarkStart w:id="271" w:name="chapter:Appendices"/>
      <w:r>
        <w:t xml:space="preserve">Appendices</w:t>
      </w:r>
      <w:bookmarkEnd w:id="271"/>
    </w:p>
    <w:p>
      <w:pPr>
        <w:pStyle w:val="FirstParagraph"/>
      </w:pPr>
      <w:r>
        <w:t xml:space="preserve">abstract of appendices</w:t>
      </w:r>
    </w:p>
    <w:p>
      <w:pPr>
        <w:pStyle w:val="Heading2"/>
      </w:pPr>
      <w:bookmarkStart w:id="272" w:name="X9928d5a4298d9156e673c83842d96a99bfb66d7"/>
      <w:r>
        <w:t xml:space="preserve">DIANA: Database for Image and Audio Navigation</w:t>
      </w:r>
      <w:bookmarkEnd w:id="272"/>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273" w:name="dbmodel"/>
      <w:r>
        <w:t xml:space="preserve">A Database Model</w:t>
      </w:r>
      <w:bookmarkEnd w:id="273"/>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274" w:name="X7616598f194c52ee6f4c09f01c755a7090177ba"/>
      <w:r>
        <w:t xml:space="preserve">ABBY: An Online Environment for Annotated Bibliographies</w:t>
      </w:r>
      <w:bookmarkEnd w:id="274"/>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275" w:name="texdb"/>
      <w:r>
        <w:t xml:space="preserve">A Text Database</w:t>
      </w:r>
      <w:bookmarkEnd w:id="275"/>
    </w:p>
    <w:p>
      <w:pPr>
        <w:pStyle w:val="FirstParagraph"/>
      </w:pPr>
      <w:r>
        <w:t xml:space="preserve">A detailed description of the text database model…</w:t>
      </w:r>
    </w:p>
    <w:bookmarkStart w:id="585" w:name="refs"/>
    <w:bookmarkStart w:id="276"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276"/>
    <w:bookmarkStart w:id="277"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277"/>
    <w:bookmarkStart w:id="278"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278"/>
    <w:bookmarkStart w:id="279"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279"/>
    <w:bookmarkStart w:id="280"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280"/>
    <w:bookmarkStart w:id="282"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281">
        <w:r>
          <w:rPr>
            <w:rStyle w:val="Hyperlink"/>
          </w:rPr>
          <w:t xml:space="preserve">http://www.terasoft.com.tw/conf/ismir2014/proceedings/T014_162_Paper.pdf</w:t>
        </w:r>
      </w:hyperlink>
    </w:p>
    <w:bookmarkEnd w:id="282"/>
    <w:bookmarkStart w:id="283"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283"/>
    <w:bookmarkStart w:id="284"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284"/>
    <w:bookmarkStart w:id="285"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285"/>
    <w:bookmarkStart w:id="286"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286"/>
    <w:bookmarkStart w:id="287" w:name="ref-DBLP:conf/icmc/AssayagDD99"/>
    <w:p>
      <w:pPr>
        <w:pStyle w:val="Bibliography"/>
      </w:pPr>
      <w:r>
        <w:t xml:space="preserve">Assayag G, Dubnov S, Delerue O. 1999. Guessing the composer’s mind: Applying universal prediction to musical style.</w:t>
      </w:r>
      <w:r>
        <w:t xml:space="preserve"> </w:t>
      </w:r>
      <w:r>
        <w:rPr>
          <w:i/>
        </w:rPr>
        <w:t xml:space="preserve">Proceedings of the 1999 International Computer Music Conference, ICMC 1999, Beijing, China, October 22-27, 1999</w:t>
      </w:r>
      <w:r>
        <w:t xml:space="preserve">. Michigan Publishing</w:t>
      </w:r>
    </w:p>
    <w:bookmarkEnd w:id="287"/>
    <w:bookmarkStart w:id="288"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288"/>
    <w:bookmarkStart w:id="289"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289"/>
    <w:bookmarkStart w:id="290"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290"/>
    <w:bookmarkStart w:id="291"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291"/>
    <w:bookmarkStart w:id="292"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292"/>
    <w:bookmarkStart w:id="293" w:name="ref-Bar68:Ele"/>
    <w:p>
      <w:pPr>
        <w:pStyle w:val="Bibliography"/>
      </w:pPr>
      <w:r>
        <w:t xml:space="preserve">Barthes R, Lavers A, Smith C. 1968.</w:t>
      </w:r>
      <w:r>
        <w:t xml:space="preserve"> </w:t>
      </w:r>
      <w:r>
        <w:rPr>
          <w:i/>
        </w:rPr>
        <w:t xml:space="preserve">Elements of Semiology</w:t>
      </w:r>
      <w:r>
        <w:t xml:space="preserve">. Hill; Wang, New York. ed.</w:t>
      </w:r>
    </w:p>
    <w:bookmarkEnd w:id="293"/>
    <w:bookmarkStart w:id="294" w:name="ref-Bei09:Aes"/>
    <w:p>
      <w:pPr>
        <w:pStyle w:val="Bibliography"/>
      </w:pPr>
      <w:r>
        <w:t xml:space="preserve">Beilharz K, Ferguson S. 2009. Aesthetic sonification toolkit for real-time interaction with data.</w:t>
      </w:r>
      <w:r>
        <w:t xml:space="preserve"> </w:t>
      </w:r>
      <w:r>
        <w:rPr>
          <w:i/>
        </w:rPr>
        <w:t xml:space="preserve">HICAH</w:t>
      </w:r>
      <w:r>
        <w:t xml:space="preserve">, pp. 401–8</w:t>
      </w:r>
    </w:p>
    <w:bookmarkEnd w:id="294"/>
    <w:bookmarkStart w:id="295"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295"/>
    <w:bookmarkStart w:id="296"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296"/>
    <w:bookmarkStart w:id="298"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297">
        <w:r>
          <w:rPr>
            <w:rStyle w:val="Hyperlink"/>
          </w:rPr>
          <w:t xml:space="preserve">http://www.terasoft.com.tw/conf/ismir2014/proceedings/T028_322_Paper.pdf</w:t>
        </w:r>
      </w:hyperlink>
    </w:p>
    <w:bookmarkEnd w:id="298"/>
    <w:bookmarkStart w:id="299" w:name="ref-DBLP:conf/icmc/BlochD08"/>
    <w:p>
      <w:pPr>
        <w:pStyle w:val="Bibliography"/>
      </w:pPr>
      <w:r>
        <w:t xml:space="preserve">Bloch G, Dubnov S. 2008. Introducing video features and spectral descriptors in the omax improvisation system.</w:t>
      </w:r>
      <w:r>
        <w:t xml:space="preserve"> </w:t>
      </w:r>
      <w:r>
        <w:rPr>
          <w:i/>
        </w:rPr>
        <w:t xml:space="preserve">Proceedings of the 2008 International Computer Music Conference, ICMC 2008, Belfast, Ireland, August 24-29, 2008</w:t>
      </w:r>
      <w:r>
        <w:t xml:space="preserve">. Michigan Publishing</w:t>
      </w:r>
    </w:p>
    <w:bookmarkEnd w:id="299"/>
    <w:bookmarkStart w:id="300" w:name="ref-Bor42:Fun"/>
    <w:p>
      <w:pPr>
        <w:pStyle w:val="Bibliography"/>
      </w:pPr>
      <w:r>
        <w:t xml:space="preserve">Borges JL. 1942. Funes el memorioso.</w:t>
      </w:r>
      <w:r>
        <w:t xml:space="preserve"> </w:t>
      </w:r>
      <w:r>
        <w:rPr>
          <w:i/>
        </w:rPr>
        <w:t xml:space="preserve">Ficciones</w:t>
      </w:r>
    </w:p>
    <w:bookmarkEnd w:id="300"/>
    <w:bookmarkStart w:id="301" w:name="ref-Bor95:Rat"/>
    <w:p>
      <w:pPr>
        <w:pStyle w:val="Bibliography"/>
      </w:pPr>
      <w:r>
        <w:t xml:space="preserve">Born G. 1995.</w:t>
      </w:r>
      <w:r>
        <w:t xml:space="preserve"> </w:t>
      </w:r>
      <w:r>
        <w:rPr>
          <w:i/>
        </w:rPr>
        <w:t xml:space="preserve">Rationalizing Culture</w:t>
      </w:r>
      <w:r>
        <w:t xml:space="preserve">. University of California Press. ed.</w:t>
      </w:r>
    </w:p>
    <w:bookmarkEnd w:id="301"/>
    <w:bookmarkStart w:id="302"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302"/>
    <w:bookmarkStart w:id="303"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303"/>
    <w:bookmarkStart w:id="304"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304"/>
    <w:bookmarkStart w:id="305"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305"/>
    <w:bookmarkStart w:id="306"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306"/>
    <w:bookmarkStart w:id="307"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307"/>
    <w:bookmarkStart w:id="308"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308"/>
    <w:bookmarkStart w:id="309" w:name="ref-score11manual"/>
    <w:p>
      <w:pPr>
        <w:pStyle w:val="Bibliography"/>
      </w:pPr>
      <w:r>
        <w:t xml:space="preserve">Brinkman AR. 1982. Original version of the score11 manual.</w:t>
      </w:r>
      <w:r>
        <w:t xml:space="preserve"> </w:t>
      </w:r>
      <w:r>
        <w:rPr>
          <w:i/>
        </w:rPr>
        <w:t xml:space="preserve">Score11 Manual</w:t>
      </w:r>
    </w:p>
    <w:bookmarkEnd w:id="309"/>
    <w:bookmarkStart w:id="310"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310"/>
    <w:bookmarkStart w:id="311"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311"/>
    <w:bookmarkStart w:id="312" w:name="X4cde67b28e5e010615258975366e3c166bce92d"/>
    <w:p>
      <w:pPr>
        <w:pStyle w:val="Bibliography"/>
      </w:pPr>
      <w:r>
        <w:t xml:space="preserve">Brzezinski-Spiczak M, Dobosz K, Lis M, Pintal M. 2013. Music files search system.</w:t>
      </w:r>
      <w:r>
        <w:t xml:space="preserve"> </w:t>
      </w:r>
      <w:r>
        <w:rPr>
          <w:i/>
        </w:rPr>
        <w:t xml:space="preserve">CoRR</w:t>
      </w:r>
      <w:r>
        <w:t xml:space="preserve">. abs/1309.4345:</w:t>
      </w:r>
    </w:p>
    <w:bookmarkEnd w:id="312"/>
    <w:bookmarkStart w:id="314"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313">
        <w:r>
          <w:rPr>
            <w:rStyle w:val="Hyperlink"/>
          </w:rPr>
          <w:t xml:space="preserve">http://www.nime.org/proceedings/2011/nime2011_387.pdf</w:t>
        </w:r>
      </w:hyperlink>
    </w:p>
    <w:bookmarkEnd w:id="314"/>
    <w:bookmarkStart w:id="316"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315">
        <w:r>
          <w:rPr>
            <w:rStyle w:val="Hyperlink"/>
          </w:rPr>
          <w:t xml:space="preserve">http://www.nime.org/proceedings/2009/nime2009_266.pdf</w:t>
        </w:r>
      </w:hyperlink>
    </w:p>
    <w:bookmarkEnd w:id="316"/>
    <w:bookmarkStart w:id="317"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317"/>
    <w:bookmarkStart w:id="318"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318"/>
    <w:bookmarkStart w:id="319"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319"/>
    <w:bookmarkStart w:id="320" w:name="ref-Bux77:Aco"/>
    <w:p>
      <w:pPr>
        <w:pStyle w:val="Bibliography"/>
      </w:pPr>
      <w:r>
        <w:t xml:space="preserve">Buxton W. 1977. A composer’s introduction to computer music.</w:t>
      </w:r>
      <w:r>
        <w:t xml:space="preserve"> </w:t>
      </w:r>
      <w:r>
        <w:rPr>
          <w:i/>
        </w:rPr>
        <w:t xml:space="preserve">Interface</w:t>
      </w:r>
      <w:r>
        <w:t xml:space="preserve">. 6:57–72</w:t>
      </w:r>
    </w:p>
    <w:bookmarkEnd w:id="320"/>
    <w:bookmarkStart w:id="321" w:name="ref-youtube/buxton10"/>
    <w:p>
      <w:pPr>
        <w:pStyle w:val="Bibliography"/>
      </w:pPr>
      <w:r>
        <w:t xml:space="preserve">Buxton W. 2016a. Objed: The sssp sound editing tool.</w:t>
      </w:r>
      <w:r>
        <w:t xml:space="preserve"> </w:t>
      </w:r>
      <w:r>
        <w:rPr>
          <w:i/>
        </w:rPr>
        <w:t xml:space="preserve">Youtube</w:t>
      </w:r>
    </w:p>
    <w:bookmarkEnd w:id="321"/>
    <w:bookmarkStart w:id="322"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322"/>
    <w:bookmarkStart w:id="323"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323"/>
    <w:bookmarkStart w:id="324"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324"/>
    <w:bookmarkStart w:id="325"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325"/>
    <w:bookmarkStart w:id="327"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326">
        <w:r>
          <w:rPr>
            <w:rStyle w:val="Hyperlink"/>
          </w:rPr>
          <w:t xml:space="preserve">http://www.nime.org/proceedings/2011/nime2011_329.pdf</w:t>
        </w:r>
      </w:hyperlink>
    </w:p>
    <w:bookmarkEnd w:id="327"/>
    <w:bookmarkStart w:id="328"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328"/>
    <w:bookmarkStart w:id="329"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329"/>
    <w:bookmarkStart w:id="330"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330"/>
    <w:bookmarkStart w:id="331"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331"/>
    <w:bookmarkStart w:id="332"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332"/>
    <w:bookmarkStart w:id="333"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333"/>
    <w:bookmarkStart w:id="334"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334"/>
    <w:bookmarkStart w:id="335"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335"/>
    <w:bookmarkStart w:id="336"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336"/>
    <w:bookmarkStart w:id="337"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337"/>
    <w:bookmarkStart w:id="338"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338"/>
    <w:bookmarkStart w:id="339"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339"/>
    <w:bookmarkStart w:id="340"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340"/>
    <w:bookmarkStart w:id="341"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341"/>
    <w:bookmarkStart w:id="342"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342"/>
    <w:bookmarkStart w:id="343"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343"/>
    <w:bookmarkStart w:id="344" w:name="ref-connes:shapes"/>
    <w:p>
      <w:pPr>
        <w:pStyle w:val="Bibliography"/>
      </w:pPr>
      <w:r>
        <w:t xml:space="preserve">Connes A. 2012. The music of shapes</w:t>
      </w:r>
    </w:p>
    <w:bookmarkEnd w:id="344"/>
    <w:bookmarkStart w:id="345" w:name="ref-DBLP:conf/icmc/Cope87"/>
    <w:p>
      <w:pPr>
        <w:pStyle w:val="Bibliography"/>
      </w:pPr>
      <w:r>
        <w:t xml:space="preserve">Cope D. 1987a. Experiments in music intelligence (EMI).</w:t>
      </w:r>
      <w:r>
        <w:t xml:space="preserve"> </w:t>
      </w:r>
      <w:r>
        <w:rPr>
          <w:i/>
        </w:rPr>
        <w:t xml:space="preserve">ICMC</w:t>
      </w:r>
      <w:r>
        <w:t xml:space="preserve">. Michigan Publishing</w:t>
      </w:r>
    </w:p>
    <w:bookmarkEnd w:id="345"/>
    <w:bookmarkStart w:id="346" w:name="ref-Cop87:AnE"/>
    <w:p>
      <w:pPr>
        <w:pStyle w:val="Bibliography"/>
      </w:pPr>
      <w:r>
        <w:t xml:space="preserve">Cope D. 1987b. An expert system for computer-assisted composition.</w:t>
      </w:r>
      <w:r>
        <w:t xml:space="preserve"> </w:t>
      </w:r>
      <w:r>
        <w:rPr>
          <w:i/>
        </w:rPr>
        <w:t xml:space="preserve">Computer Music Journal</w:t>
      </w:r>
      <w:r>
        <w:t xml:space="preserve">. 11(4):30–46</w:t>
      </w:r>
    </w:p>
    <w:bookmarkEnd w:id="346"/>
    <w:bookmarkStart w:id="347" w:name="ref-2010NJPh:12e3030C"/>
    <w:p>
      <w:pPr>
        <w:pStyle w:val="Bibliography"/>
      </w:pPr>
      <w:r>
        <w:t xml:space="preserve">Correa DC, Saito JH, Costa L da F. 2010. Musical genres: beating to the rhythms of different drums.</w:t>
      </w:r>
      <w:r>
        <w:t xml:space="preserve"> </w:t>
      </w:r>
      <w:r>
        <w:rPr>
          <w:i/>
        </w:rPr>
        <w:t xml:space="preserve">New Journal of Physics</w:t>
      </w:r>
      <w:r>
        <w:t xml:space="preserve">. 12:053030</w:t>
      </w:r>
    </w:p>
    <w:bookmarkEnd w:id="347"/>
    <w:bookmarkStart w:id="349"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348">
        <w:r>
          <w:rPr>
            <w:rStyle w:val="Hyperlink"/>
          </w:rPr>
          <w:t xml:space="preserve">https://ismir2017.smcnus.org/wp-content/uploads/2017/10/235_Paper.pdf</w:t>
        </w:r>
      </w:hyperlink>
    </w:p>
    <w:bookmarkEnd w:id="349"/>
    <w:bookmarkStart w:id="351" w:name="ref-crowley98"/>
    <w:p>
      <w:pPr>
        <w:pStyle w:val="Bibliography"/>
      </w:pPr>
      <w:r>
        <w:t xml:space="preserve">Crowley C. 1998. Data structures for text sequences.</w:t>
      </w:r>
      <w:r>
        <w:t xml:space="preserve"> </w:t>
      </w:r>
      <w:hyperlink r:id="rId350">
        <w:r>
          <w:rPr>
            <w:rStyle w:val="Hyperlink"/>
          </w:rPr>
          <w:t xml:space="preserve">https://www.cs.unm.edu/~crowley/papers/sds.pdf</w:t>
        </w:r>
      </w:hyperlink>
    </w:p>
    <w:bookmarkEnd w:id="351"/>
    <w:bookmarkStart w:id="352"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352"/>
    <w:bookmarkStart w:id="354"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353">
        <w:r>
          <w:rPr>
            <w:rStyle w:val="Hyperlink"/>
          </w:rPr>
          <w:t xml:space="preserve">https://ismir2017.smcnus.org/wp-content/uploads/2017/10/75_Paper.pdf</w:t>
        </w:r>
      </w:hyperlink>
    </w:p>
    <w:bookmarkEnd w:id="354"/>
    <w:bookmarkStart w:id="355" w:name="ref-DBLP:journals/corr/abs-1803-04652"/>
    <w:p>
      <w:pPr>
        <w:pStyle w:val="Bibliography"/>
      </w:pPr>
      <w:r>
        <w:t xml:space="preserve">Dehkordi MB, Banitalebi-Dehkordi A. 2018. Music genre classification using spectral analysis and sparse representation of the signals.</w:t>
      </w:r>
      <w:r>
        <w:t xml:space="preserve"> </w:t>
      </w:r>
      <w:r>
        <w:rPr>
          <w:i/>
        </w:rPr>
        <w:t xml:space="preserve">CoRR</w:t>
      </w:r>
      <w:r>
        <w:t xml:space="preserve">. abs/1803.04652:</w:t>
      </w:r>
    </w:p>
    <w:bookmarkEnd w:id="355"/>
    <w:bookmarkStart w:id="356" w:name="ref-DBLP:journals/corr/abs-1809-07276"/>
    <w:p>
      <w:pPr>
        <w:pStyle w:val="Bibliography"/>
      </w:pPr>
      <w:r>
        <w:t xml:space="preserve">Delbouys R, Hennequin R, Piccoli F, Royo-Letelier J, Moussallam M. 2018. Music mood detection based on audio and lyrics with deep neural net.</w:t>
      </w:r>
      <w:r>
        <w:t xml:space="preserve"> </w:t>
      </w:r>
      <w:r>
        <w:rPr>
          <w:i/>
        </w:rPr>
        <w:t xml:space="preserve">CoRR</w:t>
      </w:r>
      <w:r>
        <w:t xml:space="preserve">. abs/1809.07276:</w:t>
      </w:r>
    </w:p>
    <w:bookmarkEnd w:id="356"/>
    <w:bookmarkStart w:id="357"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357"/>
    <w:bookmarkStart w:id="358" w:name="ref-Der78:Wri"/>
    <w:p>
      <w:pPr>
        <w:pStyle w:val="Bibliography"/>
      </w:pPr>
      <w:r>
        <w:t xml:space="preserve">Derrida J. 1978.</w:t>
      </w:r>
      <w:r>
        <w:t xml:space="preserve"> </w:t>
      </w:r>
      <w:r>
        <w:rPr>
          <w:i/>
        </w:rPr>
        <w:t xml:space="preserve">Writing and Difference</w:t>
      </w:r>
      <w:r>
        <w:t xml:space="preserve">. The University of Chicago. ed.</w:t>
      </w:r>
    </w:p>
    <w:bookmarkEnd w:id="358"/>
    <w:bookmarkStart w:id="359" w:name="ref-Der82:Mar"/>
    <w:p>
      <w:pPr>
        <w:pStyle w:val="Bibliography"/>
      </w:pPr>
      <w:r>
        <w:t xml:space="preserve">Derrida J. 1982.</w:t>
      </w:r>
      <w:r>
        <w:t xml:space="preserve"> </w:t>
      </w:r>
      <w:r>
        <w:rPr>
          <w:i/>
        </w:rPr>
        <w:t xml:space="preserve">Margins of Philosophy</w:t>
      </w:r>
      <w:r>
        <w:t xml:space="preserve">. The Harvester Press. ed.</w:t>
      </w:r>
    </w:p>
    <w:bookmarkEnd w:id="359"/>
    <w:bookmarkStart w:id="360" w:name="ref-Der95:Arc"/>
    <w:p>
      <w:pPr>
        <w:pStyle w:val="Bibliography"/>
      </w:pPr>
      <w:r>
        <w:t xml:space="preserve">Derrida J, Prenowitz E. 1995. Archive fever: A freudian impression.</w:t>
      </w:r>
      <w:r>
        <w:t xml:space="preserve"> </w:t>
      </w:r>
      <w:r>
        <w:rPr>
          <w:i/>
        </w:rPr>
        <w:t xml:space="preserve">Diacritics</w:t>
      </w:r>
      <w:r>
        <w:t xml:space="preserve">. 25(2):</w:t>
      </w:r>
    </w:p>
    <w:bookmarkEnd w:id="360"/>
    <w:bookmarkStart w:id="362"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361">
        <w:r>
          <w:rPr>
            <w:rStyle w:val="Hyperlink"/>
          </w:rPr>
          <w:t xml:space="preserve">http://ismir2015.uma.es/articles/261_Paper.pdf</w:t>
        </w:r>
      </w:hyperlink>
    </w:p>
    <w:bookmarkEnd w:id="362"/>
    <w:bookmarkStart w:id="363"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363"/>
    <w:bookmarkStart w:id="364"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364"/>
    <w:bookmarkStart w:id="365"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365"/>
    <w:bookmarkStart w:id="366"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366"/>
    <w:bookmarkStart w:id="367" w:name="ref-DBLP:journals/corr/abs-0812-4235"/>
    <w:p>
      <w:pPr>
        <w:pStyle w:val="Bibliography"/>
      </w:pPr>
      <w:r>
        <w:t xml:space="preserve">Dinuzzo F, Pillonetto G, Nicolao GD. 2008. Client-server multi-task learning from distributed datasets.</w:t>
      </w:r>
      <w:r>
        <w:t xml:space="preserve"> </w:t>
      </w:r>
      <w:r>
        <w:rPr>
          <w:i/>
        </w:rPr>
        <w:t xml:space="preserve">CoRR</w:t>
      </w:r>
      <w:r>
        <w:t xml:space="preserve">. abs/0812.4235:</w:t>
      </w:r>
    </w:p>
    <w:bookmarkEnd w:id="367"/>
    <w:bookmarkStart w:id="369"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368">
        <w:r>
          <w:rPr>
            <w:rStyle w:val="Hyperlink"/>
          </w:rPr>
          <w:t xml:space="preserve">http://ismir2018.ircam.fr/doc/pdfs/265_Paper.pdf</w:t>
        </w:r>
      </w:hyperlink>
    </w:p>
    <w:bookmarkEnd w:id="369"/>
    <w:bookmarkStart w:id="370" w:name="ref-2018arXiv180204208D"/>
    <w:p>
      <w:pPr>
        <w:pStyle w:val="Bibliography"/>
      </w:pPr>
      <w:r>
        <w:t xml:space="preserve">Donahue C, McAuley J, Puckette M. 2018. Adversarial Audio Synthesis.</w:t>
      </w:r>
      <w:r>
        <w:t xml:space="preserve"> </w:t>
      </w:r>
      <w:r>
        <w:rPr>
          <w:i/>
        </w:rPr>
        <w:t xml:space="preserve">arXiv e-prints</w:t>
      </w:r>
      <w:r>
        <w:t xml:space="preserve">. arXiv:1802.04208</w:t>
      </w:r>
    </w:p>
    <w:bookmarkEnd w:id="370"/>
    <w:bookmarkStart w:id="372"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371">
        <w:r>
          <w:rPr>
            <w:rStyle w:val="Hyperlink"/>
          </w:rPr>
          <w:t xml:space="preserve">http://ismir2000.ismir.net/papers/invites/dunn_invite.pdf</w:t>
        </w:r>
      </w:hyperlink>
    </w:p>
    <w:bookmarkEnd w:id="372"/>
    <w:bookmarkStart w:id="373"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373"/>
    <w:bookmarkStart w:id="374"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374"/>
    <w:bookmarkStart w:id="375" w:name="ref-Eco04:The"/>
    <w:p>
      <w:pPr>
        <w:pStyle w:val="Bibliography"/>
      </w:pPr>
      <w:r>
        <w:t xml:space="preserve">Eco U. 2004. The poetics of the open work.</w:t>
      </w:r>
      <w:r>
        <w:t xml:space="preserve"> </w:t>
      </w:r>
      <w:r>
        <w:rPr>
          <w:i/>
        </w:rPr>
        <w:t xml:space="preserve">Audio Culture: Readings in Modern Music</w:t>
      </w:r>
    </w:p>
    <w:bookmarkEnd w:id="375"/>
    <w:bookmarkStart w:id="376" w:name="ref-Emm86:The"/>
    <w:p>
      <w:pPr>
        <w:pStyle w:val="Bibliography"/>
      </w:pPr>
      <w:r>
        <w:t xml:space="preserve">Emmerson S. 1986.</w:t>
      </w:r>
      <w:r>
        <w:t xml:space="preserve"> </w:t>
      </w:r>
      <w:r>
        <w:rPr>
          <w:i/>
        </w:rPr>
        <w:t xml:space="preserve">The Language of Electroacoustic Music</w:t>
      </w:r>
      <w:r>
        <w:t xml:space="preserve">. ed.</w:t>
      </w:r>
    </w:p>
    <w:bookmarkEnd w:id="376"/>
    <w:bookmarkStart w:id="378"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377">
        <w:r>
          <w:rPr>
            <w:rStyle w:val="Hyperlink"/>
          </w:rPr>
          <w:t xml:space="preserve">http://ismir2018.ircam.fr/doc/pdfs/206_Paper.pdf</w:t>
        </w:r>
      </w:hyperlink>
    </w:p>
    <w:bookmarkEnd w:id="378"/>
    <w:bookmarkStart w:id="379"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379"/>
    <w:bookmarkStart w:id="380" w:name="ref-Ern13:Dig"/>
    <w:p>
      <w:pPr>
        <w:pStyle w:val="Bibliography"/>
      </w:pPr>
      <w:r>
        <w:t xml:space="preserve">Ernst W. 2013.</w:t>
      </w:r>
      <w:r>
        <w:t xml:space="preserve"> </w:t>
      </w:r>
      <w:r>
        <w:rPr>
          <w:i/>
        </w:rPr>
        <w:t xml:space="preserve">Digital Memory and the Archive</w:t>
      </w:r>
      <w:r>
        <w:t xml:space="preserve">. University of Minnesota Press. ed.</w:t>
      </w:r>
    </w:p>
    <w:bookmarkEnd w:id="380"/>
    <w:bookmarkStart w:id="381"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381"/>
    <w:bookmarkStart w:id="382"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382"/>
    <w:bookmarkStart w:id="384"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383">
        <w:r>
          <w:rPr>
            <w:rStyle w:val="Hyperlink"/>
          </w:rPr>
          <w:t xml:space="preserve">https://ismir2017.smcnus.org/wp-content/uploads/2017/10/161_Paper.pdf</w:t>
        </w:r>
      </w:hyperlink>
    </w:p>
    <w:bookmarkEnd w:id="384"/>
    <w:bookmarkStart w:id="385"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385"/>
    <w:bookmarkStart w:id="386"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386"/>
    <w:bookmarkStart w:id="387"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387"/>
    <w:bookmarkStart w:id="388"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388"/>
    <w:bookmarkStart w:id="389" w:name="ref-Fri17:Son"/>
    <w:p>
      <w:pPr>
        <w:pStyle w:val="Bibliography"/>
      </w:pPr>
      <w:r>
        <w:t xml:space="preserve">Frid E. 2017. Sonification of women in sound and music computing - the sound of female authorship in icmc, smc and nime proceedings.</w:t>
      </w:r>
      <w:r>
        <w:t xml:space="preserve"> </w:t>
      </w:r>
      <w:r>
        <w:rPr>
          <w:i/>
        </w:rPr>
        <w:t xml:space="preserve">ICMC</w:t>
      </w:r>
      <w:r>
        <w:t xml:space="preserve">, pp. 233–38. Michigan Publishing</w:t>
      </w:r>
    </w:p>
    <w:bookmarkEnd w:id="389"/>
    <w:bookmarkStart w:id="390"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390"/>
    <w:bookmarkStart w:id="392"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391">
        <w:r>
          <w:rPr>
            <w:rStyle w:val="Hyperlink"/>
          </w:rPr>
          <w:t xml:space="preserve">http://www.nime.org/proceedings/2010/nime2010_473.pdf</w:t>
        </w:r>
      </w:hyperlink>
    </w:p>
    <w:bookmarkEnd w:id="392"/>
    <w:bookmarkStart w:id="394"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393">
        <w:r>
          <w:rPr>
            <w:rStyle w:val="Hyperlink"/>
          </w:rPr>
          <w:t xml:space="preserve">http://www.nime.org/proceedings/2011/nime2011_124.pdf</w:t>
        </w:r>
      </w:hyperlink>
    </w:p>
    <w:bookmarkEnd w:id="394"/>
    <w:bookmarkStart w:id="395"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395"/>
    <w:bookmarkStart w:id="397"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396">
        <w:r>
          <w:rPr>
            <w:rStyle w:val="Hyperlink"/>
          </w:rPr>
          <w:t xml:space="preserve">http://ismir2000.ismir.net/posters/good.pdf</w:t>
        </w:r>
      </w:hyperlink>
    </w:p>
    <w:bookmarkEnd w:id="397"/>
    <w:bookmarkStart w:id="399"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398">
        <w:r>
          <w:rPr>
            <w:rStyle w:val="Hyperlink"/>
          </w:rPr>
          <w:t xml:space="preserve">http://ismir2002.ismir.net/proceedings/03-SP04-1.pdf</w:t>
        </w:r>
      </w:hyperlink>
    </w:p>
    <w:bookmarkEnd w:id="399"/>
    <w:bookmarkStart w:id="401"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400">
        <w:r>
          <w:rPr>
            <w:rStyle w:val="Hyperlink"/>
          </w:rPr>
          <w:t xml:space="preserve">http://ismir2003.ismir.net/papers/Goto1.PDF</w:t>
        </w:r>
      </w:hyperlink>
    </w:p>
    <w:bookmarkEnd w:id="401"/>
    <w:bookmarkStart w:id="402" w:name="ref-Gra15:The"/>
    <w:p>
      <w:pPr>
        <w:pStyle w:val="Bibliography"/>
      </w:pPr>
      <w:r>
        <w:t xml:space="preserve">Gratton P, Morin M-E. 2015.</w:t>
      </w:r>
      <w:r>
        <w:t xml:space="preserve"> </w:t>
      </w:r>
      <w:r>
        <w:rPr>
          <w:i/>
        </w:rPr>
        <w:t xml:space="preserve">The Nancy Dictionary</w:t>
      </w:r>
      <w:r>
        <w:t xml:space="preserve">. Edinburgh University Press. ed.</w:t>
      </w:r>
    </w:p>
    <w:bookmarkEnd w:id="402"/>
    <w:bookmarkStart w:id="404"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403">
        <w:r>
          <w:rPr>
            <w:rStyle w:val="Hyperlink"/>
          </w:rPr>
          <w:t xml:space="preserve">http://www.terasoft.com.tw/conf/ismir2014/proceedings/T059_257_Paper.pdf</w:t>
        </w:r>
      </w:hyperlink>
    </w:p>
    <w:bookmarkEnd w:id="404"/>
    <w:bookmarkStart w:id="405"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405"/>
    <w:bookmarkStart w:id="406"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406"/>
    <w:bookmarkStart w:id="407" w:name="ref-Han04:New"/>
    <w:p>
      <w:pPr>
        <w:pStyle w:val="Bibliography"/>
      </w:pPr>
      <w:r>
        <w:t xml:space="preserve">Hansen MBN. 2004.</w:t>
      </w:r>
      <w:r>
        <w:t xml:space="preserve"> </w:t>
      </w:r>
      <w:r>
        <w:rPr>
          <w:i/>
        </w:rPr>
        <w:t xml:space="preserve">New Philosophy for New Media</w:t>
      </w:r>
      <w:r>
        <w:t xml:space="preserve">. The MIT Press. ed.</w:t>
      </w:r>
    </w:p>
    <w:bookmarkEnd w:id="407"/>
    <w:bookmarkStart w:id="409"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408">
        <w:r>
          <w:rPr>
            <w:rStyle w:val="Hyperlink"/>
          </w:rPr>
          <w:t xml:space="preserve">http://ismir2008.ismir.net/papers/ISMIR2008_173.pdf</w:t>
        </w:r>
      </w:hyperlink>
    </w:p>
    <w:bookmarkEnd w:id="409"/>
    <w:bookmarkStart w:id="411"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410">
        <w:r>
          <w:rPr>
            <w:rStyle w:val="Hyperlink"/>
          </w:rPr>
          <w:t xml:space="preserve">http://www.ppgia.pucpr.br/ismir2013/wp-content/uploads/2013/09/85_Paper.pdf</w:t>
        </w:r>
      </w:hyperlink>
    </w:p>
    <w:bookmarkEnd w:id="411"/>
    <w:bookmarkStart w:id="412" w:name="ref-Hay93:The"/>
    <w:p>
      <w:pPr>
        <w:pStyle w:val="Bibliography"/>
      </w:pPr>
      <w:r>
        <w:t xml:space="preserve">Hayles NK. 1993. The materiality of informatics.</w:t>
      </w:r>
      <w:r>
        <w:t xml:space="preserve"> </w:t>
      </w:r>
      <w:r>
        <w:rPr>
          <w:i/>
        </w:rPr>
        <w:t xml:space="preserve">Configurations</w:t>
      </w:r>
      <w:r>
        <w:t xml:space="preserve">. 1(1):</w:t>
      </w:r>
    </w:p>
    <w:bookmarkEnd w:id="412"/>
    <w:bookmarkStart w:id="413"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413"/>
    <w:bookmarkStart w:id="414" w:name="ref-Her14:Aso"/>
    <w:p>
      <w:pPr>
        <w:pStyle w:val="Bibliography"/>
      </w:pPr>
      <w:r>
        <w:t xml:space="preserve">Hildebrandt T, Hermann T, Rinderle-Ma S. 2014. A Sonification System for Process Monitoring as Secondary Task.</w:t>
      </w:r>
      <w:r>
        <w:t xml:space="preserve"> </w:t>
      </w:r>
      <w:r>
        <w:rPr>
          <w:i/>
        </w:rPr>
        <w:t xml:space="preserve">Proceedings of the 5th Ieee Conference on Cognitive Infocommunication (Coginfocom 2014)</w:t>
      </w:r>
      <w:r>
        <w:t xml:space="preserve">, pp. 191–96. Vietri sul Mare, Italy: IEEE</w:t>
      </w:r>
    </w:p>
    <w:bookmarkEnd w:id="414"/>
    <w:bookmarkStart w:id="415" w:name="ref-Hil59:Exp"/>
    <w:p>
      <w:pPr>
        <w:pStyle w:val="Bibliography"/>
      </w:pPr>
      <w:r>
        <w:t xml:space="preserve">Hiller LA, Isaacson LM. 1959.</w:t>
      </w:r>
      <w:r>
        <w:t xml:space="preserve"> </w:t>
      </w:r>
      <w:r>
        <w:rPr>
          <w:i/>
        </w:rPr>
        <w:t xml:space="preserve">Experimental Music: Composition with an Electronic Computer</w:t>
      </w:r>
      <w:r>
        <w:t xml:space="preserve">. McGraw-Hill Book Company, Inc. ed.</w:t>
      </w:r>
    </w:p>
    <w:bookmarkEnd w:id="415"/>
    <w:bookmarkStart w:id="417"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416">
        <w:r>
          <w:rPr>
            <w:rStyle w:val="Hyperlink"/>
          </w:rPr>
          <w:t xml:space="preserve">http://www.nime.org/proceedings/2010/nime2010_233.pdf</w:t>
        </w:r>
      </w:hyperlink>
    </w:p>
    <w:bookmarkEnd w:id="417"/>
    <w:bookmarkStart w:id="419"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418">
        <w:r>
          <w:rPr>
            <w:rStyle w:val="Hyperlink"/>
          </w:rPr>
          <w:t xml:space="preserve">http://ismir2005.ismir.net/proceedings/2117.pdf</w:t>
        </w:r>
      </w:hyperlink>
    </w:p>
    <w:bookmarkEnd w:id="419"/>
    <w:bookmarkStart w:id="421"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420">
        <w:r>
          <w:rPr>
            <w:rStyle w:val="Hyperlink"/>
          </w:rPr>
          <w:t xml:space="preserve">http://ismir2018.ircam.fr/doc/pdfs/248_Paper.pdf</w:t>
        </w:r>
      </w:hyperlink>
    </w:p>
    <w:bookmarkEnd w:id="421"/>
    <w:bookmarkStart w:id="422" w:name="ref-Mau99:Abr"/>
    <w:p>
      <w:pPr>
        <w:pStyle w:val="Bibliography"/>
      </w:pPr>
      <w:r>
        <w:t xml:space="preserve">IV JAM. 1999.</w:t>
      </w:r>
      <w:r>
        <w:t xml:space="preserve"> </w:t>
      </w:r>
      <w:r>
        <w:rPr>
          <w:i/>
        </w:rPr>
        <w:t xml:space="preserve">A Brief History of Algorithmic Composition</w:t>
      </w:r>
      <w:r>
        <w:t xml:space="preserve">. Online. ed.</w:t>
      </w:r>
    </w:p>
    <w:bookmarkEnd w:id="422"/>
    <w:bookmarkStart w:id="423"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423"/>
    <w:bookmarkStart w:id="424"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424"/>
    <w:bookmarkStart w:id="425"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425"/>
    <w:bookmarkStart w:id="427"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426">
        <w:r>
          <w:rPr>
            <w:rStyle w:val="Hyperlink"/>
          </w:rPr>
          <w:t xml:space="preserve">http://ismir2008.ismir.net/papers/ISMIR2008_106.pdf</w:t>
        </w:r>
      </w:hyperlink>
    </w:p>
    <w:bookmarkEnd w:id="427"/>
    <w:bookmarkStart w:id="428" w:name="ref-DBLP:journals/corr/abs-1109-1145"/>
    <w:p>
      <w:pPr>
        <w:pStyle w:val="Bibliography"/>
      </w:pPr>
      <w:r>
        <w:t xml:space="preserve">Kamde PM, Algur SP. 2011. A survey on web multimedia mining.</w:t>
      </w:r>
      <w:r>
        <w:t xml:space="preserve"> </w:t>
      </w:r>
      <w:r>
        <w:rPr>
          <w:i/>
        </w:rPr>
        <w:t xml:space="preserve">CoRR</w:t>
      </w:r>
      <w:r>
        <w:t xml:space="preserve">. abs/1109.1145:</w:t>
      </w:r>
    </w:p>
    <w:bookmarkEnd w:id="428"/>
    <w:bookmarkStart w:id="429"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429"/>
    <w:bookmarkStart w:id="430"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430"/>
    <w:bookmarkStart w:id="432"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431">
        <w:r>
          <w:rPr>
            <w:rStyle w:val="Hyperlink"/>
          </w:rPr>
          <w:t xml:space="preserve">http://www.nime.org/proceedings/2004/nime2004_130.pdf</w:t>
        </w:r>
      </w:hyperlink>
    </w:p>
    <w:bookmarkEnd w:id="432"/>
    <w:bookmarkStart w:id="433"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433"/>
    <w:bookmarkStart w:id="435"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434">
        <w:r>
          <w:rPr>
            <w:rStyle w:val="Hyperlink"/>
          </w:rPr>
          <w:t xml:space="preserve">http://www.terasoft.com.tw/conf/ismir2014/proceedings/T039_344_Paper.pdf</w:t>
        </w:r>
      </w:hyperlink>
    </w:p>
    <w:bookmarkEnd w:id="435"/>
    <w:bookmarkStart w:id="436"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436"/>
    <w:bookmarkStart w:id="438"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437">
        <w:r>
          <w:rPr>
            <w:rStyle w:val="Hyperlink"/>
          </w:rPr>
          <w:t xml:space="preserve">http://ismir2015.uma.es/articles/246_Paper.pdf</w:t>
        </w:r>
      </w:hyperlink>
    </w:p>
    <w:bookmarkEnd w:id="438"/>
    <w:bookmarkStart w:id="439"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439"/>
    <w:bookmarkStart w:id="440"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440"/>
    <w:bookmarkStart w:id="441"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441"/>
    <w:bookmarkStart w:id="442"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442"/>
    <w:bookmarkStart w:id="443"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443"/>
    <w:bookmarkStart w:id="444"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444"/>
    <w:bookmarkStart w:id="445"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445"/>
    <w:bookmarkStart w:id="446"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446"/>
    <w:bookmarkStart w:id="447"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447"/>
    <w:bookmarkStart w:id="448" w:name="ref-Lod98:MUS"/>
    <w:p>
      <w:pPr>
        <w:pStyle w:val="Bibliography"/>
      </w:pPr>
      <w:r>
        <w:t xml:space="preserve">Lodha S, Beahan J, Joseph A, Zane-ulman B. 1998. MUSE: A musical data sonification toolkit</w:t>
      </w:r>
    </w:p>
    <w:bookmarkEnd w:id="448"/>
    <w:bookmarkStart w:id="449"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449"/>
    <w:bookmarkStart w:id="451"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450">
        <w:r>
          <w:rPr>
            <w:rStyle w:val="Hyperlink"/>
          </w:rPr>
          <w:t xml:space="preserve">http://www.nime.org/proceedings/2008/nime2008_221.pdf</w:t>
        </w:r>
      </w:hyperlink>
    </w:p>
    <w:bookmarkEnd w:id="451"/>
    <w:bookmarkStart w:id="452" w:name="ref-Man01:The"/>
    <w:p>
      <w:pPr>
        <w:pStyle w:val="Bibliography"/>
      </w:pPr>
      <w:r>
        <w:t xml:space="preserve">Manovich L. 2001.</w:t>
      </w:r>
      <w:r>
        <w:t xml:space="preserve"> </w:t>
      </w:r>
      <w:r>
        <w:rPr>
          <w:i/>
        </w:rPr>
        <w:t xml:space="preserve">The Language of New Media</w:t>
      </w:r>
      <w:r>
        <w:t xml:space="preserve">. MIT Press. ed.</w:t>
      </w:r>
    </w:p>
    <w:bookmarkEnd w:id="452"/>
    <w:bookmarkStart w:id="453" w:name="ref-Man02:Old"/>
    <w:p>
      <w:pPr>
        <w:pStyle w:val="Bibliography"/>
      </w:pPr>
      <w:r>
        <w:t xml:space="preserve">Manovich L. 2002. Old media as new media: Cinema.</w:t>
      </w:r>
      <w:r>
        <w:t xml:space="preserve"> </w:t>
      </w:r>
      <w:r>
        <w:rPr>
          <w:i/>
        </w:rPr>
        <w:t xml:space="preserve">The New Media Book</w:t>
      </w:r>
    </w:p>
    <w:bookmarkEnd w:id="453"/>
    <w:bookmarkStart w:id="454"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454"/>
    <w:bookmarkStart w:id="456"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455">
        <w:r>
          <w:rPr>
            <w:rStyle w:val="Hyperlink"/>
          </w:rPr>
          <w:t xml:space="preserve">http://ismir2008.ismir.net/papers/ISMIR2008_158.pdf</w:t>
        </w:r>
      </w:hyperlink>
    </w:p>
    <w:bookmarkEnd w:id="456"/>
    <w:bookmarkStart w:id="457"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457"/>
    <w:bookmarkStart w:id="458"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458"/>
    <w:bookmarkStart w:id="459"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459"/>
    <w:bookmarkStart w:id="460" w:name="ref-csoundMethods"/>
    <w:p>
      <w:pPr>
        <w:pStyle w:val="Bibliography"/>
      </w:pPr>
      <w:r>
        <w:t xml:space="preserve">McCurdy I, Heintz J, Joaquin J, Knevel M. 2015. Methods of writing csound scores.</w:t>
      </w:r>
      <w:r>
        <w:t xml:space="preserve"> </w:t>
      </w:r>
      <w:r>
        <w:rPr>
          <w:i/>
        </w:rPr>
        <w:t xml:space="preserve">FLOSS Manuals</w:t>
      </w:r>
    </w:p>
    <w:bookmarkEnd w:id="460"/>
    <w:bookmarkStart w:id="461"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461"/>
    <w:bookmarkStart w:id="463"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462">
        <w:r>
          <w:rPr>
            <w:rStyle w:val="Hyperlink"/>
          </w:rPr>
          <w:t xml:space="preserve">http://ismir2018.ircam.fr/doc/pdfs/35_Paper.pdf</w:t>
        </w:r>
      </w:hyperlink>
    </w:p>
    <w:bookmarkEnd w:id="463"/>
    <w:bookmarkStart w:id="464"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464"/>
    <w:bookmarkStart w:id="465" w:name="ref-DBLP:journals/corr/MitraS14"/>
    <w:p>
      <w:pPr>
        <w:pStyle w:val="Bibliography"/>
      </w:pPr>
      <w:r>
        <w:t xml:space="preserve">Mitra J, Saha D. 2014. An efficient feature selection in classification of audio files.</w:t>
      </w:r>
      <w:r>
        <w:t xml:space="preserve"> </w:t>
      </w:r>
      <w:r>
        <w:rPr>
          <w:i/>
        </w:rPr>
        <w:t xml:space="preserve">CoRR</w:t>
      </w:r>
      <w:r>
        <w:t xml:space="preserve">. abs/1404.1491:</w:t>
      </w:r>
    </w:p>
    <w:bookmarkEnd w:id="465"/>
    <w:bookmarkStart w:id="466"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466"/>
    <w:bookmarkStart w:id="467" w:name="ref-ods-cpp"/>
    <w:p>
      <w:pPr>
        <w:pStyle w:val="Bibliography"/>
      </w:pPr>
      <w:r>
        <w:t xml:space="preserve">Morin P. 2019.</w:t>
      </w:r>
      <w:r>
        <w:t xml:space="preserve"> </w:t>
      </w:r>
      <w:r>
        <w:rPr>
          <w:i/>
        </w:rPr>
        <w:t xml:space="preserve">Open Data Structures</w:t>
      </w:r>
      <w:r>
        <w:t xml:space="preserve">. Creative Commons. ed.</w:t>
      </w:r>
    </w:p>
    <w:bookmarkEnd w:id="467"/>
    <w:bookmarkStart w:id="468"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468"/>
    <w:bookmarkStart w:id="469" w:name="ref-DBLP:journals/corr/abs-1301-1894"/>
    <w:p>
      <w:pPr>
        <w:pStyle w:val="Bibliography"/>
      </w:pPr>
      <w:r>
        <w:t xml:space="preserve">Nagavi TC, Bhajantri NU. 2013. An extensive analysis of query by singing/humming system through query proportion.</w:t>
      </w:r>
      <w:r>
        <w:t xml:space="preserve"> </w:t>
      </w:r>
      <w:r>
        <w:rPr>
          <w:i/>
        </w:rPr>
        <w:t xml:space="preserve">CoRR</w:t>
      </w:r>
      <w:r>
        <w:t xml:space="preserve">. abs/1301.1894:</w:t>
      </w:r>
    </w:p>
    <w:bookmarkEnd w:id="469"/>
    <w:bookmarkStart w:id="470" w:name="ref-DBLP:journals/corr/NagaviB14"/>
    <w:p>
      <w:pPr>
        <w:pStyle w:val="Bibliography"/>
      </w:pPr>
      <w:r>
        <w:t xml:space="preserve">Nagavi TC, Bhajantri NU. 2014. Progressive filtering using multiresolution histograms for query by humming system.</w:t>
      </w:r>
      <w:r>
        <w:t xml:space="preserve"> </w:t>
      </w:r>
      <w:r>
        <w:rPr>
          <w:i/>
        </w:rPr>
        <w:t xml:space="preserve">CoRR</w:t>
      </w:r>
      <w:r>
        <w:t xml:space="preserve">. abs/1401.2516:</w:t>
      </w:r>
    </w:p>
    <w:bookmarkEnd w:id="470"/>
    <w:bookmarkStart w:id="472"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471">
        <w:r>
          <w:rPr>
            <w:rStyle w:val="Hyperlink"/>
          </w:rPr>
          <w:t xml:space="preserve">http://www.nime.org/proceedings/2007/nime2007_409.pdf</w:t>
        </w:r>
      </w:hyperlink>
    </w:p>
    <w:bookmarkEnd w:id="472"/>
    <w:bookmarkStart w:id="473"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473"/>
    <w:bookmarkStart w:id="474" w:name="ref-Nan07:Lis"/>
    <w:p>
      <w:pPr>
        <w:pStyle w:val="Bibliography"/>
      </w:pPr>
      <w:r>
        <w:t xml:space="preserve">Nancy J-L. 2007.</w:t>
      </w:r>
      <w:r>
        <w:t xml:space="preserve"> </w:t>
      </w:r>
      <w:r>
        <w:rPr>
          <w:i/>
        </w:rPr>
        <w:t xml:space="preserve">Listening</w:t>
      </w:r>
      <w:r>
        <w:t xml:space="preserve">. Fordham University Place. ed.</w:t>
      </w:r>
    </w:p>
    <w:bookmarkEnd w:id="474"/>
    <w:bookmarkStart w:id="475"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475"/>
    <w:bookmarkStart w:id="476"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476"/>
    <w:bookmarkStart w:id="477"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477"/>
    <w:bookmarkStart w:id="478"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478"/>
    <w:bookmarkStart w:id="479"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479"/>
    <w:bookmarkStart w:id="480"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480"/>
    <w:bookmarkStart w:id="481"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481"/>
    <w:bookmarkStart w:id="482"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482"/>
    <w:bookmarkStart w:id="484"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483">
        <w:r>
          <w:rPr>
            <w:rStyle w:val="Hyperlink"/>
          </w:rPr>
          <w:t xml:space="preserve">https://ismir2017.smcnus.org/wp-content/uploads/2017/10/14_Paper.pdf</w:t>
        </w:r>
      </w:hyperlink>
    </w:p>
    <w:bookmarkEnd w:id="484"/>
    <w:bookmarkStart w:id="485"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485"/>
    <w:bookmarkStart w:id="486"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486"/>
    <w:bookmarkStart w:id="487" w:name="ref-Wil96:Lis"/>
    <w:p>
      <w:pPr>
        <w:pStyle w:val="Bibliography"/>
      </w:pPr>
      <w:r>
        <w:t xml:space="preserve">Pauletto S, Hunt A. 2004a. A toolkit for interactive sonification.</w:t>
      </w:r>
      <w:r>
        <w:t xml:space="preserve"> </w:t>
      </w:r>
      <w:r>
        <w:rPr>
          <w:i/>
        </w:rPr>
        <w:t xml:space="preserve">ICAD</w:t>
      </w:r>
      <w:r>
        <w:t xml:space="preserve">. Georgia Institute of Technology</w:t>
      </w:r>
    </w:p>
    <w:bookmarkEnd w:id="487"/>
    <w:bookmarkStart w:id="488" w:name="ref-pauletto04"/>
    <w:p>
      <w:pPr>
        <w:pStyle w:val="Bibliography"/>
      </w:pPr>
      <w:r>
        <w:t xml:space="preserve">Pauletto S, Hunt A. 2004b.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488"/>
    <w:bookmarkStart w:id="489" w:name="ref-2018arXiv180802848P"/>
    <w:p>
      <w:pPr>
        <w:pStyle w:val="Bibliography"/>
      </w:pPr>
      <w:r>
        <w:t xml:space="preserve">Peron T, Rodrigues FA, Costa L da F. 2018. Pattern Recognition Approach to Violin Shapes of MIMO database.</w:t>
      </w:r>
      <w:r>
        <w:t xml:space="preserve"> </w:t>
      </w:r>
      <w:r>
        <w:rPr>
          <w:i/>
        </w:rPr>
        <w:t xml:space="preserve">arXiv e-prints</w:t>
      </w:r>
      <w:r>
        <w:t xml:space="preserve">. arXiv:1808.02848</w:t>
      </w:r>
    </w:p>
    <w:bookmarkEnd w:id="489"/>
    <w:bookmarkStart w:id="491"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490">
        <w:r>
          <w:rPr>
            <w:rStyle w:val="Hyperlink"/>
          </w:rPr>
          <w:t xml:space="preserve">http://www.terasoft.com.tw/conf/ismir2014/proceedings/T064_307_Paper.pdf</w:t>
        </w:r>
      </w:hyperlink>
    </w:p>
    <w:bookmarkEnd w:id="491"/>
    <w:bookmarkStart w:id="492" w:name="ref-Pos11:Int"/>
    <w:p>
      <w:pPr>
        <w:pStyle w:val="Bibliography"/>
      </w:pPr>
      <w:r>
        <w:t xml:space="preserve">Poster M. 2011. Introduction.</w:t>
      </w:r>
      <w:r>
        <w:t xml:space="preserve"> </w:t>
      </w:r>
      <w:r>
        <w:rPr>
          <w:i/>
        </w:rPr>
        <w:t xml:space="preserve">Into the Universe of Technical Images</w:t>
      </w:r>
    </w:p>
    <w:bookmarkEnd w:id="492"/>
    <w:bookmarkStart w:id="494"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493">
        <w:r>
          <w:rPr>
            <w:rStyle w:val="Hyperlink"/>
          </w:rPr>
          <w:t xml:space="preserve">http://www.nime.org/proceedings/2008/nime2008_311.pdf</w:t>
        </w:r>
      </w:hyperlink>
    </w:p>
    <w:bookmarkEnd w:id="494"/>
    <w:bookmarkStart w:id="495"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495"/>
    <w:bookmarkStart w:id="496"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496"/>
    <w:bookmarkStart w:id="497"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497"/>
    <w:bookmarkStart w:id="498"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498"/>
    <w:bookmarkStart w:id="499"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499"/>
    <w:bookmarkStart w:id="500"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500"/>
    <w:bookmarkStart w:id="501"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501"/>
    <w:bookmarkStart w:id="502" w:name="ref-Roa04:Mic"/>
    <w:p>
      <w:pPr>
        <w:pStyle w:val="Bibliography"/>
      </w:pPr>
      <w:r>
        <w:t xml:space="preserve">Roads C. 2001.</w:t>
      </w:r>
      <w:r>
        <w:t xml:space="preserve"> </w:t>
      </w:r>
      <w:r>
        <w:rPr>
          <w:i/>
        </w:rPr>
        <w:t xml:space="preserve">Microsound</w:t>
      </w:r>
      <w:r>
        <w:t xml:space="preserve">. MIT Press. ed.</w:t>
      </w:r>
    </w:p>
    <w:bookmarkEnd w:id="502"/>
    <w:bookmarkStart w:id="503" w:name="ref-Roa80:Int"/>
    <w:p>
      <w:pPr>
        <w:pStyle w:val="Bibliography"/>
      </w:pPr>
      <w:r>
        <w:t xml:space="preserve">Roads C, Mathews M. 1980. Interview with max mathews.</w:t>
      </w:r>
      <w:r>
        <w:t xml:space="preserve"> </w:t>
      </w:r>
      <w:r>
        <w:rPr>
          <w:i/>
        </w:rPr>
        <w:t xml:space="preserve">Computer Music Journal</w:t>
      </w:r>
      <w:r>
        <w:t xml:space="preserve">. 4(4):15–22</w:t>
      </w:r>
    </w:p>
    <w:bookmarkEnd w:id="503"/>
    <w:bookmarkStart w:id="504"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504"/>
    <w:bookmarkStart w:id="505"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505"/>
    <w:bookmarkStart w:id="506"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506"/>
    <w:bookmarkStart w:id="507"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507"/>
    <w:bookmarkStart w:id="508"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508"/>
    <w:bookmarkStart w:id="509"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509"/>
    <w:bookmarkStart w:id="510" w:name="ref-Row01:Mac"/>
    <w:p>
      <w:pPr>
        <w:pStyle w:val="Bibliography"/>
      </w:pPr>
      <w:r>
        <w:t xml:space="preserve">Rowe R. 2001.</w:t>
      </w:r>
      <w:r>
        <w:t xml:space="preserve"> </w:t>
      </w:r>
      <w:r>
        <w:rPr>
          <w:i/>
        </w:rPr>
        <w:t xml:space="preserve">Machine Musicianship</w:t>
      </w:r>
      <w:r>
        <w:t xml:space="preserve">. Cambridge, MA, USA: MIT Press. ed.</w:t>
      </w:r>
    </w:p>
    <w:bookmarkEnd w:id="510"/>
    <w:bookmarkStart w:id="511"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511"/>
    <w:bookmarkStart w:id="512"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512"/>
    <w:bookmarkStart w:id="514" w:name="ref-DBLP:conf/ismir/Sapp05"/>
    <w:p>
      <w:pPr>
        <w:pStyle w:val="Bibliography"/>
      </w:pPr>
      <w:r>
        <w:t xml:space="preserve">Sapp CS. 2005. Online database of scores in the humdrum file format.</w:t>
      </w:r>
      <w:r>
        <w:t xml:space="preserve"> </w:t>
      </w:r>
      <w:r>
        <w:rPr>
          <w:i/>
        </w:rPr>
        <w:t xml:space="preserve">ISMIR 2005, 6th International Conference on Music Information Retrieval, London, Uk, 11-15 September 2005, Proceedings</w:t>
      </w:r>
      <w:r>
        <w:t xml:space="preserve">, pp. 664–65.</w:t>
      </w:r>
      <w:r>
        <w:t xml:space="preserve"> </w:t>
      </w:r>
      <w:hyperlink r:id="rId513">
        <w:r>
          <w:rPr>
            <w:rStyle w:val="Hyperlink"/>
          </w:rPr>
          <w:t xml:space="preserve">http://ismir2005.ismir.net/proceedings/3123.pdf</w:t>
        </w:r>
      </w:hyperlink>
    </w:p>
    <w:bookmarkEnd w:id="514"/>
    <w:bookmarkStart w:id="515"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515"/>
    <w:bookmarkStart w:id="516"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516"/>
    <w:bookmarkStart w:id="517"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517"/>
    <w:bookmarkStart w:id="518"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518"/>
    <w:bookmarkStart w:id="519"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519"/>
    <w:bookmarkStart w:id="520"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520"/>
    <w:bookmarkStart w:id="521"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521"/>
    <w:bookmarkStart w:id="522" w:name="ref-Sch06:How"/>
    <w:p>
      <w:pPr>
        <w:pStyle w:val="Bibliography"/>
      </w:pPr>
      <w:r>
        <w:t xml:space="preserve">Schwarz D. 2006a. Concatenative sound synthesis: The early years.</w:t>
      </w:r>
      <w:r>
        <w:t xml:space="preserve"> </w:t>
      </w:r>
      <w:r>
        <w:rPr>
          <w:i/>
        </w:rPr>
        <w:t xml:space="preserve">Journal of New Music Research</w:t>
      </w:r>
      <w:r>
        <w:t xml:space="preserve">. 35:3–22</w:t>
      </w:r>
    </w:p>
    <w:bookmarkEnd w:id="522"/>
    <w:bookmarkStart w:id="523" w:name="ref-Sch06:Rea"/>
    <w:p>
      <w:pPr>
        <w:pStyle w:val="Bibliography"/>
      </w:pPr>
      <w:r>
        <w:t xml:space="preserve">Schwarz D. 2006b. Real-time corpus-based concatenative synthesis with catart., pp. 18–21</w:t>
      </w:r>
    </w:p>
    <w:bookmarkEnd w:id="523"/>
    <w:bookmarkStart w:id="524"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524"/>
    <w:bookmarkStart w:id="525" w:name="ref-Selfridge-Field:1997:BMH:275928"/>
    <w:p>
      <w:pPr>
        <w:pStyle w:val="Bibliography"/>
      </w:pPr>
      <w:r>
        <w:t xml:space="preserve">Selfridge-Field E, ed. 1997.</w:t>
      </w:r>
      <w:r>
        <w:t xml:space="preserve"> </w:t>
      </w:r>
      <w:r>
        <w:rPr>
          <w:i/>
        </w:rPr>
        <w:t xml:space="preserve">Beyond Midi: The Handbook of Musical Codes</w:t>
      </w:r>
      <w:r>
        <w:t xml:space="preserve">. Cambridge, MA, USA: MIT Press. ed.</w:t>
      </w:r>
    </w:p>
    <w:bookmarkEnd w:id="525"/>
    <w:bookmarkStart w:id="526" w:name="ref-scoremus"/>
    <w:p>
      <w:pPr>
        <w:pStyle w:val="Bibliography"/>
      </w:pPr>
      <w:r>
        <w:t xml:space="preserve">Selfridge-Field E. 1997. The score music publishing system.</w:t>
      </w:r>
      <w:r>
        <w:t xml:space="preserve"> </w:t>
      </w:r>
      <w:r>
        <w:rPr>
          <w:i/>
        </w:rPr>
        <w:t xml:space="preserve">SCORE</w:t>
      </w:r>
    </w:p>
    <w:bookmarkEnd w:id="526"/>
    <w:bookmarkStart w:id="527"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527"/>
    <w:bookmarkStart w:id="529"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528">
        <w:r>
          <w:rPr>
            <w:rStyle w:val="Hyperlink"/>
          </w:rPr>
          <w:t xml:space="preserve">https://hal.archives-ouvertes.fr/hal-01393959</w:t>
        </w:r>
      </w:hyperlink>
    </w:p>
    <w:bookmarkEnd w:id="529"/>
    <w:bookmarkStart w:id="530"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530"/>
    <w:bookmarkStart w:id="531"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531"/>
    <w:bookmarkStart w:id="532"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532"/>
    <w:bookmarkStart w:id="533" w:name="ref-10.2307/941442"/>
    <w:p>
      <w:pPr>
        <w:pStyle w:val="Bibliography"/>
      </w:pPr>
      <w:r>
        <w:t xml:space="preserve">Skinner R. 1990a. Music software.</w:t>
      </w:r>
      <w:r>
        <w:t xml:space="preserve"> </w:t>
      </w:r>
      <w:r>
        <w:rPr>
          <w:i/>
        </w:rPr>
        <w:t xml:space="preserve">Notes</w:t>
      </w:r>
      <w:r>
        <w:t xml:space="preserve">. 46(3):660–84</w:t>
      </w:r>
    </w:p>
    <w:bookmarkEnd w:id="533"/>
    <w:bookmarkStart w:id="534" w:name="ref-10.2307/940555"/>
    <w:p>
      <w:pPr>
        <w:pStyle w:val="Bibliography"/>
      </w:pPr>
      <w:r>
        <w:t xml:space="preserve">Skinner R. 1990b. Music software.</w:t>
      </w:r>
      <w:r>
        <w:t xml:space="preserve"> </w:t>
      </w:r>
      <w:r>
        <w:rPr>
          <w:i/>
        </w:rPr>
        <w:t xml:space="preserve">Notes</w:t>
      </w:r>
      <w:r>
        <w:t xml:space="preserve">. 47(1):91–101</w:t>
      </w:r>
    </w:p>
    <w:bookmarkEnd w:id="534"/>
    <w:bookmarkStart w:id="535"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535"/>
    <w:bookmarkStart w:id="536"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536"/>
    <w:bookmarkStart w:id="537"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537"/>
    <w:bookmarkStart w:id="538" w:name="ref-DBLP:journals/corr/abs-1711-00048"/>
    <w:p>
      <w:pPr>
        <w:pStyle w:val="Bibliography"/>
      </w:pPr>
      <w:r>
        <w:t xml:space="preserve">Stoller D, Ewert S, Dixon S. 2017. Adversarial semi-supervised audio source separation applied to singing voice extraction.</w:t>
      </w:r>
      <w:r>
        <w:t xml:space="preserve"> </w:t>
      </w:r>
      <w:r>
        <w:rPr>
          <w:i/>
        </w:rPr>
        <w:t xml:space="preserve">CoRR</w:t>
      </w:r>
      <w:r>
        <w:t xml:space="preserve">. abs/1711.00048:</w:t>
      </w:r>
    </w:p>
    <w:bookmarkEnd w:id="538"/>
    <w:bookmarkStart w:id="539"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539"/>
    <w:bookmarkStart w:id="540" w:name="ref-Sze08:Lis"/>
    <w:p>
      <w:pPr>
        <w:pStyle w:val="Bibliography"/>
      </w:pPr>
      <w:r>
        <w:t xml:space="preserve">Szendy P. 2008.</w:t>
      </w:r>
      <w:r>
        <w:t xml:space="preserve"> </w:t>
      </w:r>
      <w:r>
        <w:rPr>
          <w:i/>
        </w:rPr>
        <w:t xml:space="preserve">Listen: A History of Our Ears</w:t>
      </w:r>
      <w:r>
        <w:t xml:space="preserve">. Fordham University. ed.</w:t>
      </w:r>
    </w:p>
    <w:bookmarkEnd w:id="540"/>
    <w:bookmarkStart w:id="541"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541"/>
    <w:bookmarkStart w:id="542" w:name="ref-Sch07:How"/>
    <w:p>
      <w:pPr>
        <w:pStyle w:val="Bibliography"/>
      </w:pPr>
      <w:r>
        <w:t xml:space="preserve">Thiebaut J-B, Bello J, Schwarz D. 2007. How musical are images? From sound representation to image sonification: An eco systemic approach</w:t>
      </w:r>
    </w:p>
    <w:bookmarkEnd w:id="542"/>
    <w:bookmarkStart w:id="543" w:name="ref-Tru73:The"/>
    <w:p>
      <w:pPr>
        <w:pStyle w:val="Bibliography"/>
      </w:pPr>
      <w:r>
        <w:t xml:space="preserve">Truax BD. 1973. The computer composition: Sound synthesis programs pod4, pod5 and pod6.</w:t>
      </w:r>
      <w:r>
        <w:t xml:space="preserve"> </w:t>
      </w:r>
      <w:r>
        <w:rPr>
          <w:i/>
        </w:rPr>
        <w:t xml:space="preserve">Sonological Reports</w:t>
      </w:r>
      <w:r>
        <w:t xml:space="preserve">. 2:</w:t>
      </w:r>
    </w:p>
    <w:bookmarkEnd w:id="543"/>
    <w:bookmarkStart w:id="54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544"/>
    <w:bookmarkStart w:id="54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545"/>
    <w:bookmarkStart w:id="546" w:name="ref-Tza02:Mus"/>
    <w:p>
      <w:pPr>
        <w:pStyle w:val="Bibliography"/>
      </w:pPr>
      <w:r>
        <w:t xml:space="preserve">Tzanetakis G, Cook P. 2002. Musical genre classification of audio signals.</w:t>
      </w:r>
      <w:r>
        <w:t xml:space="preserve"> </w:t>
      </w:r>
      <w:r>
        <w:rPr>
          <w:i/>
        </w:rPr>
        <w:t xml:space="preserve">IEEE Transactions on Speech and Audio Processing</w:t>
      </w:r>
      <w:r>
        <w:t xml:space="preserve">. 10(5):293–302</w:t>
      </w:r>
    </w:p>
    <w:bookmarkEnd w:id="546"/>
    <w:bookmarkStart w:id="547"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547"/>
    <w:bookmarkStart w:id="548"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548"/>
    <w:bookmarkStart w:id="549" w:name="ref-Var04:The"/>
    <w:p>
      <w:pPr>
        <w:pStyle w:val="Bibliography"/>
      </w:pPr>
      <w:r>
        <w:t xml:space="preserve">Varese E. 2004. The liberation of sound.</w:t>
      </w:r>
      <w:r>
        <w:t xml:space="preserve"> </w:t>
      </w:r>
      <w:r>
        <w:rPr>
          <w:i/>
        </w:rPr>
        <w:t xml:space="preserve">Audio Culture: Readings in Modern Music</w:t>
      </w:r>
    </w:p>
    <w:bookmarkEnd w:id="549"/>
    <w:bookmarkStart w:id="550"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550"/>
    <w:bookmarkStart w:id="552"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551">
        <w:r>
          <w:rPr>
            <w:rStyle w:val="Hyperlink"/>
          </w:rPr>
          <w:t xml:space="preserve">https://ismir2017.smcnus.org/wp-content/uploads/2017/10/180_Paper.pdf</w:t>
        </w:r>
      </w:hyperlink>
    </w:p>
    <w:bookmarkEnd w:id="552"/>
    <w:bookmarkStart w:id="553"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553"/>
    <w:bookmarkStart w:id="555"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554">
        <w:r>
          <w:rPr>
            <w:rStyle w:val="Hyperlink"/>
          </w:rPr>
          <w:t xml:space="preserve">http://ismir2002.ismir.net/proceedings/02-FP06-3.pdf</w:t>
        </w:r>
      </w:hyperlink>
    </w:p>
    <w:bookmarkEnd w:id="555"/>
    <w:bookmarkStart w:id="556"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556"/>
    <w:bookmarkStart w:id="557"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557"/>
    <w:bookmarkStart w:id="558"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558"/>
    <w:bookmarkStart w:id="559"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559"/>
    <w:bookmarkStart w:id="560"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560"/>
    <w:bookmarkStart w:id="561" w:name="ref-DBLP:conf/icad/2003/Walker"/>
    <w:p>
      <w:pPr>
        <w:pStyle w:val="Bibliography"/>
      </w:pPr>
      <w:r>
        <w:t xml:space="preserve">Walker BN, Cothran JT. 2003. ICAD 2004: The 13th meeting of the international conference on auditory display, boston, ma, usa, 6-9 july 2003, proceedings.. International Community for Auditory Display</w:t>
      </w:r>
    </w:p>
    <w:bookmarkEnd w:id="561"/>
    <w:bookmarkStart w:id="562"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562"/>
    <w:bookmarkStart w:id="563" w:name="ref-DBLP:journals/corr/WangH17a"/>
    <w:p>
      <w:pPr>
        <w:pStyle w:val="Bibliography"/>
      </w:pPr>
      <w:r>
        <w:t xml:space="preserve">Wang X, Haque SA. 2017. Classical music clustering based on acoustic features.</w:t>
      </w:r>
      <w:r>
        <w:t xml:space="preserve"> </w:t>
      </w:r>
      <w:r>
        <w:rPr>
          <w:i/>
        </w:rPr>
        <w:t xml:space="preserve">CoRR</w:t>
      </w:r>
      <w:r>
        <w:t xml:space="preserve">. abs/1706.08928:</w:t>
      </w:r>
    </w:p>
    <w:bookmarkEnd w:id="563"/>
    <w:bookmarkStart w:id="564" w:name="ref-Wei07:Oce"/>
    <w:p>
      <w:pPr>
        <w:pStyle w:val="Bibliography"/>
      </w:pPr>
      <w:r>
        <w:t xml:space="preserve">Weinbren G. 2007. Ocean, database, recut.</w:t>
      </w:r>
      <w:r>
        <w:t xml:space="preserve"> </w:t>
      </w:r>
      <w:r>
        <w:rPr>
          <w:i/>
        </w:rPr>
        <w:t xml:space="preserve">Database Aesthetics: Art in the Age of Information Overflow</w:t>
      </w:r>
    </w:p>
    <w:bookmarkEnd w:id="564"/>
    <w:bookmarkStart w:id="565"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565"/>
    <w:bookmarkStart w:id="566"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566"/>
    <w:bookmarkStart w:id="568"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567">
        <w:r>
          <w:rPr>
            <w:rStyle w:val="Hyperlink"/>
          </w:rPr>
          <w:t xml:space="preserve">http://ismir2018.ircam.fr/doc/pdfs/114_Paper.pdf</w:t>
        </w:r>
      </w:hyperlink>
    </w:p>
    <w:bookmarkEnd w:id="568"/>
    <w:bookmarkStart w:id="569" w:name="ref-DBLP:conf/icad/2007/Worral"/>
    <w:p>
      <w:pPr>
        <w:pStyle w:val="Bibliography"/>
      </w:pPr>
      <w:r>
        <w:t xml:space="preserve">Worrall D, Bylstra M, Barrass S, Dean R. 2007. ICAD 2004: The 13th meeting of the international conference on auditory display, montreal, canada, june 26-29 2007, proceedings.. International Community for Auditory Display</w:t>
      </w:r>
    </w:p>
    <w:bookmarkEnd w:id="569"/>
    <w:bookmarkStart w:id="571"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570">
        <w:r>
          <w:rPr>
            <w:rStyle w:val="Hyperlink"/>
          </w:rPr>
          <w:t xml:space="preserve">http://ismir2004.ismir.net/proceedings/p010-page-48-paper227.pdf</w:t>
        </w:r>
      </w:hyperlink>
    </w:p>
    <w:bookmarkEnd w:id="571"/>
    <w:bookmarkStart w:id="572"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572"/>
    <w:bookmarkStart w:id="573"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573"/>
    <w:bookmarkStart w:id="575"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574">
        <w:r>
          <w:rPr>
            <w:rStyle w:val="Hyperlink"/>
          </w:rPr>
          <w:t xml:space="preserve">http://ismir2018.ircam.fr/doc/pdfs/188_Paper.pdf</w:t>
        </w:r>
      </w:hyperlink>
    </w:p>
    <w:bookmarkEnd w:id="575"/>
    <w:bookmarkStart w:id="576"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576"/>
    <w:bookmarkStart w:id="577"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577"/>
    <w:bookmarkStart w:id="578"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578"/>
    <w:bookmarkStart w:id="579"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579"/>
    <w:bookmarkStart w:id="580"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580"/>
    <w:bookmarkStart w:id="581" w:name="ref-DBLP:conf/iciso/Yokl11"/>
    <w:p>
      <w:pPr>
        <w:pStyle w:val="Bibliography"/>
      </w:pPr>
      <w:r>
        <w:t xml:space="preserve">Yolk A, Wiering F, van Kranenburg P. 2011. UNFOLDING the potential of computational musicology.</w:t>
      </w:r>
      <w:r>
        <w:t xml:space="preserve"> </w:t>
      </w:r>
      <w:r>
        <w:rPr>
          <w:i/>
        </w:rPr>
        <w:t xml:space="preserve">Problems and Possibilities of Computational Humanities - 13th IFIP Iwra 2011 Ifip Wgs.l — International Conference on Informatics and Semiotics in Organisations, ICISO 2011, Netherlands, July 4-6, 2011. Proceedings</w:t>
      </w:r>
      <w:r>
        <w:t xml:space="preserve">, pp. 137–44</w:t>
      </w:r>
    </w:p>
    <w:bookmarkEnd w:id="581"/>
    <w:bookmarkStart w:id="583"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582">
        <w:r>
          <w:rPr>
            <w:rStyle w:val="Hyperlink"/>
          </w:rPr>
          <w:t xml:space="preserve">http://www.nime.org/proceedings/2007/nime2007_352.pdf</w:t>
        </w:r>
      </w:hyperlink>
    </w:p>
    <w:bookmarkEnd w:id="583"/>
    <w:bookmarkStart w:id="584"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584"/>
    <w:bookmarkEnd w:id="585"/>
    <w:p>
      <w:r>
        <w:pict>
          <v:rect style="width:0;height:1.5pt" o:hralign="center" o:hrstd="t" o:hr="t"/>
        </w:pict>
      </w:r>
    </w:p>
    <w:bookmarkStart w:id="587" w:name="fn1"/>
    <w:p>
      <w:pPr>
        <w:numPr>
          <w:numId w:val="1020"/>
          <w:ilvl w:val="0"/>
        </w:numPr>
      </w:pPr>
      <w:r>
        <w:t xml:space="preserve">Alvin Lucier. I Am Sitting In A Room. See:</w:t>
      </w:r>
      <w:r>
        <w:t xml:space="preserve"> </w:t>
      </w:r>
      <w:hyperlink r:id="rId586">
        <w:r>
          <w:rPr>
            <w:rStyle w:val="Hyperlink"/>
          </w:rPr>
          <w:t xml:space="preserve">https://en.wikipedia.org/wiki/I_Am_Sitting_in_a_Room</w:t>
        </w:r>
      </w:hyperlink>
      <w:hyperlink w:anchor="fnref1">
        <w:r>
          <w:rPr>
            <w:rStyle w:val="Hyperlink"/>
          </w:rPr>
          <w:t xml:space="preserve">↩</w:t>
        </w:r>
      </w:hyperlink>
    </w:p>
    <w:bookmarkEnd w:id="587"/>
    <w:bookmarkStart w:id="588" w:name="fn2"/>
    <w:p>
      <w:pPr>
        <w:numPr>
          <w:numId w:val="1020"/>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588"/>
    <w:bookmarkStart w:id="589" w:name="fn3"/>
    <w:p>
      <w:pPr>
        <w:numPr>
          <w:numId w:val="1020"/>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589"/>
    <w:bookmarkStart w:id="590" w:name="fn4"/>
    <w:p>
      <w:pPr>
        <w:numPr>
          <w:numId w:val="1020"/>
          <w:ilvl w:val="0"/>
        </w:numPr>
      </w:pPr>
      <w:r>
        <w:t xml:space="preserve">‘Import,’ ‘export,’ and ‘render,’ refer to processes that read from or write to the computer’s disk.</w:t>
      </w:r>
      <w:hyperlink w:anchor="fnref4">
        <w:r>
          <w:rPr>
            <w:rStyle w:val="Hyperlink"/>
          </w:rPr>
          <w:t xml:space="preserve">↩</w:t>
        </w:r>
      </w:hyperlink>
    </w:p>
    <w:bookmarkEnd w:id="590"/>
    <w:bookmarkStart w:id="591" w:name="fn5"/>
    <w:p>
      <w:pPr>
        <w:numPr>
          <w:numId w:val="1020"/>
          <w:ilvl w:val="0"/>
        </w:numPr>
      </w:pPr>
      <w:r>
        <w:t xml:space="preserve">Miller Puckette suggested this during an open discussion at</w:t>
      </w:r>
      <w:hyperlink w:anchor="fnref5">
        <w:r>
          <w:rPr>
            <w:rStyle w:val="Hyperlink"/>
          </w:rPr>
          <w:t xml:space="preserve">↩</w:t>
        </w:r>
      </w:hyperlink>
    </w:p>
    <w:bookmarkEnd w:id="591"/>
    <w:bookmarkStart w:id="593" w:name="fn6"/>
    <w:p>
      <w:pPr>
        <w:numPr>
          <w:numId w:val="1020"/>
          <w:ilvl w:val="0"/>
        </w:numPr>
      </w:pPr>
      <w:hyperlink r:id="rId592">
        <w:r>
          <w:rPr>
            <w:rStyle w:val="Hyperlink"/>
          </w:rPr>
          <w:t xml:space="preserve">http://kern.ccarh.org/</w:t>
        </w:r>
      </w:hyperlink>
      <w:hyperlink w:anchor="fnref6">
        <w:r>
          <w:rPr>
            <w:rStyle w:val="Hyperlink"/>
          </w:rPr>
          <w:t xml:space="preserve">↩</w:t>
        </w:r>
      </w:hyperlink>
    </w:p>
    <w:bookmarkEnd w:id="593"/>
    <w:bookmarkStart w:id="594" w:name="fn7"/>
    <w:p>
      <w:pPr>
        <w:numPr>
          <w:numId w:val="1020"/>
          <w:ilvl w:val="0"/>
        </w:numPr>
      </w:pPr>
      <w:r>
        <w:t xml:space="preserve">For example, consider the MIMO database, a project dedicated to the cataloguing of musical instruments, and how it was used for the statistical tracking of the evolution of the violin based on pattern recognition of its shapes</w:t>
      </w:r>
      <w:r>
        <w:t xml:space="preserve"> </w:t>
      </w:r>
      <w:r>
        <w:t xml:space="preserve">(Peron et al. 2018)</w:t>
      </w:r>
      <w:hyperlink w:anchor="fnref7">
        <w:r>
          <w:rPr>
            <w:rStyle w:val="Hyperlink"/>
          </w:rPr>
          <w:t xml:space="preserve">↩</w:t>
        </w:r>
      </w:hyperlink>
    </w:p>
    <w:bookmarkEnd w:id="594"/>
    <w:bookmarkStart w:id="595" w:name="fn8"/>
    <w:p>
      <w:pPr>
        <w:numPr>
          <w:numId w:val="1020"/>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8">
        <w:r>
          <w:rPr>
            <w:rStyle w:val="Hyperlink"/>
          </w:rPr>
          <w:t xml:space="preserve">↩</w:t>
        </w:r>
      </w:hyperlink>
    </w:p>
    <w:bookmarkEnd w:id="595"/>
    <w:bookmarkStart w:id="596" w:name="fn9"/>
    <w:p>
      <w:pPr>
        <w:numPr>
          <w:numId w:val="1020"/>
          <w:ilvl w:val="0"/>
        </w:numPr>
      </w:pPr>
      <w:r>
        <w:t xml:space="preserve">There are cases where sonification is entirely analog, such as the first sonification tool ever created: the Geiger counter</w:t>
      </w:r>
      <w:hyperlink w:anchor="fnref9">
        <w:r>
          <w:rPr>
            <w:rStyle w:val="Hyperlink"/>
          </w:rPr>
          <w:t xml:space="preserve">↩</w:t>
        </w:r>
      </w:hyperlink>
    </w:p>
    <w:bookmarkEnd w:id="596"/>
    <w:bookmarkStart w:id="597" w:name="fn10"/>
    <w:p>
      <w:pPr>
        <w:numPr>
          <w:numId w:val="1020"/>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10">
        <w:r>
          <w:rPr>
            <w:rStyle w:val="Hyperlink"/>
          </w:rPr>
          <w:t xml:space="preserve">↩</w:t>
        </w:r>
      </w:hyperlink>
    </w:p>
    <w:bookmarkEnd w:id="597"/>
    <w:bookmarkStart w:id="598" w:name="fn11"/>
    <w:p>
      <w:pPr>
        <w:numPr>
          <w:numId w:val="1020"/>
          <w:ilvl w:val="0"/>
        </w:numPr>
      </w:pPr>
      <w:r>
        <w:t xml:space="preserve">From a lecture given by Judy Klein at New York University’s Waverly Project, on February 2nd, 2017.</w:t>
      </w:r>
      <w:hyperlink w:anchor="fnref11">
        <w:r>
          <w:rPr>
            <w:rStyle w:val="Hyperlink"/>
          </w:rPr>
          <w:t xml:space="preserve">↩</w:t>
        </w:r>
      </w:hyperlink>
    </w:p>
    <w:bookmarkEnd w:id="598"/>
    <w:bookmarkStart w:id="600" w:name="fn12"/>
    <w:p>
      <w:pPr>
        <w:numPr>
          <w:numId w:val="1020"/>
          <w:ilvl w:val="0"/>
        </w:numPr>
      </w:pPr>
      <w:hyperlink r:id="rId599">
        <w:r>
          <w:rPr>
            <w:rStyle w:val="Hyperlink"/>
          </w:rPr>
          <w:t xml:space="preserve">http://www.natashabarrett.org/viva.html</w:t>
        </w:r>
      </w:hyperlink>
      <w:hyperlink w:anchor="fnref12">
        <w:r>
          <w:rPr>
            <w:rStyle w:val="Hyperlink"/>
          </w:rPr>
          <w:t xml:space="preserve">↩</w:t>
        </w:r>
      </w:hyperlink>
    </w:p>
    <w:bookmarkEnd w:id="600"/>
    <w:bookmarkStart w:id="601" w:name="fn13"/>
    <w:p>
      <w:pPr>
        <w:numPr>
          <w:numId w:val="1020"/>
          <w:ilvl w:val="0"/>
        </w:numPr>
      </w:pPr>
      <w:r>
        <w:t xml:space="preserve">A biological field station called ‘La Suerte’ in Costa Rica</w:t>
      </w:r>
      <w:hyperlink w:anchor="fnref13">
        <w:r>
          <w:rPr>
            <w:rStyle w:val="Hyperlink"/>
          </w:rPr>
          <w:t xml:space="preserve">↩</w:t>
        </w:r>
      </w:hyperlink>
    </w:p>
    <w:bookmarkEnd w:id="601"/>
    <w:bookmarkStart w:id="603" w:name="fn14"/>
    <w:p>
      <w:pPr>
        <w:numPr>
          <w:numId w:val="1020"/>
          <w:ilvl w:val="0"/>
        </w:numPr>
      </w:pPr>
      <w:hyperlink r:id="rId602">
        <w:r>
          <w:rPr>
            <w:rStyle w:val="Hyperlink"/>
          </w:rPr>
          <w:t xml:space="preserve">https://soundcloud.com/falk-morawitz/spin-dynamics-stereo-reduction</w:t>
        </w:r>
      </w:hyperlink>
      <w:hyperlink w:anchor="fnref14">
        <w:r>
          <w:rPr>
            <w:rStyle w:val="Hyperlink"/>
          </w:rPr>
          <w:t xml:space="preserve">↩</w:t>
        </w:r>
      </w:hyperlink>
    </w:p>
    <w:bookmarkEnd w:id="603"/>
    <w:bookmarkStart w:id="605" w:name="fn15"/>
    <w:p>
      <w:pPr>
        <w:numPr>
          <w:numId w:val="1020"/>
          <w:ilvl w:val="0"/>
        </w:numPr>
      </w:pPr>
      <w:r>
        <w:t xml:space="preserve">Apple’s built-in framework to interface with the GPU . See</w:t>
      </w:r>
      <w:r>
        <w:t xml:space="preserve"> </w:t>
      </w:r>
      <w:hyperlink r:id="rId604">
        <w:r>
          <w:rPr>
            <w:rStyle w:val="Hyperlink"/>
          </w:rPr>
          <w:t xml:space="preserve">https://developer.apple.com/documentation/metal</w:t>
        </w:r>
      </w:hyperlink>
      <w:hyperlink w:anchor="fnref15">
        <w:r>
          <w:rPr>
            <w:rStyle w:val="Hyperlink"/>
          </w:rPr>
          <w:t xml:space="preserve">↩</w:t>
        </w:r>
      </w:hyperlink>
    </w:p>
    <w:bookmarkEnd w:id="605"/>
    <w:bookmarkStart w:id="607" w:name="fn16"/>
    <w:p>
      <w:pPr>
        <w:numPr>
          <w:numId w:val="1020"/>
          <w:ilvl w:val="0"/>
        </w:numPr>
      </w:pPr>
      <w:hyperlink r:id="rId606">
        <w:r>
          <w:rPr>
            <w:rStyle w:val="Hyperlink"/>
          </w:rPr>
          <w:t xml:space="preserve">https://vimeo.com/167646306</w:t>
        </w:r>
      </w:hyperlink>
      <w:hyperlink w:anchor="fnref16">
        <w:r>
          <w:rPr>
            <w:rStyle w:val="Hyperlink"/>
          </w:rPr>
          <w:t xml:space="preserve">↩</w:t>
        </w:r>
      </w:hyperlink>
    </w:p>
    <w:bookmarkEnd w:id="607"/>
    <w:bookmarkStart w:id="608" w:name="fn17"/>
    <w:p>
      <w:pPr>
        <w:numPr>
          <w:numId w:val="1020"/>
          <w:ilvl w:val="0"/>
        </w:numPr>
      </w:pPr>
      <w:r>
        <w:t xml:space="preserve">William Buxton is now considered a pioneer in HCI , and he is now a major figure in the Microsoft Research department.</w:t>
      </w:r>
      <w:hyperlink w:anchor="fnref17">
        <w:r>
          <w:rPr>
            <w:rStyle w:val="Hyperlink"/>
          </w:rPr>
          <w:t xml:space="preserve">↩</w:t>
        </w:r>
      </w:hyperlink>
    </w:p>
    <w:bookmarkEnd w:id="608"/>
    <w:bookmarkStart w:id="609" w:name="fn18"/>
    <w:p>
      <w:pPr>
        <w:numPr>
          <w:numId w:val="1020"/>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18">
        <w:r>
          <w:rPr>
            <w:rStyle w:val="Hyperlink"/>
          </w:rPr>
          <w:t xml:space="preserve">↩</w:t>
        </w:r>
      </w:hyperlink>
    </w:p>
    <w:bookmarkEnd w:id="609"/>
    <w:bookmarkStart w:id="610" w:name="fn19"/>
    <w:p>
      <w:pPr>
        <w:numPr>
          <w:numId w:val="1020"/>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19">
        <w:r>
          <w:rPr>
            <w:rStyle w:val="Hyperlink"/>
          </w:rPr>
          <w:t xml:space="preserve">↩</w:t>
        </w:r>
      </w:hyperlink>
    </w:p>
    <w:bookmarkEnd w:id="610"/>
    <w:bookmarkStart w:id="611" w:name="fn20"/>
    <w:p>
      <w:pPr>
        <w:numPr>
          <w:numId w:val="1020"/>
          <w:ilvl w:val="0"/>
        </w:numPr>
      </w:pPr>
      <w:r>
        <w:t xml:space="preserve">A heap is a tree-based data structure with a property such keys and parent-child relationships follow a hierarchic logic.</w:t>
      </w:r>
      <w:hyperlink w:anchor="fnref20">
        <w:r>
          <w:rPr>
            <w:rStyle w:val="Hyperlink"/>
          </w:rPr>
          <w:t xml:space="preserve">↩</w:t>
        </w:r>
      </w:hyperlink>
    </w:p>
    <w:bookmarkEnd w:id="611"/>
    <w:bookmarkStart w:id="612" w:name="fn21"/>
    <w:p>
      <w:pPr>
        <w:numPr>
          <w:numId w:val="1020"/>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1">
        <w:r>
          <w:rPr>
            <w:rStyle w:val="Hyperlink"/>
          </w:rPr>
          <w:t xml:space="preserve">↩</w:t>
        </w:r>
      </w:hyperlink>
    </w:p>
    <w:bookmarkEnd w:id="612"/>
    <w:bookmarkStart w:id="615" w:name="fn22"/>
    <w:p>
      <w:pPr>
        <w:numPr>
          <w:numId w:val="1020"/>
          <w:ilvl w:val="0"/>
        </w:numPr>
      </w:pPr>
      <w:r>
        <w:t xml:space="preserve">A video of the installation can be seen here:</w:t>
      </w:r>
      <w:r>
        <w:t xml:space="preserve"> </w:t>
      </w:r>
      <w:hyperlink r:id="rId613">
        <w:r>
          <w:rPr>
            <w:rStyle w:val="Hyperlink"/>
          </w:rPr>
          <w:t xml:space="preserve">https://vimeo.com/23086026</w:t>
        </w:r>
      </w:hyperlink>
      <w:r>
        <w:t xml:space="preserve">, the artist website can be accessed here:</w:t>
      </w:r>
      <w:r>
        <w:t xml:space="preserve"> </w:t>
      </w:r>
      <w:hyperlink r:id="rId614">
        <w:r>
          <w:rPr>
            <w:rStyle w:val="Hyperlink"/>
          </w:rPr>
          <w:t xml:space="preserve">http://insookchoi.com</w:t>
        </w:r>
      </w:hyperlink>
      <w:hyperlink w:anchor="fnref22">
        <w:r>
          <w:rPr>
            <w:rStyle w:val="Hyperlink"/>
          </w:rPr>
          <w:t xml:space="preserve">↩</w:t>
        </w:r>
      </w:hyperlink>
    </w:p>
    <w:bookmarkEnd w:id="615"/>
    <w:bookmarkStart w:id="617" w:name="fn23"/>
    <w:p>
      <w:pPr>
        <w:numPr>
          <w:numId w:val="1020"/>
          <w:ilvl w:val="0"/>
        </w:numPr>
      </w:pPr>
      <w:hyperlink r:id="rId616">
        <w:r>
          <w:rPr>
            <w:rStyle w:val="Hyperlink"/>
          </w:rPr>
          <w:t xml:space="preserve">https://sihwapark.com/COMPath</w:t>
        </w:r>
      </w:hyperlink>
      <w:hyperlink w:anchor="fnref23">
        <w:r>
          <w:rPr>
            <w:rStyle w:val="Hyperlink"/>
          </w:rPr>
          <w:t xml:space="preserve">↩</w:t>
        </w:r>
      </w:hyperlink>
    </w:p>
    <w:bookmarkEnd w:id="617"/>
    <w:bookmarkStart w:id="618" w:name="fn24"/>
    <w:p>
      <w:pPr>
        <w:numPr>
          <w:numId w:val="1020"/>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4">
        <w:r>
          <w:rPr>
            <w:rStyle w:val="Hyperlink"/>
          </w:rPr>
          <w:t xml:space="preserve">↩</w:t>
        </w:r>
      </w:hyperlink>
    </w:p>
    <w:bookmarkEnd w:id="618"/>
    <w:bookmarkStart w:id="619" w:name="fn25"/>
    <w:p>
      <w:pPr>
        <w:numPr>
          <w:numId w:val="1020"/>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5">
        <w:r>
          <w:rPr>
            <w:rStyle w:val="Hyperlink"/>
          </w:rPr>
          <w:t xml:space="preserve">↩</w:t>
        </w:r>
      </w:hyperlink>
    </w:p>
    <w:bookmarkEnd w:id="619"/>
    <w:bookmarkStart w:id="620" w:name="fn26"/>
    <w:p>
      <w:pPr>
        <w:numPr>
          <w:numId w:val="1020"/>
          <w:ilvl w:val="0"/>
        </w:numPr>
      </w:pPr>
      <w:r>
        <w:t xml:space="preserve">Digital waveguides are an efficient model for physical modeling of wave propagation</w:t>
      </w:r>
      <w:hyperlink w:anchor="fnref26">
        <w:r>
          <w:rPr>
            <w:rStyle w:val="Hyperlink"/>
          </w:rPr>
          <w:t xml:space="preserve">↩</w:t>
        </w:r>
      </w:hyperlink>
    </w:p>
    <w:bookmarkEnd w:id="620"/>
    <w:bookmarkStart w:id="621" w:name="fn27"/>
    <w:p>
      <w:pPr>
        <w:numPr>
          <w:numId w:val="1020"/>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27">
        <w:r>
          <w:rPr>
            <w:rStyle w:val="Hyperlink"/>
          </w:rPr>
          <w:t xml:space="preserve">↩</w:t>
        </w:r>
      </w:hyperlink>
    </w:p>
    <w:bookmarkEnd w:id="621"/>
    <w:bookmarkStart w:id="622" w:name="fn28"/>
    <w:p>
      <w:pPr>
        <w:numPr>
          <w:numId w:val="1020"/>
          <w:ilvl w:val="0"/>
        </w:numPr>
      </w:pPr>
      <w:r>
        <w:t xml:space="preserve">This structure comprises Nancy’s reading of Jacques Derrida’s concept of</w:t>
      </w:r>
      <w:r>
        <w:t xml:space="preserve"> </w:t>
      </w:r>
      <w:r>
        <w:rPr>
          <w:i/>
        </w:rPr>
        <w:t xml:space="preserve">différance</w:t>
      </w:r>
      <w:r>
        <w:t xml:space="preserve"> </w:t>
      </w:r>
      <w:r>
        <w:t xml:space="preserve">and will be analyzed in the following section. 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28">
        <w:r>
          <w:rPr>
            <w:rStyle w:val="Hyperlink"/>
          </w:rPr>
          <w:t xml:space="preserve">↩</w:t>
        </w:r>
      </w:hyperlink>
    </w:p>
    <w:bookmarkEnd w:id="622"/>
    <w:bookmarkStart w:id="623" w:name="fn29"/>
    <w:p>
      <w:pPr>
        <w:numPr>
          <w:numId w:val="1020"/>
          <w:ilvl w:val="0"/>
        </w:numPr>
      </w:pPr>
      <w:r>
        <w:t xml:space="preserve">In this sense, Nancy is one of the first philosophers of the self to propose such a theorization of the self as resonance, extending his speculations to, for example, considering if the philosophical truth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29">
        <w:r>
          <w:rPr>
            <w:rStyle w:val="Hyperlink"/>
          </w:rPr>
          <w:t xml:space="preserve">↩</w:t>
        </w:r>
      </w:hyperlink>
    </w:p>
    <w:bookmarkEnd w:id="623"/>
    <w:bookmarkStart w:id="624" w:name="fn30"/>
    <w:p>
      <w:pPr>
        <w:numPr>
          <w:numId w:val="1020"/>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0">
        <w:r>
          <w:rPr>
            <w:rStyle w:val="Hyperlink"/>
          </w:rPr>
          <w:t xml:space="preserve">↩</w:t>
        </w:r>
      </w:hyperlink>
    </w:p>
    <w:bookmarkEnd w:id="624"/>
    <w:bookmarkStart w:id="625" w:name="fn31"/>
    <w:p>
      <w:pPr>
        <w:numPr>
          <w:numId w:val="1020"/>
          <w:ilvl w:val="0"/>
        </w:numPr>
      </w:pPr>
      <w:r>
        <w:t xml:space="preserve">Within this fictional universe, the only way for him to sleep was to imagine the opaqueness of an unknowable future…</w:t>
      </w:r>
      <w:hyperlink w:anchor="fnref31">
        <w:r>
          <w:rPr>
            <w:rStyle w:val="Hyperlink"/>
          </w:rPr>
          <w:t xml:space="preserve">↩</w:t>
        </w:r>
      </w:hyperlink>
    </w:p>
    <w:bookmarkEnd w:id="625"/>
    <w:bookmarkStart w:id="626" w:name="fn32"/>
    <w:p>
      <w:pPr>
        <w:numPr>
          <w:numId w:val="1020"/>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2">
        <w:r>
          <w:rPr>
            <w:rStyle w:val="Hyperlink"/>
          </w:rPr>
          <w:t xml:space="preserve">↩</w:t>
        </w:r>
      </w:hyperlink>
    </w:p>
    <w:bookmarkEnd w:id="626"/>
    <w:bookmarkStart w:id="627" w:name="fn33"/>
    <w:p>
      <w:pPr>
        <w:numPr>
          <w:numId w:val="1020"/>
          <w:ilvl w:val="0"/>
        </w:numPr>
      </w:pPr>
      <w:r>
        <w:t xml:space="preserve">For example, one of Irineo’s concerns was to reduce the amount of memories on a single day, which he downsized to about seventy thousand…</w:t>
      </w:r>
      <w:hyperlink w:anchor="fnref33">
        <w:r>
          <w:rPr>
            <w:rStyle w:val="Hyperlink"/>
          </w:rPr>
          <w:t xml:space="preserve">↩</w:t>
        </w:r>
      </w:hyperlink>
    </w:p>
    <w:bookmarkEnd w:id="627"/>
    <w:bookmarkStart w:id="628" w:name="fn34"/>
    <w:p>
      <w:pPr>
        <w:numPr>
          <w:numId w:val="1020"/>
          <w:ilvl w:val="0"/>
        </w:numPr>
      </w:pPr>
      <w:r>
        <w:t xml:space="preserve">This acousmatic quality of Funes’ voice will not be touched here, but it is indeed a good point of departure for an essay.</w:t>
      </w:r>
      <w:hyperlink w:anchor="fnref34">
        <w:r>
          <w:rPr>
            <w:rStyle w:val="Hyperlink"/>
          </w:rPr>
          <w:t xml:space="preserve">↩</w:t>
        </w:r>
      </w:hyperlink>
    </w:p>
    <w:bookmarkEnd w:id="628"/>
    <w:bookmarkStart w:id="630" w:name="fn35"/>
    <w:p>
      <w:pPr>
        <w:numPr>
          <w:numId w:val="1020"/>
          <w:ilvl w:val="0"/>
        </w:numPr>
      </w:pPr>
      <w:hyperlink r:id="rId629">
        <w:r>
          <w:rPr>
            <w:rStyle w:val="Hyperlink"/>
          </w:rPr>
          <w:t xml:space="preserve">https://en.wikipedia.org/wiki/Leo_Beranek</w:t>
        </w:r>
      </w:hyperlink>
      <w:hyperlink w:anchor="fnref35">
        <w:r>
          <w:rPr>
            <w:rStyle w:val="Hyperlink"/>
          </w:rPr>
          <w:t xml:space="preserve">↩</w:t>
        </w:r>
      </w:hyperlink>
    </w:p>
    <w:bookmarkEnd w:id="630"/>
    <w:bookmarkStart w:id="631" w:name="fn36"/>
    <w:p>
      <w:pPr>
        <w:numPr>
          <w:numId w:val="1020"/>
          <w:ilvl w:val="0"/>
        </w:numPr>
      </w:pPr>
      <w:r>
        <w:t xml:space="preserve">Anthony Kerrigan translated this fragment as: “The truth is that we all live by leaving behind; no doubt we all profoundly know that we are immortal and that sooner or later every man will do all things and know everything.” In a more literal translation of the first sentence, it reads: “What is certain is that we live deferring all that can be deferred.”</w:t>
      </w:r>
      <w:hyperlink w:anchor="fnref36">
        <w:r>
          <w:rPr>
            <w:rStyle w:val="Hyperlink"/>
          </w:rPr>
          <w:t xml:space="preserve">↩</w:t>
        </w:r>
      </w:hyperlink>
    </w:p>
    <w:bookmarkEnd w:id="631"/>
    <w:bookmarkStart w:id="633" w:name="fn37"/>
    <w:p>
      <w:pPr>
        <w:numPr>
          <w:numId w:val="1020"/>
          <w:ilvl w:val="0"/>
        </w:numPr>
      </w:pPr>
      <w:hyperlink r:id="rId632">
        <w:r>
          <w:rPr>
            <w:rStyle w:val="Hyperlink"/>
          </w:rPr>
          <w:t xml:space="preserve">https://en.cppreference.com/w/cpp/language/destructor</w:t>
        </w:r>
      </w:hyperlink>
      <w:hyperlink w:anchor="fnref37">
        <w:r>
          <w:rPr>
            <w:rStyle w:val="Hyperlink"/>
          </w:rPr>
          <w:t xml:space="preserve">↩</w:t>
        </w:r>
      </w:hyperlink>
    </w:p>
    <w:bookmarkEnd w:id="633"/>
    <w:bookmarkStart w:id="635" w:name="fn38"/>
    <w:p>
      <w:pPr>
        <w:numPr>
          <w:numId w:val="1020"/>
          <w:ilvl w:val="0"/>
        </w:numPr>
      </w:pPr>
      <w:hyperlink r:id="rId634">
        <w:r>
          <w:rPr>
            <w:rStyle w:val="Hyperlink"/>
          </w:rPr>
          <w:t xml:space="preserve">https://mpc.chs.harvard.edu/</w:t>
        </w:r>
      </w:hyperlink>
      <w:hyperlink w:anchor="fnref38">
        <w:r>
          <w:rPr>
            <w:rStyle w:val="Hyperlink"/>
          </w:rPr>
          <w:t xml:space="preserve">↩</w:t>
        </w:r>
      </w:hyperlink>
    </w:p>
    <w:bookmarkEnd w:id="635"/>
    <w:bookmarkStart w:id="636" w:name="fn39"/>
    <w:p>
      <w:pPr>
        <w:numPr>
          <w:numId w:val="1020"/>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39">
        <w:r>
          <w:rPr>
            <w:rStyle w:val="Hyperlink"/>
          </w:rPr>
          <w:t xml:space="preserve">↩</w:t>
        </w:r>
      </w:hyperlink>
    </w:p>
    <w:bookmarkEnd w:id="636"/>
    <w:bookmarkStart w:id="637" w:name="fn40"/>
    <w:p>
      <w:pPr>
        <w:numPr>
          <w:numId w:val="1020"/>
          <w:ilvl w:val="0"/>
        </w:numPr>
      </w:pPr>
      <w:r>
        <w:t xml:space="preserve">In signal processing terms, the sound of a voice might be approached with timbre stamps or vocoders, a type of Fourier-based filter in which “the spectrum of one sound is used to derive a filter for another”</w:t>
      </w:r>
      <w:r>
        <w:t xml:space="preserve"> </w:t>
      </w:r>
      <w:r>
        <w:t xml:space="preserve">(Puckette 2007)</w:t>
      </w:r>
      <w:r>
        <w:t xml:space="preserve">.</w:t>
      </w:r>
      <w:hyperlink w:anchor="fnref40">
        <w:r>
          <w:rPr>
            <w:rStyle w:val="Hyperlink"/>
          </w:rPr>
          <w:t xml:space="preserve">↩</w:t>
        </w:r>
      </w:hyperlink>
    </w:p>
    <w:bookmarkEnd w:id="637"/>
    <w:bookmarkStart w:id="638" w:name="fn41"/>
    <w:p>
      <w:pPr>
        <w:numPr>
          <w:numId w:val="1020"/>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41">
        <w:r>
          <w:rPr>
            <w:rStyle w:val="Hyperlink"/>
          </w:rPr>
          <w:t xml:space="preserve">↩</w:t>
        </w:r>
      </w:hyperlink>
    </w:p>
    <w:bookmarkEnd w:id="638"/>
    <w:bookmarkStart w:id="639" w:name="fn42"/>
    <w:p>
      <w:pPr>
        <w:numPr>
          <w:numId w:val="1020"/>
          <w:ilvl w:val="0"/>
        </w:numPr>
      </w:pPr>
      <w:r>
        <w:t xml:space="preserve">The word ‘microsound’ refers to sonic events shaped below the threshold of the ‘note.’ See</w:t>
      </w:r>
      <w:r>
        <w:t xml:space="preserve"> </w:t>
      </w:r>
      <w:r>
        <w:t xml:space="preserve">(Roads 2001)</w:t>
      </w:r>
      <w:hyperlink w:anchor="fnref42">
        <w:r>
          <w:rPr>
            <w:rStyle w:val="Hyperlink"/>
          </w:rPr>
          <w:t xml:space="preserve">↩</w:t>
        </w:r>
      </w:hyperlink>
    </w:p>
    <w:bookmarkEnd w:id="639"/>
    <w:bookmarkStart w:id="640" w:name="fn43"/>
    <w:p>
      <w:pPr>
        <w:numPr>
          <w:numId w:val="1020"/>
          <w:ilvl w:val="0"/>
        </w:numPr>
      </w:pPr>
      <w:r>
        <w:t xml:space="preserve">For example, in the work of Beatriz Ferreyra, Elsa Justel, Mario Mary, to name a few. For an approach to Justel’s timeline-based spatialization techniques, see</w:t>
      </w:r>
      <w:r>
        <w:t xml:space="preserve"> </w:t>
      </w:r>
      <w:r>
        <w:t xml:space="preserve">(Cámara Halac 2018b)</w:t>
      </w:r>
      <w:r>
        <w:t xml:space="preserve">.</w:t>
      </w:r>
      <w:hyperlink w:anchor="fnref43">
        <w:r>
          <w:rPr>
            <w:rStyle w:val="Hyperlink"/>
          </w:rPr>
          <w:t xml:space="preserve">↩</w:t>
        </w:r>
      </w:hyperlink>
    </w:p>
    <w:bookmarkEnd w:id="640"/>
    <w:bookmarkStart w:id="641" w:name="fn44"/>
    <w:p>
      <w:pPr>
        <w:numPr>
          <w:numId w:val="1020"/>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44">
        <w:r>
          <w:rPr>
            <w:rStyle w:val="Hyperlink"/>
          </w:rPr>
          <w:t xml:space="preserve">↩</w:t>
        </w:r>
      </w:hyperlink>
    </w:p>
    <w:bookmarkEnd w:id="641"/>
    <w:bookmarkStart w:id="644" w:name="fn45"/>
    <w:p>
      <w:pPr>
        <w:numPr>
          <w:numId w:val="1020"/>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642">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643">
        <w:r>
          <w:rPr>
            <w:rStyle w:val="Hyperlink"/>
          </w:rPr>
          <w:t xml:space="preserve">https://en.wikipedia.org/wiki/Dr._Strangelove</w:t>
        </w:r>
      </w:hyperlink>
      <w:hyperlink w:anchor="fnref45">
        <w:r>
          <w:rPr>
            <w:rStyle w:val="Hyperlink"/>
          </w:rPr>
          <w:t xml:space="preserve">↩</w:t>
        </w:r>
      </w:hyperlink>
    </w:p>
    <w:bookmarkEnd w:id="644"/>
    <w:bookmarkStart w:id="645" w:name="fn46"/>
    <w:p>
      <w:pPr>
        <w:numPr>
          <w:numId w:val="1020"/>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46">
        <w:r>
          <w:rPr>
            <w:rStyle w:val="Hyperlink"/>
          </w:rPr>
          <w:t xml:space="preserve">↩</w:t>
        </w:r>
      </w:hyperlink>
    </w:p>
    <w:bookmarkEnd w:id="645"/>
    <w:bookmarkStart w:id="646" w:name="fn47"/>
    <w:p>
      <w:pPr>
        <w:numPr>
          <w:numId w:val="1020"/>
          <w:ilvl w:val="0"/>
        </w:numPr>
      </w:pPr>
      <w:r>
        <w:t xml:space="preserve">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hyperlink w:anchor="fnref47">
        <w:r>
          <w:rPr>
            <w:rStyle w:val="Hyperlink"/>
          </w:rPr>
          <w:t xml:space="preserve">↩</w:t>
        </w:r>
      </w:hyperlink>
    </w:p>
    <w:bookmarkEnd w:id="646"/>
    <w:bookmarkStart w:id="648" w:name="fn48"/>
    <w:p>
      <w:pPr>
        <w:numPr>
          <w:numId w:val="1020"/>
          <w:ilvl w:val="0"/>
        </w:numPr>
      </w:pPr>
      <w:r>
        <w:t xml:space="preserve">As an example, I would refer the reader to James Tenney’s work from 1962 “Five Stochastic Studies,” which can be found on a YouTube account on his name:</w:t>
      </w:r>
      <w:r>
        <w:t xml:space="preserve"> </w:t>
      </w:r>
      <w:hyperlink r:id="rId647">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48">
        <w:r>
          <w:rPr>
            <w:rStyle w:val="Hyperlink"/>
          </w:rPr>
          <w:t xml:space="preserve">↩</w:t>
        </w:r>
      </w:hyperlink>
    </w:p>
    <w:bookmarkEnd w:id="648"/>
    <w:bookmarkStart w:id="649" w:name="fn49"/>
    <w:p>
      <w:pPr>
        <w:numPr>
          <w:numId w:val="1020"/>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49">
        <w:r>
          <w:rPr>
            <w:rStyle w:val="Hyperlink"/>
          </w:rPr>
          <w:t xml:space="preserve">↩</w:t>
        </w:r>
      </w:hyperlink>
    </w:p>
    <w:bookmarkEnd w:id="649"/>
    <w:bookmarkStart w:id="650" w:name="fn50"/>
    <w:p>
      <w:pPr>
        <w:numPr>
          <w:numId w:val="1020"/>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50">
        <w:r>
          <w:rPr>
            <w:rStyle w:val="Hyperlink"/>
          </w:rPr>
          <w:t xml:space="preserve">↩</w:t>
        </w:r>
      </w:hyperlink>
    </w:p>
    <w:bookmarkEnd w:id="650"/>
    <w:bookmarkStart w:id="651" w:name="fn51"/>
    <w:p>
      <w:pPr>
        <w:numPr>
          <w:numId w:val="1020"/>
          <w:ilvl w:val="0"/>
        </w:numPr>
      </w:pPr>
      <w:r>
        <w:t xml:space="preserve">Since, the notion of a ‘piece’ presupposes that of the whole to which it belongs.</w:t>
      </w:r>
      <w:hyperlink w:anchor="fnref51">
        <w:r>
          <w:rPr>
            <w:rStyle w:val="Hyperlink"/>
          </w:rPr>
          <w:t xml:space="preserve">↩</w:t>
        </w:r>
      </w:hyperlink>
    </w:p>
    <w:bookmarkEnd w:id="651"/>
    <w:bookmarkStart w:id="652" w:name="fn52"/>
    <w:p>
      <w:pPr>
        <w:numPr>
          <w:numId w:val="1020"/>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52">
        <w:r>
          <w:rPr>
            <w:rStyle w:val="Hyperlink"/>
          </w:rPr>
          <w:t xml:space="preserve">↩</w:t>
        </w:r>
      </w:hyperlink>
    </w:p>
    <w:bookmarkEnd w:id="6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4" Target="media/rId114.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212" Target="media/rId212.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3" Target="media/rId123.png" /><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614" Target="http://insookchoi.com" TargetMode="External" /><Relationship Type="http://schemas.openxmlformats.org/officeDocument/2006/relationships/hyperlink" Id="rId371" Target="http://ismir2000.ismir.net/papers/invites/dunn_invite.pdf" TargetMode="External" /><Relationship Type="http://schemas.openxmlformats.org/officeDocument/2006/relationships/hyperlink" Id="rId396" Target="http://ismir2000.ismir.net/posters/good.pdf" TargetMode="External" /><Relationship Type="http://schemas.openxmlformats.org/officeDocument/2006/relationships/hyperlink" Id="rId554" Target="http://ismir2002.ismir.net/proceedings/02-FP06-3.pdf" TargetMode="External" /><Relationship Type="http://schemas.openxmlformats.org/officeDocument/2006/relationships/hyperlink" Id="rId398" Target="http://ismir2002.ismir.net/proceedings/03-SP04-1.pdf" TargetMode="External" /><Relationship Type="http://schemas.openxmlformats.org/officeDocument/2006/relationships/hyperlink" Id="rId400" Target="http://ismir2003.ismir.net/papers/Goto1.PDF" TargetMode="External" /><Relationship Type="http://schemas.openxmlformats.org/officeDocument/2006/relationships/hyperlink" Id="rId570" Target="http://ismir2004.ismir.net/proceedings/p010-page-48-paper227.pdf" TargetMode="External" /><Relationship Type="http://schemas.openxmlformats.org/officeDocument/2006/relationships/hyperlink" Id="rId418" Target="http://ismir2005.ismir.net/proceedings/2117.pdf" TargetMode="External" /><Relationship Type="http://schemas.openxmlformats.org/officeDocument/2006/relationships/hyperlink" Id="rId513" Target="http://ismir2005.ismir.net/proceedings/3123.pdf" TargetMode="External" /><Relationship Type="http://schemas.openxmlformats.org/officeDocument/2006/relationships/hyperlink" Id="rId426" Target="http://ismir2008.ismir.net/papers/ISMIR2008_106.pdf" TargetMode="External" /><Relationship Type="http://schemas.openxmlformats.org/officeDocument/2006/relationships/hyperlink" Id="rId455" Target="http://ismir2008.ismir.net/papers/ISMIR2008_158.pdf" TargetMode="External" /><Relationship Type="http://schemas.openxmlformats.org/officeDocument/2006/relationships/hyperlink" Id="rId408" Target="http://ismir2008.ismir.net/papers/ISMIR2008_173.pdf" TargetMode="External" /><Relationship Type="http://schemas.openxmlformats.org/officeDocument/2006/relationships/hyperlink" Id="rId437" Target="http://ismir2015.uma.es/articles/246_Paper.pdf" TargetMode="External" /><Relationship Type="http://schemas.openxmlformats.org/officeDocument/2006/relationships/hyperlink" Id="rId361" Target="http://ismir2015.uma.es/articles/261_Paper.pdf" TargetMode="External" /><Relationship Type="http://schemas.openxmlformats.org/officeDocument/2006/relationships/hyperlink" Id="rId567" Target="http://ismir2018.ircam.fr/doc/pdfs/114_Paper.pdf" TargetMode="External" /><Relationship Type="http://schemas.openxmlformats.org/officeDocument/2006/relationships/hyperlink" Id="rId574" Target="http://ismir2018.ircam.fr/doc/pdfs/188_Paper.pdf" TargetMode="External" /><Relationship Type="http://schemas.openxmlformats.org/officeDocument/2006/relationships/hyperlink" Id="rId377" Target="http://ismir2018.ircam.fr/doc/pdfs/206_Paper.pdf" TargetMode="External" /><Relationship Type="http://schemas.openxmlformats.org/officeDocument/2006/relationships/hyperlink" Id="rId420" Target="http://ismir2018.ircam.fr/doc/pdfs/248_Paper.pdf" TargetMode="External" /><Relationship Type="http://schemas.openxmlformats.org/officeDocument/2006/relationships/hyperlink" Id="rId368" Target="http://ismir2018.ircam.fr/doc/pdfs/265_Paper.pdf" TargetMode="External" /><Relationship Type="http://schemas.openxmlformats.org/officeDocument/2006/relationships/hyperlink" Id="rId462" Target="http://ismir2018.ircam.fr/doc/pdfs/35_Paper.pdf" TargetMode="External" /><Relationship Type="http://schemas.openxmlformats.org/officeDocument/2006/relationships/hyperlink" Id="rId592" Target="http://kern.ccarh.org/" TargetMode="External" /><Relationship Type="http://schemas.openxmlformats.org/officeDocument/2006/relationships/hyperlink" Id="rId599" Target="http://www.natashabarrett.org/viva.html" TargetMode="External" /><Relationship Type="http://schemas.openxmlformats.org/officeDocument/2006/relationships/hyperlink" Id="rId431" Target="http://www.nime.org/proceedings/2004/nime2004_130.pdf" TargetMode="External" /><Relationship Type="http://schemas.openxmlformats.org/officeDocument/2006/relationships/hyperlink" Id="rId582" Target="http://www.nime.org/proceedings/2007/nime2007_352.pdf" TargetMode="External" /><Relationship Type="http://schemas.openxmlformats.org/officeDocument/2006/relationships/hyperlink" Id="rId471" Target="http://www.nime.org/proceedings/2007/nime2007_409.pdf" TargetMode="External" /><Relationship Type="http://schemas.openxmlformats.org/officeDocument/2006/relationships/hyperlink" Id="rId450" Target="http://www.nime.org/proceedings/2008/nime2008_221.pdf" TargetMode="External" /><Relationship Type="http://schemas.openxmlformats.org/officeDocument/2006/relationships/hyperlink" Id="rId493" Target="http://www.nime.org/proceedings/2008/nime2008_311.pdf" TargetMode="External" /><Relationship Type="http://schemas.openxmlformats.org/officeDocument/2006/relationships/hyperlink" Id="rId315" Target="http://www.nime.org/proceedings/2009/nime2009_266.pdf" TargetMode="External" /><Relationship Type="http://schemas.openxmlformats.org/officeDocument/2006/relationships/hyperlink" Id="rId416" Target="http://www.nime.org/proceedings/2010/nime2010_233.pdf" TargetMode="External" /><Relationship Type="http://schemas.openxmlformats.org/officeDocument/2006/relationships/hyperlink" Id="rId391" Target="http://www.nime.org/proceedings/2010/nime2010_473.pdf" TargetMode="External" /><Relationship Type="http://schemas.openxmlformats.org/officeDocument/2006/relationships/hyperlink" Id="rId393" Target="http://www.nime.org/proceedings/2011/nime2011_124.pdf" TargetMode="External" /><Relationship Type="http://schemas.openxmlformats.org/officeDocument/2006/relationships/hyperlink" Id="rId326" Target="http://www.nime.org/proceedings/2011/nime2011_329.pdf" TargetMode="External" /><Relationship Type="http://schemas.openxmlformats.org/officeDocument/2006/relationships/hyperlink" Id="rId313" Target="http://www.nime.org/proceedings/2011/nime2011_387.pdf" TargetMode="External" /><Relationship Type="http://schemas.openxmlformats.org/officeDocument/2006/relationships/hyperlink" Id="rId410" Target="http://www.ppgia.pucpr.br/ismir2013/wp-content/uploads/2013/09/85_Paper.pdf" TargetMode="External" /><Relationship Type="http://schemas.openxmlformats.org/officeDocument/2006/relationships/hyperlink" Id="rId281" Target="http://www.terasoft.com.tw/conf/ismir2014/proceedings/T014_162_Paper.pdf" TargetMode="External" /><Relationship Type="http://schemas.openxmlformats.org/officeDocument/2006/relationships/hyperlink" Id="rId297" Target="http://www.terasoft.com.tw/conf/ismir2014/proceedings/T028_322_Paper.pdf" TargetMode="External" /><Relationship Type="http://schemas.openxmlformats.org/officeDocument/2006/relationships/hyperlink" Id="rId434" Target="http://www.terasoft.com.tw/conf/ismir2014/proceedings/T039_344_Paper.pdf" TargetMode="External" /><Relationship Type="http://schemas.openxmlformats.org/officeDocument/2006/relationships/hyperlink" Id="rId403" Target="http://www.terasoft.com.tw/conf/ismir2014/proceedings/T059_257_Paper.pdf" TargetMode="External" /><Relationship Type="http://schemas.openxmlformats.org/officeDocument/2006/relationships/hyperlink" Id="rId490" Target="http://www.terasoft.com.tw/conf/ismir2014/proceedings/T064_307_Paper.pdf" TargetMode="External" /><Relationship Type="http://schemas.openxmlformats.org/officeDocument/2006/relationships/hyperlink" Id="rId604" Target="https://developer.apple.com/documentation/metal" TargetMode="External" /><Relationship Type="http://schemas.openxmlformats.org/officeDocument/2006/relationships/hyperlink" Id="rId632" Target="https://en.cppreference.com/w/cpp/language/destructor" TargetMode="External" /><Relationship Type="http://schemas.openxmlformats.org/officeDocument/2006/relationships/hyperlink" Id="rId643" Target="https://en.wikipedia.org/wiki/Dr._Strangelove" TargetMode="External" /><Relationship Type="http://schemas.openxmlformats.org/officeDocument/2006/relationships/hyperlink" Id="rId586" Target="https://en.wikipedia.org/wiki/I_Am_Sitting_in_a_Room" TargetMode="External" /><Relationship Type="http://schemas.openxmlformats.org/officeDocument/2006/relationships/hyperlink" Id="rId629" Target="https://en.wikipedia.org/wiki/Leo_Beranek"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528" Target="https://hal.archives-ouvertes.fr/hal-01393959" TargetMode="External" /><Relationship Type="http://schemas.openxmlformats.org/officeDocument/2006/relationships/hyperlink" Id="rId483" Target="https://ismir2017.smcnus.org/wp-content/uploads/2017/10/14_Paper.pdf" TargetMode="External" /><Relationship Type="http://schemas.openxmlformats.org/officeDocument/2006/relationships/hyperlink" Id="rId383" Target="https://ismir2017.smcnus.org/wp-content/uploads/2017/10/161_Paper.pdf" TargetMode="External" /><Relationship Type="http://schemas.openxmlformats.org/officeDocument/2006/relationships/hyperlink" Id="rId551" Target="https://ismir2017.smcnus.org/wp-content/uploads/2017/10/180_Paper.pdf" TargetMode="External" /><Relationship Type="http://schemas.openxmlformats.org/officeDocument/2006/relationships/hyperlink" Id="rId348" Target="https://ismir2017.smcnus.org/wp-content/uploads/2017/10/235_Paper.pdf" TargetMode="External" /><Relationship Type="http://schemas.openxmlformats.org/officeDocument/2006/relationships/hyperlink" Id="rId353" Target="https://ismir2017.smcnus.org/wp-content/uploads/2017/10/75_Paper.pdf" TargetMode="External" /><Relationship Type="http://schemas.openxmlformats.org/officeDocument/2006/relationships/hyperlink" Id="rId634" Target="https://mpc.chs.harvard.edu/" TargetMode="External" /><Relationship Type="http://schemas.openxmlformats.org/officeDocument/2006/relationships/hyperlink" Id="rId616" Target="https://sihwapark.com/COMPath" TargetMode="External" /><Relationship Type="http://schemas.openxmlformats.org/officeDocument/2006/relationships/hyperlink" Id="rId602" Target="https://soundcloud.com/falk-morawitz/spin-dynamics-stereo-reduction" TargetMode="External" /><Relationship Type="http://schemas.openxmlformats.org/officeDocument/2006/relationships/hyperlink" Id="rId606" Target="https://vimeo.com/167646306" TargetMode="External" /><Relationship Type="http://schemas.openxmlformats.org/officeDocument/2006/relationships/hyperlink" Id="rId613" Target="https://vimeo.com/23086026" TargetMode="External" /><Relationship Type="http://schemas.openxmlformats.org/officeDocument/2006/relationships/hyperlink" Id="rId350" Target="https://www.cs.unm.edu/~crowley/papers/sds.pdf" TargetMode="External" /><Relationship Type="http://schemas.openxmlformats.org/officeDocument/2006/relationships/hyperlink" Id="rId642" Target="https://www.mersenne.org/primes/" TargetMode="External" /><Relationship Type="http://schemas.openxmlformats.org/officeDocument/2006/relationships/hyperlink" Id="rId647"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2019-04-02T16:03:03Z</dcterms:created>
  <dcterms:modified xsi:type="dcterms:W3CDTF">2019-04-02T16:03:03Z</dcterms:modified>
</cp:coreProperties>
</file>

<file path=docProps/custom.xml><?xml version="1.0" encoding="utf-8"?>
<Properties xmlns="http://schemas.openxmlformats.org/officeDocument/2006/custom-properties" xmlns:vt="http://schemas.openxmlformats.org/officeDocument/2006/docPropsVTypes"/>
</file>