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
        <w:r>
          <w:rPr>
            <w:rStyle w:val="Hyperlink"/>
          </w:rPr>
          <w:t xml:space="preserve">The Database</w:t>
        </w:r>
      </w:hyperlink>
    </w:p>
    <w:p>
      <w:pPr>
        <w:pStyle w:val="Compact"/>
        <w:numPr>
          <w:numId w:val="1007"/>
          <w:ilvl w:val="2"/>
        </w:numPr>
      </w:pPr>
      <w:hyperlink w:anchor="new_media">
        <w:r>
          <w:rPr>
            <w:rStyle w:val="Hyperlink"/>
          </w:rPr>
          <w:t xml:space="preserve">New Media</w:t>
        </w:r>
      </w:hyperlink>
    </w:p>
    <w:p>
      <w:pPr>
        <w:pStyle w:val="Compact"/>
        <w:numPr>
          <w:numId w:val="1007"/>
          <w:ilvl w:val="2"/>
        </w:numPr>
      </w:pPr>
      <w:hyperlink w:anchor="bodiless_information">
        <w:r>
          <w:rPr>
            <w:rStyle w:val="Hyperlink"/>
          </w:rPr>
          <w:t xml:space="preserve">Bodiless Information</w:t>
        </w:r>
      </w:hyperlink>
    </w:p>
    <w:p>
      <w:pPr>
        <w:pStyle w:val="Compact"/>
        <w:numPr>
          <w:numId w:val="1007"/>
          <w:ilvl w:val="2"/>
        </w:numPr>
      </w:pPr>
      <w:hyperlink w:anchor="embodiment">
        <w:r>
          <w:rPr>
            <w:rStyle w:val="Hyperlink"/>
          </w:rPr>
          <w:t xml:space="preserve">Embodiment</w:t>
        </w:r>
      </w:hyperlink>
    </w:p>
    <w:p>
      <w:pPr>
        <w:pStyle w:val="Compact"/>
        <w:numPr>
          <w:numId w:val="1007"/>
          <w:ilvl w:val="2"/>
        </w:numPr>
      </w:pPr>
      <w:hyperlink w:anchor="convergence_and_framing">
        <w:r>
          <w:rPr>
            <w:rStyle w:val="Hyperlink"/>
          </w:rPr>
          <w:t xml:space="preserve">Convergence and Framing</w:t>
        </w:r>
      </w:hyperlink>
    </w:p>
    <w:p>
      <w:pPr>
        <w:pStyle w:val="Compact"/>
        <w:numPr>
          <w:numId w:val="1007"/>
          <w:ilvl w:val="2"/>
        </w:numPr>
      </w:pPr>
      <w:hyperlink w:anchor="database_aesthetics">
        <w:r>
          <w:rPr>
            <w:rStyle w:val="Hyperlink"/>
          </w:rPr>
          <w:t xml:space="preserve">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section:Databasing">
        <w:r>
          <w:rPr>
            <w:rStyle w:val="Hyperlink"/>
          </w:rPr>
          <w:t xml:space="preserve">Databasing</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section:Databasing_Sound">
        <w:r>
          <w:rPr>
            <w:rStyle w:val="Hyperlink"/>
          </w:rPr>
          <w:t xml:space="preserve">Databasing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Database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 Composing Composer</w:t>
        </w:r>
      </w:hyperlink>
    </w:p>
    <w:p>
      <w:pPr>
        <w:pStyle w:val="Compact"/>
        <w:numPr>
          <w:numId w:val="1021"/>
          <w:ilvl w:val="2"/>
        </w:numPr>
      </w:pPr>
      <w:hyperlink w:anchor="anarchy">
        <w:r>
          <w:rPr>
            <w:rStyle w:val="Hyperlink"/>
          </w:rPr>
          <w:t xml:space="preserve">Anarchy and the Unwork</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
      <w:r>
        <w:t xml:space="preserve">The Database</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New Media</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He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form (in his words, literally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With this, I propose an embodied alternative where databases have an aesthetic agency that does not cancel that of the human. In this sense, I interpret Weinbren’s viewpoint as valid but incomplete, in the sense that it is not only the narrative</w:t>
      </w:r>
      <w:hyperlink w:anchor="fn10">
        <w:r>
          <w:rPr>
            <w:vertAlign w:val="superscript"/>
            <w:rStyle w:val="Hyperlink"/>
          </w:rPr>
          <w:t xml:space="preserve">10</w:t>
        </w:r>
      </w:hyperlink>
      <w:r>
        <w:t xml:space="preserve"> </w:t>
      </w:r>
      <w:r>
        <w:t xml:space="preserve">what gives meaning to databases. Furthermore, given the fact that both Manovich and Weinbren focus on visual arts, and thus, they base their discussion between database and narrative, I shift the focus from narrative to performance, arguing that it is performativity itself what provides meaning to database practice.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in itself,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Quoting Ferdinand de Saussure from Roland Barthes’</w:t>
      </w:r>
      <w:r>
        <w:t xml:space="preserve"> </w:t>
      </w:r>
      <w:r>
        <w:rPr>
          <w:i/>
        </w:rPr>
        <w:t xml:space="preserve">Elements of Semiology</w:t>
      </w:r>
      <w:r>
        <w:t xml:space="preserve">, Manovich explains that the syntagm is an instantiation of individual words as concrete elements in a sequence, and that the paradigm is the abstract notion of meaning that is drawn from the former; the former subjected to combination, the latter to substitution. Manovich claims that it is the paradigm what is made explicit with the material existence of the database —i.e., residing in a computer’s memory— and that, since the narrative is just a set of links —i.e., pointers which refer to addresses on the computer’s memory—, the syntagm is made implicit.</w:t>
      </w:r>
    </w:p>
    <w:p>
      <w:pPr>
        <w:pStyle w:val="BodyText"/>
      </w:pPr>
      <w:r>
        <w:t xml:space="preserve">For example, consider the case of the typical timeline-view of a video editor</w:t>
      </w:r>
      <w:hyperlink w:anchor="fn11">
        <w:r>
          <w:rPr>
            <w:vertAlign w:val="superscript"/>
            <w:rStyle w:val="Hyperlink"/>
          </w:rPr>
          <w:t xml:space="preserve">11</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2">
        <w:r>
          <w:rPr>
            <w:vertAlign w:val="superscript"/>
            <w:rStyle w:val="Hyperlink"/>
          </w:rPr>
          <w:t xml:space="preserve">12</w:t>
        </w:r>
      </w:hyperlink>
      <w:r>
        <w:t xml:space="preserve"> </w:t>
      </w:r>
      <w:r>
        <w:t xml:space="preserve">On the one hand, the timeline where the user places the videos is only a visualization of the set of links to the files. This structure exemplifies the Von Neumann architecture on which computers are constructed (See</w:t>
      </w:r>
      <w:r>
        <w:t xml:space="preserve"> </w:t>
      </w:r>
      <w:hyperlink w:anchor="programming">
        <w:r>
          <w:rPr>
            <w:rStyle w:val="Hyperlink"/>
          </w:rPr>
          <w:t xml:space="preserve">4.2.2</w:t>
        </w:r>
      </w:hyperlink>
      <w:r>
        <w:t xml:space="preserve">). In other words, the timeline is an editable graph that allows the user to locate in time the pointers to the elements on the database. This is what Manovich means by “a set of links,” because the user is not handling the files themselves —as would be the case with an analog video editor, where the user cuts, pastes, the magnetic tape—, but the extremely abstract concept of memory pointers. Therefore, considering this as the syntagm —i.e., the instantiation of individual elements— would have to mean that the syntagm is de-materialized.</w:t>
      </w:r>
    </w:p>
    <w:p>
      <w:pPr>
        <w:pStyle w:val="BodyText"/>
      </w:pPr>
      <w:r>
        <w:t xml:space="preserve">Inversely, considering the database of files as stored data on the computer’s disk, Manovich comprehends it as materialized. Therefore, since the database comes to represent the set of choices, that is, the limits of the logic of subsitution, this is how Manovich considers the paradigm as materialized, which equates to saying that meaning itself is materialized, thus arriving to yet another of Manovich’s arguments for the database as content, and as determination of form. While his attempt is valid, I argue that it is construed upon a false premise, essentially, that neither the pointers to the elements on disk, nor the stored data on the disk are material. Pointers are data which reference locations of other data in memory. Therefore, the consideration of materiality falls upon data istself, rendering this discussion of meaning null, if only considered as stored data.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3">
        <w:r>
          <w:rPr>
            <w:vertAlign w:val="superscript"/>
            <w:rStyle w:val="Hyperlink"/>
          </w:rPr>
          <w:t xml:space="preserve">13</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begin to suggest above —and will continue to do so in the following sections—,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39" w:name="bodiless_information"/>
      <w:r>
        <w:t xml:space="preserve">Bodiless Information</w:t>
      </w:r>
      <w:bookmarkEnd w:id="39"/>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4">
        <w:r>
          <w:rPr>
            <w:vertAlign w:val="superscript"/>
            <w:rStyle w:val="Hyperlink"/>
          </w:rPr>
          <w:t xml:space="preserve">14</w:t>
        </w:r>
      </w:hyperlink>
      <w:r>
        <w:t xml:space="preserve"> </w:t>
      </w:r>
      <w:r>
        <w:t xml:space="preserve">which help build particular structures</w:t>
      </w:r>
      <w:hyperlink w:anchor="fn15">
        <w:r>
          <w:rPr>
            <w:vertAlign w:val="superscript"/>
            <w:rStyle w:val="Hyperlink"/>
          </w:rPr>
          <w:t xml:space="preserve">15</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6">
        <w:r>
          <w:rPr>
            <w:vertAlign w:val="superscript"/>
            <w:rStyle w:val="Hyperlink"/>
          </w:rPr>
          <w:t xml:space="preserve">16</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0" w:name="embodiment"/>
      <w:r>
        <w:t xml:space="preserve">Embodiment</w:t>
      </w:r>
      <w:bookmarkEnd w:id="40"/>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7">
        <w:r>
          <w:rPr>
            <w:vertAlign w:val="superscript"/>
            <w:rStyle w:val="Hyperlink"/>
          </w:rPr>
          <w:t xml:space="preserve">17</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8">
        <w:r>
          <w:rPr>
            <w:vertAlign w:val="superscript"/>
            <w:rStyle w:val="Hyperlink"/>
          </w:rPr>
          <w:t xml:space="preserve">18</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9">
        <w:r>
          <w:rPr>
            <w:vertAlign w:val="superscript"/>
            <w:rStyle w:val="Hyperlink"/>
          </w:rPr>
          <w:t xml:space="preserve">19</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1" w:name="convergence_and_framing"/>
      <w:r>
        <w:t xml:space="preserve">Convergence and Framing</w:t>
      </w:r>
      <w:bookmarkEnd w:id="41"/>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20">
        <w:r>
          <w:rPr>
            <w:vertAlign w:val="superscript"/>
            <w:rStyle w:val="Hyperlink"/>
          </w:rPr>
          <w:t xml:space="preserve">20</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1">
        <w:r>
          <w:rPr>
            <w:vertAlign w:val="superscript"/>
            <w:rStyle w:val="Hyperlink"/>
          </w:rPr>
          <w:t xml:space="preserve">21</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2" w:name="database_aesthetics"/>
      <w:r>
        <w:t xml:space="preserve">Database Aesthetics</w:t>
      </w:r>
      <w:bookmarkEnd w:id="42"/>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2">
        <w:r>
          <w:rPr>
            <w:vertAlign w:val="superscript"/>
            <w:rStyle w:val="Hyperlink"/>
          </w:rPr>
          <w:t xml:space="preserve">22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3">
        <w:r>
          <w:rPr>
            <w:vertAlign w:val="superscript"/>
            <w:rStyle w:val="Hyperlink"/>
          </w:rPr>
          <w:t xml:space="preserve">23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3" w:name="open_source"/>
      <w:r>
        <w:t xml:space="preserve">Open Source</w:t>
      </w:r>
      <w:bookmarkEnd w:id="43"/>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4" w:name="section:Databasing"/>
      <w:r>
        <w:t xml:space="preserve">Databasing</w:t>
      </w:r>
      <w:bookmarkEnd w:id="44"/>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5" w:name="databasing"/>
      <w:r>
        <w:t xml:space="preserve">Databasing</w:t>
      </w:r>
      <w:bookmarkEnd w:id="45"/>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4">
        <w:r>
          <w:rPr>
            <w:vertAlign w:val="superscript"/>
            <w:rStyle w:val="Hyperlink"/>
          </w:rPr>
          <w:t xml:space="preserve">24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5">
        <w:r>
          <w:rPr>
            <w:vertAlign w:val="superscript"/>
            <w:rStyle w:val="Hyperlink"/>
          </w:rPr>
          <w:t xml:space="preserve">25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6">
        <w:r>
          <w:rPr>
            <w:vertAlign w:val="superscript"/>
            <w:rStyle w:val="Hyperlink"/>
          </w:rPr>
          <w:t xml:space="preserve">26</w:t>
        </w:r>
      </w:hyperlink>
      <w:r>
        <w:t xml:space="preserve">, stk</w:t>
      </w:r>
      <w:hyperlink w:anchor="fn27">
        <w:r>
          <w:rPr>
            <w:vertAlign w:val="superscript"/>
            <w:rStyle w:val="Hyperlink"/>
          </w:rPr>
          <w:t xml:space="preserve">27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8">
        <w:r>
          <w:rPr>
            <w:vertAlign w:val="superscript"/>
            <w:rStyle w:val="Hyperlink"/>
          </w:rPr>
          <w:t xml:space="preserve">28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9">
        <w:r>
          <w:rPr>
            <w:vertAlign w:val="superscript"/>
            <w:rStyle w:val="Hyperlink"/>
          </w:rPr>
          <w:t xml:space="preserve">29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30">
        <w:r>
          <w:rPr>
            <w:vertAlign w:val="superscript"/>
            <w:rStyle w:val="Hyperlink"/>
          </w:rPr>
          <w:t xml:space="preserve">30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1">
        <w:r>
          <w:rPr>
            <w:vertAlign w:val="superscript"/>
            <w:rStyle w:val="Hyperlink"/>
          </w:rPr>
          <w:t xml:space="preserve">31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4.1</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2">
        <w:r>
          <w:rPr>
            <w:vertAlign w:val="superscript"/>
            <w:rStyle w:val="Hyperlink"/>
          </w:rPr>
          <w:t xml:space="preserve">32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3">
        <w:r>
          <w:rPr>
            <w:vertAlign w:val="superscript"/>
            <w:rStyle w:val="Hyperlink"/>
          </w:rPr>
          <w:t xml:space="preserve">33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4">
        <w:r>
          <w:rPr>
            <w:vertAlign w:val="superscript"/>
            <w:rStyle w:val="Hyperlink"/>
          </w:rPr>
          <w:t xml:space="preserve">34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5">
        <w:r>
          <w:rPr>
            <w:vertAlign w:val="superscript"/>
            <w:rStyle w:val="Hyperlink"/>
          </w:rPr>
          <w:t xml:space="preserve">35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6">
        <w:r>
          <w:rPr>
            <w:vertAlign w:val="superscript"/>
            <w:rStyle w:val="Hyperlink"/>
          </w:rPr>
          <w:t xml:space="preserve">36</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7">
        <w:r>
          <w:rPr>
            <w:vertAlign w:val="superscript"/>
            <w:rStyle w:val="Hyperlink"/>
          </w:rPr>
          <w:t xml:space="preserve">37</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8">
        <w:r>
          <w:rPr>
            <w:vertAlign w:val="superscript"/>
            <w:rStyle w:val="Hyperlink"/>
          </w:rPr>
          <w:t xml:space="preserve">38</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9">
        <w:r>
          <w:rPr>
            <w:vertAlign w:val="superscript"/>
            <w:rStyle w:val="Hyperlink"/>
          </w:rPr>
          <w:t xml:space="preserve">39</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40">
        <w:r>
          <w:rPr>
            <w:vertAlign w:val="superscript"/>
            <w:rStyle w:val="Hyperlink"/>
          </w:rPr>
          <w:t xml:space="preserve">40</w:t>
        </w:r>
      </w:hyperlink>
      <w:r>
        <w:t xml:space="preserve"> </w:t>
      </w:r>
      <w:r>
        <w:t xml:space="preserve">A known database of this kind is the Internet Movie Database (IMDB).</w:t>
      </w:r>
      <w:hyperlink w:anchor="fn41">
        <w:r>
          <w:rPr>
            <w:vertAlign w:val="superscript"/>
            <w:rStyle w:val="Hyperlink"/>
          </w:rPr>
          <w:t xml:space="preserve">41</w:t>
        </w:r>
      </w:hyperlink>
    </w:p>
    <w:p>
      <w:pPr>
        <w:pStyle w:val="Heading2"/>
      </w:pPr>
      <w:bookmarkStart w:id="78" w:name="section:Databasing_Sound"/>
      <w:r>
        <w:t xml:space="preserve">Databasing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2">
        <w:r>
          <w:rPr>
            <w:vertAlign w:val="superscript"/>
            <w:rStyle w:val="Hyperlink"/>
          </w:rPr>
          <w:t xml:space="preserve">42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4.11</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3">
        <w:r>
          <w:rPr>
            <w:vertAlign w:val="superscript"/>
            <w:rStyle w:val="Hyperlink"/>
          </w:rPr>
          <w:t xml:space="preserve">43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4">
        <w:r>
          <w:rPr>
            <w:vertAlign w:val="superscript"/>
            <w:rStyle w:val="Hyperlink"/>
          </w:rPr>
          <w:t xml:space="preserve">44</w:t>
        </w:r>
      </w:hyperlink>
      <w:r>
        <w:t xml:space="preserve">, a database of a handful of feature descriptors</w:t>
      </w:r>
      <w:hyperlink w:anchor="fn45">
        <w:r>
          <w:rPr>
            <w:vertAlign w:val="superscript"/>
            <w:rStyle w:val="Hyperlink"/>
          </w:rPr>
          <w:t xml:space="preserve">45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6">
        <w:r>
          <w:rPr>
            <w:vertAlign w:val="superscript"/>
            <w:rStyle w:val="Hyperlink"/>
          </w:rPr>
          <w:t xml:space="preserve">46</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7">
        <w:r>
          <w:rPr>
            <w:vertAlign w:val="superscript"/>
            <w:rStyle w:val="Hyperlink"/>
          </w:rPr>
          <w:t xml:space="preserve">47</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48">
        <w:r>
          <w:rPr>
            <w:vertAlign w:val="superscript"/>
            <w:rStyle w:val="Hyperlink"/>
          </w:rPr>
          <w:t xml:space="preserve">48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9">
        <w:r>
          <w:rPr>
            <w:vertAlign w:val="superscript"/>
            <w:rStyle w:val="Hyperlink"/>
          </w:rPr>
          <w:t xml:space="preserve">49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50">
        <w:r>
          <w:rPr>
            <w:vertAlign w:val="superscript"/>
            <w:rStyle w:val="Hyperlink"/>
          </w:rPr>
          <w:t xml:space="preserve">50</w:t>
        </w:r>
      </w:hyperlink>
      <w:r>
        <w:t xml:space="preserve">, model-based</w:t>
      </w:r>
      <w:hyperlink w:anchor="fn51">
        <w:r>
          <w:rPr>
            <w:vertAlign w:val="superscript"/>
            <w:rStyle w:val="Hyperlink"/>
          </w:rPr>
          <w:t xml:space="preserve">51</w:t>
        </w:r>
      </w:hyperlink>
      <w:r>
        <w:t xml:space="preserve">, and continuous</w:t>
      </w:r>
      <w:hyperlink w:anchor="fn52">
        <w:r>
          <w:rPr>
            <w:vertAlign w:val="superscript"/>
            <w:rStyle w:val="Hyperlink"/>
          </w:rPr>
          <w:t xml:space="preserve">52</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3">
        <w:r>
          <w:rPr>
            <w:vertAlign w:val="superscript"/>
            <w:rStyle w:val="Hyperlink"/>
          </w:rPr>
          <w:t xml:space="preserve">53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4">
        <w:r>
          <w:rPr>
            <w:vertAlign w:val="superscript"/>
            <w:rStyle w:val="Hyperlink"/>
          </w:rPr>
          <w:t xml:space="preserve">54</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5">
        <w:r>
          <w:rPr>
            <w:vertAlign w:val="superscript"/>
            <w:rStyle w:val="Hyperlink"/>
          </w:rPr>
          <w:t xml:space="preserve">55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6">
        <w:r>
          <w:rPr>
            <w:vertAlign w:val="superscript"/>
            <w:rStyle w:val="Hyperlink"/>
          </w:rPr>
          <w:t xml:space="preserve">56</w:t>
        </w:r>
      </w:hyperlink>
      <w:r>
        <w:t xml:space="preserve"> </w:t>
      </w:r>
      <w:r>
        <w:t xml:space="preserve">using 14-hour long recordings taken from a forest</w:t>
      </w:r>
      <w:hyperlink w:anchor="fn57">
        <w:r>
          <w:rPr>
            <w:vertAlign w:val="superscript"/>
            <w:rStyle w:val="Hyperlink"/>
          </w:rPr>
          <w:t xml:space="preserve">57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8">
        <w:r>
          <w:rPr>
            <w:vertAlign w:val="superscript"/>
            <w:rStyle w:val="Hyperlink"/>
          </w:rPr>
          <w:t xml:space="preserve">58</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59">
        <w:r>
          <w:rPr>
            <w:vertAlign w:val="superscript"/>
            <w:rStyle w:val="Hyperlink"/>
          </w:rPr>
          <w:t xml:space="preserve">59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60">
        <w:r>
          <w:rPr>
            <w:vertAlign w:val="superscript"/>
            <w:rStyle w:val="Hyperlink"/>
          </w:rPr>
          <w:t xml:space="preserve">60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1">
        <w:r>
          <w:rPr>
            <w:vertAlign w:val="superscript"/>
            <w:rStyle w:val="Hyperlink"/>
          </w:rPr>
          <w:t xml:space="preserve">61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2">
        <w:r>
          <w:rPr>
            <w:vertAlign w:val="superscript"/>
            <w:rStyle w:val="Hyperlink"/>
          </w:rPr>
          <w:t xml:space="preserve">62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3">
        <w:r>
          <w:rPr>
            <w:vertAlign w:val="superscript"/>
            <w:rStyle w:val="Hyperlink"/>
          </w:rPr>
          <w:t xml:space="preserve">63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4">
        <w:r>
          <w:rPr>
            <w:vertAlign w:val="superscript"/>
            <w:rStyle w:val="Hyperlink"/>
          </w:rPr>
          <w:t xml:space="preserve">64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5">
        <w:r>
          <w:rPr>
            <w:vertAlign w:val="superscript"/>
            <w:rStyle w:val="Hyperlink"/>
          </w:rPr>
          <w:t xml:space="preserve">65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6">
        <w:r>
          <w:rPr>
            <w:vertAlign w:val="superscript"/>
            <w:rStyle w:val="Hyperlink"/>
          </w:rPr>
          <w:t xml:space="preserve">66</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7">
        <w:r>
          <w:rPr>
            <w:vertAlign w:val="superscript"/>
            <w:rStyle w:val="Hyperlink"/>
          </w:rPr>
          <w:t xml:space="preserve">67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8">
        <w:r>
          <w:rPr>
            <w:vertAlign w:val="superscript"/>
            <w:rStyle w:val="Hyperlink"/>
          </w:rPr>
          <w:t xml:space="preserve">68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69">
        <w:r>
          <w:rPr>
            <w:vertAlign w:val="superscript"/>
            <w:rStyle w:val="Hyperlink"/>
          </w:rPr>
          <w:t xml:space="preserve">69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70">
        <w:r>
          <w:rPr>
            <w:vertAlign w:val="superscript"/>
            <w:rStyle w:val="Hyperlink"/>
          </w:rPr>
          <w:t xml:space="preserve">70</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1">
        <w:r>
          <w:rPr>
            <w:vertAlign w:val="superscript"/>
            <w:rStyle w:val="Hyperlink"/>
          </w:rPr>
          <w:t xml:space="preserve">71</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2">
        <w:r>
          <w:rPr>
            <w:vertAlign w:val="superscript"/>
            <w:rStyle w:val="Hyperlink"/>
          </w:rPr>
          <w:t xml:space="preserve">72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3">
        <w:r>
          <w:rPr>
            <w:vertAlign w:val="superscript"/>
            <w:rStyle w:val="Hyperlink"/>
          </w:rPr>
          <w:t xml:space="preserve">73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74">
        <w:r>
          <w:rPr>
            <w:vertAlign w:val="superscript"/>
            <w:rStyle w:val="Hyperlink"/>
          </w:rPr>
          <w:t xml:space="preserve">74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5">
        <w:r>
          <w:rPr>
            <w:vertAlign w:val="superscript"/>
            <w:rStyle w:val="Hyperlink"/>
          </w:rPr>
          <w:t xml:space="preserve">75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6">
        <w:r>
          <w:rPr>
            <w:vertAlign w:val="superscript"/>
            <w:rStyle w:val="Hyperlink"/>
          </w:rPr>
          <w:t xml:space="preserve">76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7">
        <w:r>
          <w:rPr>
            <w:vertAlign w:val="superscript"/>
            <w:rStyle w:val="Hyperlink"/>
          </w:rPr>
          <w:t xml:space="preserve">77</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8">
        <w:r>
          <w:rPr>
            <w:vertAlign w:val="superscript"/>
            <w:rStyle w:val="Hyperlink"/>
          </w:rPr>
          <w:t xml:space="preserve">78</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79">
        <w:r>
          <w:rPr>
            <w:vertAlign w:val="superscript"/>
            <w:rStyle w:val="Hyperlink"/>
          </w:rPr>
          <w:t xml:space="preserve">79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80">
        <w:r>
          <w:rPr>
            <w:vertAlign w:val="superscript"/>
            <w:rStyle w:val="Hyperlink"/>
          </w:rPr>
          <w:t xml:space="preserve">80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81">
        <w:r>
          <w:rPr>
            <w:vertAlign w:val="superscript"/>
            <w:rStyle w:val="Hyperlink"/>
          </w:rPr>
          <w:t xml:space="preserve">81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2">
        <w:r>
          <w:rPr>
            <w:vertAlign w:val="superscript"/>
            <w:rStyle w:val="Hyperlink"/>
          </w:rPr>
          <w:t xml:space="preserve">82</w:t>
        </w:r>
      </w:hyperlink>
      <w:r>
        <w:t xml:space="preserve"> </w:t>
      </w:r>
      <w:r>
        <w:t xml:space="preserve">Furthermore, she included</w:t>
      </w:r>
      <w:r>
        <w:t xml:space="preserve"> </w:t>
      </w:r>
      <w:r>
        <w:rPr>
          <w:i/>
        </w:rPr>
        <w:t xml:space="preserve">histeresis</w:t>
      </w:r>
      <w:hyperlink w:anchor="fn83">
        <w:r>
          <w:rPr>
            <w:vertAlign w:val="superscript"/>
            <w:rStyle w:val="Hyperlink"/>
          </w:rPr>
          <w:t xml:space="preserve">83</w:t>
        </w:r>
      </w:hyperlink>
      <w:r>
        <w:t xml:space="preserve"> </w:t>
      </w:r>
      <w:r>
        <w:t xml:space="preserve">within the system, enabling condition-dependent events to occur as participants’ interaction lasted longer.</w:t>
      </w:r>
      <w:hyperlink w:anchor="fn84">
        <w:r>
          <w:rPr>
            <w:vertAlign w:val="superscript"/>
            <w:rStyle w:val="Hyperlink"/>
          </w:rPr>
          <w:t xml:space="preserve">84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5">
        <w:r>
          <w:rPr>
            <w:vertAlign w:val="superscript"/>
            <w:rStyle w:val="Hyperlink"/>
          </w:rPr>
          <w:t xml:space="preserve">85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6">
        <w:r>
          <w:rPr>
            <w:vertAlign w:val="superscript"/>
            <w:rStyle w:val="Hyperlink"/>
          </w:rPr>
          <w:t xml:space="preserve">86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7">
        <w:r>
          <w:rPr>
            <w:vertAlign w:val="superscript"/>
            <w:rStyle w:val="Hyperlink"/>
          </w:rPr>
          <w:t xml:space="preserve">87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8">
        <w:r>
          <w:rPr>
            <w:vertAlign w:val="superscript"/>
            <w:rStyle w:val="Hyperlink"/>
          </w:rPr>
          <w:t xml:space="preserve">88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9">
        <w:r>
          <w:rPr>
            <w:vertAlign w:val="superscript"/>
            <w:rStyle w:val="Hyperlink"/>
          </w:rPr>
          <w:t xml:space="preserve">89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90">
        <w:r>
          <w:rPr>
            <w:vertAlign w:val="superscript"/>
            <w:rStyle w:val="Hyperlink"/>
          </w:rPr>
          <w:t xml:space="preserve">90</w:t>
        </w:r>
      </w:hyperlink>
      <w:r>
        <w:t xml:space="preserve"> </w:t>
      </w:r>
      <w:r>
        <w:t xml:space="preserve">project a data format for sharing between different multimedia environments. Based on previous work on file formats</w:t>
      </w:r>
      <w:hyperlink w:anchor="fn91">
        <w:r>
          <w:rPr>
            <w:vertAlign w:val="superscript"/>
            <w:rStyle w:val="Hyperlink"/>
          </w:rPr>
          <w:t xml:space="preserve">91</w:t>
        </w:r>
      </w:hyperlink>
      <w:r>
        <w:t xml:space="preserve">, they developed the IXD format which is capable of containing sequences, tags and meta-data, and presets. Their argument for an XML</w:t>
      </w:r>
      <w:hyperlink w:anchor="fn92">
        <w:r>
          <w:rPr>
            <w:vertAlign w:val="superscript"/>
            <w:rStyle w:val="Hyperlink"/>
          </w:rPr>
          <w:t xml:space="preserve">92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3">
        <w:r>
          <w:rPr>
            <w:vertAlign w:val="superscript"/>
            <w:rStyle w:val="Hyperlink"/>
          </w:rPr>
          <w:t xml:space="preserve">93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4">
        <w:r>
          <w:rPr>
            <w:vertAlign w:val="superscript"/>
            <w:rStyle w:val="Hyperlink"/>
          </w:rPr>
          <w:t xml:space="preserve">94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text,</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Throughout the years, he became condemned to absolute memory, and so to its consequence, insomnia: 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self-inprisonment—,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completetly,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30">
        <w:r>
          <w:rPr>
            <w:vertAlign w:val="superscript"/>
            <w:rStyle w:val="Hyperlink"/>
          </w:rPr>
          <w:t xml:space="preserve">130</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31">
        <w:r>
          <w:rPr>
            <w:vertAlign w:val="superscript"/>
            <w:rStyle w:val="Hyperlink"/>
          </w:rPr>
          <w:t xml:space="preserve">131</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2">
        <w:r>
          <w:rPr>
            <w:vertAlign w:val="superscript"/>
            <w:rStyle w:val="Hyperlink"/>
          </w:rPr>
          <w:t xml:space="preserve">132</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3">
        <w:r>
          <w:rPr>
            <w:vertAlign w:val="superscript"/>
            <w:rStyle w:val="Hyperlink"/>
          </w:rPr>
          <w:t xml:space="preserve">133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6" w:name="improv"/>
      <w:r>
        <w:t xml:space="preserve">The Database as Performer</w:t>
      </w:r>
      <w:bookmarkEnd w:id="136"/>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4">
        <w:r>
          <w:rPr>
            <w:vertAlign w:val="superscript"/>
            <w:rStyle w:val="Hyperlink"/>
          </w:rPr>
          <w:t xml:space="preserve">134</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5">
        <w:r>
          <w:rPr>
            <w:vertAlign w:val="superscript"/>
            <w:rStyle w:val="Hyperlink"/>
          </w:rPr>
          <w:t xml:space="preserve">135</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6">
        <w:r>
          <w:rPr>
            <w:vertAlign w:val="superscript"/>
            <w:rStyle w:val="Hyperlink"/>
          </w:rPr>
          <w:t xml:space="preserve">136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7">
        <w:r>
          <w:rPr>
            <w:vertAlign w:val="superscript"/>
            <w:rStyle w:val="Hyperlink"/>
          </w:rPr>
          <w:t xml:space="preserve">137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w:t>
      </w:r>
      <w:r>
        <w:t xml:space="preserve"> </w:t>
      </w:r>
      <w:r>
        <w:t xml:space="preserve">max</w:t>
      </w:r>
      <w:r>
        <w:t xml:space="preserve"> </w:t>
      </w:r>
      <w:r>
        <w:t xml:space="preserve">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8">
        <w:r>
          <w:rPr>
            <w:vertAlign w:val="superscript"/>
            <w:rStyle w:val="Hyperlink"/>
          </w:rPr>
          <w:t xml:space="preserve">138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9">
        <w:r>
          <w:rPr>
            <w:vertAlign w:val="superscript"/>
            <w:rStyle w:val="Hyperlink"/>
          </w:rPr>
          <w:t xml:space="preserve">139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7" w:name="section:Inoperativity"/>
      <w:r>
        <w:t xml:space="preserve">Inoperativity</w:t>
      </w:r>
      <w:bookmarkEnd w:id="137"/>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38" w:name="music"/>
      <w:r>
        <w:t xml:space="preserve">The Severed Object of Music: Composing Composer</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40">
        <w:r>
          <w:rPr>
            <w:vertAlign w:val="superscript"/>
            <w:rStyle w:val="Hyperlink"/>
          </w:rPr>
          <w:t xml:space="preserve">140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41">
        <w:r>
          <w:rPr>
            <w:vertAlign w:val="superscript"/>
            <w:rStyle w:val="Hyperlink"/>
          </w:rPr>
          <w:t xml:space="preserve">141</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9" w:name="anarchy"/>
      <w:r>
        <w:t xml:space="preserve">Anarchy and the Unwork</w:t>
      </w:r>
      <w:bookmarkEnd w:id="13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42">
        <w:r>
          <w:rPr>
            <w:vertAlign w:val="superscript"/>
            <w:rStyle w:val="Hyperlink"/>
          </w:rPr>
          <w:t xml:space="preserve">142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w:t>
      </w:r>
      <w:r>
        <w:t xml:space="preserve"> </w:t>
      </w:r>
      <w:r>
        <w:t xml:space="preserve">(Cascone 2000, p. 17)</w:t>
      </w:r>
      <w:r>
        <w:t xml:space="preserve"> </w:t>
      </w:r>
      <w:r>
        <w:t xml:space="preserve">(Italics mine).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43">
        <w:r>
          <w:rPr>
            <w:vertAlign w:val="superscript"/>
            <w:rStyle w:val="Hyperlink"/>
          </w:rPr>
          <w:t xml:space="preserve">143</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r>
        <w:t xml:space="preserve">.</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44">
        <w:r>
          <w:rPr>
            <w:vertAlign w:val="superscript"/>
            <w:rStyle w:val="Hyperlink"/>
          </w:rPr>
          <w:t xml:space="preserve">144</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45">
        <w:r>
          <w:rPr>
            <w:vertAlign w:val="superscript"/>
            <w:rStyle w:val="Hyperlink"/>
          </w:rPr>
          <w:t xml:space="preserve">145</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2"/>
      </w:pPr>
      <w:bookmarkStart w:id="140" w:name="section:Database_Subject"/>
      <w:r>
        <w:t xml:space="preserve">Database Subject</w:t>
      </w:r>
      <w:bookmarkEnd w:id="140"/>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1" w:name="worker"/>
      <w:r>
        <w:t xml:space="preserve">[WIP] Work In Progress</w:t>
      </w:r>
      <w:bookmarkEnd w:id="141"/>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2" w:name="collaboration"/>
      <w:r>
        <w:t xml:space="preserve">Redifining Collaboration: Trans-Inoperativity</w:t>
      </w:r>
      <w:bookmarkEnd w:id="142"/>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3" w:name="authorship"/>
      <w:r>
        <w:t xml:space="preserve">A Database Politics of Authorship</w:t>
      </w:r>
      <w:bookmarkEnd w:id="143"/>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1"/>
      </w:pPr>
      <w:bookmarkStart w:id="144" w:name="chapter:Conclusion"/>
      <w:r>
        <w:t xml:space="preserve">Conclusion</w:t>
      </w:r>
      <w:bookmarkEnd w:id="144"/>
    </w:p>
    <w:p>
      <w:pPr>
        <w:pStyle w:val="FirstParagraph"/>
      </w:pPr>
      <w:r>
        <w:t xml:space="preserve">… placeholder for conclusion abstract …</w:t>
      </w:r>
    </w:p>
    <w:p>
      <w:pPr>
        <w:pStyle w:val="Heading2"/>
      </w:pPr>
      <w:bookmarkStart w:id="145" w:name="section:And_They_Are_Sounding_Back"/>
      <w:r>
        <w:t xml:space="preserve">And They Are Sounding Back</w:t>
      </w:r>
      <w:bookmarkEnd w:id="145"/>
    </w:p>
    <w:p>
      <w:pPr>
        <w:pStyle w:val="FirstParagraph"/>
      </w:pPr>
      <w:r>
        <w:t xml:space="preserve">I am sounding in a database, and the database is sounding back …</w:t>
      </w:r>
    </w:p>
    <w:p>
      <w:pPr>
        <w:pStyle w:val="Heading1"/>
      </w:pPr>
      <w:bookmarkStart w:id="146" w:name="chapter:Appendices"/>
      <w:r>
        <w:t xml:space="preserve">Appendices</w:t>
      </w:r>
      <w:bookmarkEnd w:id="146"/>
    </w:p>
    <w:p>
      <w:pPr>
        <w:pStyle w:val="FirstParagraph"/>
      </w:pPr>
      <w:r>
        <w:t xml:space="preserve">abstract of appendices</w:t>
      </w:r>
    </w:p>
    <w:p>
      <w:pPr>
        <w:pStyle w:val="Heading2"/>
      </w:pPr>
      <w:bookmarkStart w:id="147" w:name="X9928d5a4298d9156e673c83842d96a99bfb66d7"/>
      <w:r>
        <w:t xml:space="preserve">DIANA: Database for Image and Audio Navigation</w:t>
      </w:r>
      <w:bookmarkEnd w:id="1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8" w:name="dbmodel"/>
      <w:r>
        <w:t xml:space="preserve">A Database Model</w:t>
      </w:r>
      <w:bookmarkEnd w:id="1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9" w:name="X7616598f194c52ee6f4c09f01c755a7090177ba"/>
      <w:r>
        <w:t xml:space="preserve">ABBY: An Online Environment for Annotated Bibliographies</w:t>
      </w:r>
      <w:bookmarkEnd w:id="1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0">
        <w:r>
          <w:rPr>
            <w:rStyle w:val="Hyperlink"/>
          </w:rPr>
          <w:t xml:space="preserve">https://fdch.github.io/abby</w:t>
        </w:r>
      </w:hyperlink>
      <w:r>
        <w:t xml:space="preserve">, and the code can be accessed or cloned from</w:t>
      </w:r>
      <w:r>
        <w:t xml:space="preserve"> </w:t>
      </w:r>
      <w:hyperlink r:id="rId151">
        <w:r>
          <w:rPr>
            <w:rStyle w:val="Hyperlink"/>
          </w:rPr>
          <w:t xml:space="preserve">https://github.com/fdch/litrev</w:t>
        </w:r>
      </w:hyperlink>
      <w:r>
        <w:t xml:space="preserve">.</w:t>
      </w:r>
    </w:p>
    <w:p>
      <w:pPr>
        <w:pStyle w:val="Heading3"/>
      </w:pPr>
      <w:bookmarkStart w:id="152" w:name="texdb"/>
      <w:r>
        <w:t xml:space="preserve">A Text Database</w:t>
      </w:r>
      <w:bookmarkEnd w:id="152"/>
    </w:p>
    <w:p>
      <w:pPr>
        <w:pStyle w:val="FirstParagraph"/>
      </w:pPr>
      <w:r>
        <w:t xml:space="preserve">A detailed description of the text database model…</w:t>
      </w:r>
    </w:p>
    <w:bookmarkStart w:id="423" w:name="refs"/>
    <w:bookmarkStart w:id="1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3"/>
    <w:bookmarkStart w:id="1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4"/>
    <w:bookmarkStart w:id="1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5"/>
    <w:bookmarkStart w:id="1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6"/>
    <w:bookmarkStart w:id="1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7"/>
    <w:bookmarkStart w:id="1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8">
        <w:r>
          <w:rPr>
            <w:rStyle w:val="Hyperlink"/>
          </w:rPr>
          <w:t xml:space="preserve">http://www.terasoft.com.tw/conf/ismir2014/proceedings/T014_162_Paper.pdf</w:t>
        </w:r>
      </w:hyperlink>
    </w:p>
    <w:bookmarkEnd w:id="159"/>
    <w:bookmarkStart w:id="1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0"/>
    <w:bookmarkStart w:id="161"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1"/>
    <w:bookmarkStart w:id="16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2"/>
    <w:bookmarkStart w:id="163"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3"/>
    <w:bookmarkStart w:id="16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4"/>
    <w:bookmarkStart w:id="16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5"/>
    <w:bookmarkStart w:id="16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6"/>
    <w:bookmarkStart w:id="16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7"/>
    <w:bookmarkStart w:id="168"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8"/>
    <w:bookmarkStart w:id="16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9"/>
    <w:bookmarkStart w:id="17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0"/>
    <w:bookmarkStart w:id="17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1">
        <w:r>
          <w:rPr>
            <w:rStyle w:val="Hyperlink"/>
          </w:rPr>
          <w:t xml:space="preserve">http://www.terasoft.com.tw/conf/ismir2014/proceedings/T028_322_Paper.pdf</w:t>
        </w:r>
      </w:hyperlink>
    </w:p>
    <w:bookmarkEnd w:id="172"/>
    <w:bookmarkStart w:id="173" w:name="ref-Bor42:Fun"/>
    <w:p>
      <w:pPr>
        <w:pStyle w:val="Bibliography"/>
      </w:pPr>
      <w:r>
        <w:t xml:space="preserve">Borges JL. 1942. Funes el memorioso.</w:t>
      </w:r>
      <w:r>
        <w:t xml:space="preserve"> </w:t>
      </w:r>
      <w:r>
        <w:rPr>
          <w:i/>
        </w:rPr>
        <w:t xml:space="preserve">Ficciones</w:t>
      </w:r>
    </w:p>
    <w:bookmarkEnd w:id="173"/>
    <w:bookmarkStart w:id="174" w:name="ref-Bor95:Rat"/>
    <w:p>
      <w:pPr>
        <w:pStyle w:val="Bibliography"/>
      </w:pPr>
      <w:r>
        <w:t xml:space="preserve">Born G. 1995.</w:t>
      </w:r>
      <w:r>
        <w:t xml:space="preserve"> </w:t>
      </w:r>
      <w:r>
        <w:rPr>
          <w:i/>
        </w:rPr>
        <w:t xml:space="preserve">Rationalizing Culture</w:t>
      </w:r>
      <w:r>
        <w:t xml:space="preserve">. University of California Press. ed.</w:t>
      </w:r>
    </w:p>
    <w:bookmarkEnd w:id="174"/>
    <w:bookmarkStart w:id="175"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5"/>
    <w:bookmarkStart w:id="176"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6"/>
    <w:bookmarkStart w:id="177"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7"/>
    <w:bookmarkStart w:id="178"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8"/>
    <w:bookmarkStart w:id="179"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9"/>
    <w:bookmarkStart w:id="180"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0"/>
    <w:bookmarkStart w:id="181"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1"/>
    <w:bookmarkStart w:id="182" w:name="ref-score11manual"/>
    <w:p>
      <w:pPr>
        <w:pStyle w:val="Bibliography"/>
      </w:pPr>
      <w:r>
        <w:t xml:space="preserve">Brinkman AR. 1982. Original version of the score11 manual.</w:t>
      </w:r>
      <w:r>
        <w:t xml:space="preserve"> </w:t>
      </w:r>
      <w:r>
        <w:rPr>
          <w:i/>
        </w:rPr>
        <w:t xml:space="preserve">Score11 Manual</w:t>
      </w:r>
    </w:p>
    <w:bookmarkEnd w:id="182"/>
    <w:bookmarkStart w:id="183"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3"/>
    <w:bookmarkStart w:id="184"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4"/>
    <w:bookmarkStart w:id="18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5">
        <w:r>
          <w:rPr>
            <w:rStyle w:val="Hyperlink"/>
          </w:rPr>
          <w:t xml:space="preserve">http://www.nime.org/proceedings/2011/nime2011_387.pdf</w:t>
        </w:r>
      </w:hyperlink>
    </w:p>
    <w:bookmarkEnd w:id="186"/>
    <w:bookmarkStart w:id="18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7">
        <w:r>
          <w:rPr>
            <w:rStyle w:val="Hyperlink"/>
          </w:rPr>
          <w:t xml:space="preserve">http://www.nime.org/proceedings/2009/nime2009_266.pdf</w:t>
        </w:r>
      </w:hyperlink>
    </w:p>
    <w:bookmarkEnd w:id="188"/>
    <w:bookmarkStart w:id="18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9"/>
    <w:bookmarkStart w:id="19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0"/>
    <w:bookmarkStart w:id="19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1"/>
    <w:bookmarkStart w:id="192"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2"/>
    <w:bookmarkStart w:id="193" w:name="ref-youtube/buxton10"/>
    <w:p>
      <w:pPr>
        <w:pStyle w:val="Bibliography"/>
      </w:pPr>
      <w:r>
        <w:t xml:space="preserve">Buxton W. 2016b. Objed: The sssp sound editing tool.</w:t>
      </w:r>
      <w:r>
        <w:t xml:space="preserve"> </w:t>
      </w:r>
      <w:r>
        <w:rPr>
          <w:i/>
        </w:rPr>
        <w:t xml:space="preserve">Youtube</w:t>
      </w:r>
    </w:p>
    <w:bookmarkEnd w:id="193"/>
    <w:bookmarkStart w:id="1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4"/>
    <w:bookmarkStart w:id="1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5"/>
    <w:bookmarkStart w:id="1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6"/>
    <w:bookmarkStart w:id="197"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7"/>
    <w:bookmarkStart w:id="198"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8"/>
    <w:bookmarkStart w:id="199"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9"/>
    <w:bookmarkStart w:id="20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0">
        <w:r>
          <w:rPr>
            <w:rStyle w:val="Hyperlink"/>
          </w:rPr>
          <w:t xml:space="preserve">http://www.nime.org/proceedings/2011/nime2011_329.pdf</w:t>
        </w:r>
      </w:hyperlink>
    </w:p>
    <w:bookmarkEnd w:id="201"/>
    <w:bookmarkStart w:id="20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2"/>
    <w:bookmarkStart w:id="20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3"/>
    <w:bookmarkStart w:id="20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4"/>
    <w:bookmarkStart w:id="20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5"/>
    <w:bookmarkStart w:id="20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06"/>
    <w:bookmarkStart w:id="20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7"/>
    <w:bookmarkStart w:id="20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8"/>
    <w:bookmarkStart w:id="20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9"/>
    <w:bookmarkStart w:id="210"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10"/>
    <w:bookmarkStart w:id="211"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1"/>
    <w:bookmarkStart w:id="212"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2"/>
    <w:bookmarkStart w:id="213"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3"/>
    <w:bookmarkStart w:id="214"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4"/>
    <w:bookmarkStart w:id="215"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5"/>
    <w:bookmarkStart w:id="216"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6"/>
    <w:bookmarkStart w:id="218"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7">
        <w:r>
          <w:rPr>
            <w:rStyle w:val="Hyperlink"/>
          </w:rPr>
          <w:t xml:space="preserve">https://ismir2017.smcnus.org/wp-content/uploads/2017/10/235_Paper.pdf</w:t>
        </w:r>
      </w:hyperlink>
    </w:p>
    <w:bookmarkEnd w:id="218"/>
    <w:bookmarkStart w:id="220" w:name="ref-crowley98"/>
    <w:p>
      <w:pPr>
        <w:pStyle w:val="Bibliography"/>
      </w:pPr>
      <w:r>
        <w:t xml:space="preserve">Crowley C. 1998. Data structures for text sequences.</w:t>
      </w:r>
      <w:r>
        <w:t xml:space="preserve"> </w:t>
      </w:r>
      <w:hyperlink r:id="rId219">
        <w:r>
          <w:rPr>
            <w:rStyle w:val="Hyperlink"/>
          </w:rPr>
          <w:t xml:space="preserve">https://www.cs.unm.edu/~crowley/papers/sds.pdf</w:t>
        </w:r>
      </w:hyperlink>
    </w:p>
    <w:bookmarkEnd w:id="220"/>
    <w:bookmarkStart w:id="221"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1"/>
    <w:bookmarkStart w:id="223"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2">
        <w:r>
          <w:rPr>
            <w:rStyle w:val="Hyperlink"/>
          </w:rPr>
          <w:t xml:space="preserve">https://ismir2017.smcnus.org/wp-content/uploads/2017/10/75_Paper.pdf</w:t>
        </w:r>
      </w:hyperlink>
    </w:p>
    <w:bookmarkEnd w:id="223"/>
    <w:bookmarkStart w:id="224"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4"/>
    <w:bookmarkStart w:id="225" w:name="ref-Der78:Wri"/>
    <w:p>
      <w:pPr>
        <w:pStyle w:val="Bibliography"/>
      </w:pPr>
      <w:r>
        <w:t xml:space="preserve">Derrida J. 1978.</w:t>
      </w:r>
      <w:r>
        <w:t xml:space="preserve"> </w:t>
      </w:r>
      <w:r>
        <w:rPr>
          <w:i/>
        </w:rPr>
        <w:t xml:space="preserve">Writing and Difference</w:t>
      </w:r>
      <w:r>
        <w:t xml:space="preserve">. The University of Chicago. ed.</w:t>
      </w:r>
    </w:p>
    <w:bookmarkEnd w:id="225"/>
    <w:bookmarkStart w:id="226" w:name="ref-Der82:Mar"/>
    <w:p>
      <w:pPr>
        <w:pStyle w:val="Bibliography"/>
      </w:pPr>
      <w:r>
        <w:t xml:space="preserve">Derrida J. 1982.</w:t>
      </w:r>
      <w:r>
        <w:t xml:space="preserve"> </w:t>
      </w:r>
      <w:r>
        <w:rPr>
          <w:i/>
        </w:rPr>
        <w:t xml:space="preserve">Margins of Philosophy</w:t>
      </w:r>
      <w:r>
        <w:t xml:space="preserve">. The Harvester Press. ed.</w:t>
      </w:r>
    </w:p>
    <w:bookmarkEnd w:id="226"/>
    <w:bookmarkStart w:id="227" w:name="ref-Der95:Arc"/>
    <w:p>
      <w:pPr>
        <w:pStyle w:val="Bibliography"/>
      </w:pPr>
      <w:r>
        <w:t xml:space="preserve">Derrida J, Prenowitz E. 1995. Archive fever: A freudian impression.</w:t>
      </w:r>
      <w:r>
        <w:t xml:space="preserve"> </w:t>
      </w:r>
      <w:r>
        <w:rPr>
          <w:i/>
        </w:rPr>
        <w:t xml:space="preserve">Diacritics</w:t>
      </w:r>
      <w:r>
        <w:t xml:space="preserve">. 25(2):</w:t>
      </w:r>
    </w:p>
    <w:bookmarkEnd w:id="227"/>
    <w:bookmarkStart w:id="229"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8">
        <w:r>
          <w:rPr>
            <w:rStyle w:val="Hyperlink"/>
          </w:rPr>
          <w:t xml:space="preserve">http://ismir2015.uma.es/articles/261_Paper.pdf</w:t>
        </w:r>
      </w:hyperlink>
    </w:p>
    <w:bookmarkEnd w:id="229"/>
    <w:bookmarkStart w:id="230"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30"/>
    <w:bookmarkStart w:id="231"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1"/>
    <w:bookmarkStart w:id="232"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2"/>
    <w:bookmarkStart w:id="233"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3"/>
    <w:bookmarkStart w:id="235"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4">
        <w:r>
          <w:rPr>
            <w:rStyle w:val="Hyperlink"/>
          </w:rPr>
          <w:t xml:space="preserve">http://ismir2018.ircam.fr/doc/pdfs/265_Paper.pdf</w:t>
        </w:r>
      </w:hyperlink>
    </w:p>
    <w:bookmarkEnd w:id="235"/>
    <w:bookmarkStart w:id="237"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6">
        <w:r>
          <w:rPr>
            <w:rStyle w:val="Hyperlink"/>
          </w:rPr>
          <w:t xml:space="preserve">http://ismir2000.ismir.net/papers/invites/dunn_invite.pdf</w:t>
        </w:r>
      </w:hyperlink>
    </w:p>
    <w:bookmarkEnd w:id="237"/>
    <w:bookmarkStart w:id="238"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8"/>
    <w:bookmarkStart w:id="239"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9"/>
    <w:bookmarkStart w:id="240" w:name="ref-Eco04:The"/>
    <w:p>
      <w:pPr>
        <w:pStyle w:val="Bibliography"/>
      </w:pPr>
      <w:r>
        <w:t xml:space="preserve">Eco U. 2004. The poetics of the open work.</w:t>
      </w:r>
      <w:r>
        <w:t xml:space="preserve"> </w:t>
      </w:r>
      <w:r>
        <w:rPr>
          <w:i/>
        </w:rPr>
        <w:t xml:space="preserve">Audio Culture: Readings in Modern Music</w:t>
      </w:r>
    </w:p>
    <w:bookmarkEnd w:id="240"/>
    <w:bookmarkStart w:id="242"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1">
        <w:r>
          <w:rPr>
            <w:rStyle w:val="Hyperlink"/>
          </w:rPr>
          <w:t xml:space="preserve">http://ismir2018.ircam.fr/doc/pdfs/206_Paper.pdf</w:t>
        </w:r>
      </w:hyperlink>
    </w:p>
    <w:bookmarkEnd w:id="242"/>
    <w:bookmarkStart w:id="243"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3"/>
    <w:bookmarkStart w:id="244" w:name="ref-Ern13:Dig"/>
    <w:p>
      <w:pPr>
        <w:pStyle w:val="Bibliography"/>
      </w:pPr>
      <w:r>
        <w:t xml:space="preserve">Ernst W. 2013.</w:t>
      </w:r>
      <w:r>
        <w:t xml:space="preserve"> </w:t>
      </w:r>
      <w:r>
        <w:rPr>
          <w:i/>
        </w:rPr>
        <w:t xml:space="preserve">Digital Memory and the Archive</w:t>
      </w:r>
      <w:r>
        <w:t xml:space="preserve">. University of Minnesota Press. ed.</w:t>
      </w:r>
    </w:p>
    <w:bookmarkEnd w:id="244"/>
    <w:bookmarkStart w:id="245"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5"/>
    <w:bookmarkStart w:id="246"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6"/>
    <w:bookmarkStart w:id="248"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7">
        <w:r>
          <w:rPr>
            <w:rStyle w:val="Hyperlink"/>
          </w:rPr>
          <w:t xml:space="preserve">https://ismir2017.smcnus.org/wp-content/uploads/2017/10/161_Paper.pdf</w:t>
        </w:r>
      </w:hyperlink>
    </w:p>
    <w:bookmarkEnd w:id="248"/>
    <w:bookmarkStart w:id="249"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9"/>
    <w:bookmarkStart w:id="250"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50"/>
    <w:bookmarkStart w:id="251"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1"/>
    <w:bookmarkStart w:id="252"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2"/>
    <w:bookmarkStart w:id="253"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3"/>
    <w:bookmarkStart w:id="255"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4">
        <w:r>
          <w:rPr>
            <w:rStyle w:val="Hyperlink"/>
          </w:rPr>
          <w:t xml:space="preserve">http://www.nime.org/proceedings/2010/nime2010_473.pdf</w:t>
        </w:r>
      </w:hyperlink>
    </w:p>
    <w:bookmarkEnd w:id="255"/>
    <w:bookmarkStart w:id="256"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6"/>
    <w:bookmarkStart w:id="258"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7">
        <w:r>
          <w:rPr>
            <w:rStyle w:val="Hyperlink"/>
          </w:rPr>
          <w:t xml:space="preserve">http://www.nime.org/proceedings/2011/nime2011_124.pdf</w:t>
        </w:r>
      </w:hyperlink>
    </w:p>
    <w:bookmarkEnd w:id="258"/>
    <w:bookmarkStart w:id="259"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9"/>
    <w:bookmarkStart w:id="261"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60">
        <w:r>
          <w:rPr>
            <w:rStyle w:val="Hyperlink"/>
          </w:rPr>
          <w:t xml:space="preserve">http://ismir2000.ismir.net/posters/good.pdf</w:t>
        </w:r>
      </w:hyperlink>
    </w:p>
    <w:bookmarkEnd w:id="261"/>
    <w:bookmarkStart w:id="263"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2">
        <w:r>
          <w:rPr>
            <w:rStyle w:val="Hyperlink"/>
          </w:rPr>
          <w:t xml:space="preserve">http://ismir2002.ismir.net/proceedings/03-SP04-1.pdf</w:t>
        </w:r>
      </w:hyperlink>
    </w:p>
    <w:bookmarkEnd w:id="263"/>
    <w:bookmarkStart w:id="265"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4">
        <w:r>
          <w:rPr>
            <w:rStyle w:val="Hyperlink"/>
          </w:rPr>
          <w:t xml:space="preserve">http://ismir2003.ismir.net/papers/Goto1.PDF</w:t>
        </w:r>
      </w:hyperlink>
    </w:p>
    <w:bookmarkEnd w:id="265"/>
    <w:bookmarkStart w:id="266" w:name="ref-Gra15:The"/>
    <w:p>
      <w:pPr>
        <w:pStyle w:val="Bibliography"/>
      </w:pPr>
      <w:r>
        <w:t xml:space="preserve">Gratton P, Morin M-E. 2015.</w:t>
      </w:r>
      <w:r>
        <w:t xml:space="preserve"> </w:t>
      </w:r>
      <w:r>
        <w:rPr>
          <w:i/>
        </w:rPr>
        <w:t xml:space="preserve">The Nancy Dictionary</w:t>
      </w:r>
      <w:r>
        <w:t xml:space="preserve">. Edinburgh University Press. ed.</w:t>
      </w:r>
    </w:p>
    <w:bookmarkEnd w:id="266"/>
    <w:bookmarkStart w:id="268"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7">
        <w:r>
          <w:rPr>
            <w:rStyle w:val="Hyperlink"/>
          </w:rPr>
          <w:t xml:space="preserve">http://www.terasoft.com.tw/conf/ismir2014/proceedings/T059_257_Paper.pdf</w:t>
        </w:r>
      </w:hyperlink>
    </w:p>
    <w:bookmarkEnd w:id="268"/>
    <w:bookmarkStart w:id="269"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9"/>
    <w:bookmarkStart w:id="270"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70"/>
    <w:bookmarkStart w:id="271" w:name="ref-Han04:New"/>
    <w:p>
      <w:pPr>
        <w:pStyle w:val="Bibliography"/>
      </w:pPr>
      <w:r>
        <w:t xml:space="preserve">Hansen MBN. 2004.</w:t>
      </w:r>
      <w:r>
        <w:t xml:space="preserve"> </w:t>
      </w:r>
      <w:r>
        <w:rPr>
          <w:i/>
        </w:rPr>
        <w:t xml:space="preserve">New Philosophy for New Media</w:t>
      </w:r>
      <w:r>
        <w:t xml:space="preserve">. The MIT Press. ed.</w:t>
      </w:r>
    </w:p>
    <w:bookmarkEnd w:id="271"/>
    <w:bookmarkStart w:id="272" w:name="ref-Han06:Med"/>
    <w:p>
      <w:pPr>
        <w:pStyle w:val="Bibliography"/>
      </w:pPr>
      <w:r>
        <w:t xml:space="preserve">Hansen MBN. 2006. Media theory.</w:t>
      </w:r>
      <w:r>
        <w:t xml:space="preserve"> </w:t>
      </w:r>
      <w:r>
        <w:rPr>
          <w:i/>
        </w:rPr>
        <w:t xml:space="preserve">Theory, Culture and Society</w:t>
      </w:r>
      <w:r>
        <w:t xml:space="preserve">. 23:</w:t>
      </w:r>
    </w:p>
    <w:bookmarkEnd w:id="272"/>
    <w:bookmarkStart w:id="274"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3">
        <w:r>
          <w:rPr>
            <w:rStyle w:val="Hyperlink"/>
          </w:rPr>
          <w:t xml:space="preserve">http://ismir2008.ismir.net/papers/ISMIR2008_173.pdf</w:t>
        </w:r>
      </w:hyperlink>
    </w:p>
    <w:bookmarkEnd w:id="274"/>
    <w:bookmarkStart w:id="276"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5">
        <w:r>
          <w:rPr>
            <w:rStyle w:val="Hyperlink"/>
          </w:rPr>
          <w:t xml:space="preserve">http://www.ppgia.pucpr.br/ismir2013/wp-content/uploads/2013/09/85_Paper.pdf</w:t>
        </w:r>
      </w:hyperlink>
    </w:p>
    <w:bookmarkEnd w:id="276"/>
    <w:bookmarkStart w:id="277" w:name="ref-Hay93:The"/>
    <w:p>
      <w:pPr>
        <w:pStyle w:val="Bibliography"/>
      </w:pPr>
      <w:r>
        <w:t xml:space="preserve">Hayles K. 1993. The materiality of informatics.</w:t>
      </w:r>
      <w:r>
        <w:t xml:space="preserve"> </w:t>
      </w:r>
      <w:r>
        <w:rPr>
          <w:i/>
        </w:rPr>
        <w:t xml:space="preserve">Configurations</w:t>
      </w:r>
      <w:r>
        <w:t xml:space="preserve">. 1(1):</w:t>
      </w:r>
    </w:p>
    <w:bookmarkEnd w:id="277"/>
    <w:bookmarkStart w:id="278"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8"/>
    <w:bookmarkStart w:id="279"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9"/>
    <w:bookmarkStart w:id="28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80">
        <w:r>
          <w:rPr>
            <w:rStyle w:val="Hyperlink"/>
          </w:rPr>
          <w:t xml:space="preserve">http://www.nime.org/proceedings/2010/nime2010_233.pdf</w:t>
        </w:r>
      </w:hyperlink>
    </w:p>
    <w:bookmarkEnd w:id="281"/>
    <w:bookmarkStart w:id="28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2">
        <w:r>
          <w:rPr>
            <w:rStyle w:val="Hyperlink"/>
          </w:rPr>
          <w:t xml:space="preserve">http://ismir2005.ismir.net/proceedings/2117.pdf</w:t>
        </w:r>
      </w:hyperlink>
    </w:p>
    <w:bookmarkEnd w:id="283"/>
    <w:bookmarkStart w:id="28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4">
        <w:r>
          <w:rPr>
            <w:rStyle w:val="Hyperlink"/>
          </w:rPr>
          <w:t xml:space="preserve">http://ismir2018.ircam.fr/doc/pdfs/248_Paper.pdf</w:t>
        </w:r>
      </w:hyperlink>
    </w:p>
    <w:bookmarkEnd w:id="285"/>
    <w:bookmarkStart w:id="286" w:name="ref-Mau99:Abr"/>
    <w:p>
      <w:pPr>
        <w:pStyle w:val="Bibliography"/>
      </w:pPr>
      <w:r>
        <w:t xml:space="preserve">IV JAM. 1999.</w:t>
      </w:r>
      <w:r>
        <w:t xml:space="preserve"> </w:t>
      </w:r>
      <w:r>
        <w:rPr>
          <w:i/>
        </w:rPr>
        <w:t xml:space="preserve">A Brief History of Algorithmic Composition</w:t>
      </w:r>
      <w:r>
        <w:t xml:space="preserve">. Online. ed.</w:t>
      </w:r>
    </w:p>
    <w:bookmarkEnd w:id="286"/>
    <w:bookmarkStart w:id="28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7"/>
    <w:bookmarkStart w:id="28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8"/>
    <w:bookmarkStart w:id="28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9"/>
    <w:bookmarkStart w:id="29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90">
        <w:r>
          <w:rPr>
            <w:rStyle w:val="Hyperlink"/>
          </w:rPr>
          <w:t xml:space="preserve">http://ismir2008.ismir.net/papers/ISMIR2008_106.pdf</w:t>
        </w:r>
      </w:hyperlink>
    </w:p>
    <w:bookmarkEnd w:id="291"/>
    <w:bookmarkStart w:id="292"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2"/>
    <w:bookmarkStart w:id="293"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3"/>
    <w:bookmarkStart w:id="295"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4">
        <w:r>
          <w:rPr>
            <w:rStyle w:val="Hyperlink"/>
          </w:rPr>
          <w:t xml:space="preserve">http://www.nime.org/proceedings/2004/nime2004_130.pdf</w:t>
        </w:r>
      </w:hyperlink>
    </w:p>
    <w:bookmarkEnd w:id="295"/>
    <w:bookmarkStart w:id="296"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6"/>
    <w:bookmarkStart w:id="298"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7">
        <w:r>
          <w:rPr>
            <w:rStyle w:val="Hyperlink"/>
          </w:rPr>
          <w:t xml:space="preserve">http://www.terasoft.com.tw/conf/ismir2014/proceedings/T039_344_Paper.pdf</w:t>
        </w:r>
      </w:hyperlink>
    </w:p>
    <w:bookmarkEnd w:id="298"/>
    <w:bookmarkStart w:id="299"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9"/>
    <w:bookmarkStart w:id="301"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00">
        <w:r>
          <w:rPr>
            <w:rStyle w:val="Hyperlink"/>
          </w:rPr>
          <w:t xml:space="preserve">http://ismir2015.uma.es/articles/246_Paper.pdf</w:t>
        </w:r>
      </w:hyperlink>
    </w:p>
    <w:bookmarkEnd w:id="301"/>
    <w:bookmarkStart w:id="302"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2"/>
    <w:bookmarkStart w:id="303"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3"/>
    <w:bookmarkStart w:id="304"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4"/>
    <w:bookmarkStart w:id="305"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5"/>
    <w:bookmarkStart w:id="306"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6"/>
    <w:bookmarkStart w:id="307"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7"/>
    <w:bookmarkStart w:id="308"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8"/>
    <w:bookmarkStart w:id="309"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9"/>
    <w:bookmarkStart w:id="310"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10"/>
    <w:bookmarkStart w:id="312"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1">
        <w:r>
          <w:rPr>
            <w:rStyle w:val="Hyperlink"/>
          </w:rPr>
          <w:t xml:space="preserve">http://www.nime.org/proceedings/2008/nime2008_221.pdf</w:t>
        </w:r>
      </w:hyperlink>
    </w:p>
    <w:bookmarkEnd w:id="312"/>
    <w:bookmarkStart w:id="313" w:name="ref-Man01:The"/>
    <w:p>
      <w:pPr>
        <w:pStyle w:val="Bibliography"/>
      </w:pPr>
      <w:r>
        <w:t xml:space="preserve">Manovich L. 2001.</w:t>
      </w:r>
      <w:r>
        <w:t xml:space="preserve"> </w:t>
      </w:r>
      <w:r>
        <w:rPr>
          <w:i/>
        </w:rPr>
        <w:t xml:space="preserve">The Language of New Media</w:t>
      </w:r>
      <w:r>
        <w:t xml:space="preserve">. MIT Press. ed.</w:t>
      </w:r>
    </w:p>
    <w:bookmarkEnd w:id="313"/>
    <w:bookmarkStart w:id="314" w:name="ref-Man02:Old"/>
    <w:p>
      <w:pPr>
        <w:pStyle w:val="Bibliography"/>
      </w:pPr>
      <w:r>
        <w:t xml:space="preserve">Manovich L. 2002. Old media as new media: Cinema.</w:t>
      </w:r>
      <w:r>
        <w:t xml:space="preserve"> </w:t>
      </w:r>
      <w:r>
        <w:rPr>
          <w:i/>
        </w:rPr>
        <w:t xml:space="preserve">The New Media Book</w:t>
      </w:r>
    </w:p>
    <w:bookmarkEnd w:id="314"/>
    <w:bookmarkStart w:id="315" w:name="ref-Man15:The"/>
    <w:p>
      <w:pPr>
        <w:pStyle w:val="Bibliography"/>
      </w:pPr>
      <w:r>
        <w:t xml:space="preserve">Manovich L. 2015. There is only software.</w:t>
      </w:r>
      <w:r>
        <w:t xml:space="preserve"> </w:t>
      </w:r>
      <w:r>
        <w:rPr>
          <w:i/>
        </w:rPr>
        <w:t xml:space="preserve">Vision Anew - the Lens and Screen Arts</w:t>
      </w:r>
    </w:p>
    <w:bookmarkEnd w:id="315"/>
    <w:bookmarkStart w:id="31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6"/>
    <w:bookmarkStart w:id="31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7">
        <w:r>
          <w:rPr>
            <w:rStyle w:val="Hyperlink"/>
          </w:rPr>
          <w:t xml:space="preserve">http://ismir2008.ismir.net/papers/ISMIR2008_158.pdf</w:t>
        </w:r>
      </w:hyperlink>
    </w:p>
    <w:bookmarkEnd w:id="318"/>
    <w:bookmarkStart w:id="31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9"/>
    <w:bookmarkStart w:id="32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20"/>
    <w:bookmarkStart w:id="32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1"/>
    <w:bookmarkStart w:id="322" w:name="ref-csoundMethods"/>
    <w:p>
      <w:pPr>
        <w:pStyle w:val="Bibliography"/>
      </w:pPr>
      <w:r>
        <w:t xml:space="preserve">McCurdy I, Heintz J, Joaquin J, Knevel M. 2015. Methods of writing csound scores.</w:t>
      </w:r>
      <w:r>
        <w:t xml:space="preserve"> </w:t>
      </w:r>
      <w:r>
        <w:rPr>
          <w:i/>
        </w:rPr>
        <w:t xml:space="preserve">FLOSS Manuals</w:t>
      </w:r>
    </w:p>
    <w:bookmarkEnd w:id="322"/>
    <w:bookmarkStart w:id="32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3"/>
    <w:bookmarkStart w:id="32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4">
        <w:r>
          <w:rPr>
            <w:rStyle w:val="Hyperlink"/>
          </w:rPr>
          <w:t xml:space="preserve">http://ismir2018.ircam.fr/doc/pdfs/35_Paper.pdf</w:t>
        </w:r>
      </w:hyperlink>
    </w:p>
    <w:bookmarkEnd w:id="325"/>
    <w:bookmarkStart w:id="32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6"/>
    <w:bookmarkStart w:id="32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7"/>
    <w:bookmarkStart w:id="328" w:name="ref-ods-cpp"/>
    <w:p>
      <w:pPr>
        <w:pStyle w:val="Bibliography"/>
      </w:pPr>
      <w:r>
        <w:t xml:space="preserve">Morin P. 2019.</w:t>
      </w:r>
      <w:r>
        <w:t xml:space="preserve"> </w:t>
      </w:r>
      <w:r>
        <w:rPr>
          <w:i/>
        </w:rPr>
        <w:t xml:space="preserve">Open Data Structures</w:t>
      </w:r>
      <w:r>
        <w:t xml:space="preserve">. Creative Commons. ed.</w:t>
      </w:r>
    </w:p>
    <w:bookmarkEnd w:id="328"/>
    <w:bookmarkStart w:id="32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9"/>
    <w:bookmarkStart w:id="33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30">
        <w:r>
          <w:rPr>
            <w:rStyle w:val="Hyperlink"/>
          </w:rPr>
          <w:t xml:space="preserve">http://www.nime.org/proceedings/2007/nime2007_409.pdf</w:t>
        </w:r>
      </w:hyperlink>
    </w:p>
    <w:bookmarkEnd w:id="331"/>
    <w:bookmarkStart w:id="33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2"/>
    <w:bookmarkStart w:id="333" w:name="ref-Nan07:Lis"/>
    <w:p>
      <w:pPr>
        <w:pStyle w:val="Bibliography"/>
      </w:pPr>
      <w:r>
        <w:t xml:space="preserve">Nancy J-L. 2007.</w:t>
      </w:r>
      <w:r>
        <w:t xml:space="preserve"> </w:t>
      </w:r>
      <w:r>
        <w:rPr>
          <w:i/>
        </w:rPr>
        <w:t xml:space="preserve">Listening</w:t>
      </w:r>
      <w:r>
        <w:t xml:space="preserve">. Fordham University Place. ed.</w:t>
      </w:r>
    </w:p>
    <w:bookmarkEnd w:id="333"/>
    <w:bookmarkStart w:id="33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4"/>
    <w:bookmarkStart w:id="33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5"/>
    <w:bookmarkStart w:id="33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6"/>
    <w:bookmarkStart w:id="33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7"/>
    <w:bookmarkStart w:id="33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8"/>
    <w:bookmarkStart w:id="33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9"/>
    <w:bookmarkStart w:id="34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40"/>
    <w:bookmarkStart w:id="342"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1">
        <w:r>
          <w:rPr>
            <w:rStyle w:val="Hyperlink"/>
          </w:rPr>
          <w:t xml:space="preserve">https://ismir2017.smcnus.org/wp-content/uploads/2017/10/14_Paper.pdf</w:t>
        </w:r>
      </w:hyperlink>
    </w:p>
    <w:bookmarkEnd w:id="342"/>
    <w:bookmarkStart w:id="343"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3"/>
    <w:bookmarkStart w:id="344"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4"/>
    <w:bookmarkStart w:id="345"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5"/>
    <w:bookmarkStart w:id="347"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6">
        <w:r>
          <w:rPr>
            <w:rStyle w:val="Hyperlink"/>
          </w:rPr>
          <w:t xml:space="preserve">http://www.terasoft.com.tw/conf/ismir2014/proceedings/T064_307_Paper.pdf</w:t>
        </w:r>
      </w:hyperlink>
    </w:p>
    <w:bookmarkEnd w:id="347"/>
    <w:bookmarkStart w:id="348" w:name="ref-Pos11:Int"/>
    <w:p>
      <w:pPr>
        <w:pStyle w:val="Bibliography"/>
      </w:pPr>
      <w:r>
        <w:t xml:space="preserve">Poster M. 2011. Introduction.</w:t>
      </w:r>
      <w:r>
        <w:t xml:space="preserve"> </w:t>
      </w:r>
      <w:r>
        <w:rPr>
          <w:i/>
        </w:rPr>
        <w:t xml:space="preserve">Into the Universe of Technical Images</w:t>
      </w:r>
    </w:p>
    <w:bookmarkEnd w:id="348"/>
    <w:bookmarkStart w:id="35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9">
        <w:r>
          <w:rPr>
            <w:rStyle w:val="Hyperlink"/>
          </w:rPr>
          <w:t xml:space="preserve">http://www.nime.org/proceedings/2008/nime2008_311.pdf</w:t>
        </w:r>
      </w:hyperlink>
    </w:p>
    <w:bookmarkEnd w:id="350"/>
    <w:bookmarkStart w:id="35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1"/>
    <w:bookmarkStart w:id="35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2"/>
    <w:bookmarkStart w:id="353"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3"/>
    <w:bookmarkStart w:id="354"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4"/>
    <w:bookmarkStart w:id="355"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5"/>
    <w:bookmarkStart w:id="356"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6"/>
    <w:bookmarkStart w:id="357"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7"/>
    <w:bookmarkStart w:id="358"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8"/>
    <w:bookmarkStart w:id="359" w:name="ref-Roa04:Mic"/>
    <w:p>
      <w:pPr>
        <w:pStyle w:val="Bibliography"/>
      </w:pPr>
      <w:r>
        <w:t xml:space="preserve">Roads C. 2001.</w:t>
      </w:r>
      <w:r>
        <w:t xml:space="preserve"> </w:t>
      </w:r>
      <w:r>
        <w:rPr>
          <w:i/>
        </w:rPr>
        <w:t xml:space="preserve">Microsound</w:t>
      </w:r>
      <w:r>
        <w:t xml:space="preserve">. MIT Pess. ed.</w:t>
      </w:r>
    </w:p>
    <w:bookmarkEnd w:id="359"/>
    <w:bookmarkStart w:id="36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60"/>
    <w:bookmarkStart w:id="36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1"/>
    <w:bookmarkStart w:id="36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2"/>
    <w:bookmarkStart w:id="36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3"/>
    <w:bookmarkStart w:id="36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4"/>
    <w:bookmarkStart w:id="36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5"/>
    <w:bookmarkStart w:id="366"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6"/>
    <w:bookmarkStart w:id="367"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7"/>
    <w:bookmarkStart w:id="368"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8"/>
    <w:bookmarkStart w:id="369"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9"/>
    <w:bookmarkStart w:id="370"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70"/>
    <w:bookmarkStart w:id="371"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1"/>
    <w:bookmarkStart w:id="372"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2"/>
    <w:bookmarkStart w:id="373"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3"/>
    <w:bookmarkStart w:id="374"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4"/>
    <w:bookmarkStart w:id="375"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5"/>
    <w:bookmarkStart w:id="376" w:name="ref-scoremus"/>
    <w:p>
      <w:pPr>
        <w:pStyle w:val="Bibliography"/>
      </w:pPr>
      <w:r>
        <w:t xml:space="preserve">Selfridge-Field E. 1997. The score music publishing system.</w:t>
      </w:r>
      <w:r>
        <w:t xml:space="preserve"> </w:t>
      </w:r>
      <w:r>
        <w:rPr>
          <w:i/>
        </w:rPr>
        <w:t xml:space="preserve">SCORE</w:t>
      </w:r>
    </w:p>
    <w:bookmarkEnd w:id="376"/>
    <w:bookmarkStart w:id="37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7"/>
    <w:bookmarkStart w:id="378"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8"/>
    <w:bookmarkStart w:id="379" w:name="ref-10.2307/941442"/>
    <w:p>
      <w:pPr>
        <w:pStyle w:val="Bibliography"/>
      </w:pPr>
      <w:r>
        <w:t xml:space="preserve">Skinner R. 1990a. Music software.</w:t>
      </w:r>
      <w:r>
        <w:t xml:space="preserve"> </w:t>
      </w:r>
      <w:r>
        <w:rPr>
          <w:i/>
        </w:rPr>
        <w:t xml:space="preserve">Notes</w:t>
      </w:r>
      <w:r>
        <w:t xml:space="preserve">. 46(3):660–84</w:t>
      </w:r>
    </w:p>
    <w:bookmarkEnd w:id="379"/>
    <w:bookmarkStart w:id="380" w:name="ref-10.2307/940555"/>
    <w:p>
      <w:pPr>
        <w:pStyle w:val="Bibliography"/>
      </w:pPr>
      <w:r>
        <w:t xml:space="preserve">Skinner R. 1990b. Music software.</w:t>
      </w:r>
      <w:r>
        <w:t xml:space="preserve"> </w:t>
      </w:r>
      <w:r>
        <w:rPr>
          <w:i/>
        </w:rPr>
        <w:t xml:space="preserve">Notes</w:t>
      </w:r>
      <w:r>
        <w:t xml:space="preserve">. 47(1):91–101</w:t>
      </w:r>
    </w:p>
    <w:bookmarkEnd w:id="380"/>
    <w:bookmarkStart w:id="381"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1"/>
    <w:bookmarkStart w:id="382"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2"/>
    <w:bookmarkStart w:id="383"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3"/>
    <w:bookmarkStart w:id="384"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4"/>
    <w:bookmarkStart w:id="385" w:name="ref-Sze08:Lis"/>
    <w:p>
      <w:pPr>
        <w:pStyle w:val="Bibliography"/>
      </w:pPr>
      <w:r>
        <w:t xml:space="preserve">Szendy P. 2008.</w:t>
      </w:r>
      <w:r>
        <w:t xml:space="preserve"> </w:t>
      </w:r>
      <w:r>
        <w:rPr>
          <w:i/>
        </w:rPr>
        <w:t xml:space="preserve">Listen: A History of Our Ears</w:t>
      </w:r>
      <w:r>
        <w:t xml:space="preserve">. Fordham University. ed.</w:t>
      </w:r>
    </w:p>
    <w:bookmarkEnd w:id="385"/>
    <w:bookmarkStart w:id="386"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6"/>
    <w:bookmarkStart w:id="387" w:name="ref-Tha06:Rev"/>
    <w:p>
      <w:pPr>
        <w:pStyle w:val="Bibliography"/>
      </w:pPr>
      <w:r>
        <w:t xml:space="preserve">Thacker E. 2006. Review: Hansen: New philosophy.</w:t>
      </w:r>
      <w:r>
        <w:t xml:space="preserve"> </w:t>
      </w:r>
      <w:r>
        <w:rPr>
          <w:i/>
        </w:rPr>
        <w:t xml:space="preserve">Leonardo</w:t>
      </w:r>
      <w:r>
        <w:t xml:space="preserve">. 39(3):</w:t>
      </w:r>
    </w:p>
    <w:bookmarkEnd w:id="387"/>
    <w:bookmarkStart w:id="388"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8"/>
    <w:bookmarkStart w:id="389"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9"/>
    <w:bookmarkStart w:id="390" w:name="ref-Var04:The"/>
    <w:p>
      <w:pPr>
        <w:pStyle w:val="Bibliography"/>
      </w:pPr>
      <w:r>
        <w:t xml:space="preserve">Varese E. 2004. The liberation of sound.</w:t>
      </w:r>
      <w:r>
        <w:t xml:space="preserve"> </w:t>
      </w:r>
      <w:r>
        <w:rPr>
          <w:i/>
        </w:rPr>
        <w:t xml:space="preserve">Audio Culture: Readings in Modern Music</w:t>
      </w:r>
    </w:p>
    <w:bookmarkEnd w:id="390"/>
    <w:bookmarkStart w:id="391"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1"/>
    <w:bookmarkStart w:id="392"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2"/>
    <w:bookmarkStart w:id="394"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3">
        <w:r>
          <w:rPr>
            <w:rStyle w:val="Hyperlink"/>
          </w:rPr>
          <w:t xml:space="preserve">https://ismir2017.smcnus.org/wp-content/uploads/2017/10/180_Paper.pdf</w:t>
        </w:r>
      </w:hyperlink>
    </w:p>
    <w:bookmarkEnd w:id="394"/>
    <w:bookmarkStart w:id="395"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5"/>
    <w:bookmarkStart w:id="397"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6">
        <w:r>
          <w:rPr>
            <w:rStyle w:val="Hyperlink"/>
          </w:rPr>
          <w:t xml:space="preserve">http://ismir2002.ismir.net/proceedings/02-FP06-3.pdf</w:t>
        </w:r>
      </w:hyperlink>
    </w:p>
    <w:bookmarkEnd w:id="397"/>
    <w:bookmarkStart w:id="398"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8"/>
    <w:bookmarkStart w:id="399"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9"/>
    <w:bookmarkStart w:id="400"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00"/>
    <w:bookmarkStart w:id="401"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1"/>
    <w:bookmarkStart w:id="402"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2"/>
    <w:bookmarkStart w:id="403"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3"/>
    <w:bookmarkStart w:id="404" w:name="ref-Wei07:Oce"/>
    <w:p>
      <w:pPr>
        <w:pStyle w:val="Bibliography"/>
      </w:pPr>
      <w:r>
        <w:t xml:space="preserve">Weinbren G. 2007. Ocean, database, recut.</w:t>
      </w:r>
      <w:r>
        <w:t xml:space="preserve"> </w:t>
      </w:r>
      <w:r>
        <w:rPr>
          <w:i/>
        </w:rPr>
        <w:t xml:space="preserve">Database Aesthetics: Art in the Age of Information Overflow</w:t>
      </w:r>
    </w:p>
    <w:bookmarkEnd w:id="404"/>
    <w:bookmarkStart w:id="405"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5"/>
    <w:bookmarkStart w:id="406"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6"/>
    <w:bookmarkStart w:id="408"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7">
        <w:r>
          <w:rPr>
            <w:rStyle w:val="Hyperlink"/>
          </w:rPr>
          <w:t xml:space="preserve">http://ismir2018.ircam.fr/doc/pdfs/114_Paper.pdf</w:t>
        </w:r>
      </w:hyperlink>
    </w:p>
    <w:bookmarkEnd w:id="408"/>
    <w:bookmarkStart w:id="410"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9">
        <w:r>
          <w:rPr>
            <w:rStyle w:val="Hyperlink"/>
          </w:rPr>
          <w:t xml:space="preserve">http://ismir2004.ismir.net/proceedings/p010-page-48-paper227.pdf</w:t>
        </w:r>
      </w:hyperlink>
    </w:p>
    <w:bookmarkEnd w:id="410"/>
    <w:bookmarkStart w:id="411"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1"/>
    <w:bookmarkStart w:id="412"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2"/>
    <w:bookmarkStart w:id="414"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3">
        <w:r>
          <w:rPr>
            <w:rStyle w:val="Hyperlink"/>
          </w:rPr>
          <w:t xml:space="preserve">http://ismir2018.ircam.fr/doc/pdfs/188_Paper.pdf</w:t>
        </w:r>
      </w:hyperlink>
    </w:p>
    <w:bookmarkEnd w:id="414"/>
    <w:bookmarkStart w:id="415"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5"/>
    <w:bookmarkStart w:id="416"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6"/>
    <w:bookmarkStart w:id="417"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7"/>
    <w:bookmarkStart w:id="418"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8"/>
    <w:bookmarkStart w:id="419"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9"/>
    <w:bookmarkStart w:id="421"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20">
        <w:r>
          <w:rPr>
            <w:rStyle w:val="Hyperlink"/>
          </w:rPr>
          <w:t xml:space="preserve">http://www.nime.org/proceedings/2007/nime2007_352.pdf</w:t>
        </w:r>
      </w:hyperlink>
    </w:p>
    <w:bookmarkEnd w:id="421"/>
    <w:bookmarkStart w:id="422"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2"/>
    <w:bookmarkEnd w:id="423"/>
    <w:p>
      <w:r>
        <w:pict>
          <v:rect style="width:0;height:1.5pt" o:hralign="center" o:hrstd="t" o:hr="t"/>
        </w:pict>
      </w:r>
    </w:p>
    <w:bookmarkStart w:id="425" w:name="fn1"/>
    <w:p>
      <w:pPr>
        <w:numPr>
          <w:numId w:val="1029"/>
          <w:ilvl w:val="0"/>
        </w:numPr>
      </w:pPr>
      <w:r>
        <w:t xml:space="preserve">Alvin Lucier. I Am Sitting In A Room. See:</w:t>
      </w:r>
      <w:r>
        <w:t xml:space="preserve"> </w:t>
      </w:r>
      <w:hyperlink r:id="rId424">
        <w:r>
          <w:rPr>
            <w:rStyle w:val="Hyperlink"/>
          </w:rPr>
          <w:t xml:space="preserve">https://en.wikipedia.org/wiki/I_Am_Sitting_in_a_Room</w:t>
        </w:r>
      </w:hyperlink>
      <w:hyperlink w:anchor="fnref1">
        <w:r>
          <w:rPr>
            <w:rStyle w:val="Hyperlink"/>
          </w:rPr>
          <w:t xml:space="preserve">↩</w:t>
        </w:r>
      </w:hyperlink>
    </w:p>
    <w:bookmarkEnd w:id="425"/>
    <w:bookmarkStart w:id="426"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6"/>
    <w:bookmarkStart w:id="427" w:name="fn3"/>
    <w:p>
      <w:pPr>
        <w:numPr>
          <w:numId w:val="1029"/>
          <w:ilvl w:val="0"/>
        </w:numPr>
      </w:pPr>
      <w:r>
        <w:t xml:space="preserve">I use Jacques Derrida’s definition of the spectrality of the archive</w:t>
      </w:r>
      <w:hyperlink w:anchor="fnref3">
        <w:r>
          <w:rPr>
            <w:rStyle w:val="Hyperlink"/>
          </w:rPr>
          <w:t xml:space="preserve">↩</w:t>
        </w:r>
      </w:hyperlink>
    </w:p>
    <w:bookmarkEnd w:id="427"/>
    <w:bookmarkStart w:id="428"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28"/>
    <w:bookmarkStart w:id="429"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29"/>
    <w:bookmarkStart w:id="430"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30"/>
    <w:bookmarkStart w:id="431"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1"/>
    <w:bookmarkStart w:id="432" w:name="fn8"/>
    <w:p>
      <w:pPr>
        <w:numPr>
          <w:numId w:val="1029"/>
          <w:ilvl w:val="0"/>
        </w:numPr>
      </w:pPr>
      <w:r>
        <w:t xml:space="preserve">The question of meaning in database will be addressed in Chapter 3.</w:t>
      </w:r>
      <w:hyperlink w:anchor="fnref8">
        <w:r>
          <w:rPr>
            <w:rStyle w:val="Hyperlink"/>
          </w:rPr>
          <w:t xml:space="preserve">↩</w:t>
        </w:r>
      </w:hyperlink>
    </w:p>
    <w:bookmarkEnd w:id="432"/>
    <w:bookmarkStart w:id="433"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33"/>
    <w:bookmarkStart w:id="434" w:name="fn10"/>
    <w:p>
      <w:pPr>
        <w:numPr>
          <w:numId w:val="1029"/>
          <w:ilvl w:val="0"/>
        </w:numPr>
      </w:pPr>
      <w:r>
        <w:t xml:space="preserve">Weinbren refers similarly to ‘arrangement’ and to narrative</w:t>
      </w:r>
      <w:hyperlink w:anchor="fnref10">
        <w:r>
          <w:rPr>
            <w:rStyle w:val="Hyperlink"/>
          </w:rPr>
          <w:t xml:space="preserve">↩</w:t>
        </w:r>
      </w:hyperlink>
    </w:p>
    <w:bookmarkEnd w:id="434"/>
    <w:bookmarkStart w:id="435" w:name="fn11"/>
    <w:p>
      <w:pPr>
        <w:numPr>
          <w:numId w:val="1029"/>
          <w:ilvl w:val="0"/>
        </w:numPr>
      </w:pPr>
      <w:r>
        <w:t xml:space="preserve">This example was used by Manovich in the late 1990s, and it is still valid today with most editing sofwares, i.e., any multimedia editor: audio, video, text, etc.</w:t>
      </w:r>
      <w:hyperlink w:anchor="fnref11">
        <w:r>
          <w:rPr>
            <w:rStyle w:val="Hyperlink"/>
          </w:rPr>
          <w:t xml:space="preserve">↩</w:t>
        </w:r>
      </w:hyperlink>
    </w:p>
    <w:bookmarkEnd w:id="435"/>
    <w:bookmarkStart w:id="436" w:name="fn12"/>
    <w:p>
      <w:pPr>
        <w:numPr>
          <w:numId w:val="1029"/>
          <w:ilvl w:val="0"/>
        </w:numPr>
      </w:pPr>
      <w:r>
        <w:t xml:space="preserve">‘Import,’ ‘export,’ and ‘render,’ refer to processes that read from or write to the computer’s disk.</w:t>
      </w:r>
      <w:hyperlink w:anchor="fnref12">
        <w:r>
          <w:rPr>
            <w:rStyle w:val="Hyperlink"/>
          </w:rPr>
          <w:t xml:space="preserve">↩</w:t>
        </w:r>
      </w:hyperlink>
    </w:p>
    <w:bookmarkEnd w:id="436"/>
    <w:bookmarkStart w:id="437" w:name="fn13"/>
    <w:p>
      <w:pPr>
        <w:numPr>
          <w:numId w:val="1029"/>
          <w:ilvl w:val="0"/>
        </w:numPr>
      </w:pPr>
      <w:r>
        <w:t xml:space="preserve">I continue developing this concept in the final section of this chapter.</w:t>
      </w:r>
      <w:hyperlink w:anchor="fnref13">
        <w:r>
          <w:rPr>
            <w:rStyle w:val="Hyperlink"/>
          </w:rPr>
          <w:t xml:space="preserve">↩</w:t>
        </w:r>
      </w:hyperlink>
    </w:p>
    <w:bookmarkEnd w:id="437"/>
    <w:bookmarkStart w:id="438" w:name="fn14"/>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4">
        <w:r>
          <w:rPr>
            <w:rStyle w:val="Hyperlink"/>
          </w:rPr>
          <w:t xml:space="preserve">↩</w:t>
        </w:r>
      </w:hyperlink>
    </w:p>
    <w:bookmarkEnd w:id="438"/>
    <w:bookmarkStart w:id="439" w:name="fn15"/>
    <w:p>
      <w:pPr>
        <w:numPr>
          <w:numId w:val="1029"/>
          <w:ilvl w:val="0"/>
        </w:numPr>
      </w:pPr>
      <w:r>
        <w:t xml:space="preserve">Disembodied information, the cyborg, and the posthuman.</w:t>
      </w:r>
      <w:hyperlink w:anchor="fnref15">
        <w:r>
          <w:rPr>
            <w:rStyle w:val="Hyperlink"/>
          </w:rPr>
          <w:t xml:space="preserve">↩</w:t>
        </w:r>
      </w:hyperlink>
    </w:p>
    <w:bookmarkEnd w:id="439"/>
    <w:bookmarkStart w:id="440" w:name="fn16"/>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6">
        <w:r>
          <w:rPr>
            <w:rStyle w:val="Hyperlink"/>
          </w:rPr>
          <w:t xml:space="preserve">↩</w:t>
        </w:r>
      </w:hyperlink>
    </w:p>
    <w:bookmarkEnd w:id="440"/>
    <w:bookmarkStart w:id="441" w:name="fn17"/>
    <w:p>
      <w:pPr>
        <w:numPr>
          <w:numId w:val="1029"/>
          <w:ilvl w:val="0"/>
        </w:numPr>
      </w:pPr>
      <w:r>
        <w:t xml:space="preserve">Media theorist Alexander Galloway calls this Manovich’s ‘dirty little secret.’ I will expand on this later in the text.</w:t>
      </w:r>
      <w:hyperlink w:anchor="fnref17">
        <w:r>
          <w:rPr>
            <w:rStyle w:val="Hyperlink"/>
          </w:rPr>
          <w:t xml:space="preserve">↩</w:t>
        </w:r>
      </w:hyperlink>
    </w:p>
    <w:bookmarkEnd w:id="441"/>
    <w:bookmarkStart w:id="442" w:name="fn18"/>
    <w:p>
      <w:pPr>
        <w:numPr>
          <w:numId w:val="1029"/>
          <w:ilvl w:val="0"/>
        </w:numPr>
      </w:pPr>
      <w:r>
        <w:t xml:space="preserve">Resolution in terms of image —dimensions, frames per second, aspect ratio— and audio —bit depth, sampling rate, number of channels.</w:t>
      </w:r>
      <w:hyperlink w:anchor="fnref18">
        <w:r>
          <w:rPr>
            <w:rStyle w:val="Hyperlink"/>
          </w:rPr>
          <w:t xml:space="preserve">↩</w:t>
        </w:r>
      </w:hyperlink>
    </w:p>
    <w:bookmarkEnd w:id="442"/>
    <w:bookmarkStart w:id="443" w:name="fn19"/>
    <w:p>
      <w:pPr>
        <w:numPr>
          <w:numId w:val="1029"/>
          <w:ilvl w:val="0"/>
        </w:numPr>
      </w:pPr>
      <w:r>
        <w:t xml:space="preserve">I return to the concept of enframing later in this text.</w:t>
      </w:r>
      <w:hyperlink w:anchor="fnref19">
        <w:r>
          <w:rPr>
            <w:rStyle w:val="Hyperlink"/>
          </w:rPr>
          <w:t xml:space="preserve">↩</w:t>
        </w:r>
      </w:hyperlink>
    </w:p>
    <w:bookmarkEnd w:id="443"/>
    <w:bookmarkStart w:id="444" w:name="fn20"/>
    <w:p>
      <w:pPr>
        <w:numPr>
          <w:numId w:val="1029"/>
          <w:ilvl w:val="0"/>
        </w:numPr>
      </w:pPr>
      <w:r>
        <w:t xml:space="preserve">Kittler’s work was published in German in 1986, and it was translated to English in 1999 by Winthrop-Young and Wutz</w:t>
      </w:r>
      <w:hyperlink w:anchor="fnref20">
        <w:r>
          <w:rPr>
            <w:rStyle w:val="Hyperlink"/>
          </w:rPr>
          <w:t xml:space="preserve">↩</w:t>
        </w:r>
      </w:hyperlink>
    </w:p>
    <w:bookmarkEnd w:id="444"/>
    <w:bookmarkStart w:id="445" w:name="fn21"/>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1">
        <w:r>
          <w:rPr>
            <w:rStyle w:val="Hyperlink"/>
          </w:rPr>
          <w:t xml:space="preserve">↩</w:t>
        </w:r>
      </w:hyperlink>
    </w:p>
    <w:bookmarkEnd w:id="445"/>
    <w:bookmarkStart w:id="446" w:name="fn22"/>
    <w:p>
      <w:pPr>
        <w:numPr>
          <w:numId w:val="1029"/>
          <w:ilvl w:val="0"/>
        </w:numPr>
      </w:pPr>
      <w:r>
        <w:t xml:space="preserve">The fact that Klein is a writer himself may attest to why he classifies this shift as evolutive.</w:t>
      </w:r>
      <w:hyperlink w:anchor="fnref22">
        <w:r>
          <w:rPr>
            <w:rStyle w:val="Hyperlink"/>
          </w:rPr>
          <w:t xml:space="preserve">↩</w:t>
        </w:r>
      </w:hyperlink>
    </w:p>
    <w:bookmarkEnd w:id="446"/>
    <w:bookmarkStart w:id="447" w:name="fn23"/>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3">
        <w:r>
          <w:rPr>
            <w:rStyle w:val="Hyperlink"/>
          </w:rPr>
          <w:t xml:space="preserve">↩</w:t>
        </w:r>
      </w:hyperlink>
    </w:p>
    <w:bookmarkEnd w:id="447"/>
    <w:bookmarkStart w:id="448" w:name="fn24"/>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4">
        <w:r>
          <w:rPr>
            <w:rStyle w:val="Hyperlink"/>
          </w:rPr>
          <w:t xml:space="preserve">↩</w:t>
        </w:r>
      </w:hyperlink>
    </w:p>
    <w:bookmarkEnd w:id="448"/>
    <w:bookmarkStart w:id="450" w:name="fn25"/>
    <w:p>
      <w:pPr>
        <w:numPr>
          <w:numId w:val="1029"/>
          <w:ilvl w:val="0"/>
        </w:numPr>
      </w:pPr>
      <w:hyperlink r:id="rId449">
        <w:r>
          <w:rPr>
            <w:rStyle w:val="Hyperlink"/>
          </w:rPr>
          <w:t xml:space="preserve">https://github.com/marsyas/marsyas</w:t>
        </w:r>
      </w:hyperlink>
      <w:hyperlink w:anchor="fnref25">
        <w:r>
          <w:rPr>
            <w:rStyle w:val="Hyperlink"/>
          </w:rPr>
          <w:t xml:space="preserve">↩</w:t>
        </w:r>
      </w:hyperlink>
    </w:p>
    <w:bookmarkEnd w:id="450"/>
    <w:bookmarkStart w:id="452" w:name="fn26"/>
    <w:p>
      <w:pPr>
        <w:numPr>
          <w:numId w:val="1029"/>
          <w:ilvl w:val="0"/>
        </w:numPr>
      </w:pPr>
      <w:hyperlink r:id="rId451">
        <w:r>
          <w:rPr>
            <w:rStyle w:val="Hyperlink"/>
          </w:rPr>
          <w:t xml:space="preserve">https://github.com/libpd</w:t>
        </w:r>
      </w:hyperlink>
      <w:hyperlink w:anchor="fnref26">
        <w:r>
          <w:rPr>
            <w:rStyle w:val="Hyperlink"/>
          </w:rPr>
          <w:t xml:space="preserve">↩</w:t>
        </w:r>
      </w:hyperlink>
    </w:p>
    <w:bookmarkEnd w:id="452"/>
    <w:bookmarkStart w:id="454" w:name="fn27"/>
    <w:p>
      <w:pPr>
        <w:numPr>
          <w:numId w:val="1029"/>
          <w:ilvl w:val="0"/>
        </w:numPr>
      </w:pPr>
      <w:hyperlink r:id="rId453">
        <w:r>
          <w:rPr>
            <w:rStyle w:val="Hyperlink"/>
          </w:rPr>
          <w:t xml:space="preserve">https://github.com/thestk/stk</w:t>
        </w:r>
      </w:hyperlink>
      <w:hyperlink w:anchor="fnref27">
        <w:r>
          <w:rPr>
            <w:rStyle w:val="Hyperlink"/>
          </w:rPr>
          <w:t xml:space="preserve">↩</w:t>
        </w:r>
      </w:hyperlink>
    </w:p>
    <w:bookmarkEnd w:id="454"/>
    <w:bookmarkStart w:id="456" w:name="fn28"/>
    <w:p>
      <w:pPr>
        <w:numPr>
          <w:numId w:val="1029"/>
          <w:ilvl w:val="0"/>
        </w:numPr>
      </w:pPr>
      <w:hyperlink r:id="rId455">
        <w:r>
          <w:rPr>
            <w:rStyle w:val="Hyperlink"/>
          </w:rPr>
          <w:t xml:space="preserve">https://en.wikipedia.org/wiki/Coin_collecting</w:t>
        </w:r>
      </w:hyperlink>
      <w:hyperlink w:anchor="fnref28">
        <w:r>
          <w:rPr>
            <w:rStyle w:val="Hyperlink"/>
          </w:rPr>
          <w:t xml:space="preserve">↩</w:t>
        </w:r>
      </w:hyperlink>
    </w:p>
    <w:bookmarkEnd w:id="456"/>
    <w:bookmarkStart w:id="457" w:name="fn29"/>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9">
        <w:r>
          <w:rPr>
            <w:rStyle w:val="Hyperlink"/>
          </w:rPr>
          <w:t xml:space="preserve">↩</w:t>
        </w:r>
      </w:hyperlink>
    </w:p>
    <w:bookmarkEnd w:id="457"/>
    <w:bookmarkStart w:id="458" w:name="fn30"/>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30">
        <w:r>
          <w:rPr>
            <w:rStyle w:val="Hyperlink"/>
          </w:rPr>
          <w:t xml:space="preserve">↩</w:t>
        </w:r>
      </w:hyperlink>
    </w:p>
    <w:bookmarkEnd w:id="458"/>
    <w:bookmarkStart w:id="459" w:name="fn31"/>
    <w:p>
      <w:pPr>
        <w:numPr>
          <w:numId w:val="1029"/>
          <w:ilvl w:val="0"/>
        </w:numPr>
      </w:pPr>
      <w:r>
        <w:t xml:space="preserve">For more on data structures, see</w:t>
      </w:r>
      <w:r>
        <w:t xml:space="preserve"> </w:t>
      </w:r>
      <w:r>
        <w:t xml:space="preserve">(Morin 2019)</w:t>
      </w:r>
      <w:hyperlink w:anchor="fnref31">
        <w:r>
          <w:rPr>
            <w:rStyle w:val="Hyperlink"/>
          </w:rPr>
          <w:t xml:space="preserve">↩</w:t>
        </w:r>
      </w:hyperlink>
    </w:p>
    <w:bookmarkEnd w:id="459"/>
    <w:bookmarkStart w:id="461" w:name="fn32"/>
    <w:p>
      <w:pPr>
        <w:numPr>
          <w:numId w:val="1029"/>
          <w:ilvl w:val="0"/>
        </w:numPr>
      </w:pPr>
      <w:r>
        <w:t xml:space="preserve">For a list of online databases, see:</w:t>
      </w:r>
      <w:r>
        <w:t xml:space="preserve"> </w:t>
      </w:r>
      <w:hyperlink r:id="rId460">
        <w:r>
          <w:rPr>
            <w:rStyle w:val="Hyperlink"/>
          </w:rPr>
          <w:t xml:space="preserve">https://en.wikipedia.org/wiki/List_of_online_databases</w:t>
        </w:r>
      </w:hyperlink>
      <w:hyperlink w:anchor="fnref32">
        <w:r>
          <w:rPr>
            <w:rStyle w:val="Hyperlink"/>
          </w:rPr>
          <w:t xml:space="preserve">↩</w:t>
        </w:r>
      </w:hyperlink>
    </w:p>
    <w:bookmarkEnd w:id="461"/>
    <w:bookmarkStart w:id="463" w:name="fn33"/>
    <w:p>
      <w:pPr>
        <w:numPr>
          <w:numId w:val="1029"/>
          <w:ilvl w:val="0"/>
        </w:numPr>
      </w:pPr>
      <w:hyperlink r:id="rId462">
        <w:r>
          <w:rPr>
            <w:rStyle w:val="Hyperlink"/>
          </w:rPr>
          <w:t xml:space="preserve">https://en.wikipedia.org/wiki/IBM_Information_Management_System</w:t>
        </w:r>
      </w:hyperlink>
      <w:hyperlink w:anchor="fnref33">
        <w:r>
          <w:rPr>
            <w:rStyle w:val="Hyperlink"/>
          </w:rPr>
          <w:t xml:space="preserve">↩</w:t>
        </w:r>
      </w:hyperlink>
    </w:p>
    <w:bookmarkEnd w:id="463"/>
    <w:bookmarkStart w:id="465" w:name="fn34"/>
    <w:p>
      <w:pPr>
        <w:numPr>
          <w:numId w:val="1029"/>
          <w:ilvl w:val="0"/>
        </w:numPr>
      </w:pPr>
      <w:hyperlink r:id="rId464">
        <w:r>
          <w:rPr>
            <w:rStyle w:val="Hyperlink"/>
          </w:rPr>
          <w:t xml:space="preserve">https://docs.microsoft.com/en-us/windows/desktop/SysInfo/structure-of-the-registry</w:t>
        </w:r>
      </w:hyperlink>
      <w:hyperlink w:anchor="fnref34">
        <w:r>
          <w:rPr>
            <w:rStyle w:val="Hyperlink"/>
          </w:rPr>
          <w:t xml:space="preserve">↩</w:t>
        </w:r>
      </w:hyperlink>
    </w:p>
    <w:bookmarkEnd w:id="465"/>
    <w:bookmarkStart w:id="467" w:name="fn35"/>
    <w:p>
      <w:pPr>
        <w:numPr>
          <w:numId w:val="1029"/>
          <w:ilvl w:val="0"/>
        </w:numPr>
      </w:pPr>
      <w:hyperlink r:id="rId466">
        <w:r>
          <w:rPr>
            <w:rStyle w:val="Hyperlink"/>
          </w:rPr>
          <w:t xml:space="preserve">https://en.wikipedia.org/wiki/\acrshort{codasyl}</w:t>
        </w:r>
      </w:hyperlink>
      <w:hyperlink w:anchor="fnref35">
        <w:r>
          <w:rPr>
            <w:rStyle w:val="Hyperlink"/>
          </w:rPr>
          <w:t xml:space="preserve">↩</w:t>
        </w:r>
      </w:hyperlink>
    </w:p>
    <w:bookmarkEnd w:id="467"/>
    <w:bookmarkStart w:id="469" w:name="fn36"/>
    <w:p>
      <w:pPr>
        <w:numPr>
          <w:numId w:val="1029"/>
          <w:ilvl w:val="0"/>
        </w:numPr>
      </w:pPr>
      <w:hyperlink r:id="rId468">
        <w:r>
          <w:rPr>
            <w:rStyle w:val="Hyperlink"/>
          </w:rPr>
          <w:t xml:space="preserve">https://en.wikipedia.org/wiki/Unisys_OS_2200_databases</w:t>
        </w:r>
      </w:hyperlink>
      <w:hyperlink w:anchor="fnref36">
        <w:r>
          <w:rPr>
            <w:rStyle w:val="Hyperlink"/>
          </w:rPr>
          <w:t xml:space="preserve">↩</w:t>
        </w:r>
      </w:hyperlink>
    </w:p>
    <w:bookmarkEnd w:id="469"/>
    <w:bookmarkStart w:id="471" w:name="fn37"/>
    <w:p>
      <w:pPr>
        <w:numPr>
          <w:numId w:val="1029"/>
          <w:ilvl w:val="0"/>
        </w:numPr>
      </w:pPr>
      <w:r>
        <w:t xml:space="preserve">For more information on relational database management systems, see</w:t>
      </w:r>
      <w:r>
        <w:t xml:space="preserve"> </w:t>
      </w:r>
      <w:hyperlink r:id="rId470">
        <w:r>
          <w:rPr>
            <w:rStyle w:val="Hyperlink"/>
          </w:rPr>
          <w:t xml:space="preserve">https://en.wikipedia.org/wiki/Comparison_of_relational_database_management_systems</w:t>
        </w:r>
      </w:hyperlink>
      <w:hyperlink w:anchor="fnref37">
        <w:r>
          <w:rPr>
            <w:rStyle w:val="Hyperlink"/>
          </w:rPr>
          <w:t xml:space="preserve">↩</w:t>
        </w:r>
      </w:hyperlink>
    </w:p>
    <w:bookmarkEnd w:id="471"/>
    <w:bookmarkStart w:id="473" w:name="fn38"/>
    <w:p>
      <w:pPr>
        <w:numPr>
          <w:numId w:val="1029"/>
          <w:ilvl w:val="0"/>
        </w:numPr>
      </w:pPr>
      <w:hyperlink r:id="rId472">
        <w:r>
          <w:rPr>
            <w:rStyle w:val="Hyperlink"/>
          </w:rPr>
          <w:t xml:space="preserve">http://www.jhterbekke.net/XplainDBMS.html</w:t>
        </w:r>
      </w:hyperlink>
      <w:hyperlink w:anchor="fnref38">
        <w:r>
          <w:rPr>
            <w:rStyle w:val="Hyperlink"/>
          </w:rPr>
          <w:t xml:space="preserve">↩</w:t>
        </w:r>
      </w:hyperlink>
    </w:p>
    <w:bookmarkEnd w:id="473"/>
    <w:bookmarkStart w:id="475" w:name="fn39"/>
    <w:p>
      <w:pPr>
        <w:numPr>
          <w:numId w:val="1029"/>
          <w:ilvl w:val="0"/>
        </w:numPr>
      </w:pPr>
      <w:r>
        <w:t xml:space="preserve">For more information on in-memory databases, see</w:t>
      </w:r>
      <w:r>
        <w:t xml:space="preserve"> </w:t>
      </w:r>
      <w:hyperlink r:id="rId474">
        <w:r>
          <w:rPr>
            <w:rStyle w:val="Hyperlink"/>
          </w:rPr>
          <w:t xml:space="preserve">http://web.archive.org/web/20121009191558/http://slashdot.org/topic/datacenter/the-rise-of-in-memory-databases/</w:t>
        </w:r>
      </w:hyperlink>
      <w:hyperlink w:anchor="fnref39">
        <w:r>
          <w:rPr>
            <w:rStyle w:val="Hyperlink"/>
          </w:rPr>
          <w:t xml:space="preserve">↩</w:t>
        </w:r>
      </w:hyperlink>
    </w:p>
    <w:bookmarkEnd w:id="475"/>
    <w:bookmarkStart w:id="476" w:name="fn40"/>
    <w:p>
      <w:pPr>
        <w:numPr>
          <w:numId w:val="1029"/>
          <w:ilvl w:val="0"/>
        </w:numPr>
      </w:pPr>
      <w:r>
        <w:t xml:space="preserve">For more infomration on semi-structured databases, see</w:t>
      </w:r>
      <w:r>
        <w:t xml:space="preserve"> </w:t>
      </w:r>
      <w:r>
        <w:t xml:space="preserve">(Buneman 1997)</w:t>
      </w:r>
      <w:hyperlink w:anchor="fnref40">
        <w:r>
          <w:rPr>
            <w:rStyle w:val="Hyperlink"/>
          </w:rPr>
          <w:t xml:space="preserve">↩</w:t>
        </w:r>
      </w:hyperlink>
    </w:p>
    <w:bookmarkEnd w:id="476"/>
    <w:bookmarkStart w:id="478" w:name="fn41"/>
    <w:p>
      <w:pPr>
        <w:numPr>
          <w:numId w:val="1029"/>
          <w:ilvl w:val="0"/>
        </w:numPr>
      </w:pPr>
      <w:hyperlink r:id="rId477">
        <w:r>
          <w:rPr>
            <w:rStyle w:val="Hyperlink"/>
          </w:rPr>
          <w:t xml:space="preserve">https://www.imdb.com/</w:t>
        </w:r>
      </w:hyperlink>
      <w:hyperlink w:anchor="fnref41">
        <w:r>
          <w:rPr>
            <w:rStyle w:val="Hyperlink"/>
          </w:rPr>
          <w:t xml:space="preserve">↩</w:t>
        </w:r>
      </w:hyperlink>
    </w:p>
    <w:bookmarkEnd w:id="478"/>
    <w:bookmarkStart w:id="479" w:name="fn42"/>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2">
        <w:r>
          <w:rPr>
            <w:rStyle w:val="Hyperlink"/>
          </w:rPr>
          <w:t xml:space="preserve">↩</w:t>
        </w:r>
      </w:hyperlink>
    </w:p>
    <w:bookmarkEnd w:id="479"/>
    <w:bookmarkStart w:id="480" w:name="fn43"/>
    <w:p>
      <w:pPr>
        <w:numPr>
          <w:numId w:val="1029"/>
          <w:ilvl w:val="0"/>
        </w:numPr>
      </w:pPr>
      <w:r>
        <w:t xml:space="preserve">See for example the International Society for Music Information Retrieval (ISMIR), founded in 2000</w:t>
      </w:r>
      <w:hyperlink w:anchor="fnref43">
        <w:r>
          <w:rPr>
            <w:rStyle w:val="Hyperlink"/>
          </w:rPr>
          <w:t xml:space="preserve">↩</w:t>
        </w:r>
      </w:hyperlink>
    </w:p>
    <w:bookmarkEnd w:id="480"/>
    <w:bookmarkStart w:id="481" w:name="fn44"/>
    <w:p>
      <w:pPr>
        <w:numPr>
          <w:numId w:val="1029"/>
          <w:ilvl w:val="0"/>
        </w:numPr>
      </w:pPr>
      <w:r>
        <w:t xml:space="preserve">Depending on the sample rate of a recording (usually 44.1 or 48 kHz, that is, samples per second)</w:t>
      </w:r>
      <w:hyperlink w:anchor="fnref44">
        <w:r>
          <w:rPr>
            <w:rStyle w:val="Hyperlink"/>
          </w:rPr>
          <w:t xml:space="preserve">↩</w:t>
        </w:r>
      </w:hyperlink>
    </w:p>
    <w:bookmarkEnd w:id="481"/>
    <w:bookmarkStart w:id="482" w:name="fn45"/>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5">
        <w:r>
          <w:rPr>
            <w:rStyle w:val="Hyperlink"/>
          </w:rPr>
          <w:t xml:space="preserve">↩</w:t>
        </w:r>
      </w:hyperlink>
    </w:p>
    <w:bookmarkEnd w:id="482"/>
    <w:bookmarkStart w:id="483" w:name="fn46"/>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6">
        <w:r>
          <w:rPr>
            <w:rStyle w:val="Hyperlink"/>
          </w:rPr>
          <w:t xml:space="preserve">↩</w:t>
        </w:r>
      </w:hyperlink>
    </w:p>
    <w:bookmarkEnd w:id="483"/>
    <w:bookmarkStart w:id="484" w:name="fn47"/>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7">
        <w:r>
          <w:rPr>
            <w:rStyle w:val="Hyperlink"/>
          </w:rPr>
          <w:t xml:space="preserve">↩</w:t>
        </w:r>
      </w:hyperlink>
    </w:p>
    <w:bookmarkEnd w:id="484"/>
    <w:bookmarkStart w:id="485" w:name="fn48"/>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8">
        <w:r>
          <w:rPr>
            <w:rStyle w:val="Hyperlink"/>
          </w:rPr>
          <w:t xml:space="preserve">↩</w:t>
        </w:r>
      </w:hyperlink>
    </w:p>
    <w:bookmarkEnd w:id="485"/>
    <w:bookmarkStart w:id="486" w:name="fn49"/>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9">
        <w:r>
          <w:rPr>
            <w:rStyle w:val="Hyperlink"/>
          </w:rPr>
          <w:t xml:space="preserve">↩</w:t>
        </w:r>
      </w:hyperlink>
    </w:p>
    <w:bookmarkEnd w:id="486"/>
    <w:bookmarkStart w:id="487" w:name="fn50"/>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50">
        <w:r>
          <w:rPr>
            <w:rStyle w:val="Hyperlink"/>
          </w:rPr>
          <w:t xml:space="preserve">↩</w:t>
        </w:r>
      </w:hyperlink>
    </w:p>
    <w:bookmarkEnd w:id="487"/>
    <w:bookmarkStart w:id="488" w:name="fn51"/>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1">
        <w:r>
          <w:rPr>
            <w:rStyle w:val="Hyperlink"/>
          </w:rPr>
          <w:t xml:space="preserve">↩</w:t>
        </w:r>
      </w:hyperlink>
    </w:p>
    <w:bookmarkEnd w:id="488"/>
    <w:bookmarkStart w:id="489" w:name="fn52"/>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2">
        <w:r>
          <w:rPr>
            <w:rStyle w:val="Hyperlink"/>
          </w:rPr>
          <w:t xml:space="preserve">↩</w:t>
        </w:r>
      </w:hyperlink>
    </w:p>
    <w:bookmarkEnd w:id="489"/>
    <w:bookmarkStart w:id="490" w:name="fn53"/>
    <w:p>
      <w:pPr>
        <w:numPr>
          <w:numId w:val="1029"/>
          <w:ilvl w:val="0"/>
        </w:numPr>
      </w:pPr>
      <w:r>
        <w:t xml:space="preserve">See for example Carlile’s chapter on psychoacoustics</w:t>
      </w:r>
      <w:r>
        <w:t xml:space="preserve"> </w:t>
      </w:r>
      <w:r>
        <w:t xml:space="preserve">(Carlile 2011)</w:t>
      </w:r>
      <w:r>
        <w:t xml:space="preserve">.</w:t>
      </w:r>
      <w:hyperlink w:anchor="fnref53">
        <w:r>
          <w:rPr>
            <w:rStyle w:val="Hyperlink"/>
          </w:rPr>
          <w:t xml:space="preserve">↩</w:t>
        </w:r>
      </w:hyperlink>
    </w:p>
    <w:bookmarkEnd w:id="490"/>
    <w:bookmarkStart w:id="491" w:name="fn54"/>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4">
        <w:r>
          <w:rPr>
            <w:rStyle w:val="Hyperlink"/>
          </w:rPr>
          <w:t xml:space="preserve">↩</w:t>
        </w:r>
      </w:hyperlink>
    </w:p>
    <w:bookmarkEnd w:id="491"/>
    <w:bookmarkStart w:id="492" w:name="fn55"/>
    <w:p>
      <w:pPr>
        <w:numPr>
          <w:numId w:val="1029"/>
          <w:ilvl w:val="0"/>
        </w:numPr>
      </w:pPr>
      <w:r>
        <w:t xml:space="preserve">From a lecture given by Judy Klein at New York University’s Waverly Project, on February 2nd, 2017.</w:t>
      </w:r>
      <w:hyperlink w:anchor="fnref55">
        <w:r>
          <w:rPr>
            <w:rStyle w:val="Hyperlink"/>
          </w:rPr>
          <w:t xml:space="preserve">↩</w:t>
        </w:r>
      </w:hyperlink>
    </w:p>
    <w:bookmarkEnd w:id="492"/>
    <w:bookmarkStart w:id="494" w:name="fn56"/>
    <w:p>
      <w:pPr>
        <w:numPr>
          <w:numId w:val="1029"/>
          <w:ilvl w:val="0"/>
        </w:numPr>
      </w:pPr>
      <w:hyperlink r:id="rId493">
        <w:r>
          <w:rPr>
            <w:rStyle w:val="Hyperlink"/>
          </w:rPr>
          <w:t xml:space="preserve">http://www.natashabarrett.org/viva.html</w:t>
        </w:r>
      </w:hyperlink>
      <w:hyperlink w:anchor="fnref56">
        <w:r>
          <w:rPr>
            <w:rStyle w:val="Hyperlink"/>
          </w:rPr>
          <w:t xml:space="preserve">↩</w:t>
        </w:r>
      </w:hyperlink>
    </w:p>
    <w:bookmarkEnd w:id="494"/>
    <w:bookmarkStart w:id="495" w:name="fn57"/>
    <w:p>
      <w:pPr>
        <w:numPr>
          <w:numId w:val="1029"/>
          <w:ilvl w:val="0"/>
        </w:numPr>
      </w:pPr>
      <w:r>
        <w:t xml:space="preserve">A biological field station called ‘La Suerte’ in Costa Rica</w:t>
      </w:r>
      <w:hyperlink w:anchor="fnref57">
        <w:r>
          <w:rPr>
            <w:rStyle w:val="Hyperlink"/>
          </w:rPr>
          <w:t xml:space="preserve">↩</w:t>
        </w:r>
      </w:hyperlink>
    </w:p>
    <w:bookmarkEnd w:id="495"/>
    <w:bookmarkStart w:id="497" w:name="fn58"/>
    <w:p>
      <w:pPr>
        <w:numPr>
          <w:numId w:val="1029"/>
          <w:ilvl w:val="0"/>
        </w:numPr>
      </w:pPr>
      <w:hyperlink r:id="rId496">
        <w:r>
          <w:rPr>
            <w:rStyle w:val="Hyperlink"/>
          </w:rPr>
          <w:t xml:space="preserve">http://www.hmdb.ca/</w:t>
        </w:r>
      </w:hyperlink>
      <w:hyperlink w:anchor="fnref58">
        <w:r>
          <w:rPr>
            <w:rStyle w:val="Hyperlink"/>
          </w:rPr>
          <w:t xml:space="preserve">↩</w:t>
        </w:r>
      </w:hyperlink>
    </w:p>
    <w:bookmarkEnd w:id="497"/>
    <w:bookmarkStart w:id="498" w:name="fn59"/>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9">
        <w:r>
          <w:rPr>
            <w:rStyle w:val="Hyperlink"/>
          </w:rPr>
          <w:t xml:space="preserve">↩</w:t>
        </w:r>
      </w:hyperlink>
    </w:p>
    <w:bookmarkEnd w:id="498"/>
    <w:bookmarkStart w:id="500" w:name="fn60"/>
    <w:p>
      <w:pPr>
        <w:numPr>
          <w:numId w:val="1029"/>
          <w:ilvl w:val="0"/>
        </w:numPr>
      </w:pPr>
      <w:hyperlink r:id="rId499">
        <w:r>
          <w:rPr>
            <w:rStyle w:val="Hyperlink"/>
          </w:rPr>
          <w:t xml:space="preserve">http://aflowlib.org/</w:t>
        </w:r>
      </w:hyperlink>
      <w:hyperlink w:anchor="fnref60">
        <w:r>
          <w:rPr>
            <w:rStyle w:val="Hyperlink"/>
          </w:rPr>
          <w:t xml:space="preserve">↩</w:t>
        </w:r>
      </w:hyperlink>
    </w:p>
    <w:bookmarkEnd w:id="500"/>
    <w:bookmarkStart w:id="502" w:name="fn61"/>
    <w:p>
      <w:pPr>
        <w:numPr>
          <w:numId w:val="1029"/>
          <w:ilvl w:val="0"/>
        </w:numPr>
      </w:pPr>
      <w:r>
        <w:t xml:space="preserve">OpenFrameworks is a C++ program for visuals:</w:t>
      </w:r>
      <w:r>
        <w:t xml:space="preserve"> </w:t>
      </w:r>
      <w:hyperlink r:id="rId501">
        <w:r>
          <w:rPr>
            <w:rStyle w:val="Hyperlink"/>
          </w:rPr>
          <w:t xml:space="preserve">https://openframeworks.cc</w:t>
        </w:r>
      </w:hyperlink>
      <w:hyperlink w:anchor="fnref61">
        <w:r>
          <w:rPr>
            <w:rStyle w:val="Hyperlink"/>
          </w:rPr>
          <w:t xml:space="preserve">↩</w:t>
        </w:r>
      </w:hyperlink>
    </w:p>
    <w:bookmarkEnd w:id="502"/>
    <w:bookmarkStart w:id="503" w:name="fn62"/>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2">
        <w:r>
          <w:rPr>
            <w:rStyle w:val="Hyperlink"/>
          </w:rPr>
          <w:t xml:space="preserve">↩</w:t>
        </w:r>
      </w:hyperlink>
    </w:p>
    <w:bookmarkEnd w:id="503"/>
    <w:bookmarkStart w:id="505" w:name="fn63"/>
    <w:p>
      <w:pPr>
        <w:numPr>
          <w:numId w:val="1029"/>
          <w:ilvl w:val="0"/>
        </w:numPr>
      </w:pPr>
      <w:hyperlink r:id="rId504">
        <w:r>
          <w:rPr>
            <w:rStyle w:val="Hyperlink"/>
          </w:rPr>
          <w:t xml:space="preserve">https://www.iris.edu</w:t>
        </w:r>
      </w:hyperlink>
      <w:hyperlink w:anchor="fnref63">
        <w:r>
          <w:rPr>
            <w:rStyle w:val="Hyperlink"/>
          </w:rPr>
          <w:t xml:space="preserve">↩</w:t>
        </w:r>
      </w:hyperlink>
    </w:p>
    <w:bookmarkEnd w:id="505"/>
    <w:bookmarkStart w:id="507" w:name="fn64"/>
    <w:p>
      <w:pPr>
        <w:numPr>
          <w:numId w:val="1029"/>
          <w:ilvl w:val="0"/>
        </w:numPr>
      </w:pPr>
      <w:hyperlink r:id="rId506">
        <w:r>
          <w:rPr>
            <w:rStyle w:val="Hyperlink"/>
          </w:rPr>
          <w:t xml:space="preserve">https://qcd-audio.at</w:t>
        </w:r>
      </w:hyperlink>
      <w:hyperlink w:anchor="fnref64">
        <w:r>
          <w:rPr>
            <w:rStyle w:val="Hyperlink"/>
          </w:rPr>
          <w:t xml:space="preserve">↩</w:t>
        </w:r>
      </w:hyperlink>
    </w:p>
    <w:bookmarkEnd w:id="507"/>
    <w:bookmarkStart w:id="508" w:name="fn65"/>
    <w:p>
      <w:pPr>
        <w:numPr>
          <w:numId w:val="1029"/>
          <w:ilvl w:val="0"/>
        </w:numPr>
      </w:pPr>
      <w:r>
        <w:t xml:space="preserve">William (Bill) Buxton is now considered a pioneer in HCI, and he is now a major figure in the Microsoft Research department.</w:t>
      </w:r>
      <w:hyperlink w:anchor="fnref65">
        <w:r>
          <w:rPr>
            <w:rStyle w:val="Hyperlink"/>
          </w:rPr>
          <w:t xml:space="preserve">↩</w:t>
        </w:r>
      </w:hyperlink>
    </w:p>
    <w:bookmarkEnd w:id="508"/>
    <w:bookmarkStart w:id="509" w:name="fn66"/>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6">
        <w:r>
          <w:rPr>
            <w:rStyle w:val="Hyperlink"/>
          </w:rPr>
          <w:t xml:space="preserve">↩</w:t>
        </w:r>
      </w:hyperlink>
    </w:p>
    <w:bookmarkEnd w:id="509"/>
    <w:bookmarkStart w:id="510" w:name="fn67"/>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7">
        <w:r>
          <w:rPr>
            <w:rStyle w:val="Hyperlink"/>
          </w:rPr>
          <w:t xml:space="preserve">↩</w:t>
        </w:r>
      </w:hyperlink>
    </w:p>
    <w:bookmarkEnd w:id="510"/>
    <w:bookmarkStart w:id="511" w:name="fn68"/>
    <w:p>
      <w:pPr>
        <w:numPr>
          <w:numId w:val="1029"/>
          <w:ilvl w:val="0"/>
        </w:numPr>
      </w:pPr>
      <w:r>
        <w:t xml:space="preserve">MIDI (Musical Instrument Digital Interface) is a communication protocol between synthesizers and computers.</w:t>
      </w:r>
      <w:hyperlink w:anchor="fnref68">
        <w:r>
          <w:rPr>
            <w:rStyle w:val="Hyperlink"/>
          </w:rPr>
          <w:t xml:space="preserve">↩</w:t>
        </w:r>
      </w:hyperlink>
    </w:p>
    <w:bookmarkEnd w:id="511"/>
    <w:bookmarkStart w:id="512" w:name="fn69"/>
    <w:p>
      <w:pPr>
        <w:numPr>
          <w:numId w:val="1029"/>
          <w:ilvl w:val="0"/>
        </w:numPr>
      </w:pPr>
      <w:r>
        <w:t xml:space="preserve">DARMS stands for ‘Digital Alternate Representation of Musical Scores.’</w:t>
      </w:r>
      <w:hyperlink w:anchor="fnref69">
        <w:r>
          <w:rPr>
            <w:rStyle w:val="Hyperlink"/>
          </w:rPr>
          <w:t xml:space="preserve">↩</w:t>
        </w:r>
      </w:hyperlink>
    </w:p>
    <w:bookmarkEnd w:id="512"/>
    <w:bookmarkStart w:id="513" w:name="fn70"/>
    <w:p>
      <w:pPr>
        <w:numPr>
          <w:numId w:val="1029"/>
          <w:ilvl w:val="0"/>
        </w:numPr>
      </w:pPr>
      <w:r>
        <w:t xml:space="preserve">Vector graphics are computer graphics images that are defined in terms of two dimensional points.</w:t>
      </w:r>
      <w:hyperlink w:anchor="fnref70">
        <w:r>
          <w:rPr>
            <w:rStyle w:val="Hyperlink"/>
          </w:rPr>
          <w:t xml:space="preserve">↩</w:t>
        </w:r>
      </w:hyperlink>
    </w:p>
    <w:bookmarkEnd w:id="513"/>
    <w:bookmarkStart w:id="514" w:name="fn71"/>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1">
        <w:r>
          <w:rPr>
            <w:rStyle w:val="Hyperlink"/>
          </w:rPr>
          <w:t xml:space="preserve">↩</w:t>
        </w:r>
      </w:hyperlink>
    </w:p>
    <w:bookmarkEnd w:id="514"/>
    <w:bookmarkStart w:id="515" w:name="fn72"/>
    <w:p>
      <w:pPr>
        <w:numPr>
          <w:numId w:val="1029"/>
          <w:ilvl w:val="0"/>
        </w:numPr>
      </w:pPr>
      <w:r>
        <w:t xml:space="preserve">Objective-C is a programming language combining the Smalltalk messaging system and the C programming language, which enables an object-oriented approach to the latter.</w:t>
      </w:r>
      <w:hyperlink w:anchor="fnref72">
        <w:r>
          <w:rPr>
            <w:rStyle w:val="Hyperlink"/>
          </w:rPr>
          <w:t xml:space="preserve">↩</w:t>
        </w:r>
      </w:hyperlink>
    </w:p>
    <w:bookmarkEnd w:id="515"/>
    <w:bookmarkStart w:id="516" w:name="fn73"/>
    <w:p>
      <w:pPr>
        <w:numPr>
          <w:numId w:val="1029"/>
          <w:ilvl w:val="0"/>
        </w:numPr>
      </w:pPr>
      <w:r>
        <w:t xml:space="preserve">The same can be said about music listening: the generated output can have internal structures that go beyond our perceptual skills.</w:t>
      </w:r>
      <w:hyperlink w:anchor="fnref73">
        <w:r>
          <w:rPr>
            <w:rStyle w:val="Hyperlink"/>
          </w:rPr>
          <w:t xml:space="preserve">↩</w:t>
        </w:r>
      </w:hyperlink>
    </w:p>
    <w:bookmarkEnd w:id="516"/>
    <w:bookmarkStart w:id="517" w:name="fn74"/>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4">
        <w:r>
          <w:rPr>
            <w:rStyle w:val="Hyperlink"/>
          </w:rPr>
          <w:t xml:space="preserve">↩</w:t>
        </w:r>
      </w:hyperlink>
    </w:p>
    <w:bookmarkEnd w:id="517"/>
    <w:bookmarkStart w:id="519" w:name="fn75"/>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8">
        <w:r>
          <w:rPr>
            <w:rStyle w:val="Hyperlink"/>
          </w:rPr>
          <w:t xml:space="preserve">https://en.wikipedia.org/wiki/Heap_(data_structure)</w:t>
        </w:r>
      </w:hyperlink>
      <w:hyperlink w:anchor="fnref75">
        <w:r>
          <w:rPr>
            <w:rStyle w:val="Hyperlink"/>
          </w:rPr>
          <w:t xml:space="preserve">↩</w:t>
        </w:r>
      </w:hyperlink>
    </w:p>
    <w:bookmarkEnd w:id="519"/>
    <w:bookmarkStart w:id="520" w:name="fn76"/>
    <w:p>
      <w:pPr>
        <w:numPr>
          <w:numId w:val="1029"/>
          <w:ilvl w:val="0"/>
        </w:numPr>
      </w:pPr>
      <w:r>
        <w:t xml:space="preserve">A TCP/IP connection is an internet protocol that enables data to be transferred between two ‘sockets,’ or ports, that is, the basic elements to establish a network.</w:t>
      </w:r>
      <w:hyperlink w:anchor="fnref76">
        <w:r>
          <w:rPr>
            <w:rStyle w:val="Hyperlink"/>
          </w:rPr>
          <w:t xml:space="preserve">↩</w:t>
        </w:r>
      </w:hyperlink>
    </w:p>
    <w:bookmarkEnd w:id="520"/>
    <w:bookmarkStart w:id="521" w:name="fn77"/>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7">
        <w:r>
          <w:rPr>
            <w:rStyle w:val="Hyperlink"/>
          </w:rPr>
          <w:t xml:space="preserve">↩</w:t>
        </w:r>
      </w:hyperlink>
    </w:p>
    <w:bookmarkEnd w:id="521"/>
    <w:bookmarkStart w:id="522" w:name="fn78"/>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8">
        <w:r>
          <w:rPr>
            <w:rStyle w:val="Hyperlink"/>
          </w:rPr>
          <w:t xml:space="preserve">↩</w:t>
        </w:r>
      </w:hyperlink>
    </w:p>
    <w:bookmarkEnd w:id="522"/>
    <w:bookmarkStart w:id="524" w:name="fn79"/>
    <w:p>
      <w:pPr>
        <w:numPr>
          <w:numId w:val="1029"/>
          <w:ilvl w:val="0"/>
        </w:numPr>
      </w:pPr>
      <w:bookmarkStart w:id="523" w:name="furthersoftware"/>
      <w:r>
        <w:t xml:space="preserve">[furthersoftware]</w:t>
      </w:r>
      <w:bookmarkEnd w:id="523"/>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9">
        <w:r>
          <w:rPr>
            <w:rStyle w:val="Hyperlink"/>
          </w:rPr>
          <w:t xml:space="preserve">↩</w:t>
        </w:r>
      </w:hyperlink>
    </w:p>
    <w:bookmarkEnd w:id="524"/>
    <w:bookmarkStart w:id="525" w:name="fn80"/>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80">
        <w:r>
          <w:rPr>
            <w:rStyle w:val="Hyperlink"/>
          </w:rPr>
          <w:t xml:space="preserve">↩</w:t>
        </w:r>
      </w:hyperlink>
    </w:p>
    <w:bookmarkEnd w:id="525"/>
    <w:bookmarkStart w:id="527" w:name="fn81"/>
    <w:p>
      <w:pPr>
        <w:numPr>
          <w:numId w:val="1029"/>
          <w:ilvl w:val="0"/>
        </w:numPr>
      </w:pPr>
      <w:hyperlink r:id="rId526">
        <w:r>
          <w:rPr>
            <w:rStyle w:val="Hyperlink"/>
          </w:rPr>
          <w:t xml:space="preserve">http://insookchoi.com</w:t>
        </w:r>
      </w:hyperlink>
      <w:hyperlink w:anchor="fnref81">
        <w:r>
          <w:rPr>
            <w:rStyle w:val="Hyperlink"/>
          </w:rPr>
          <w:t xml:space="preserve">↩</w:t>
        </w:r>
      </w:hyperlink>
    </w:p>
    <w:bookmarkEnd w:id="527"/>
    <w:bookmarkStart w:id="528" w:name="fn82"/>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2">
        <w:r>
          <w:rPr>
            <w:rStyle w:val="Hyperlink"/>
          </w:rPr>
          <w:t xml:space="preserve">↩</w:t>
        </w:r>
      </w:hyperlink>
    </w:p>
    <w:bookmarkEnd w:id="528"/>
    <w:bookmarkStart w:id="529" w:name="fn83"/>
    <w:p>
      <w:pPr>
        <w:numPr>
          <w:numId w:val="1029"/>
          <w:ilvl w:val="0"/>
        </w:numPr>
      </w:pPr>
      <w:r>
        <w:t xml:space="preserve">Histeresis is the recorded history of the observer’s interaction with a system.</w:t>
      </w:r>
      <w:hyperlink w:anchor="fnref83">
        <w:r>
          <w:rPr>
            <w:rStyle w:val="Hyperlink"/>
          </w:rPr>
          <w:t xml:space="preserve">↩</w:t>
        </w:r>
      </w:hyperlink>
    </w:p>
    <w:bookmarkEnd w:id="529"/>
    <w:bookmarkStart w:id="531" w:name="fn84"/>
    <w:p>
      <w:pPr>
        <w:numPr>
          <w:numId w:val="1029"/>
          <w:ilvl w:val="0"/>
        </w:numPr>
      </w:pPr>
      <w:r>
        <w:t xml:space="preserve">A video of the installation can be seen here:</w:t>
      </w:r>
      <w:r>
        <w:t xml:space="preserve"> </w:t>
      </w:r>
      <w:hyperlink r:id="rId530">
        <w:r>
          <w:rPr>
            <w:rStyle w:val="Hyperlink"/>
          </w:rPr>
          <w:t xml:space="preserve">https://vimeo.com/23086026</w:t>
        </w:r>
      </w:hyperlink>
      <w:hyperlink w:anchor="fnref84">
        <w:r>
          <w:rPr>
            <w:rStyle w:val="Hyperlink"/>
          </w:rPr>
          <w:t xml:space="preserve">↩</w:t>
        </w:r>
      </w:hyperlink>
    </w:p>
    <w:bookmarkEnd w:id="531"/>
    <w:bookmarkStart w:id="533" w:name="fn85"/>
    <w:p>
      <w:pPr>
        <w:numPr>
          <w:numId w:val="1029"/>
          <w:ilvl w:val="0"/>
        </w:numPr>
      </w:pPr>
      <w:hyperlink r:id="rId532">
        <w:r>
          <w:rPr>
            <w:rStyle w:val="Hyperlink"/>
          </w:rPr>
          <w:t xml:space="preserve">https://sihwapark.com/COMPath</w:t>
        </w:r>
      </w:hyperlink>
      <w:hyperlink w:anchor="fnref85">
        <w:r>
          <w:rPr>
            <w:rStyle w:val="Hyperlink"/>
          </w:rPr>
          <w:t xml:space="preserve">↩</w:t>
        </w:r>
      </w:hyperlink>
    </w:p>
    <w:bookmarkEnd w:id="533"/>
    <w:bookmarkStart w:id="534" w:name="fn86"/>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6">
        <w:r>
          <w:rPr>
            <w:rStyle w:val="Hyperlink"/>
          </w:rPr>
          <w:t xml:space="preserve">↩</w:t>
        </w:r>
      </w:hyperlink>
    </w:p>
    <w:bookmarkEnd w:id="534"/>
    <w:bookmarkStart w:id="535" w:name="fn87"/>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7">
        <w:r>
          <w:rPr>
            <w:rStyle w:val="Hyperlink"/>
          </w:rPr>
          <w:t xml:space="preserve">↩</w:t>
        </w:r>
      </w:hyperlink>
    </w:p>
    <w:bookmarkEnd w:id="535"/>
    <w:bookmarkStart w:id="536" w:name="fn88"/>
    <w:p>
      <w:pPr>
        <w:numPr>
          <w:numId w:val="1029"/>
          <w:ilvl w:val="0"/>
        </w:numPr>
      </w:pPr>
      <w:r>
        <w:t xml:space="preserve">Digital waveguides are an efficient model for physical modeling of wave propagation</w:t>
      </w:r>
      <w:hyperlink w:anchor="fnref88">
        <w:r>
          <w:rPr>
            <w:rStyle w:val="Hyperlink"/>
          </w:rPr>
          <w:t xml:space="preserve">↩</w:t>
        </w:r>
      </w:hyperlink>
    </w:p>
    <w:bookmarkEnd w:id="536"/>
    <w:bookmarkStart w:id="537" w:name="fn89"/>
    <w:p>
      <w:pPr>
        <w:numPr>
          <w:numId w:val="1029"/>
          <w:ilvl w:val="0"/>
        </w:numPr>
      </w:pPr>
      <w:r>
        <w:t xml:space="preserve">Center for New Music and Audio Technologies, Berkeley</w:t>
      </w:r>
      <w:hyperlink w:anchor="fnref89">
        <w:r>
          <w:rPr>
            <w:rStyle w:val="Hyperlink"/>
          </w:rPr>
          <w:t xml:space="preserve">↩</w:t>
        </w:r>
      </w:hyperlink>
    </w:p>
    <w:bookmarkEnd w:id="537"/>
    <w:bookmarkStart w:id="538" w:name="fn90"/>
    <w:p>
      <w:pPr>
        <w:numPr>
          <w:numId w:val="1029"/>
          <w:ilvl w:val="0"/>
        </w:numPr>
      </w:pPr>
      <w:r>
        <w:t xml:space="preserve">See footnote:</w:t>
      </w:r>
      <w:r>
        <w:t xml:space="preserve"> </w:t>
      </w:r>
      <w:hyperlink w:anchor="furthersoftware">
        <w:r>
          <w:rPr>
            <w:rStyle w:val="Hyperlink"/>
          </w:rPr>
          <w:t xml:space="preserve">[furthersoftware]</w:t>
        </w:r>
      </w:hyperlink>
      <w:hyperlink w:anchor="fnref90">
        <w:r>
          <w:rPr>
            <w:rStyle w:val="Hyperlink"/>
          </w:rPr>
          <w:t xml:space="preserve">↩</w:t>
        </w:r>
      </w:hyperlink>
    </w:p>
    <w:bookmarkEnd w:id="538"/>
    <w:bookmarkStart w:id="539" w:name="fn91"/>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1">
        <w:r>
          <w:rPr>
            <w:rStyle w:val="Hyperlink"/>
          </w:rPr>
          <w:t xml:space="preserve">↩</w:t>
        </w:r>
      </w:hyperlink>
    </w:p>
    <w:bookmarkEnd w:id="539"/>
    <w:bookmarkStart w:id="540" w:name="fn92"/>
    <w:p>
      <w:pPr>
        <w:numPr>
          <w:numId w:val="1029"/>
          <w:ilvl w:val="0"/>
        </w:numPr>
      </w:pPr>
      <w:r>
        <w:t xml:space="preserve">XML is a human-readable, eXtensible Markup Language very similar to HTML.</w:t>
      </w:r>
      <w:hyperlink w:anchor="fnref92">
        <w:r>
          <w:rPr>
            <w:rStyle w:val="Hyperlink"/>
          </w:rPr>
          <w:t xml:space="preserve">↩</w:t>
        </w:r>
      </w:hyperlink>
    </w:p>
    <w:bookmarkEnd w:id="540"/>
    <w:bookmarkStart w:id="541" w:name="fn93"/>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3">
        <w:r>
          <w:rPr>
            <w:rStyle w:val="Hyperlink"/>
          </w:rPr>
          <w:t xml:space="preserve">↩</w:t>
        </w:r>
      </w:hyperlink>
    </w:p>
    <w:bookmarkEnd w:id="541"/>
    <w:bookmarkStart w:id="542" w:name="fn94"/>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4">
        <w:r>
          <w:rPr>
            <w:rStyle w:val="Hyperlink"/>
          </w:rPr>
          <w:t xml:space="preserve">↩</w:t>
        </w:r>
      </w:hyperlink>
    </w:p>
    <w:bookmarkEnd w:id="542"/>
    <w:bookmarkStart w:id="543"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43"/>
    <w:bookmarkStart w:id="544"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44"/>
    <w:bookmarkStart w:id="545"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45"/>
    <w:bookmarkStart w:id="546"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6"/>
    <w:bookmarkStart w:id="548" w:name="fn99"/>
    <w:p>
      <w:pPr>
        <w:numPr>
          <w:numId w:val="1029"/>
          <w:ilvl w:val="0"/>
        </w:numPr>
      </w:pPr>
      <w:hyperlink r:id="rId547">
        <w:r>
          <w:rPr>
            <w:rStyle w:val="Hyperlink"/>
          </w:rPr>
          <w:t xml:space="preserve">https://en.wikipedia.org/wiki/Leo_Beranek</w:t>
        </w:r>
      </w:hyperlink>
      <w:hyperlink w:anchor="fnref99">
        <w:r>
          <w:rPr>
            <w:rStyle w:val="Hyperlink"/>
          </w:rPr>
          <w:t xml:space="preserve">↩</w:t>
        </w:r>
      </w:hyperlink>
    </w:p>
    <w:bookmarkEnd w:id="548"/>
    <w:bookmarkStart w:id="549"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49"/>
    <w:bookmarkStart w:id="550"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50"/>
    <w:bookmarkStart w:id="552" w:name="fn102"/>
    <w:p>
      <w:pPr>
        <w:numPr>
          <w:numId w:val="1029"/>
          <w:ilvl w:val="0"/>
        </w:numPr>
      </w:pPr>
      <w:hyperlink r:id="rId551">
        <w:r>
          <w:rPr>
            <w:rStyle w:val="Hyperlink"/>
          </w:rPr>
          <w:t xml:space="preserve">https://en.cppreference.com/w/cpp/language/destructor</w:t>
        </w:r>
      </w:hyperlink>
      <w:hyperlink w:anchor="fnref102">
        <w:r>
          <w:rPr>
            <w:rStyle w:val="Hyperlink"/>
          </w:rPr>
          <w:t xml:space="preserve">↩</w:t>
        </w:r>
      </w:hyperlink>
    </w:p>
    <w:bookmarkEnd w:id="552"/>
    <w:bookmarkStart w:id="554" w:name="fn103"/>
    <w:p>
      <w:pPr>
        <w:numPr>
          <w:numId w:val="1029"/>
          <w:ilvl w:val="0"/>
        </w:numPr>
      </w:pPr>
      <w:hyperlink r:id="rId553">
        <w:r>
          <w:rPr>
            <w:rStyle w:val="Hyperlink"/>
          </w:rPr>
          <w:t xml:space="preserve">https://mpc.chs.harvard.edu/</w:t>
        </w:r>
      </w:hyperlink>
      <w:hyperlink w:anchor="fnref103">
        <w:r>
          <w:rPr>
            <w:rStyle w:val="Hyperlink"/>
          </w:rPr>
          <w:t xml:space="preserve">↩</w:t>
        </w:r>
      </w:hyperlink>
    </w:p>
    <w:bookmarkEnd w:id="554"/>
    <w:bookmarkStart w:id="555"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55"/>
    <w:bookmarkStart w:id="556" w:name="fn105"/>
    <w:p>
      <w:pPr>
        <w:numPr>
          <w:numId w:val="1029"/>
          <w:ilvl w:val="0"/>
        </w:numPr>
      </w:pPr>
      <w:r>
        <w:t xml:space="preserve">Programming ‘slang’ for inlet/outlet.</w:t>
      </w:r>
      <w:hyperlink w:anchor="fnref105">
        <w:r>
          <w:rPr>
            <w:rStyle w:val="Hyperlink"/>
          </w:rPr>
          <w:t xml:space="preserve">↩</w:t>
        </w:r>
      </w:hyperlink>
    </w:p>
    <w:bookmarkEnd w:id="556"/>
    <w:bookmarkStart w:id="557" w:name="fn106"/>
    <w:p>
      <w:pPr>
        <w:numPr>
          <w:numId w:val="1029"/>
          <w:ilvl w:val="0"/>
        </w:numPr>
      </w:pPr>
      <w:r>
        <w:t xml:space="preserve">Miller Puckette suggested this during an open discussion at</w:t>
      </w:r>
      <w:hyperlink w:anchor="fnref106">
        <w:r>
          <w:rPr>
            <w:rStyle w:val="Hyperlink"/>
          </w:rPr>
          <w:t xml:space="preserve">↩</w:t>
        </w:r>
      </w:hyperlink>
    </w:p>
    <w:bookmarkEnd w:id="557"/>
    <w:bookmarkStart w:id="558"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58"/>
    <w:bookmarkStart w:id="559"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59"/>
    <w:bookmarkStart w:id="560"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60"/>
    <w:bookmarkStart w:id="562"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1">
        <w:r>
          <w:rPr>
            <w:rStyle w:val="Hyperlink"/>
          </w:rPr>
          <w:t xml:space="preserve">https://en.wikipedia.org/wiki/Lorenz_system</w:t>
        </w:r>
      </w:hyperlink>
      <w:hyperlink w:anchor="fnref110">
        <w:r>
          <w:rPr>
            <w:rStyle w:val="Hyperlink"/>
          </w:rPr>
          <w:t xml:space="preserve">↩</w:t>
        </w:r>
      </w:hyperlink>
    </w:p>
    <w:bookmarkEnd w:id="562"/>
    <w:bookmarkStart w:id="563"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63"/>
    <w:bookmarkStart w:id="565" w:name="fn112"/>
    <w:p>
      <w:pPr>
        <w:numPr>
          <w:numId w:val="1029"/>
          <w:ilvl w:val="0"/>
        </w:numPr>
      </w:pPr>
      <w:hyperlink r:id="rId564">
        <w:r>
          <w:rPr>
            <w:rStyle w:val="Hyperlink"/>
          </w:rPr>
          <w:t xml:space="preserve">https://en.wiktionary.org/wiki/exercise</w:t>
        </w:r>
      </w:hyperlink>
      <w:hyperlink w:anchor="fnref112">
        <w:r>
          <w:rPr>
            <w:rStyle w:val="Hyperlink"/>
          </w:rPr>
          <w:t xml:space="preserve">↩</w:t>
        </w:r>
      </w:hyperlink>
    </w:p>
    <w:bookmarkEnd w:id="565"/>
    <w:bookmarkStart w:id="566"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6"/>
    <w:bookmarkStart w:id="567"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67"/>
    <w:bookmarkStart w:id="568"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68"/>
    <w:bookmarkStart w:id="569"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69"/>
    <w:bookmarkStart w:id="571" w:name="fn117"/>
    <w:p>
      <w:pPr>
        <w:numPr>
          <w:numId w:val="1029"/>
          <w:ilvl w:val="0"/>
        </w:numPr>
      </w:pPr>
      <w:hyperlink r:id="rId570">
        <w:r>
          <w:rPr>
            <w:rStyle w:val="Hyperlink"/>
          </w:rPr>
          <w:t xml:space="preserve">https://ccrma.stanford.edu/~blackrse/</w:t>
        </w:r>
      </w:hyperlink>
      <w:hyperlink w:anchor="fnref117">
        <w:r>
          <w:rPr>
            <w:rStyle w:val="Hyperlink"/>
          </w:rPr>
          <w:t xml:space="preserve">↩</w:t>
        </w:r>
      </w:hyperlink>
    </w:p>
    <w:bookmarkEnd w:id="571"/>
    <w:bookmarkStart w:id="572"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72"/>
    <w:bookmarkStart w:id="573"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73"/>
    <w:bookmarkStart w:id="574"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74"/>
    <w:bookmarkStart w:id="575"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75"/>
    <w:bookmarkStart w:id="576"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6"/>
    <w:bookmarkStart w:id="577"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77"/>
    <w:bookmarkStart w:id="578"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78"/>
    <w:bookmarkStart w:id="579"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79"/>
    <w:bookmarkStart w:id="580"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80"/>
    <w:bookmarkStart w:id="582" w:name="fn127"/>
    <w:p>
      <w:pPr>
        <w:numPr>
          <w:numId w:val="1029"/>
          <w:ilvl w:val="0"/>
        </w:numPr>
      </w:pPr>
      <w:hyperlink r:id="rId581">
        <w:r>
          <w:rPr>
            <w:rStyle w:val="Hyperlink"/>
          </w:rPr>
          <w:t xml:space="preserve">https://www.mersenne.org/primes/</w:t>
        </w:r>
      </w:hyperlink>
      <w:hyperlink w:anchor="fnref127">
        <w:r>
          <w:rPr>
            <w:rStyle w:val="Hyperlink"/>
          </w:rPr>
          <w:t xml:space="preserve">↩</w:t>
        </w:r>
      </w:hyperlink>
    </w:p>
    <w:bookmarkEnd w:id="582"/>
    <w:bookmarkStart w:id="584" w:name="fn128"/>
    <w:p>
      <w:pPr>
        <w:numPr>
          <w:numId w:val="1029"/>
          <w:ilvl w:val="0"/>
        </w:numPr>
      </w:pPr>
      <w:hyperlink r:id="rId583">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84"/>
    <w:bookmarkStart w:id="585"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85"/>
    <w:bookmarkStart w:id="586" w:name="fn130"/>
    <w:p>
      <w:pPr>
        <w:numPr>
          <w:numId w:val="1029"/>
          <w:ilvl w:val="0"/>
        </w:numPr>
      </w:pPr>
      <w:r>
        <w:t xml:space="preserve">Beyond a mention of “communication studies” by Mathews et al in New Jersey</w:t>
      </w:r>
      <w:hyperlink w:anchor="fnref130">
        <w:r>
          <w:rPr>
            <w:rStyle w:val="Hyperlink"/>
          </w:rPr>
          <w:t xml:space="preserve">↩</w:t>
        </w:r>
      </w:hyperlink>
    </w:p>
    <w:bookmarkEnd w:id="586"/>
    <w:bookmarkStart w:id="588" w:name="fn131"/>
    <w:p>
      <w:pPr>
        <w:numPr>
          <w:numId w:val="1029"/>
          <w:ilvl w:val="0"/>
        </w:numPr>
      </w:pPr>
      <w:r>
        <w:t xml:space="preserve">As an example, I would refer the reader to James Tenney’s work from 1962 “Five Stochastic Studies,” which can be found on his YouTube account:</w:t>
      </w:r>
      <w:r>
        <w:t xml:space="preserve"> </w:t>
      </w:r>
      <w:hyperlink r:id="rId587">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31">
        <w:r>
          <w:rPr>
            <w:rStyle w:val="Hyperlink"/>
          </w:rPr>
          <w:t xml:space="preserve">↩</w:t>
        </w:r>
      </w:hyperlink>
    </w:p>
    <w:bookmarkEnd w:id="588"/>
    <w:bookmarkStart w:id="589" w:name="fn132"/>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2">
        <w:r>
          <w:rPr>
            <w:rStyle w:val="Hyperlink"/>
          </w:rPr>
          <w:t xml:space="preserve">↩</w:t>
        </w:r>
      </w:hyperlink>
    </w:p>
    <w:bookmarkEnd w:id="589"/>
    <w:bookmarkStart w:id="590" w:name="fn133"/>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3">
        <w:r>
          <w:rPr>
            <w:rStyle w:val="Hyperlink"/>
          </w:rPr>
          <w:t xml:space="preserve">↩</w:t>
        </w:r>
      </w:hyperlink>
    </w:p>
    <w:bookmarkEnd w:id="590"/>
    <w:bookmarkStart w:id="591" w:name="fn134"/>
    <w:p>
      <w:pPr>
        <w:numPr>
          <w:numId w:val="1029"/>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4">
        <w:r>
          <w:rPr>
            <w:rStyle w:val="Hyperlink"/>
          </w:rPr>
          <w:t xml:space="preserve">↩</w:t>
        </w:r>
      </w:hyperlink>
    </w:p>
    <w:bookmarkEnd w:id="591"/>
    <w:bookmarkStart w:id="592" w:name="fn135"/>
    <w:p>
      <w:pPr>
        <w:numPr>
          <w:numId w:val="1029"/>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5">
        <w:r>
          <w:rPr>
            <w:rStyle w:val="Hyperlink"/>
          </w:rPr>
          <w:t xml:space="preserve">↩</w:t>
        </w:r>
      </w:hyperlink>
    </w:p>
    <w:bookmarkEnd w:id="592"/>
    <w:bookmarkStart w:id="593" w:name="fn136"/>
    <w:p>
      <w:pPr>
        <w:numPr>
          <w:numId w:val="1029"/>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6">
        <w:r>
          <w:rPr>
            <w:rStyle w:val="Hyperlink"/>
          </w:rPr>
          <w:t xml:space="preserve">↩</w:t>
        </w:r>
      </w:hyperlink>
    </w:p>
    <w:bookmarkEnd w:id="593"/>
    <w:bookmarkStart w:id="594" w:name="fn137"/>
    <w:p>
      <w:pPr>
        <w:numPr>
          <w:numId w:val="1029"/>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7">
        <w:r>
          <w:rPr>
            <w:rStyle w:val="Hyperlink"/>
          </w:rPr>
          <w:t xml:space="preserve">↩</w:t>
        </w:r>
      </w:hyperlink>
    </w:p>
    <w:bookmarkEnd w:id="594"/>
    <w:bookmarkStart w:id="595" w:name="fn138"/>
    <w:p>
      <w:pPr>
        <w:numPr>
          <w:numId w:val="1029"/>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8">
        <w:r>
          <w:rPr>
            <w:rStyle w:val="Hyperlink"/>
          </w:rPr>
          <w:t xml:space="preserve">↩</w:t>
        </w:r>
      </w:hyperlink>
    </w:p>
    <w:bookmarkEnd w:id="595"/>
    <w:bookmarkStart w:id="596" w:name="fn139"/>
    <w:p>
      <w:pPr>
        <w:numPr>
          <w:numId w:val="1029"/>
          <w:ilvl w:val="0"/>
        </w:numPr>
      </w:pPr>
      <w:r>
        <w:t xml:space="preserve">I hope the reader would forgive me for having borrowed these adjectives out of context —‘entirely’ and ‘really’— so as to allow my argument to echo with Lewis’ for a while.</w:t>
      </w:r>
      <w:hyperlink w:anchor="fnref139">
        <w:r>
          <w:rPr>
            <w:rStyle w:val="Hyperlink"/>
          </w:rPr>
          <w:t xml:space="preserve">↩</w:t>
        </w:r>
      </w:hyperlink>
    </w:p>
    <w:bookmarkEnd w:id="596"/>
    <w:bookmarkStart w:id="597" w:name="fn140"/>
    <w:p>
      <w:pPr>
        <w:numPr>
          <w:numId w:val="1029"/>
          <w:ilvl w:val="0"/>
        </w:numPr>
      </w:pPr>
      <w:r>
        <w:t xml:space="preserve">Since, the notion of a ‘piece’ presuposes that of the whole to which it belongs.</w:t>
      </w:r>
      <w:hyperlink w:anchor="fnref140">
        <w:r>
          <w:rPr>
            <w:rStyle w:val="Hyperlink"/>
          </w:rPr>
          <w:t xml:space="preserve">↩</w:t>
        </w:r>
      </w:hyperlink>
    </w:p>
    <w:bookmarkEnd w:id="597"/>
    <w:bookmarkStart w:id="598" w:name="fn141"/>
    <w:p>
      <w:pPr>
        <w:numPr>
          <w:numId w:val="1029"/>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41">
        <w:r>
          <w:rPr>
            <w:rStyle w:val="Hyperlink"/>
          </w:rPr>
          <w:t xml:space="preserve">↩</w:t>
        </w:r>
      </w:hyperlink>
    </w:p>
    <w:bookmarkEnd w:id="598"/>
    <w:bookmarkStart w:id="599" w:name="fn142"/>
    <w:p>
      <w:pPr>
        <w:numPr>
          <w:numId w:val="1029"/>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42">
        <w:r>
          <w:rPr>
            <w:rStyle w:val="Hyperlink"/>
          </w:rPr>
          <w:t xml:space="preserve">↩</w:t>
        </w:r>
      </w:hyperlink>
    </w:p>
    <w:bookmarkEnd w:id="599"/>
    <w:bookmarkStart w:id="600" w:name="fn143"/>
    <w:p>
      <w:pPr>
        <w:numPr>
          <w:numId w:val="1029"/>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43">
        <w:r>
          <w:rPr>
            <w:rStyle w:val="Hyperlink"/>
          </w:rPr>
          <w:t xml:space="preserve">↩</w:t>
        </w:r>
      </w:hyperlink>
    </w:p>
    <w:bookmarkEnd w:id="600"/>
    <w:bookmarkStart w:id="601" w:name="fn144"/>
    <w:p>
      <w:pPr>
        <w:numPr>
          <w:numId w:val="1029"/>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44">
        <w:r>
          <w:rPr>
            <w:rStyle w:val="Hyperlink"/>
          </w:rPr>
          <w:t xml:space="preserve">↩</w:t>
        </w:r>
      </w:hyperlink>
    </w:p>
    <w:bookmarkEnd w:id="601"/>
    <w:bookmarkStart w:id="603" w:name="fn145"/>
    <w:p>
      <w:pPr>
        <w:numPr>
          <w:numId w:val="1029"/>
          <w:ilvl w:val="0"/>
        </w:numPr>
      </w:pPr>
      <w:hyperlink r:id="rId602">
        <w:r>
          <w:rPr>
            <w:rStyle w:val="Hyperlink"/>
          </w:rPr>
          <w:t xml:space="preserve">https://en.wikipedia.org/wiki/Overfitting</w:t>
        </w:r>
      </w:hyperlink>
      <w:hyperlink w:anchor="fnref145">
        <w:r>
          <w:rPr>
            <w:rStyle w:val="Hyperlink"/>
          </w:rPr>
          <w:t xml:space="preserve">↩</w:t>
        </w:r>
      </w:hyperlink>
    </w:p>
    <w:bookmarkEnd w:id="6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499" Target="http://aflowlib.org/" TargetMode="External" /><Relationship Type="http://schemas.openxmlformats.org/officeDocument/2006/relationships/hyperlink" Id="rId526" Target="http://insookchoi.com" TargetMode="External" /><Relationship Type="http://schemas.openxmlformats.org/officeDocument/2006/relationships/hyperlink" Id="rId236" Target="http://ismir2000.ismir.net/papers/invites/dunn_invite.pdf" TargetMode="External" /><Relationship Type="http://schemas.openxmlformats.org/officeDocument/2006/relationships/hyperlink" Id="rId260" Target="http://ismir2000.ismir.net/posters/good.pdf" TargetMode="External" /><Relationship Type="http://schemas.openxmlformats.org/officeDocument/2006/relationships/hyperlink" Id="rId396" Target="http://ismir2002.ismir.net/proceedings/02-FP06-3.pdf" TargetMode="External" /><Relationship Type="http://schemas.openxmlformats.org/officeDocument/2006/relationships/hyperlink" Id="rId262" Target="http://ismir2002.ismir.net/proceedings/03-SP04-1.pdf" TargetMode="External" /><Relationship Type="http://schemas.openxmlformats.org/officeDocument/2006/relationships/hyperlink" Id="rId264" Target="http://ismir2003.ismir.net/papers/Goto1.PDF" TargetMode="External" /><Relationship Type="http://schemas.openxmlformats.org/officeDocument/2006/relationships/hyperlink" Id="rId409" Target="http://ismir2004.ismir.net/proceedings/p010-page-48-paper227.pdf" TargetMode="External" /><Relationship Type="http://schemas.openxmlformats.org/officeDocument/2006/relationships/hyperlink" Id="rId282" Target="http://ismir2005.ismir.net/proceedings/2117.pdf" TargetMode="External" /><Relationship Type="http://schemas.openxmlformats.org/officeDocument/2006/relationships/hyperlink" Id="rId290" Target="http://ismir2008.ismir.net/papers/ISMIR2008_106.pdf" TargetMode="External" /><Relationship Type="http://schemas.openxmlformats.org/officeDocument/2006/relationships/hyperlink" Id="rId317" Target="http://ismir2008.ismir.net/papers/ISMIR2008_158.pdf" TargetMode="External" /><Relationship Type="http://schemas.openxmlformats.org/officeDocument/2006/relationships/hyperlink" Id="rId273" Target="http://ismir2008.ismir.net/papers/ISMIR2008_173.pdf" TargetMode="External" /><Relationship Type="http://schemas.openxmlformats.org/officeDocument/2006/relationships/hyperlink" Id="rId300" Target="http://ismir2015.uma.es/articles/246_Paper.pdf" TargetMode="External" /><Relationship Type="http://schemas.openxmlformats.org/officeDocument/2006/relationships/hyperlink" Id="rId228" Target="http://ismir2015.uma.es/articles/261_Paper.pdf" TargetMode="External" /><Relationship Type="http://schemas.openxmlformats.org/officeDocument/2006/relationships/hyperlink" Id="rId407" Target="http://ismir2018.ircam.fr/doc/pdfs/114_Paper.pdf" TargetMode="External" /><Relationship Type="http://schemas.openxmlformats.org/officeDocument/2006/relationships/hyperlink" Id="rId413" Target="http://ismir2018.ircam.fr/doc/pdfs/188_Paper.pdf" TargetMode="External" /><Relationship Type="http://schemas.openxmlformats.org/officeDocument/2006/relationships/hyperlink" Id="rId241" Target="http://ismir2018.ircam.fr/doc/pdfs/206_Paper.pdf" TargetMode="External" /><Relationship Type="http://schemas.openxmlformats.org/officeDocument/2006/relationships/hyperlink" Id="rId284" Target="http://ismir2018.ircam.fr/doc/pdfs/248_Paper.pdf" TargetMode="External" /><Relationship Type="http://schemas.openxmlformats.org/officeDocument/2006/relationships/hyperlink" Id="rId234" Target="http://ismir2018.ircam.fr/doc/pdfs/265_Paper.pdf" TargetMode="External" /><Relationship Type="http://schemas.openxmlformats.org/officeDocument/2006/relationships/hyperlink" Id="rId324" Target="http://ismir2018.ircam.fr/doc/pdfs/35_Paper.pdf" TargetMode="External" /><Relationship Type="http://schemas.openxmlformats.org/officeDocument/2006/relationships/hyperlink" Id="rId474" Target="http://web.archive.org/web/20121009191558/http://slashdot.org/topic/datacenter/the-rise-of-in-memory-databases/" TargetMode="External" /><Relationship Type="http://schemas.openxmlformats.org/officeDocument/2006/relationships/hyperlink" Id="rId496" Target="http://www.hmdb.ca/" TargetMode="External" /><Relationship Type="http://schemas.openxmlformats.org/officeDocument/2006/relationships/hyperlink" Id="rId472" Target="http://www.jhterbekke.net/XplainDBMS.html" TargetMode="External" /><Relationship Type="http://schemas.openxmlformats.org/officeDocument/2006/relationships/hyperlink" Id="rId493" Target="http://www.natashabarrett.org/viva.html" TargetMode="External" /><Relationship Type="http://schemas.openxmlformats.org/officeDocument/2006/relationships/hyperlink" Id="rId294" Target="http://www.nime.org/proceedings/2004/nime2004_130.pdf" TargetMode="External" /><Relationship Type="http://schemas.openxmlformats.org/officeDocument/2006/relationships/hyperlink" Id="rId420" Target="http://www.nime.org/proceedings/2007/nime2007_352.pdf" TargetMode="External" /><Relationship Type="http://schemas.openxmlformats.org/officeDocument/2006/relationships/hyperlink" Id="rId330" Target="http://www.nime.org/proceedings/2007/nime2007_409.pdf" TargetMode="External" /><Relationship Type="http://schemas.openxmlformats.org/officeDocument/2006/relationships/hyperlink" Id="rId311" Target="http://www.nime.org/proceedings/2008/nime2008_221.pdf" TargetMode="External" /><Relationship Type="http://schemas.openxmlformats.org/officeDocument/2006/relationships/hyperlink" Id="rId349"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80" Target="http://www.nime.org/proceedings/2010/nime2010_233.pdf" TargetMode="External" /><Relationship Type="http://schemas.openxmlformats.org/officeDocument/2006/relationships/hyperlink" Id="rId254" Target="http://www.nime.org/proceedings/2010/nime2010_473.pdf" TargetMode="External" /><Relationship Type="http://schemas.openxmlformats.org/officeDocument/2006/relationships/hyperlink" Id="rId257"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5"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7" Target="http://www.terasoft.com.tw/conf/ismir2014/proceedings/T039_344_Paper.pdf" TargetMode="External" /><Relationship Type="http://schemas.openxmlformats.org/officeDocument/2006/relationships/hyperlink" Id="rId267" Target="http://www.terasoft.com.tw/conf/ismir2014/proceedings/T059_257_Paper.pdf" TargetMode="External" /><Relationship Type="http://schemas.openxmlformats.org/officeDocument/2006/relationships/hyperlink" Id="rId346" Target="http://www.terasoft.com.tw/conf/ismir2014/proceedings/T064_307_Paper.pdf" TargetMode="External" /><Relationship Type="http://schemas.openxmlformats.org/officeDocument/2006/relationships/hyperlink" Id="rId570" Target="https://ccrma.stanford.edu/~blackrse/" TargetMode="External" /><Relationship Type="http://schemas.openxmlformats.org/officeDocument/2006/relationships/hyperlink" Id="rId464" Target="https://docs.microsoft.com/en-us/windows/desktop/SysInfo/structure-of-the-registry" TargetMode="External" /><Relationship Type="http://schemas.openxmlformats.org/officeDocument/2006/relationships/hyperlink" Id="rId551" Target="https://en.cppreference.com/w/cpp/language/destructor" TargetMode="External" /><Relationship Type="http://schemas.openxmlformats.org/officeDocument/2006/relationships/hyperlink" Id="rId455" Target="https://en.wikipedia.org/wiki/Coin_collecting" TargetMode="External" /><Relationship Type="http://schemas.openxmlformats.org/officeDocument/2006/relationships/hyperlink" Id="rId470" Target="https://en.wikipedia.org/wiki/Comparison_of_relational_database_management_systems" TargetMode="External" /><Relationship Type="http://schemas.openxmlformats.org/officeDocument/2006/relationships/hyperlink" Id="rId583" Target="https://en.wikipedia.org/wiki/Dr._Strangelove#/media/File:Dr._Strangelove_-_Group_Captain_Lionel_Mandrake.png" TargetMode="External" /><Relationship Type="http://schemas.openxmlformats.org/officeDocument/2006/relationships/hyperlink" Id="rId518" Target="https://en.wikipedia.org/wiki/Heap_(data_structure)" TargetMode="External" /><Relationship Type="http://schemas.openxmlformats.org/officeDocument/2006/relationships/hyperlink" Id="rId462" Target="https://en.wikipedia.org/wiki/IBM_Information_Management_System" TargetMode="External" /><Relationship Type="http://schemas.openxmlformats.org/officeDocument/2006/relationships/hyperlink" Id="rId424" Target="https://en.wikipedia.org/wiki/I_Am_Sitting_in_a_Room" TargetMode="External" /><Relationship Type="http://schemas.openxmlformats.org/officeDocument/2006/relationships/hyperlink" Id="rId547" Target="https://en.wikipedia.org/wiki/Leo_Beranek" TargetMode="External" /><Relationship Type="http://schemas.openxmlformats.org/officeDocument/2006/relationships/hyperlink" Id="rId460" Target="https://en.wikipedia.org/wiki/List_of_online_databases" TargetMode="External" /><Relationship Type="http://schemas.openxmlformats.org/officeDocument/2006/relationships/hyperlink" Id="rId561" Target="https://en.wikipedia.org/wiki/Lorenz_system" TargetMode="External" /><Relationship Type="http://schemas.openxmlformats.org/officeDocument/2006/relationships/hyperlink" Id="rId602" Target="https://en.wikipedia.org/wiki/Overfitting" TargetMode="External" /><Relationship Type="http://schemas.openxmlformats.org/officeDocument/2006/relationships/hyperlink" Id="rId468" Target="https://en.wikipedia.org/wiki/Unisys_OS_2200_databases" TargetMode="External" /><Relationship Type="http://schemas.openxmlformats.org/officeDocument/2006/relationships/hyperlink" Id="rId466" Target="https://en.wikipedia.org/wiki/\acrshort%7Bcodasyl%7D" TargetMode="External" /><Relationship Type="http://schemas.openxmlformats.org/officeDocument/2006/relationships/hyperlink" Id="rId564"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1" Target="https://github.com/libpd" TargetMode="External" /><Relationship Type="http://schemas.openxmlformats.org/officeDocument/2006/relationships/hyperlink" Id="rId449" Target="https://github.com/marsyas/marsyas" TargetMode="External" /><Relationship Type="http://schemas.openxmlformats.org/officeDocument/2006/relationships/hyperlink" Id="rId453" Target="https://github.com/thestk/stk" TargetMode="External" /><Relationship Type="http://schemas.openxmlformats.org/officeDocument/2006/relationships/hyperlink" Id="rId341" Target="https://ismir2017.smcnus.org/wp-content/uploads/2017/10/14_Paper.pdf" TargetMode="External" /><Relationship Type="http://schemas.openxmlformats.org/officeDocument/2006/relationships/hyperlink" Id="rId247" Target="https://ismir2017.smcnus.org/wp-content/uploads/2017/10/161_Paper.pdf" TargetMode="External" /><Relationship Type="http://schemas.openxmlformats.org/officeDocument/2006/relationships/hyperlink" Id="rId393" Target="https://ismir2017.smcnus.org/wp-content/uploads/2017/10/180_Paper.pdf" TargetMode="External" /><Relationship Type="http://schemas.openxmlformats.org/officeDocument/2006/relationships/hyperlink" Id="rId217" Target="https://ismir2017.smcnus.org/wp-content/uploads/2017/10/235_Paper.pdf" TargetMode="External" /><Relationship Type="http://schemas.openxmlformats.org/officeDocument/2006/relationships/hyperlink" Id="rId222" Target="https://ismir2017.smcnus.org/wp-content/uploads/2017/10/75_Paper.pdf" TargetMode="External" /><Relationship Type="http://schemas.openxmlformats.org/officeDocument/2006/relationships/hyperlink" Id="rId553" Target="https://mpc.chs.harvard.edu/" TargetMode="External" /><Relationship Type="http://schemas.openxmlformats.org/officeDocument/2006/relationships/hyperlink" Id="rId501" Target="https://openframeworks.cc" TargetMode="External" /><Relationship Type="http://schemas.openxmlformats.org/officeDocument/2006/relationships/hyperlink" Id="rId506" Target="https://qcd-audio.at" TargetMode="External" /><Relationship Type="http://schemas.openxmlformats.org/officeDocument/2006/relationships/hyperlink" Id="rId532" Target="https://sihwapark.com/COMPath" TargetMode="External" /><Relationship Type="http://schemas.openxmlformats.org/officeDocument/2006/relationships/hyperlink" Id="rId530" Target="https://vimeo.com/23086026" TargetMode="External" /><Relationship Type="http://schemas.openxmlformats.org/officeDocument/2006/relationships/hyperlink" Id="rId219" Target="https://www.cs.unm.edu/~crowley/papers/sds.pdf" TargetMode="External" /><Relationship Type="http://schemas.openxmlformats.org/officeDocument/2006/relationships/hyperlink" Id="rId477" Target="https://www.imdb.com/" TargetMode="External" /><Relationship Type="http://schemas.openxmlformats.org/officeDocument/2006/relationships/hyperlink" Id="rId504" Target="https://www.iris.edu" TargetMode="External" /><Relationship Type="http://schemas.openxmlformats.org/officeDocument/2006/relationships/hyperlink" Id="rId581" Target="https://www.mersenne.org/primes/" TargetMode="External" /><Relationship Type="http://schemas.openxmlformats.org/officeDocument/2006/relationships/hyperlink" Id="rId587"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9" Target="http://aflowlib.org/" TargetMode="External" /><Relationship Type="http://schemas.openxmlformats.org/officeDocument/2006/relationships/hyperlink" Id="rId526" Target="http://insookchoi.com" TargetMode="External" /><Relationship Type="http://schemas.openxmlformats.org/officeDocument/2006/relationships/hyperlink" Id="rId236" Target="http://ismir2000.ismir.net/papers/invites/dunn_invite.pdf" TargetMode="External" /><Relationship Type="http://schemas.openxmlformats.org/officeDocument/2006/relationships/hyperlink" Id="rId260" Target="http://ismir2000.ismir.net/posters/good.pdf" TargetMode="External" /><Relationship Type="http://schemas.openxmlformats.org/officeDocument/2006/relationships/hyperlink" Id="rId396" Target="http://ismir2002.ismir.net/proceedings/02-FP06-3.pdf" TargetMode="External" /><Relationship Type="http://schemas.openxmlformats.org/officeDocument/2006/relationships/hyperlink" Id="rId262" Target="http://ismir2002.ismir.net/proceedings/03-SP04-1.pdf" TargetMode="External" /><Relationship Type="http://schemas.openxmlformats.org/officeDocument/2006/relationships/hyperlink" Id="rId264" Target="http://ismir2003.ismir.net/papers/Goto1.PDF" TargetMode="External" /><Relationship Type="http://schemas.openxmlformats.org/officeDocument/2006/relationships/hyperlink" Id="rId409" Target="http://ismir2004.ismir.net/proceedings/p010-page-48-paper227.pdf" TargetMode="External" /><Relationship Type="http://schemas.openxmlformats.org/officeDocument/2006/relationships/hyperlink" Id="rId282" Target="http://ismir2005.ismir.net/proceedings/2117.pdf" TargetMode="External" /><Relationship Type="http://schemas.openxmlformats.org/officeDocument/2006/relationships/hyperlink" Id="rId290" Target="http://ismir2008.ismir.net/papers/ISMIR2008_106.pdf" TargetMode="External" /><Relationship Type="http://schemas.openxmlformats.org/officeDocument/2006/relationships/hyperlink" Id="rId317" Target="http://ismir2008.ismir.net/papers/ISMIR2008_158.pdf" TargetMode="External" /><Relationship Type="http://schemas.openxmlformats.org/officeDocument/2006/relationships/hyperlink" Id="rId273" Target="http://ismir2008.ismir.net/papers/ISMIR2008_173.pdf" TargetMode="External" /><Relationship Type="http://schemas.openxmlformats.org/officeDocument/2006/relationships/hyperlink" Id="rId300" Target="http://ismir2015.uma.es/articles/246_Paper.pdf" TargetMode="External" /><Relationship Type="http://schemas.openxmlformats.org/officeDocument/2006/relationships/hyperlink" Id="rId228" Target="http://ismir2015.uma.es/articles/261_Paper.pdf" TargetMode="External" /><Relationship Type="http://schemas.openxmlformats.org/officeDocument/2006/relationships/hyperlink" Id="rId407" Target="http://ismir2018.ircam.fr/doc/pdfs/114_Paper.pdf" TargetMode="External" /><Relationship Type="http://schemas.openxmlformats.org/officeDocument/2006/relationships/hyperlink" Id="rId413" Target="http://ismir2018.ircam.fr/doc/pdfs/188_Paper.pdf" TargetMode="External" /><Relationship Type="http://schemas.openxmlformats.org/officeDocument/2006/relationships/hyperlink" Id="rId241" Target="http://ismir2018.ircam.fr/doc/pdfs/206_Paper.pdf" TargetMode="External" /><Relationship Type="http://schemas.openxmlformats.org/officeDocument/2006/relationships/hyperlink" Id="rId284" Target="http://ismir2018.ircam.fr/doc/pdfs/248_Paper.pdf" TargetMode="External" /><Relationship Type="http://schemas.openxmlformats.org/officeDocument/2006/relationships/hyperlink" Id="rId234" Target="http://ismir2018.ircam.fr/doc/pdfs/265_Paper.pdf" TargetMode="External" /><Relationship Type="http://schemas.openxmlformats.org/officeDocument/2006/relationships/hyperlink" Id="rId324" Target="http://ismir2018.ircam.fr/doc/pdfs/35_Paper.pdf" TargetMode="External" /><Relationship Type="http://schemas.openxmlformats.org/officeDocument/2006/relationships/hyperlink" Id="rId474" Target="http://web.archive.org/web/20121009191558/http://slashdot.org/topic/datacenter/the-rise-of-in-memory-databases/" TargetMode="External" /><Relationship Type="http://schemas.openxmlformats.org/officeDocument/2006/relationships/hyperlink" Id="rId496" Target="http://www.hmdb.ca/" TargetMode="External" /><Relationship Type="http://schemas.openxmlformats.org/officeDocument/2006/relationships/hyperlink" Id="rId472" Target="http://www.jhterbekke.net/XplainDBMS.html" TargetMode="External" /><Relationship Type="http://schemas.openxmlformats.org/officeDocument/2006/relationships/hyperlink" Id="rId493" Target="http://www.natashabarrett.org/viva.html" TargetMode="External" /><Relationship Type="http://schemas.openxmlformats.org/officeDocument/2006/relationships/hyperlink" Id="rId294" Target="http://www.nime.org/proceedings/2004/nime2004_130.pdf" TargetMode="External" /><Relationship Type="http://schemas.openxmlformats.org/officeDocument/2006/relationships/hyperlink" Id="rId420" Target="http://www.nime.org/proceedings/2007/nime2007_352.pdf" TargetMode="External" /><Relationship Type="http://schemas.openxmlformats.org/officeDocument/2006/relationships/hyperlink" Id="rId330" Target="http://www.nime.org/proceedings/2007/nime2007_409.pdf" TargetMode="External" /><Relationship Type="http://schemas.openxmlformats.org/officeDocument/2006/relationships/hyperlink" Id="rId311" Target="http://www.nime.org/proceedings/2008/nime2008_221.pdf" TargetMode="External" /><Relationship Type="http://schemas.openxmlformats.org/officeDocument/2006/relationships/hyperlink" Id="rId349"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80" Target="http://www.nime.org/proceedings/2010/nime2010_233.pdf" TargetMode="External" /><Relationship Type="http://schemas.openxmlformats.org/officeDocument/2006/relationships/hyperlink" Id="rId254" Target="http://www.nime.org/proceedings/2010/nime2010_473.pdf" TargetMode="External" /><Relationship Type="http://schemas.openxmlformats.org/officeDocument/2006/relationships/hyperlink" Id="rId257"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5"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7" Target="http://www.terasoft.com.tw/conf/ismir2014/proceedings/T039_344_Paper.pdf" TargetMode="External" /><Relationship Type="http://schemas.openxmlformats.org/officeDocument/2006/relationships/hyperlink" Id="rId267" Target="http://www.terasoft.com.tw/conf/ismir2014/proceedings/T059_257_Paper.pdf" TargetMode="External" /><Relationship Type="http://schemas.openxmlformats.org/officeDocument/2006/relationships/hyperlink" Id="rId346" Target="http://www.terasoft.com.tw/conf/ismir2014/proceedings/T064_307_Paper.pdf" TargetMode="External" /><Relationship Type="http://schemas.openxmlformats.org/officeDocument/2006/relationships/hyperlink" Id="rId570" Target="https://ccrma.stanford.edu/~blackrse/" TargetMode="External" /><Relationship Type="http://schemas.openxmlformats.org/officeDocument/2006/relationships/hyperlink" Id="rId464" Target="https://docs.microsoft.com/en-us/windows/desktop/SysInfo/structure-of-the-registry" TargetMode="External" /><Relationship Type="http://schemas.openxmlformats.org/officeDocument/2006/relationships/hyperlink" Id="rId551" Target="https://en.cppreference.com/w/cpp/language/destructor" TargetMode="External" /><Relationship Type="http://schemas.openxmlformats.org/officeDocument/2006/relationships/hyperlink" Id="rId455" Target="https://en.wikipedia.org/wiki/Coin_collecting" TargetMode="External" /><Relationship Type="http://schemas.openxmlformats.org/officeDocument/2006/relationships/hyperlink" Id="rId470" Target="https://en.wikipedia.org/wiki/Comparison_of_relational_database_management_systems" TargetMode="External" /><Relationship Type="http://schemas.openxmlformats.org/officeDocument/2006/relationships/hyperlink" Id="rId583" Target="https://en.wikipedia.org/wiki/Dr._Strangelove#/media/File:Dr._Strangelove_-_Group_Captain_Lionel_Mandrake.png" TargetMode="External" /><Relationship Type="http://schemas.openxmlformats.org/officeDocument/2006/relationships/hyperlink" Id="rId518" Target="https://en.wikipedia.org/wiki/Heap_(data_structure)" TargetMode="External" /><Relationship Type="http://schemas.openxmlformats.org/officeDocument/2006/relationships/hyperlink" Id="rId462" Target="https://en.wikipedia.org/wiki/IBM_Information_Management_System" TargetMode="External" /><Relationship Type="http://schemas.openxmlformats.org/officeDocument/2006/relationships/hyperlink" Id="rId424" Target="https://en.wikipedia.org/wiki/I_Am_Sitting_in_a_Room" TargetMode="External" /><Relationship Type="http://schemas.openxmlformats.org/officeDocument/2006/relationships/hyperlink" Id="rId547" Target="https://en.wikipedia.org/wiki/Leo_Beranek" TargetMode="External" /><Relationship Type="http://schemas.openxmlformats.org/officeDocument/2006/relationships/hyperlink" Id="rId460" Target="https://en.wikipedia.org/wiki/List_of_online_databases" TargetMode="External" /><Relationship Type="http://schemas.openxmlformats.org/officeDocument/2006/relationships/hyperlink" Id="rId561" Target="https://en.wikipedia.org/wiki/Lorenz_system" TargetMode="External" /><Relationship Type="http://schemas.openxmlformats.org/officeDocument/2006/relationships/hyperlink" Id="rId602" Target="https://en.wikipedia.org/wiki/Overfitting" TargetMode="External" /><Relationship Type="http://schemas.openxmlformats.org/officeDocument/2006/relationships/hyperlink" Id="rId468" Target="https://en.wikipedia.org/wiki/Unisys_OS_2200_databases" TargetMode="External" /><Relationship Type="http://schemas.openxmlformats.org/officeDocument/2006/relationships/hyperlink" Id="rId466" Target="https://en.wikipedia.org/wiki/\acrshort%7Bcodasyl%7D" TargetMode="External" /><Relationship Type="http://schemas.openxmlformats.org/officeDocument/2006/relationships/hyperlink" Id="rId564"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1" Target="https://github.com/libpd" TargetMode="External" /><Relationship Type="http://schemas.openxmlformats.org/officeDocument/2006/relationships/hyperlink" Id="rId449" Target="https://github.com/marsyas/marsyas" TargetMode="External" /><Relationship Type="http://schemas.openxmlformats.org/officeDocument/2006/relationships/hyperlink" Id="rId453" Target="https://github.com/thestk/stk" TargetMode="External" /><Relationship Type="http://schemas.openxmlformats.org/officeDocument/2006/relationships/hyperlink" Id="rId341" Target="https://ismir2017.smcnus.org/wp-content/uploads/2017/10/14_Paper.pdf" TargetMode="External" /><Relationship Type="http://schemas.openxmlformats.org/officeDocument/2006/relationships/hyperlink" Id="rId247" Target="https://ismir2017.smcnus.org/wp-content/uploads/2017/10/161_Paper.pdf" TargetMode="External" /><Relationship Type="http://schemas.openxmlformats.org/officeDocument/2006/relationships/hyperlink" Id="rId393" Target="https://ismir2017.smcnus.org/wp-content/uploads/2017/10/180_Paper.pdf" TargetMode="External" /><Relationship Type="http://schemas.openxmlformats.org/officeDocument/2006/relationships/hyperlink" Id="rId217" Target="https://ismir2017.smcnus.org/wp-content/uploads/2017/10/235_Paper.pdf" TargetMode="External" /><Relationship Type="http://schemas.openxmlformats.org/officeDocument/2006/relationships/hyperlink" Id="rId222" Target="https://ismir2017.smcnus.org/wp-content/uploads/2017/10/75_Paper.pdf" TargetMode="External" /><Relationship Type="http://schemas.openxmlformats.org/officeDocument/2006/relationships/hyperlink" Id="rId553" Target="https://mpc.chs.harvard.edu/" TargetMode="External" /><Relationship Type="http://schemas.openxmlformats.org/officeDocument/2006/relationships/hyperlink" Id="rId501" Target="https://openframeworks.cc" TargetMode="External" /><Relationship Type="http://schemas.openxmlformats.org/officeDocument/2006/relationships/hyperlink" Id="rId506" Target="https://qcd-audio.at" TargetMode="External" /><Relationship Type="http://schemas.openxmlformats.org/officeDocument/2006/relationships/hyperlink" Id="rId532" Target="https://sihwapark.com/COMPath" TargetMode="External" /><Relationship Type="http://schemas.openxmlformats.org/officeDocument/2006/relationships/hyperlink" Id="rId530" Target="https://vimeo.com/23086026" TargetMode="External" /><Relationship Type="http://schemas.openxmlformats.org/officeDocument/2006/relationships/hyperlink" Id="rId219" Target="https://www.cs.unm.edu/~crowley/papers/sds.pdf" TargetMode="External" /><Relationship Type="http://schemas.openxmlformats.org/officeDocument/2006/relationships/hyperlink" Id="rId477" Target="https://www.imdb.com/" TargetMode="External" /><Relationship Type="http://schemas.openxmlformats.org/officeDocument/2006/relationships/hyperlink" Id="rId504" Target="https://www.iris.edu" TargetMode="External" /><Relationship Type="http://schemas.openxmlformats.org/officeDocument/2006/relationships/hyperlink" Id="rId581" Target="https://www.mersenne.org/primes/" TargetMode="External" /><Relationship Type="http://schemas.openxmlformats.org/officeDocument/2006/relationships/hyperlink" Id="rId587"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2019-03-19T17:37:27Z</dcterms:created>
  <dcterms:modified xsi:type="dcterms:W3CDTF">2019-03-19T17:37:27Z</dcterms:modified>
</cp:coreProperties>
</file>

<file path=docProps/custom.xml><?xml version="1.0" encoding="utf-8"?>
<Properties xmlns="http://schemas.openxmlformats.org/officeDocument/2006/custom-properties" xmlns:vt="http://schemas.openxmlformats.org/officeDocument/2006/docPropsVTypes"/>
</file>