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jpg" ContentType="image/jpeg"/>
  <Override PartName="/word/media/rId20.jpg" ContentType="image/jpeg"/>
  <Override PartName="/word/media/rId60.png" ContentType="image/png"/>
  <Override PartName="/word/media/rId58.png" ContentType="image/png"/>
  <Override PartName="/word/media/rId49.png" ContentType="image/png"/>
  <Override PartName="/word/media/rId77.jpg" ContentType="image/jpeg"/>
  <Override PartName="/word/media/rId52.png" ContentType="image/png"/>
  <Override PartName="/word/media/rId71.png" ContentType="image/png"/>
  <Override PartName="/word/media/rId31.png" ContentType="image/png"/>
  <Override PartName="/word/media/rId56.png" ContentType="image/png"/>
  <Override PartName="/word/media/rId65.png" ContentType="image/png"/>
  <Override PartName="/word/media/rId63.png" ContentType="image/png"/>
  <Override PartName="/word/media/rId7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Manovich: the database as form</w:t>
        </w:r>
      </w:hyperlink>
    </w:p>
    <w:p>
      <w:pPr>
        <w:pStyle w:val="Compact"/>
        <w:numPr>
          <w:numId w:val="1004"/>
          <w:ilvl w:val="3"/>
        </w:numPr>
      </w:pPr>
      <w:hyperlink w:anchor="a-semiotic-trap">
        <w:r>
          <w:rPr>
            <w:rStyle w:val="Hyperlink"/>
          </w:rPr>
          <w:t xml:space="preserve">A semiotic trap</w:t>
        </w:r>
      </w:hyperlink>
    </w:p>
    <w:p>
      <w:pPr>
        <w:pStyle w:val="Compact"/>
        <w:numPr>
          <w:numId w:val="1004"/>
          <w:ilvl w:val="3"/>
        </w:numPr>
      </w:pPr>
      <w:hyperlink w:anchor="X4226baa9c8ed651832811dde36bcba13152fcf4">
        <w:r>
          <w:rPr>
            <w:rStyle w:val="Hyperlink"/>
          </w:rPr>
          <w:t xml:space="preserve">Databasing: the performativity of the database</w:t>
        </w:r>
      </w:hyperlink>
    </w:p>
    <w:p>
      <w:pPr>
        <w:pStyle w:val="Compact"/>
        <w:numPr>
          <w:numId w:val="1003"/>
          <w:ilvl w:val="2"/>
        </w:numPr>
      </w:pPr>
      <w:hyperlink w:anchor="bodiless_information">
        <w:r>
          <w:rPr>
            <w:rStyle w:val="Hyperlink"/>
          </w:rPr>
          <w:t xml:space="preserve">Hayles: bodiless information</w:t>
        </w:r>
      </w:hyperlink>
    </w:p>
    <w:p>
      <w:pPr>
        <w:pStyle w:val="Compact"/>
        <w:numPr>
          <w:numId w:val="1003"/>
          <w:ilvl w:val="2"/>
        </w:numPr>
      </w:pPr>
      <w:hyperlink w:anchor="embodiment">
        <w:r>
          <w:rPr>
            <w:rStyle w:val="Hyperlink"/>
          </w:rPr>
          <w:t xml:space="preserve">Hansen: embodying databasing</w:t>
        </w:r>
      </w:hyperlink>
    </w:p>
    <w:p>
      <w:pPr>
        <w:pStyle w:val="Compact"/>
        <w:numPr>
          <w:numId w:val="1003"/>
          <w:ilvl w:val="2"/>
        </w:numPr>
      </w:pPr>
      <w:hyperlink w:anchor="convergence_and_framing">
        <w:r>
          <w:rPr>
            <w:rStyle w:val="Hyperlink"/>
          </w:rPr>
          <w:t xml:space="preserve">Kittler’s convergence and Hansen’s framing</w:t>
        </w:r>
      </w:hyperlink>
    </w:p>
    <w:p>
      <w:pPr>
        <w:pStyle w:val="Compact"/>
        <w:numPr>
          <w:numId w:val="1005"/>
          <w:ilvl w:val="3"/>
        </w:numPr>
      </w:pPr>
      <w:hyperlink w:anchor="kittlers-digital-convergence">
        <w:r>
          <w:rPr>
            <w:rStyle w:val="Hyperlink"/>
          </w:rPr>
          <w:t xml:space="preserve">Kittler’s digital convergence</w:t>
        </w:r>
      </w:hyperlink>
    </w:p>
    <w:p>
      <w:pPr>
        <w:pStyle w:val="Compact"/>
        <w:numPr>
          <w:numId w:val="1005"/>
          <w:ilvl w:val="3"/>
        </w:numPr>
      </w:pPr>
      <w:hyperlink w:anchor="framing-resonance-of-the-receiver">
        <w:r>
          <w:rPr>
            <w:rStyle w:val="Hyperlink"/>
          </w:rPr>
          <w:t xml:space="preserve">Framing: resonance of the receiver</w:t>
        </w:r>
      </w:hyperlink>
    </w:p>
    <w:p>
      <w:pPr>
        <w:pStyle w:val="Compact"/>
        <w:numPr>
          <w:numId w:val="1003"/>
          <w:ilvl w:val="2"/>
        </w:numPr>
      </w:pPr>
      <w:hyperlink w:anchor="database_aesthetics">
        <w:r>
          <w:rPr>
            <w:rStyle w:val="Hyperlink"/>
          </w:rPr>
          <w:t xml:space="preserve">From database form to database aesthetics</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6"/>
          <w:ilvl w:val="2"/>
        </w:numPr>
      </w:pPr>
      <w:hyperlink w:anchor="databasing">
        <w:r>
          <w:rPr>
            <w:rStyle w:val="Hyperlink"/>
          </w:rPr>
          <w:t xml:space="preserve">Databasing</w:t>
        </w:r>
      </w:hyperlink>
    </w:p>
    <w:p>
      <w:pPr>
        <w:pStyle w:val="Compact"/>
        <w:numPr>
          <w:numId w:val="1006"/>
          <w:ilvl w:val="2"/>
        </w:numPr>
      </w:pPr>
      <w:hyperlink w:anchor="programming">
        <w:r>
          <w:rPr>
            <w:rStyle w:val="Hyperlink"/>
          </w:rPr>
          <w:t xml:space="preserve">Programming</w:t>
        </w:r>
      </w:hyperlink>
    </w:p>
    <w:p>
      <w:pPr>
        <w:pStyle w:val="Compact"/>
        <w:numPr>
          <w:numId w:val="1006"/>
          <w:ilvl w:val="2"/>
        </w:numPr>
      </w:pPr>
      <w:hyperlink w:anchor="models">
        <w:r>
          <w:rPr>
            <w:rStyle w:val="Hyperlink"/>
          </w:rPr>
          <w:t xml:space="preserve">Database Models</w:t>
        </w:r>
      </w:hyperlink>
    </w:p>
    <w:p>
      <w:pPr>
        <w:pStyle w:val="Compact"/>
        <w:numPr>
          <w:numId w:val="1007"/>
          <w:ilvl w:val="3"/>
        </w:numPr>
      </w:pPr>
      <w:hyperlink w:anchor="model:hierarchical">
        <w:r>
          <w:rPr>
            <w:rStyle w:val="Hyperlink"/>
          </w:rPr>
          <w:t xml:space="preserve">Hierarchical</w:t>
        </w:r>
      </w:hyperlink>
    </w:p>
    <w:p>
      <w:pPr>
        <w:pStyle w:val="Compact"/>
        <w:numPr>
          <w:numId w:val="1007"/>
          <w:ilvl w:val="3"/>
        </w:numPr>
      </w:pPr>
      <w:hyperlink w:anchor="model:network">
        <w:r>
          <w:rPr>
            <w:rStyle w:val="Hyperlink"/>
          </w:rPr>
          <w:t xml:space="preserve">Network</w:t>
        </w:r>
      </w:hyperlink>
    </w:p>
    <w:p>
      <w:pPr>
        <w:pStyle w:val="Compact"/>
        <w:numPr>
          <w:numId w:val="1007"/>
          <w:ilvl w:val="3"/>
        </w:numPr>
      </w:pPr>
      <w:hyperlink w:anchor="model:navigational">
        <w:r>
          <w:rPr>
            <w:rStyle w:val="Hyperlink"/>
          </w:rPr>
          <w:t xml:space="preserve">Navigational</w:t>
        </w:r>
      </w:hyperlink>
    </w:p>
    <w:p>
      <w:pPr>
        <w:pStyle w:val="Compact"/>
        <w:numPr>
          <w:numId w:val="1007"/>
          <w:ilvl w:val="3"/>
        </w:numPr>
      </w:pPr>
      <w:hyperlink w:anchor="model:relational">
        <w:r>
          <w:rPr>
            <w:rStyle w:val="Hyperlink"/>
          </w:rPr>
          <w:t xml:space="preserve">Relational</w:t>
        </w:r>
      </w:hyperlink>
    </w:p>
    <w:p>
      <w:pPr>
        <w:pStyle w:val="Compact"/>
        <w:numPr>
          <w:numId w:val="1007"/>
          <w:ilvl w:val="3"/>
        </w:numPr>
      </w:pPr>
      <w:hyperlink w:anchor="model:semantic">
        <w:r>
          <w:rPr>
            <w:rStyle w:val="Hyperlink"/>
          </w:rPr>
          <w:t xml:space="preserve">Semantic</w:t>
        </w:r>
      </w:hyperlink>
    </w:p>
    <w:p>
      <w:pPr>
        <w:pStyle w:val="Compact"/>
        <w:numPr>
          <w:numId w:val="1007"/>
          <w:ilvl w:val="3"/>
        </w:numPr>
      </w:pPr>
      <w:hyperlink w:anchor="model:nonrelational">
        <w:r>
          <w:rPr>
            <w:rStyle w:val="Hyperlink"/>
          </w:rPr>
          <w:t xml:space="preserve">Non-Relational</w:t>
        </w:r>
      </w:hyperlink>
    </w:p>
    <w:p>
      <w:pPr>
        <w:pStyle w:val="Compact"/>
        <w:numPr>
          <w:numId w:val="1007"/>
          <w:ilvl w:val="3"/>
        </w:numPr>
      </w:pPr>
      <w:hyperlink w:anchor="model:graph">
        <w:r>
          <w:rPr>
            <w:rStyle w:val="Hyperlink"/>
          </w:rPr>
          <w:t xml:space="preserve">Graph</w:t>
        </w:r>
      </w:hyperlink>
    </w:p>
    <w:p>
      <w:pPr>
        <w:pStyle w:val="Compact"/>
        <w:numPr>
          <w:numId w:val="1007"/>
          <w:ilvl w:val="3"/>
        </w:numPr>
      </w:pPr>
      <w:hyperlink w:anchor="model:inmemory">
        <w:r>
          <w:rPr>
            <w:rStyle w:val="Hyperlink"/>
          </w:rPr>
          <w:t xml:space="preserve">In-Memory</w:t>
        </w:r>
      </w:hyperlink>
    </w:p>
    <w:p>
      <w:pPr>
        <w:pStyle w:val="Compact"/>
        <w:numPr>
          <w:numId w:val="1007"/>
          <w:ilvl w:val="3"/>
        </w:numPr>
      </w:pPr>
      <w:hyperlink w:anchor="model:object">
        <w:r>
          <w:rPr>
            <w:rStyle w:val="Hyperlink"/>
          </w:rPr>
          <w:t xml:space="preserve">Object</w:t>
        </w:r>
      </w:hyperlink>
    </w:p>
    <w:p>
      <w:pPr>
        <w:pStyle w:val="Compact"/>
        <w:numPr>
          <w:numId w:val="1007"/>
          <w:ilvl w:val="3"/>
        </w:numPr>
      </w:pPr>
      <w:hyperlink w:anchor="model:semistructured">
        <w:r>
          <w:rPr>
            <w:rStyle w:val="Hyperlink"/>
          </w:rPr>
          <w:t xml:space="preserve">Semi-structured</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8"/>
          <w:ilvl w:val="2"/>
        </w:numPr>
      </w:pPr>
      <w:hyperlink w:anchor="mir">
        <w:r>
          <w:rPr>
            <w:rStyle w:val="Hyperlink"/>
          </w:rPr>
          <w:t xml:space="preserve">Music Information Retrieval</w:t>
        </w:r>
      </w:hyperlink>
    </w:p>
    <w:p>
      <w:pPr>
        <w:pStyle w:val="Compact"/>
        <w:numPr>
          <w:numId w:val="1009"/>
          <w:ilvl w:val="3"/>
        </w:numPr>
      </w:pPr>
      <w:hyperlink w:anchor="mir:informationspace">
        <w:r>
          <w:rPr>
            <w:rStyle w:val="Hyperlink"/>
          </w:rPr>
          <w:t xml:space="preserve">Information Space</w:t>
        </w:r>
      </w:hyperlink>
    </w:p>
    <w:p>
      <w:pPr>
        <w:pStyle w:val="Compact"/>
        <w:numPr>
          <w:numId w:val="1009"/>
          <w:ilvl w:val="3"/>
        </w:numPr>
      </w:pPr>
      <w:hyperlink w:anchor="mir:applications">
        <w:r>
          <w:rPr>
            <w:rStyle w:val="Hyperlink"/>
          </w:rPr>
          <w:t xml:space="preserve">Applications of MIR</w:t>
        </w:r>
      </w:hyperlink>
    </w:p>
    <w:p>
      <w:pPr>
        <w:pStyle w:val="Compact"/>
        <w:numPr>
          <w:numId w:val="1008"/>
          <w:ilvl w:val="2"/>
        </w:numPr>
      </w:pPr>
      <w:hyperlink w:anchor="sonification">
        <w:r>
          <w:rPr>
            <w:rStyle w:val="Hyperlink"/>
          </w:rPr>
          <w:t xml:space="preserve">Sonification</w:t>
        </w:r>
      </w:hyperlink>
    </w:p>
    <w:p>
      <w:pPr>
        <w:pStyle w:val="Compact"/>
        <w:numPr>
          <w:numId w:val="1010"/>
          <w:ilvl w:val="3"/>
        </w:numPr>
      </w:pPr>
      <w:hyperlink w:anchor="sonification:sonifying">
        <w:r>
          <w:rPr>
            <w:rStyle w:val="Hyperlink"/>
          </w:rPr>
          <w:t xml:space="preserve">Sonifying the Database</w:t>
        </w:r>
      </w:hyperlink>
    </w:p>
    <w:p>
      <w:pPr>
        <w:pStyle w:val="Compact"/>
        <w:numPr>
          <w:numId w:val="1010"/>
          <w:ilvl w:val="3"/>
        </w:numPr>
      </w:pPr>
      <w:hyperlink w:anchor="sonification:parametermapping">
        <w:r>
          <w:rPr>
            <w:rStyle w:val="Hyperlink"/>
          </w:rPr>
          <w:t xml:space="preserve">Parameter mapping</w:t>
        </w:r>
      </w:hyperlink>
    </w:p>
    <w:p>
      <w:pPr>
        <w:pStyle w:val="Compact"/>
        <w:numPr>
          <w:numId w:val="1010"/>
          <w:ilvl w:val="3"/>
        </w:numPr>
      </w:pPr>
      <w:hyperlink w:anchor="sonification:artistic">
        <w:r>
          <w:rPr>
            <w:rStyle w:val="Hyperlink"/>
          </w:rPr>
          <w:t xml:space="preserve">Artistic sonification</w:t>
        </w:r>
      </w:hyperlink>
    </w:p>
    <w:p>
      <w:pPr>
        <w:pStyle w:val="Compact"/>
        <w:numPr>
          <w:numId w:val="1010"/>
          <w:ilvl w:val="3"/>
        </w:numPr>
      </w:pPr>
      <w:hyperlink w:anchor="sonification:software">
        <w:r>
          <w:rPr>
            <w:rStyle w:val="Hyperlink"/>
          </w:rPr>
          <w:t xml:space="preserve">Sonification Software</w:t>
        </w:r>
      </w:hyperlink>
    </w:p>
    <w:p>
      <w:pPr>
        <w:pStyle w:val="Compact"/>
        <w:numPr>
          <w:numId w:val="1010"/>
          <w:ilvl w:val="3"/>
        </w:numPr>
      </w:pPr>
      <w:hyperlink w:anchor="sonification:installations">
        <w:r>
          <w:rPr>
            <w:rStyle w:val="Hyperlink"/>
          </w:rPr>
          <w:t xml:space="preserve">Sonification Installations</w:t>
        </w:r>
      </w:hyperlink>
    </w:p>
    <w:p>
      <w:pPr>
        <w:pStyle w:val="Compact"/>
        <w:numPr>
          <w:numId w:val="1010"/>
          <w:ilvl w:val="3"/>
        </w:numPr>
      </w:pPr>
      <w:hyperlink w:anchor="sonification:model">
        <w:r>
          <w:rPr>
            <w:rStyle w:val="Hyperlink"/>
          </w:rPr>
          <w:t xml:space="preserve">Model-based sonification</w:t>
        </w:r>
      </w:hyperlink>
    </w:p>
    <w:p>
      <w:pPr>
        <w:pStyle w:val="Compact"/>
        <w:numPr>
          <w:numId w:val="1010"/>
          <w:ilvl w:val="3"/>
        </w:numPr>
      </w:pPr>
      <w:hyperlink w:anchor="sonification:affective">
        <w:r>
          <w:rPr>
            <w:rStyle w:val="Hyperlink"/>
          </w:rPr>
          <w:t xml:space="preserve">Affective Sonification</w:t>
        </w:r>
      </w:hyperlink>
    </w:p>
    <w:p>
      <w:pPr>
        <w:pStyle w:val="Compact"/>
        <w:numPr>
          <w:numId w:val="1008"/>
          <w:ilvl w:val="2"/>
        </w:numPr>
      </w:pPr>
      <w:hyperlink w:anchor="computer_music">
        <w:r>
          <w:rPr>
            <w:rStyle w:val="Hyperlink"/>
          </w:rPr>
          <w:t xml:space="preserve">Computer Music</w:t>
        </w:r>
      </w:hyperlink>
    </w:p>
    <w:p>
      <w:pPr>
        <w:pStyle w:val="Compact"/>
        <w:numPr>
          <w:numId w:val="1011"/>
          <w:ilvl w:val="3"/>
        </w:numPr>
      </w:pPr>
      <w:hyperlink w:anchor="computer:sssp">
        <w:r>
          <w:rPr>
            <w:rStyle w:val="Hyperlink"/>
          </w:rPr>
          <w:t xml:space="preserve">SSSP and the question of complexity</w:t>
        </w:r>
      </w:hyperlink>
    </w:p>
    <w:p>
      <w:pPr>
        <w:pStyle w:val="Compact"/>
        <w:numPr>
          <w:numId w:val="1011"/>
          <w:ilvl w:val="3"/>
        </w:numPr>
      </w:pPr>
      <w:hyperlink w:anchor="computer:blackbox">
        <w:r>
          <w:rPr>
            <w:rStyle w:val="Hyperlink"/>
          </w:rPr>
          <w:t xml:space="preserve">Black-boxing Programs</w:t>
        </w:r>
      </w:hyperlink>
    </w:p>
    <w:p>
      <w:pPr>
        <w:pStyle w:val="Compact"/>
        <w:numPr>
          <w:numId w:val="1011"/>
          <w:ilvl w:val="3"/>
        </w:numPr>
      </w:pPr>
      <w:hyperlink w:anchor="computer:free">
        <w:r>
          <w:rPr>
            <w:rStyle w:val="Hyperlink"/>
          </w:rPr>
          <w:t xml:space="preserve">CAMP and the vanilla synthesizer</w:t>
        </w:r>
      </w:hyperlink>
    </w:p>
    <w:p>
      <w:pPr>
        <w:pStyle w:val="Compact"/>
        <w:numPr>
          <w:numId w:val="1011"/>
          <w:ilvl w:val="3"/>
        </w:numPr>
      </w:pPr>
      <w:hyperlink w:anchor="computer:linked">
        <w:r>
          <w:rPr>
            <w:rStyle w:val="Hyperlink"/>
          </w:rPr>
          <w:t xml:space="preserve">Enter Linked Lists</w:t>
        </w:r>
      </w:hyperlink>
    </w:p>
    <w:p>
      <w:pPr>
        <w:pStyle w:val="Compact"/>
        <w:numPr>
          <w:numId w:val="1011"/>
          <w:ilvl w:val="3"/>
        </w:numPr>
      </w:pPr>
      <w:hyperlink w:anchor="computer:notation">
        <w:r>
          <w:rPr>
            <w:rStyle w:val="Hyperlink"/>
          </w:rPr>
          <w:t xml:space="preserve">Notating scores</w:t>
        </w:r>
      </w:hyperlink>
    </w:p>
    <w:p>
      <w:pPr>
        <w:pStyle w:val="Compact"/>
        <w:numPr>
          <w:numId w:val="1011"/>
          <w:ilvl w:val="3"/>
        </w:numPr>
      </w:pPr>
      <w:hyperlink w:anchor="computer:computer">
        <w:r>
          <w:rPr>
            <w:rStyle w:val="Hyperlink"/>
          </w:rPr>
          <w:t xml:space="preserve">Computer Scores</w:t>
        </w:r>
      </w:hyperlink>
    </w:p>
    <w:p>
      <w:pPr>
        <w:pStyle w:val="Compact"/>
        <w:numPr>
          <w:numId w:val="1011"/>
          <w:ilvl w:val="3"/>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11"/>
          <w:ilvl w:val="3"/>
        </w:numPr>
      </w:pPr>
      <w:hyperlink w:anchor="computer:theoretical">
        <w:r>
          <w:rPr>
            <w:rStyle w:val="Hyperlink"/>
          </w:rPr>
          <w:t xml:space="preserve">Theoretical Performance</w:t>
        </w:r>
      </w:hyperlink>
    </w:p>
    <w:p>
      <w:pPr>
        <w:pStyle w:val="Compact"/>
        <w:numPr>
          <w:numId w:val="1011"/>
          <w:ilvl w:val="3"/>
        </w:numPr>
      </w:pPr>
      <w:hyperlink w:anchor="computer:realtime">
        <w:r>
          <w:rPr>
            <w:rStyle w:val="Hyperlink"/>
          </w:rPr>
          <w:t xml:space="preserve">Real-time data structures</w:t>
        </w:r>
      </w:hyperlink>
    </w:p>
    <w:p>
      <w:pPr>
        <w:pStyle w:val="Compact"/>
        <w:numPr>
          <w:numId w:val="1011"/>
          <w:ilvl w:val="3"/>
        </w:numPr>
      </w:pPr>
      <w:hyperlink w:anchor="computer:puredata">
        <w:r>
          <w:rPr>
            <w:rStyle w:val="Hyperlink"/>
          </w:rPr>
          <w:t xml:space="preserve">Pure Data</w:t>
        </w:r>
      </w:hyperlink>
    </w:p>
    <w:p>
      <w:pPr>
        <w:pStyle w:val="Compact"/>
        <w:numPr>
          <w:numId w:val="1011"/>
          <w:ilvl w:val="3"/>
        </w:numPr>
      </w:pPr>
      <w:hyperlink w:anchor="computer:datastructures">
        <w:r>
          <w:rPr>
            <w:rStyle w:val="Hyperlink"/>
          </w:rPr>
          <w:t xml:space="preserve">Pd Data Structures</w:t>
        </w:r>
      </w:hyperlink>
    </w:p>
    <w:p>
      <w:pPr>
        <w:pStyle w:val="Compact"/>
        <w:numPr>
          <w:numId w:val="1011"/>
          <w:ilvl w:val="3"/>
        </w:numPr>
      </w:pPr>
      <w:hyperlink w:anchor="computer:rtcmix">
        <w:r>
          <w:rPr>
            <w:rStyle w:val="Hyperlink"/>
          </w:rPr>
          <w:t xml:space="preserve">RtCMIX and the heap</w:t>
        </w:r>
      </w:hyperlink>
    </w:p>
    <w:p>
      <w:pPr>
        <w:pStyle w:val="Compact"/>
        <w:numPr>
          <w:numId w:val="1011"/>
          <w:ilvl w:val="3"/>
        </w:numPr>
      </w:pPr>
      <w:hyperlink w:anchor="computer:openmusic">
        <w:r>
          <w:rPr>
            <w:rStyle w:val="Hyperlink"/>
          </w:rPr>
          <w:t xml:space="preserve">OpenMusic</w:t>
        </w:r>
      </w:hyperlink>
    </w:p>
    <w:p>
      <w:pPr>
        <w:pStyle w:val="Compact"/>
        <w:numPr>
          <w:numId w:val="1011"/>
          <w:ilvl w:val="3"/>
        </w:numPr>
      </w:pPr>
      <w:hyperlink w:anchor="computer:kyma">
        <w:r>
          <w:rPr>
            <w:rStyle w:val="Hyperlink"/>
          </w:rPr>
          <w:t xml:space="preserve">Kyma</w:t>
        </w:r>
      </w:hyperlink>
    </w:p>
    <w:p>
      <w:pPr>
        <w:pStyle w:val="Compact"/>
        <w:numPr>
          <w:numId w:val="1011"/>
          <w:ilvl w:val="3"/>
        </w:numPr>
      </w:pPr>
      <w:hyperlink w:anchor="computer:audacity">
        <w:r>
          <w:rPr>
            <w:rStyle w:val="Hyperlink"/>
          </w:rPr>
          <w:t xml:space="preserve">Audacity and the Sequence</w:t>
        </w:r>
      </w:hyperlink>
    </w:p>
    <w:p>
      <w:pPr>
        <w:pStyle w:val="Compact"/>
        <w:numPr>
          <w:numId w:val="1011"/>
          <w:ilvl w:val="3"/>
        </w:numPr>
      </w:pPr>
      <w:hyperlink w:anchor="computer:supercollider">
        <w:r>
          <w:rPr>
            <w:rStyle w:val="Hyperlink"/>
          </w:rPr>
          <w:t xml:space="preserve">SuperCollider and nodes</w:t>
        </w:r>
      </w:hyperlink>
    </w:p>
    <w:p>
      <w:pPr>
        <w:pStyle w:val="Compact"/>
        <w:numPr>
          <w:numId w:val="1008"/>
          <w:ilvl w:val="2"/>
        </w:numPr>
      </w:pPr>
      <w:hyperlink w:anchor="applications">
        <w:r>
          <w:rPr>
            <w:rStyle w:val="Hyperlink"/>
          </w:rPr>
          <w:t xml:space="preserve">Applications</w:t>
        </w:r>
      </w:hyperlink>
    </w:p>
    <w:p>
      <w:pPr>
        <w:pStyle w:val="Compact"/>
        <w:numPr>
          <w:numId w:val="1012"/>
          <w:ilvl w:val="3"/>
        </w:numPr>
      </w:pPr>
      <w:hyperlink w:anchor="applications:synthesis">
        <w:r>
          <w:rPr>
            <w:rStyle w:val="Hyperlink"/>
          </w:rPr>
          <w:t xml:space="preserve">Synthesis</w:t>
        </w:r>
      </w:hyperlink>
    </w:p>
    <w:p>
      <w:pPr>
        <w:pStyle w:val="Compact"/>
        <w:numPr>
          <w:numId w:val="1012"/>
          <w:ilvl w:val="3"/>
        </w:numPr>
      </w:pPr>
      <w:hyperlink w:anchor="applications:navigation">
        <w:r>
          <w:rPr>
            <w:rStyle w:val="Hyperlink"/>
          </w:rPr>
          <w:t xml:space="preserve">Navigation</w:t>
        </w:r>
      </w:hyperlink>
    </w:p>
    <w:p>
      <w:pPr>
        <w:pStyle w:val="Compact"/>
        <w:numPr>
          <w:numId w:val="1012"/>
          <w:ilvl w:val="3"/>
        </w:numPr>
      </w:pPr>
      <w:hyperlink w:anchor="application:performance">
        <w:r>
          <w:rPr>
            <w:rStyle w:val="Hyperlink"/>
          </w:rPr>
          <w:t xml:space="preserve">Performance</w:t>
        </w:r>
      </w:hyperlink>
    </w:p>
    <w:p>
      <w:pPr>
        <w:pStyle w:val="Compact"/>
        <w:numPr>
          <w:numId w:val="1012"/>
          <w:ilvl w:val="3"/>
        </w:numPr>
      </w:pPr>
      <w:hyperlink w:anchor="application:gesture">
        <w:r>
          <w:rPr>
            <w:rStyle w:val="Hyperlink"/>
          </w:rPr>
          <w:t xml:space="preserve">Gesture</w:t>
        </w:r>
      </w:hyperlink>
    </w:p>
    <w:p>
      <w:pPr>
        <w:pStyle w:val="Compact"/>
        <w:numPr>
          <w:numId w:val="1012"/>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3"/>
          <w:ilvl w:val="1"/>
        </w:numPr>
      </w:pPr>
      <w:hyperlink w:anchor="section:Listening_Database">
        <w:r>
          <w:rPr>
            <w:rStyle w:val="Hyperlink"/>
          </w:rPr>
          <w:t xml:space="preserve">Listening Database</w:t>
        </w:r>
      </w:hyperlink>
    </w:p>
    <w:p>
      <w:pPr>
        <w:pStyle w:val="Compact"/>
        <w:numPr>
          <w:numId w:val="1014"/>
          <w:ilvl w:val="2"/>
        </w:numPr>
      </w:pPr>
      <w:hyperlink w:anchor="resonance_of_a_return">
        <w:r>
          <w:rPr>
            <w:rStyle w:val="Hyperlink"/>
          </w:rPr>
          <w:t xml:space="preserve">The Resonance of a Return</w:t>
        </w:r>
      </w:hyperlink>
    </w:p>
    <w:p>
      <w:pPr>
        <w:pStyle w:val="Compact"/>
        <w:numPr>
          <w:numId w:val="1014"/>
          <w:ilvl w:val="2"/>
        </w:numPr>
      </w:pPr>
      <w:hyperlink w:anchor="network">
        <w:r>
          <w:rPr>
            <w:rStyle w:val="Hyperlink"/>
          </w:rPr>
          <w:t xml:space="preserve">Resonant Network</w:t>
        </w:r>
      </w:hyperlink>
    </w:p>
    <w:p>
      <w:pPr>
        <w:pStyle w:val="Compact"/>
        <w:numPr>
          <w:numId w:val="1014"/>
          <w:ilvl w:val="2"/>
        </w:numPr>
      </w:pPr>
      <w:hyperlink w:anchor="work">
        <w:r>
          <w:rPr>
            <w:rStyle w:val="Hyperlink"/>
          </w:rPr>
          <w:t xml:space="preserve">The Work of Actors</w:t>
        </w:r>
      </w:hyperlink>
    </w:p>
    <w:p>
      <w:pPr>
        <w:pStyle w:val="Compact"/>
        <w:numPr>
          <w:numId w:val="1014"/>
          <w:ilvl w:val="2"/>
        </w:numPr>
      </w:pPr>
      <w:hyperlink w:anchor="inoperativity">
        <w:r>
          <w:rPr>
            <w:rStyle w:val="Hyperlink"/>
          </w:rPr>
          <w:t xml:space="preserve">The Unworking Network</w:t>
        </w:r>
      </w:hyperlink>
    </w:p>
    <w:p>
      <w:pPr>
        <w:pStyle w:val="Compact"/>
        <w:numPr>
          <w:numId w:val="1013"/>
          <w:ilvl w:val="1"/>
        </w:numPr>
      </w:pPr>
      <w:hyperlink w:anchor="section:Memory">
        <w:r>
          <w:rPr>
            <w:rStyle w:val="Hyperlink"/>
          </w:rPr>
          <w:t xml:space="preserve">Memory</w:t>
        </w:r>
      </w:hyperlink>
    </w:p>
    <w:p>
      <w:pPr>
        <w:pStyle w:val="Compact"/>
        <w:numPr>
          <w:numId w:val="1015"/>
          <w:ilvl w:val="2"/>
        </w:numPr>
      </w:pPr>
      <w:hyperlink w:anchor="funeslude">
        <w:r>
          <w:rPr>
            <w:rStyle w:val="Hyperlink"/>
          </w:rPr>
          <w:t xml:space="preserve">Interlude: Embodied Memory</w:t>
        </w:r>
      </w:hyperlink>
    </w:p>
    <w:p>
      <w:pPr>
        <w:pStyle w:val="Compact"/>
        <w:numPr>
          <w:numId w:val="1015"/>
          <w:ilvl w:val="2"/>
        </w:numPr>
      </w:pPr>
      <w:hyperlink w:anchor="human">
        <w:r>
          <w:rPr>
            <w:rStyle w:val="Hyperlink"/>
          </w:rPr>
          <w:t xml:space="preserve">The Effraction of the Trace</w:t>
        </w:r>
      </w:hyperlink>
    </w:p>
    <w:p>
      <w:pPr>
        <w:pStyle w:val="Compact"/>
        <w:numPr>
          <w:numId w:val="1015"/>
          <w:ilvl w:val="2"/>
        </w:numPr>
      </w:pPr>
      <w:hyperlink w:anchor="archontic">
        <w:r>
          <w:rPr>
            <w:rStyle w:val="Hyperlink"/>
          </w:rPr>
          <w:t xml:space="preserve">The Archontic Principle</w:t>
        </w:r>
      </w:hyperlink>
    </w:p>
    <w:p>
      <w:pPr>
        <w:pStyle w:val="Compact"/>
        <w:numPr>
          <w:numId w:val="1015"/>
          <w:ilvl w:val="2"/>
        </w:numPr>
      </w:pPr>
      <w:hyperlink w:anchor="spectrality">
        <w:r>
          <w:rPr>
            <w:rStyle w:val="Hyperlink"/>
          </w:rPr>
          <w:t xml:space="preserve">The Spectral Database</w:t>
        </w:r>
      </w:hyperlink>
    </w:p>
    <w:p>
      <w:pPr>
        <w:pStyle w:val="Compact"/>
        <w:numPr>
          <w:numId w:val="1013"/>
          <w:ilvl w:val="1"/>
        </w:numPr>
      </w:pPr>
      <w:hyperlink w:anchor="section:Performance">
        <w:r>
          <w:rPr>
            <w:rStyle w:val="Hyperlink"/>
          </w:rPr>
          <w:t xml:space="preserve">Performance</w:t>
        </w:r>
      </w:hyperlink>
    </w:p>
    <w:p>
      <w:pPr>
        <w:pStyle w:val="Compact"/>
        <w:numPr>
          <w:numId w:val="1016"/>
          <w:ilvl w:val="2"/>
        </w:numPr>
      </w:pPr>
      <w:hyperlink w:anchor="gender">
        <w:r>
          <w:rPr>
            <w:rStyle w:val="Hyperlink"/>
          </w:rPr>
          <w:t xml:space="preserve">Gendered Database</w:t>
        </w:r>
      </w:hyperlink>
    </w:p>
    <w:p>
      <w:pPr>
        <w:pStyle w:val="Compact"/>
        <w:numPr>
          <w:numId w:val="1016"/>
          <w:ilvl w:val="2"/>
        </w:numPr>
      </w:pPr>
      <w:hyperlink w:anchor="limits">
        <w:r>
          <w:rPr>
            <w:rStyle w:val="Hyperlink"/>
          </w:rPr>
          <w:t xml:space="preserve">Towards the Limits</w:t>
        </w:r>
      </w:hyperlink>
    </w:p>
    <w:p>
      <w:pPr>
        <w:pStyle w:val="Compact"/>
        <w:numPr>
          <w:numId w:val="1016"/>
          <w:ilvl w:val="2"/>
        </w:numPr>
      </w:pPr>
      <w:hyperlink w:anchor="style">
        <w:r>
          <w:rPr>
            <w:rStyle w:val="Hyperlink"/>
          </w:rPr>
          <w:t xml:space="preserve">Contingencies of Style</w:t>
        </w:r>
      </w:hyperlink>
    </w:p>
    <w:p>
      <w:pPr>
        <w:pStyle w:val="Compact"/>
        <w:numPr>
          <w:numId w:val="1016"/>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7"/>
          <w:ilvl w:val="1"/>
        </w:numPr>
      </w:pPr>
      <w:hyperlink w:anchor="section:Rethinking_Composition">
        <w:r>
          <w:rPr>
            <w:rStyle w:val="Hyperlink"/>
          </w:rPr>
          <w:t xml:space="preserve">Rethinking Composition</w:t>
        </w:r>
      </w:hyperlink>
    </w:p>
    <w:p>
      <w:pPr>
        <w:pStyle w:val="Compact"/>
        <w:numPr>
          <w:numId w:val="1018"/>
          <w:ilvl w:val="2"/>
        </w:numPr>
      </w:pPr>
      <w:hyperlink w:anchor="performance">
        <w:r>
          <w:rPr>
            <w:rStyle w:val="Hyperlink"/>
          </w:rPr>
          <w:t xml:space="preserve">Performing the Database</w:t>
        </w:r>
      </w:hyperlink>
    </w:p>
    <w:p>
      <w:pPr>
        <w:pStyle w:val="Compact"/>
        <w:numPr>
          <w:numId w:val="1018"/>
          <w:ilvl w:val="2"/>
        </w:numPr>
      </w:pPr>
      <w:hyperlink w:anchor="organic">
        <w:r>
          <w:rPr>
            <w:rStyle w:val="Hyperlink"/>
          </w:rPr>
          <w:t xml:space="preserve">Working Composition</w:t>
        </w:r>
      </w:hyperlink>
    </w:p>
    <w:p>
      <w:pPr>
        <w:pStyle w:val="Compact"/>
        <w:numPr>
          <w:numId w:val="1018"/>
          <w:ilvl w:val="2"/>
        </w:numPr>
      </w:pPr>
      <w:hyperlink w:anchor="practice">
        <w:r>
          <w:rPr>
            <w:rStyle w:val="Hyperlink"/>
          </w:rPr>
          <w:t xml:space="preserve">The Composer as Navigator</w:t>
        </w:r>
      </w:hyperlink>
    </w:p>
    <w:p>
      <w:pPr>
        <w:pStyle w:val="Compact"/>
        <w:numPr>
          <w:numId w:val="1018"/>
          <w:ilvl w:val="2"/>
        </w:numPr>
      </w:pPr>
      <w:hyperlink w:anchor="improv">
        <w:r>
          <w:rPr>
            <w:rStyle w:val="Hyperlink"/>
          </w:rPr>
          <w:t xml:space="preserve">The Database as Performer</w:t>
        </w:r>
      </w:hyperlink>
    </w:p>
    <w:p>
      <w:pPr>
        <w:pStyle w:val="Compact"/>
        <w:numPr>
          <w:numId w:val="1017"/>
          <w:ilvl w:val="1"/>
        </w:numPr>
      </w:pPr>
      <w:hyperlink w:anchor="section:Inoperativity">
        <w:r>
          <w:rPr>
            <w:rStyle w:val="Hyperlink"/>
          </w:rPr>
          <w:t xml:space="preserve">Inoperativity</w:t>
        </w:r>
      </w:hyperlink>
    </w:p>
    <w:p>
      <w:pPr>
        <w:pStyle w:val="Compact"/>
        <w:numPr>
          <w:numId w:val="1019"/>
          <w:ilvl w:val="2"/>
        </w:numPr>
      </w:pPr>
      <w:hyperlink w:anchor="music">
        <w:r>
          <w:rPr>
            <w:rStyle w:val="Hyperlink"/>
          </w:rPr>
          <w:t xml:space="preserve">The severed object of music: composing composer</w:t>
        </w:r>
      </w:hyperlink>
    </w:p>
    <w:p>
      <w:pPr>
        <w:pStyle w:val="Compact"/>
        <w:numPr>
          <w:numId w:val="1019"/>
          <w:ilvl w:val="2"/>
        </w:numPr>
      </w:pPr>
      <w:hyperlink w:anchor="anarchy">
        <w:r>
          <w:rPr>
            <w:rStyle w:val="Hyperlink"/>
          </w:rPr>
          <w:t xml:space="preserve">Anarchy and the unwork</w:t>
        </w:r>
      </w:hyperlink>
    </w:p>
    <w:p>
      <w:pPr>
        <w:pStyle w:val="Compact"/>
        <w:numPr>
          <w:numId w:val="1019"/>
          <w:ilvl w:val="2"/>
        </w:numPr>
      </w:pPr>
      <w:hyperlink w:anchor="trans">
        <w:r>
          <w:rPr>
            <w:rStyle w:val="Hyperlink"/>
          </w:rPr>
          <w:t xml:space="preserve">Trans-inoperativity: a database politics of authorship</w:t>
        </w:r>
      </w:hyperlink>
    </w:p>
    <w:p>
      <w:pPr>
        <w:pStyle w:val="Compact"/>
        <w:numPr>
          <w:numId w:val="1019"/>
          <w:ilvl w:val="2"/>
        </w:numPr>
      </w:pPr>
      <w:hyperlink w:anchor="worker">
        <w:r>
          <w:rPr>
            <w:rStyle w:val="Hyperlink"/>
          </w:rPr>
          <w:t xml:space="preserve">[WIP] work in progress</w:t>
        </w:r>
      </w:hyperlink>
    </w:p>
    <w:p>
      <w:pPr>
        <w:pStyle w:val="Compact"/>
        <w:numPr>
          <w:numId w:val="1001"/>
          <w:ilvl w:val="0"/>
        </w:numPr>
      </w:pPr>
      <w:hyperlink w:anchor="chapter:Conclusion">
        <w:r>
          <w:rPr>
            <w:rStyle w:val="Hyperlink"/>
          </w:rPr>
          <w:t xml:space="preserve">Conclusion</w:t>
        </w:r>
      </w:hyperlink>
    </w:p>
    <w:p>
      <w:pPr>
        <w:pStyle w:val="Compact"/>
        <w:numPr>
          <w:numId w:val="1020"/>
          <w:ilvl w:val="1"/>
        </w:numPr>
      </w:pPr>
      <w:hyperlink w:anchor="section:And_They_Are_Sounding_Back">
        <w:r>
          <w:rPr>
            <w:rStyle w:val="Hyperlink"/>
          </w:rPr>
          <w:t xml:space="preserve">And They Are Sounding Back</w:t>
        </w:r>
      </w:hyperlink>
    </w:p>
    <w:p>
      <w:pPr>
        <w:pStyle w:val="Compact"/>
        <w:numPr>
          <w:numId w:val="1001"/>
          <w:ilvl w:val="0"/>
        </w:numPr>
      </w:pPr>
      <w:hyperlink w:anchor="chapter:Appendices">
        <w:r>
          <w:rPr>
            <w:rStyle w:val="Hyperlink"/>
          </w:rPr>
          <w:t xml:space="preserve">Appendices</w:t>
        </w:r>
      </w:hyperlink>
    </w:p>
    <w:p>
      <w:pPr>
        <w:pStyle w:val="Compact"/>
        <w:numPr>
          <w:numId w:val="1021"/>
          <w:ilvl w:val="1"/>
        </w:numPr>
      </w:pPr>
      <w:hyperlink w:anchor="X9928d5a4298d9156e673c83842d96a99bfb66d7">
        <w:r>
          <w:rPr>
            <w:rStyle w:val="Hyperlink"/>
          </w:rPr>
          <w:t xml:space="preserve">DIANA: Database for Image and Audio Navigation</w:t>
        </w:r>
      </w:hyperlink>
    </w:p>
    <w:p>
      <w:pPr>
        <w:pStyle w:val="Compact"/>
        <w:numPr>
          <w:numId w:val="1022"/>
          <w:ilvl w:val="2"/>
        </w:numPr>
      </w:pPr>
      <w:hyperlink w:anchor="dbmodel">
        <w:r>
          <w:rPr>
            <w:rStyle w:val="Hyperlink"/>
          </w:rPr>
          <w:t xml:space="preserve">A Database Model</w:t>
        </w:r>
      </w:hyperlink>
    </w:p>
    <w:p>
      <w:pPr>
        <w:pStyle w:val="Compact"/>
        <w:numPr>
          <w:numId w:val="1021"/>
          <w:ilvl w:val="1"/>
        </w:numPr>
      </w:pPr>
      <w:hyperlink w:anchor="X7616598f194c52ee6f4c09f01c755a7090177ba">
        <w:r>
          <w:rPr>
            <w:rStyle w:val="Hyperlink"/>
          </w:rPr>
          <w:t xml:space="preserve">ABBY: An Online Environment for Annotated Bibliographies</w:t>
        </w:r>
      </w:hyperlink>
    </w:p>
    <w:p>
      <w:pPr>
        <w:pStyle w:val="Compact"/>
        <w:numPr>
          <w:numId w:val="1023"/>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4.12</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FirstParagraph"/>
      </w:pPr>
      <w:r>
        <w:t xml:space="preserve">In this section I engage with the existing literature on data-driven art. In relation to new media, Manovich first considered the Database to be a new ‘symbolic form’ of art</w:t>
      </w:r>
      <w:r>
        <w:t xml:space="preserve"> </w:t>
      </w:r>
      <w:r>
        <w:t xml:space="preserve">(Manovich 2001)</w:t>
      </w:r>
      <w:r>
        <w:t xml:space="preserve">. The database became a term related to ‘internet’ and ‘digital’ art, and as such it was conceptualized in relation to interface design and interactivity. Hansen provided further insight to Database practices through theories of embodiment</w:t>
      </w:r>
      <w:r>
        <w:t xml:space="preserve"> </w:t>
      </w:r>
      <w:r>
        <w:t xml:space="preserve">(Hansen 2004)</w:t>
      </w:r>
      <w:r>
        <w:t xml:space="preserve">. He claimed that since Manovich’s theorizations did not take into account the Body as an active agent, human-computer interaction so far fell short of reaching its aesthetic potential. Vesna, Daniel and Lovejoy proposed a theorization of context within Database Art</w:t>
      </w:r>
      <w:r>
        <w:t xml:space="preserve"> </w:t>
      </w:r>
      <w:r>
        <w:t xml:space="preserve">(Daniel 2007, Klein 2007, Paul 2007, Vesna 2007a)</w:t>
      </w:r>
      <w:r>
        <w:t xml:space="preserve">. In their theorizations of interactivity in Database Art, they reassessed authorship in Digital Art. These authors later provided a panoramic view of database practices within the digital art world, and arrived at the broader term</w:t>
      </w:r>
      <w:r>
        <w:t xml:space="preserve"> </w:t>
      </w:r>
      <w:r>
        <w:rPr>
          <w:i/>
        </w:rPr>
        <w:t xml:space="preserve">Database Aesthetics</w:t>
      </w:r>
      <w:r>
        <w:t xml:space="preserve">. Since then, studies on database aesthetics have only been present in the existing literature in terms of data practices.</w:t>
      </w:r>
    </w:p>
    <w:p>
      <w:pPr>
        <w:pStyle w:val="Heading3"/>
      </w:pPr>
      <w:bookmarkStart w:id="30" w:name="new_media"/>
      <w:r>
        <w:t xml:space="preserve">Manovich: the database as form</w:t>
      </w:r>
      <w:bookmarkEnd w:id="30"/>
    </w:p>
    <w:p>
      <w:pPr>
        <w:pStyle w:val="FirstParagraph"/>
      </w:pPr>
      <w:r>
        <w:t xml:space="preserve">Lev Manovich is the first media historian to argue that the database occupies the center of the creative process in the computer age. In</w:t>
      </w:r>
      <w:r>
        <w:t xml:space="preserve"> </w:t>
      </w:r>
      <w:r>
        <w:rPr>
          <w:i/>
        </w:rPr>
        <w:t xml:space="preserve">The Language of New Media</w:t>
      </w:r>
      <w:r>
        <w:t xml:space="preserve"> </w:t>
      </w:r>
      <w:r>
        <w:t xml:space="preserve">(Manovich 2001)</w:t>
      </w:r>
      <w:r>
        <w:t xml:space="preserve">, he identifies the emergence of new media with the development of the database. Manovich argues that the amount of information that bloomed exponentially since the beginning of the 20th century demanded newer and more efficient media objects —databases— to store, classify, and access data</w:t>
      </w:r>
      <w:r>
        <w:t xml:space="preserve"> </w:t>
      </w:r>
      <w:r>
        <w:t xml:space="preserve">(Manovich 2001, p. 34)</w:t>
      </w:r>
      <w:r>
        <w:t xml:space="preserve">. In his view, the world</w:t>
      </w:r>
    </w:p>
    <w:p>
      <w:pPr>
        <w:pStyle w:val="BlockText"/>
      </w:pPr>
      <w:r>
        <w:t xml:space="preserve">…appears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The database, according to Manovich, became the content of new media works whose variable interfaces allowed the same content to be presented in different ways. He claims that this is the case because of the separation that exists between database and interface. In this way, Manovich argues, the notion of narrative is redefined as the user’s trajectory through the database</w:t>
      </w:r>
      <w:r>
        <w:t xml:space="preserve"> </w:t>
      </w:r>
      <w:r>
        <w:t xml:space="preserve">(Manovich 2001, p. 227)</w:t>
      </w:r>
      <w:r>
        <w:t xml:space="preserve">.</w:t>
      </w:r>
      <w:hyperlink w:anchor="fn2">
        <w:r>
          <w:rPr>
            <w:vertAlign w:val="superscript"/>
            <w:rStyle w:val="Hyperlink"/>
          </w:rPr>
          <w:t xml:space="preserve">2</w:t>
        </w:r>
      </w:hyperlink>
      <w:r>
        <w:t xml:space="preserve"> </w:t>
      </w:r>
      <w:r>
        <w:t xml:space="preserve">However, it is interesting to note how artist Graham Weinbren thinks of databases not as content, but as containers: “A database,” he writes,</w:t>
      </w:r>
    </w:p>
    <w:p>
      <w:pPr>
        <w:pStyle w:val="BlockText"/>
      </w:pPr>
      <w:r>
        <w:t xml:space="preserve">…does not present data: it contains data. The data must always be in an arrangement …that gives the data its meaning. What can Manovich mean when he says that a database “presents a model of what the world is like”? How would a database have meaning?</w:t>
      </w:r>
      <w:r>
        <w:t xml:space="preserve"> </w:t>
      </w:r>
      <w:r>
        <w:t xml:space="preserve">(Weinbren 2007, pp. 67–69)</w:t>
      </w:r>
    </w:p>
    <w:p>
      <w:pPr>
        <w:pStyle w:val="FirstParagraph"/>
      </w:pPr>
      <w:r>
        <w:t xml:space="preserve">This difference is that of form and content, and, with this in mind, it is clear that the foundation of Manovich’s argument is that the logic of the computer is transferred to culture at large</w:t>
      </w:r>
      <w:r>
        <w:t xml:space="preserve"> </w:t>
      </w:r>
      <w:r>
        <w:t xml:space="preserve">(Manovich 2001, p. 235)</w:t>
      </w:r>
      <w:r>
        <w:t xml:space="preserve">.</w:t>
      </w:r>
      <w:hyperlink w:anchor="fn3">
        <w:r>
          <w:rPr>
            <w:vertAlign w:val="superscript"/>
            <w:rStyle w:val="Hyperlink"/>
          </w:rPr>
          <w:t xml:space="preserve">3</w:t>
        </w:r>
      </w:hyperlink>
      <w:r>
        <w:t xml:space="preserve"> </w:t>
      </w:r>
      <w:r>
        <w:t xml:space="preserve">Therefore, given that the “database form” is determined by the content, he describes the “ontology of the world according to a computer”</w:t>
      </w:r>
      <w:r>
        <w:t xml:space="preserve"> </w:t>
      </w:r>
      <w:r>
        <w:t xml:space="preserve">(Manovich 2001, p. 223)</w:t>
      </w:r>
      <w:r>
        <w:t xml:space="preserve"> </w:t>
      </w:r>
      <w:r>
        <w:t xml:space="preserve">with two types of computer objects: data structures and algorithms. He argues that these two objects form a symbiotic relationship which is projected onto the cultural sphere. The former, as databases, become ways of information access; the latter, as, for example, computer games, become a form of narrative: “while computer games do not follow [a] database logic, they appear to be ruled by another logic —that of an algorithm”</w:t>
      </w:r>
      <w:r>
        <w:t xml:space="preserve"> </w:t>
      </w:r>
      <w:r>
        <w:t xml:space="preserve">(Manovich 2001, p. 222)</w:t>
      </w:r>
      <w:r>
        <w:t xml:space="preserve">.</w:t>
      </w:r>
    </w:p>
    <w:p>
      <w:pPr>
        <w:pStyle w:val="BodyText"/>
      </w:pPr>
      <w:r>
        <w:t xml:space="preserve">What this means, essentially, is that Manovich proposes a worldview where technology becomes the content, and thus, the form of art. As I will show further down this text, this statement stems from a technologically determined standpoint that dominated much of media theory in the second half of the 20th century (See</w:t>
      </w:r>
      <w:r>
        <w:t xml:space="preserve"> </w:t>
      </w:r>
      <w:hyperlink w:anchor="bodiless_information">
        <w:r>
          <w:rPr>
            <w:rStyle w:val="Hyperlink"/>
          </w:rPr>
          <w:t xml:space="preserve">4.1.2</w:t>
        </w:r>
      </w:hyperlink>
      <w:r>
        <w:t xml:space="preserve">). I describe an embodied approach where databases have an aesthetic agency that does not cancel that of the human. That is to say, it is not only narrative what gives meaning to databases, as is Weinbren’s point. Given the fact that both Manovich and Weinbren focus on visual arts, and thus base their discussion between database and narrative, I shift the focus from narrative to performance, arguing that it is performativity itself an agent of to database practices. Thus, by performing the database, that is, by the databaser engaging with the database tree (See</w:t>
      </w:r>
      <w:r>
        <w:t xml:space="preserve"> </w:t>
      </w:r>
      <w:hyperlink w:anchor="databasing">
        <w:r>
          <w:rPr>
            <w:rStyle w:val="Hyperlink"/>
          </w:rPr>
          <w:t xml:space="preserve">4.2.1</w:t>
        </w:r>
      </w:hyperlink>
      <w:r>
        <w:t xml:space="preserve">), the self of the database appears in resonance with the self of the databaser, in a process which informs the database of its meaning. Therefore, I consider the database to have meaning precisely through this resonating performativity between the human and the nonhuman.</w:t>
      </w:r>
    </w:p>
    <w:p>
      <w:pPr>
        <w:pStyle w:val="CaptionedFigure"/>
      </w:pPr>
      <w:bookmarkStart w:id="32" w:name="img:one-to-many"/>
      <w:r>
        <w:drawing>
          <wp:inline>
            <wp:extent cx="3060700" cy="3492500"/>
            <wp:effectExtent b="0" l="0" r="0" t="0"/>
            <wp:docPr descr="Top: syntagm, padarigm, and their relation. Bottom: narrative, database, and their reversed relation."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1"/>
                    <a:stretch>
                      <a:fillRect/>
                    </a:stretch>
                  </pic:blipFill>
                  <pic:spPr bwMode="auto">
                    <a:xfrm>
                      <a:off x="0" y="0"/>
                      <a:ext cx="3060700" cy="3492500"/>
                    </a:xfrm>
                    <a:prstGeom prst="rect">
                      <a:avLst/>
                    </a:prstGeom>
                    <a:noFill/>
                    <a:ln w="9525">
                      <a:noFill/>
                      <a:headEnd/>
                      <a:tailEnd/>
                    </a:ln>
                  </pic:spPr>
                </pic:pic>
              </a:graphicData>
            </a:graphic>
          </wp:inline>
        </w:drawing>
      </w:r>
      <w:bookmarkEnd w:id="32"/>
    </w:p>
    <w:p>
      <w:pPr>
        <w:pStyle w:val="ImageCaption"/>
      </w:pPr>
      <w:r>
        <w:t xml:space="preserve">Top: syntagm, padarigm, and their relation. Bottom: narrative, database, and their reversed relation.</w:t>
      </w:r>
    </w:p>
    <w:p>
      <w:pPr>
        <w:pStyle w:val="Heading4"/>
      </w:pPr>
      <w:bookmarkStart w:id="33" w:name="a-semiotic-trap"/>
      <w:r>
        <w:t xml:space="preserve">A semiotic trap</w:t>
      </w:r>
      <w:bookmarkEnd w:id="33"/>
    </w:p>
    <w:p>
      <w:pPr>
        <w:pStyle w:val="FirstParagraph"/>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w:t>
      </w:r>
      <w:r>
        <w:t xml:space="preserve"> </w:t>
      </w:r>
      <w:r>
        <w:t xml:space="preserve">(Barthes et al. 1968)</w:t>
      </w:r>
      <w:r>
        <w:t xml:space="preserve">, Manovich describes the paradigm as a relation subjected to substitution —because it depends on associations—, and the syntagm as a relation subjected to combination —beacuse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dependancy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 make within the specific context of the menu; the syntagm is the actual sequence of clicks that the user makes.</w:t>
      </w:r>
    </w:p>
    <w:p>
      <w:pPr>
        <w:pStyle w:val="BodyText"/>
      </w:pPr>
      <w:r>
        <w:t xml:space="preserve">Barthes’ reading of Saussure is mantained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On the other hand, the database is the paradigm, since it represents the set of elements to be selected by the user. However, what Manovich notes is a reversal in the materiality of these planes. In Manovich’s view, given the material presence (i.e., the storage) of the database, and given the ‘hyperlinked’ quality of the user interface, the database is materialised —i.e., it becomes explicit (present)— and narrative becomes dematerialised —i.e., it becomes implicit (absent). That is to say, since the narrative (more precisely, since traversing a database) requires a set of links —i.e., pointers which refer to addresses on the computer’s memory—, the syntagm is made implicit. For media theorist Alexander R. Galloway</w:t>
      </w:r>
      <w:r>
        <w:t xml:space="preserve"> </w:t>
      </w:r>
      <w:r>
        <w:t xml:space="preserve">(Galloway 2011)</w:t>
      </w:r>
      <w:r>
        <w:t xml:space="preserve">, the semiological reversal of syntagm and paradigm is one among several other positive aspects of Manovich’s text that have become “common parlance” in new media discourse throughout the years</w:t>
      </w:r>
      <w:r>
        <w:t xml:space="preserve"> </w:t>
      </w:r>
      <w:r>
        <w:t xml:space="preserve">(Galloway 2011, p. 379)</w:t>
      </w:r>
      <w:r>
        <w:t xml:space="preserve">.</w:t>
      </w:r>
    </w:p>
    <w:p>
      <w:pPr>
        <w:pStyle w:val="BodyText"/>
      </w:pPr>
      <w:r>
        <w:t xml:space="preserve">For example, consider the case of the typical timeline-view of a video editor.</w:t>
      </w:r>
      <w:hyperlink w:anchor="fn4">
        <w:r>
          <w:rPr>
            <w:vertAlign w:val="superscript"/>
            <w:rStyle w:val="Hyperlink"/>
          </w:rPr>
          <w:t xml:space="preserve">4</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5">
        <w:r>
          <w:rPr>
            <w:vertAlign w:val="superscript"/>
            <w:rStyle w:val="Hyperlink"/>
          </w:rPr>
          <w:t xml:space="preserve">5</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However, I would like to point to an inconsistency here, which would result in a revision of this reversal. I consider this reversal to valid, not on the grounds of what is material or not, but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Neither the pointers to the elements on disk, nor the stored data on the disk are material, because data is not material. This is the basis of the distinction between software and hardware, where hardware is the object —i.e., the memory card—, and software is the fluid-like status of the binary. Links or pointers have, for Manovich, a different (absent-like) status in relation to stored memory itself. This is because of a distinction between pointers and data on the basis of their use: pointers are of a different nature since they do not store data directly, but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Understanding them two as moving bodies, it follows that pointers are lighter and travel much faster than other data types, which are heavier and slower to move. However, data types are not moving bodies at all, and thinking of them as such would imply a disembodied conception of information. Therefore, instead of interlocking ourselves in this semiotic trap, this reversal can be understood in terms of the one-to-many relationship, which is one of the most interesting potentials of the database, namely, its ability to redefine interactivity in terms of a singularly traversed path by the databaser.</w:t>
      </w:r>
      <w:hyperlink w:anchor="fn6">
        <w:r>
          <w:rPr>
            <w:vertAlign w:val="superscript"/>
            <w:rStyle w:val="Hyperlink"/>
          </w:rPr>
          <w:t xml:space="preserve">6</w:t>
        </w:r>
      </w:hyperlink>
    </w:p>
    <w:p>
      <w:pPr>
        <w:pStyle w:val="Heading4"/>
      </w:pPr>
      <w:bookmarkStart w:id="34" w:name="X4226baa9c8ed651832811dde36bcba13152fcf4"/>
      <w:r>
        <w:t xml:space="preserve">Databasing: the performativity of the database</w:t>
      </w:r>
      <w:bookmarkEnd w:id="34"/>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w:t>
      </w:r>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bookmarkStart w:id="35" w:name="lst:manovich"/>
    <w:p>
      <w:pPr>
        <w:pStyle w:val="SourceCode"/>
      </w:pPr>
      <w:r>
        <w:rPr>
          <w:rStyle w:val="VerbatimChar"/>
        </w:rPr>
        <w:t xml:space="preserve">function 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35"/>
    <w:p>
      <w:pPr>
        <w:pStyle w:val="FirstParagraph"/>
      </w:pPr>
      <w:r>
        <w:t xml:space="preserve">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Code</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2007a)</w:t>
      </w:r>
      <w:r>
        <w:t xml:space="preserve"> </w:t>
      </w:r>
      <w:r>
        <w:t xml:space="preserve">argues that creating a memory bank is a means of testifying to our existence</w:t>
      </w:r>
      <w:r>
        <w:t xml:space="preserve"> </w:t>
      </w:r>
      <w:r>
        <w:t xml:space="preserve">(Vesna 2007a, p. 25)</w:t>
      </w:r>
      <w:r>
        <w:t xml:space="preserve">. As Weinbren</w:t>
      </w:r>
      <w:r>
        <w:t xml:space="preserve"> </w:t>
      </w:r>
      <w:r>
        <w:t xml:space="preserve">(Weinbren 2007)</w:t>
      </w:r>
      <w:r>
        <w:t xml:space="preserve"> </w:t>
      </w:r>
      <w:r>
        <w:t xml:space="preserve">describes it, the terminology within filmmaking appears to have changed to fit in database practices:</w:t>
      </w:r>
    </w:p>
    <w:p>
      <w:pPr>
        <w:pStyle w:val="BlockText"/>
      </w:pPr>
      <w:r>
        <w:t xml:space="preserve">The first step in working with a database is the collection and assembly of the data…Sorting determines the sequence of presentation…‘cutting,’ as ‘editing,’ loses its meaning, and ‘sorting,’ ‘assembling,’ and ‘mapping’ become more apt metaphors for the activity of composition.</w:t>
      </w:r>
      <w:r>
        <w:t xml:space="preserve"> </w:t>
      </w:r>
      <w:r>
        <w:t xml:space="preserve">(Weinbren 2007, p. 71)</w:t>
      </w:r>
    </w:p>
    <w:p>
      <w:pPr>
        <w:pStyle w:val="FirstParagraph"/>
      </w:pPr>
      <w:r>
        <w:t xml:space="preserve">Furthermore, as Vesna describes, the architectural aspect of database design has an effect on the type of navigation that they predetermine:</w:t>
      </w:r>
    </w:p>
    <w:p>
      <w:pPr>
        <w:pStyle w:val="BlockText"/>
      </w:pPr>
      <w:r>
        <w:t xml:space="preserve">How one moves through physical space…is very much determined by the way an architect has conceived it…When navigating through various software ‘containers’ and inputting our data, we are in effect following the established parameters of information architecture.</w:t>
      </w:r>
      <w:r>
        <w:t xml:space="preserve"> </w:t>
      </w:r>
      <w:r>
        <w:t xml:space="preserve">(Vesna 2007a, p. 28)</w:t>
      </w:r>
    </w:p>
    <w:p>
      <w:pPr>
        <w:pStyle w:val="FirstParagraph"/>
      </w:pPr>
      <w:r>
        <w:t xml:space="preserve">While Manovich calls for an “info-aesthetics”</w:t>
      </w:r>
      <w:r>
        <w:t xml:space="preserve"> </w:t>
      </w:r>
      <w:r>
        <w:t xml:space="preserve">(Manovich 2001, p. 217)</w:t>
      </w:r>
      <w:r>
        <w:t xml:space="preserve">, as well as a poetics, and ethics of the database, his technologically determined argument prevents him from developing such an aesthetics, because it is grounded upon a disembodied view of information. As I suggested earlier, neither Manovich nor the following generation of media artists and theorists</w:t>
      </w:r>
      <w:r>
        <w:t xml:space="preserve"> </w:t>
      </w:r>
      <w:r>
        <w:t xml:space="preserve">(Vesna 2007b)</w:t>
      </w:r>
      <w:r>
        <w:t xml:space="preserve">,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BodyText"/>
      </w:pPr>
      <w:r>
        <w:t xml:space="preserve">I agree that Manovich’s account of the language of new media is still valid, only to the extent that it is taken in hindsight as the outcome of the first wave of new media theorists. In this sense, I woud like to address briefly Galloway’s identification of Manovich’s most criticised aspect: the political. Galloway claims that Manovich’s “abdication of the political” in favor of a semiological incursion into software is rooted on a post-communist era intellectual danger on Manovich’s end when it comes to form, poetics and aesthetics. For Galloway, this means that any “critique of state-driven ideology” on Manovich’s end is thus placed on hold, which is what gives way to what Galloway calls this Manovich’s “dirty little secret”</w:t>
      </w:r>
      <w:r>
        <w:t xml:space="preserve"> </w:t>
      </w:r>
      <w:r>
        <w:t xml:space="preserve">(Galloway 2011, p. 379)</w:t>
      </w:r>
      <w:r>
        <w:t xml:space="preserve">: embracing the concept and industry of cinema wholly as the first new media and, thus, providing the necessary structure to sustain his argument (See</w:t>
      </w:r>
      <w:r>
        <w:t xml:space="preserve"> </w:t>
      </w:r>
      <w:hyperlink w:anchor="embodiment">
        <w:r>
          <w:rPr>
            <w:rStyle w:val="Hyperlink"/>
          </w:rPr>
          <w:t xml:space="preserve">4.1.3</w:t>
        </w:r>
      </w:hyperlink>
      <w:r>
        <w:t xml:space="preserve">).</w:t>
      </w:r>
    </w:p>
    <w:p>
      <w:pPr>
        <w:pStyle w:val="BodyText"/>
      </w:pPr>
      <w:r>
        <w:t xml:space="preserve">However informative Galloway’s revision of Manovich’s text is, even after ten years of its publication, Galloway still presents hints of sympathetic approval of Manovich’s disembodied stance. This is better exemplified in the way Galloway defines the notion of open source development. For him, open source is a “communicative artifice”</w:t>
      </w:r>
      <w:r>
        <w:t xml:space="preserve"> </w:t>
      </w:r>
      <w:r>
        <w:t xml:space="preserve">(Galloway 2011, p. 383)</w:t>
      </w:r>
      <w:r>
        <w:t xml:space="preserve"> </w:t>
      </w:r>
      <w:r>
        <w:t xml:space="preserve">which can be identified with a neoliberal impulse he calls the “California ideology”</w:t>
      </w:r>
      <w:r>
        <w:t xml:space="preserve"> </w:t>
      </w:r>
      <w:r>
        <w:t xml:space="preserve">(Galloway 2011, p. 377)</w:t>
      </w:r>
      <w:r>
        <w:t xml:space="preserve">. What this ideology consist of is the liberation of mankind, which he traces to the social movements of the 1960s. Galloway draws a teleology of freedom that starts from liberating capital, desire, and finally information itself. Following Shannon-Weaver’s (disembodied) notion of information (See</w:t>
      </w:r>
      <w:r>
        <w:t xml:space="preserve"> </w:t>
      </w:r>
      <w:hyperlink w:anchor="bodiless_information">
        <w:r>
          <w:rPr>
            <w:rStyle w:val="Hyperlink"/>
          </w:rPr>
          <w:t xml:space="preserve">4.1.2</w:t>
        </w:r>
      </w:hyperlink>
      <w:r>
        <w:t xml:space="preserve">), he writes: “information wants to be free”</w:t>
      </w:r>
      <w:r>
        <w:t xml:space="preserve"> </w:t>
      </w:r>
      <w:r>
        <w:t xml:space="preserve">(Galloway 2011, p. 378)</w:t>
      </w:r>
      <w:r>
        <w:t xml:space="preserve">. Within this understanding of open source development, it makes sense for Galloway to equate open source culture with “the freedom to connect to technical images”</w:t>
      </w:r>
      <w:r>
        <w:t xml:space="preserve"> </w:t>
      </w:r>
      <w:r>
        <w:t xml:space="preserve">(Galloway 2011, p. 383)</w:t>
      </w:r>
      <w:r>
        <w:t xml:space="preserve">. Therefore, by considering it a “migration into a new way of structuring information and material resources”</w:t>
      </w:r>
      <w:r>
        <w:t xml:space="preserve"> </w:t>
      </w:r>
      <w:r>
        <w:t xml:space="preserve">(Galloway 2011, p. 384)</w:t>
      </w:r>
      <w:r>
        <w:t xml:space="preserve"> </w:t>
      </w:r>
      <w:r>
        <w:t xml:space="preserve">and, in thinking this way, by reducing it to yet another communication system, Galloway strips meaning out of open source culture. The posthuman consequence of this semantic void in Galloway’s open source is, naturally, what media theorist Mark B. N. Hansen would call the Kittlerian optoelectronic view of the world (See</w:t>
      </w:r>
      <w:r>
        <w:t xml:space="preserve"> </w:t>
      </w:r>
      <w:hyperlink w:anchor="convergence_and_framing">
        <w:r>
          <w:rPr>
            <w:rStyle w:val="Hyperlink"/>
          </w:rPr>
          <w:t xml:space="preserve">4.1.4</w:t>
        </w:r>
      </w:hyperlink>
      <w:r>
        <w:t xml:space="preserve">). In this view, and as we will see with media theorist N. Katherine Hayles’ account in the following section, information no longer needs the human or, rather, the human itself is a residual and dependent variable of the evolution of an overarching information system.</w:t>
      </w:r>
    </w:p>
    <w:p>
      <w:pPr>
        <w:pStyle w:val="BodyText"/>
      </w:pPr>
      <w:r>
        <w:t xml:space="preserve">However nightmarish they might seem under Galloway’s description, I would not go as far as considering the openness of open source communities as a dream, echoing Hayles’ dream of the posthuman (See</w:t>
      </w:r>
      <w:r>
        <w:t xml:space="preserve"> </w:t>
      </w:r>
      <w:hyperlink w:anchor="bodiless_information">
        <w:r>
          <w:rPr>
            <w:rStyle w:val="Hyperlink"/>
          </w:rPr>
          <w:t xml:space="preserve">4.1.2</w:t>
        </w:r>
      </w:hyperlink>
      <w:r>
        <w:t xml:space="preserve">). Attuned to the dynamics of socio-economic contexts, hierarchies of skill and human relations, therefore, open-source software development carries similar tensions as in any collaborative system, where shadows of hierarchy still are projected upon the listening space</w:t>
      </w:r>
      <w:r>
        <w:t xml:space="preserve"> </w:t>
      </w:r>
      <w:r>
        <w:t xml:space="preserve">(Graham &amp; Cook 2010, p. 117)</w:t>
      </w:r>
      <w:r>
        <w:t xml:space="preserve">. These shadows will be understood in the following chapter as coming from a particular drive embedded in the written aspect of the source code (See</w:t>
      </w:r>
      <w:r>
        <w:t xml:space="preserve"> </w:t>
      </w:r>
      <w:hyperlink w:anchor="chapter:Database_Aesthetics">
        <w:r>
          <w:rPr>
            <w:rStyle w:val="Hyperlink"/>
          </w:rPr>
          <w:t xml:space="preserve">5</w:t>
        </w:r>
      </w:hyperlink>
      <w:r>
        <w:t xml:space="preserve">). Nonetheless, without leaving the sphere of what Jaime Oliver calls “unconscious collaborations”</w:t>
      </w:r>
      <w:r>
        <w:t xml:space="preserve"> </w:t>
      </w:r>
      <w:r>
        <w:t xml:space="preserve">(Oliver La Rosa 2012, p. 61)</w:t>
      </w:r>
      <w:r>
        <w:t xml:space="preserve">, I would propose to think of open source communities as a state in between being awake and being asleep, a hypnagogic threshold that is neither opaque nor transparent, but of resonant creativity. One of the tangents that this disseration aims to approach is that through open source communities there exist new ways to understand posthuman agency. In this sense, I think of the open source community as a resonant node that connects the human and the nonhuman.</w:t>
      </w:r>
    </w:p>
    <w:p>
      <w:pPr>
        <w:pStyle w:val="BodyText"/>
      </w:pPr>
      <w:r>
        <w:t xml:space="preserve">I would like to place this discussion of the open source community on hold for now, so as to understand where Manovich and his followers fall short in their analysis of new media, and to prepare the grounds for an application of the concepts of database and embodiment in the world of digital sound practices, I draw first on Hayles’ embodied criticism to the dominant theories of information and cybernetics in the literary world; and second, on Hansen’s expansion of this criticism to include the body, image, and affect in new media theory.</w:t>
      </w:r>
    </w:p>
    <w:p>
      <w:pPr>
        <w:pStyle w:val="Heading3"/>
      </w:pPr>
      <w:bookmarkStart w:id="36" w:name="bodiless_information"/>
      <w:r>
        <w:t xml:space="preserve">Hayles: bodiless information</w:t>
      </w:r>
      <w:bookmarkEnd w:id="36"/>
    </w:p>
    <w:p>
      <w:pPr>
        <w:pStyle w:val="FirstParagraph"/>
      </w:pPr>
      <w:r>
        <w:t xml:space="preserve">In</w:t>
      </w:r>
      <w:r>
        <w:t xml:space="preserve"> </w:t>
      </w:r>
      <w:r>
        <w:rPr>
          <w:i/>
        </w:rPr>
        <w:t xml:space="preserve">How We Became Posthuman</w:t>
      </w:r>
      <w:r>
        <w:t xml:space="preserve">, media theorist N. Katherine Hayles</w:t>
      </w:r>
      <w:r>
        <w:t xml:space="preserve"> </w:t>
      </w:r>
      <w:r>
        <w:t xml:space="preserve">(Hayles 1999)</w:t>
      </w:r>
      <w:r>
        <w:t xml:space="preserve"> </w:t>
      </w:r>
      <w:r>
        <w:t xml:space="preserve">unearths the theoretical context upon which the posthuman has been constructed throughout the 20th century: cybernetics. She identifies three waves of cybernetics, each governed by different concepts</w:t>
      </w:r>
      <w:hyperlink w:anchor="fn7">
        <w:r>
          <w:rPr>
            <w:vertAlign w:val="superscript"/>
            <w:rStyle w:val="Hyperlink"/>
          </w:rPr>
          <w:t xml:space="preserve">7</w:t>
        </w:r>
      </w:hyperlink>
      <w:r>
        <w:t xml:space="preserve"> </w:t>
      </w:r>
      <w:r>
        <w:t xml:space="preserve">which help build the structures</w:t>
      </w:r>
      <w:hyperlink w:anchor="fn8">
        <w:r>
          <w:rPr>
            <w:vertAlign w:val="superscript"/>
            <w:rStyle w:val="Hyperlink"/>
          </w:rPr>
          <w:t xml:space="preserve">8</w:t>
        </w:r>
      </w:hyperlink>
      <w:r>
        <w:t xml:space="preserve"> </w:t>
      </w:r>
      <w:r>
        <w:t xml:space="preserve">that undergirded the technologically determined and disembodied literature that was in vogue in the 1990s.</w:t>
      </w:r>
    </w:p>
    <w:p>
      <w:pPr>
        <w:pStyle w:val="BodyText"/>
      </w:pPr>
      <w:r>
        <w:t xml:space="preserve">Hayles draws four points of interest in which the argument for an embodied criticism of the posthuman can be focalized: the privilege of information pattern over material instantiation; the consideration of (Western) consciousness as an epiphenomenon secondary to the evolution of information; the notion of the body as prosthesis; and, thus, the derived premise that the human can be articulated by means of intelligent machines</w:t>
      </w:r>
      <w:r>
        <w:t xml:space="preserve"> </w:t>
      </w:r>
      <w:r>
        <w:t xml:space="preserve">(Hayles 1999, pp. 17–18)</w:t>
      </w:r>
      <w:r>
        <w:t xml:space="preserve">. Most interestingly, she argues that all of these waves of cybernetics are possible and derive from mathematician Claude Shannon’s formal definition of information as “a probability function with no dimensions, no materiality, and no necessary connection with meaning”</w:t>
      </w:r>
      <w:r>
        <w:t xml:space="preserve"> </w:t>
      </w:r>
      <w:r>
        <w:t xml:space="preserve">(Hayles 1999, p. 18)</w:t>
      </w:r>
      <w:r>
        <w:t xml:space="preserve">. Shannon thus construes information as a signal that needs to be encoded, decoded, and isolated from noise and therefore, information is understood as an immaterial pattern over randomness</w:t>
      </w:r>
      <w:r>
        <w:t xml:space="preserve"> </w:t>
      </w:r>
      <w:r>
        <w:t xml:space="preserve">(Hayles 1999, p. 33)</w:t>
      </w:r>
      <w:r>
        <w:t xml:space="preserve">. Hayles sees this view of information more important than material forms as a consequence of a technologically determined condition of virtuality that needs to be reconceptualized:</w:t>
      </w:r>
    </w:p>
    <w:p>
      <w:pPr>
        <w:pStyle w:val="BlockText"/>
      </w:pPr>
      <w:r>
        <w:t xml:space="preserve">By turning the technological determinism</w:t>
      </w:r>
      <w:hyperlink w:anchor="fn9">
        <w:r>
          <w:rPr>
            <w:vertAlign w:val="superscript"/>
            <w:rStyle w:val="Hyperlink"/>
          </w:rPr>
          <w:t xml:space="preserve">9</w:t>
        </w:r>
      </w:hyperlink>
      <w:r>
        <w:t xml:space="preserve"> </w:t>
      </w:r>
      <w:r>
        <w:t xml:space="preserve">of bodiless information [first-wave cybernetics], the cyborg [second-wave cybernetics], and the posthuman [third-wave cybernetics] into narratives about the negotiations that took place between particular people at particular times and places, I hope to replace a teleology of disembodiment with historically contingent stories…the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By reconfiguring the concepts of body, consciousness, and technology as inherent to (post-) human life, Hayles argues for the impossibility of artificial intelligence to serve as a proxy for the human:</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 While her work is focused on the literary narratives that were built in parallel with cybernetics, she leaves incursions in new media theory for other media theorists. This is where Mark B. N. Hansen comes in.</w:t>
      </w:r>
    </w:p>
    <w:p>
      <w:pPr>
        <w:pStyle w:val="Heading3"/>
      </w:pPr>
      <w:bookmarkStart w:id="37" w:name="embodiment"/>
      <w:r>
        <w:t xml:space="preserve">Hansen: embodying databasing</w:t>
      </w:r>
      <w:bookmarkEnd w:id="37"/>
    </w:p>
    <w:p>
      <w:pPr>
        <w:pStyle w:val="FirstParagraph"/>
      </w:pPr>
      <w:r>
        <w:t xml:space="preserve">Traversing a database with an interface represents a Manovich’s reconceptualization of narrative in the visual art and in the gaming world of the late 1990s. Narrative thusly interlocks with the interface itself, and results on the conception of the interface-as-arwork. As I describe above (See</w:t>
      </w:r>
      <w:r>
        <w:t xml:space="preserve"> </w:t>
      </w:r>
      <w:hyperlink w:anchor="new_media">
        <w:r>
          <w:rPr>
            <w:rStyle w:val="Hyperlink"/>
          </w:rPr>
          <w:t xml:space="preserve">4.1.1</w:t>
        </w:r>
      </w:hyperlink>
      <w:r>
        <w:t xml:space="preserve">), Manovich arrives at this notion of the interface-as-artwork by opposing database and narrative on the semiotic grounds of the reversal of the paradigm and syntagm. I consider this to be a semiotic trap only possible by the identification of data with information.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ovelooked. Hansen locates the source of this disembodied conception in Manovich’s implicit —but nonetheless evident— premise of the overarching dominance of cinema in contemporary culture.</w:t>
      </w:r>
      <w:hyperlink w:anchor="fn10">
        <w:r>
          <w:rPr>
            <w:vertAlign w:val="superscript"/>
            <w:rStyle w:val="Hyperlink"/>
          </w:rPr>
          <w:t xml:space="preserve">10</w:t>
        </w:r>
      </w:hyperlink>
      <w:r>
        <w:t xml:space="preserve"> </w:t>
      </w:r>
      <w:r>
        <w:t xml:space="preserve">For Hansen, this assumption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For instance, this standadrization can be seen on image —i.e., dimensions, frames per second, aspect ratio— and audio —i.e., bit depth, sampling rate, number of channels— resolution. In this sense, the movie-goer and by extension, the listener became industrial by-products, determined by the massively produced electronic devices used for recording and playing. The technological devices driven by industrial forces largely conditioned the aesthetics of cinema. Seen under the light, ‘database form’ should be to the computer industry what cinema is to the assembly line. In other words, on an aesthetic level, while mass-standardization and reproducibility of media —the “logic of the factory”</w:t>
      </w:r>
      <w:r>
        <w:t xml:space="preserve"> </w:t>
      </w:r>
      <w:r>
        <w:t xml:space="preserve">(Manovich 2001, p. 30)</w:t>
      </w:r>
      <w:r>
        <w:t xml:space="preserve">—, shapes the cinema form, post-industrial society and its logic of individual customization, shapes the database form. For Manovich, as we have seen, the logic of new media is no longer that of the ‘factory,’ but that of the interface. And this is due to the internal role of the database. Through the interface to a database, the user is given access to multiplicities of narrative, and thusly, to endless information. The user is granted the power of the database, making in Manovich’s eyes the database an icon of postmodern art.</w:t>
      </w:r>
    </w:p>
    <w:p>
      <w:pPr>
        <w:pStyle w:val="BodyText"/>
      </w:pPr>
      <w:r>
        <w:t xml:space="preserve">Hansen suggests that, for Manovich, the user of new media assumes the passive position of a traditional cinema audience. In opposition to this passivity of the body, and following Hayles’ embodied view of informatics (See</w:t>
      </w:r>
      <w:r>
        <w:t xml:space="preserve"> </w:t>
      </w:r>
      <w:hyperlink w:anchor="bodiless_information">
        <w:r>
          <w:rPr>
            <w:rStyle w:val="Hyperlink"/>
          </w:rPr>
          <w:t xml:space="preserve">4.1.2</w:t>
        </w:r>
      </w:hyperlink>
      <w:r>
        <w:t xml:space="preserve">),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BodyText"/>
      </w:pPr>
      <w:r>
        <w:t xml:space="preserve">Before addressing these creative capacities of databasing —with what Hansen would call ‘framing’—, I would like to expose a silent allegiance on Manovich’s end with german media theorist Friedrich Kittler; an allegiange that would provide a name for this technologically determined anxiety of the obsolescence of the human.</w:t>
      </w:r>
    </w:p>
    <w:p>
      <w:pPr>
        <w:pStyle w:val="Heading3"/>
      </w:pPr>
      <w:bookmarkStart w:id="38" w:name="convergence_and_framing"/>
      <w:r>
        <w:t xml:space="preserve">Kittler’s convergence and Hansen’s framing</w:t>
      </w:r>
      <w:bookmarkEnd w:id="38"/>
    </w:p>
    <w:p>
      <w:pPr>
        <w:pStyle w:val="Heading4"/>
      </w:pPr>
      <w:bookmarkStart w:id="39" w:name="kittlers-digital-convergence"/>
      <w:r>
        <w:t xml:space="preserve">Kittler’s digital convergence</w:t>
      </w:r>
      <w:bookmarkEnd w:id="39"/>
    </w:p>
    <w:p>
      <w:pPr>
        <w:pStyle w:val="FirstParagraph"/>
      </w:pPr>
      <w:r>
        <w:t xml:space="preserve">I find that Manovich’s silent allegiance with german media theorist Friedrich Kittler stemms from the latter’s concept of digital convergence. This convergence indicates that the (human) bodily resonance of media becomes obsolete in the face of absolute digital information storage. Thusly, digital convergence results in the human as a “dependent variable”</w:t>
      </w:r>
      <w:r>
        <w:t xml:space="preserve"> </w:t>
      </w:r>
      <w:r>
        <w:t xml:space="preserve">(Hansen 2002, p. 59)</w:t>
      </w:r>
      <w:r>
        <w:t xml:space="preserve">:</w:t>
      </w:r>
    </w:p>
    <w:p>
      <w:pPr>
        <w:pStyle w:val="BlockText"/>
      </w:pPr>
      <w:r>
        <w:t xml:space="preserve">Whether it is the celluloid inscriptions of film, or the plastic inscriptions of phonography, or the discrete impressions of typewriting, media function as</w:t>
      </w:r>
      <w:r>
        <w:t xml:space="preserve"> </w:t>
      </w:r>
      <w:r>
        <w:rPr>
          <w:i/>
        </w:rPr>
        <w:t xml:space="preserve">databases from which bodies are constructed</w:t>
      </w:r>
      <w:r>
        <w:t xml:space="preserve">, and the thresholds governing their capacities for registration continue to be set, however indirectly, by the limits of (human) sense perception (Kittler quoted in. [emphasis added]</w:t>
      </w:r>
      <w:r>
        <w:t xml:space="preserve">(Hansen 2002, p. 62)</w:t>
      </w:r>
      <w:r>
        <w:t xml:space="preserve">)</w:t>
      </w:r>
    </w:p>
    <w:p>
      <w:pPr>
        <w:pStyle w:val="FirstParagraph"/>
      </w:pPr>
      <w:r>
        <w:t xml:space="preserve">What is important to note here is the role of the database. On the one hand, in the case of physical (‘old’) media, the database is the place from which a body is constructed. That is to say, the human body is directly shaped by media, but only to the extent of its perceptual capacities. Therefore, the limit of this ‘shaping’ of the body is set by the perceptual limits, and the human body becomes a by-product. On the other hand, in the case of digital (‘new’) media, the digital convergence in an “absolute system of information”</w:t>
      </w:r>
      <w:r>
        <w:t xml:space="preserve"> </w:t>
      </w:r>
      <w:r>
        <w:t xml:space="preserve">(Hansen 2002, p. 63)</w:t>
      </w:r>
      <w:r>
        <w:t xml:space="preserve"> </w:t>
      </w:r>
      <w:r>
        <w:t xml:space="preserve">removes this bodily limit of perception, making the human body a residual product. Therefore, from by-product to residual product, Kittler’s technological determinism acquires a different connotation: what is central and determinant in Kittler’s view is, therefore, the economic interest of capitalist institutions. Because these institutions control the development of technology, they dominate the consumer, and this is why, for Kittler, digital technology cannot be separated from history, or military planning. The following passage reflects the extent to which Kittler’s thesis is essentially grounded the critics of the Culture Industry:</w:t>
      </w:r>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but that, as Kittler argues most forcefully in his consideration of computer software, serves as a diversion to keep us ignorant of the operative level at which information, and hence reality, is programmed.</w:t>
      </w:r>
      <w:r>
        <w:t xml:space="preserve"> </w:t>
      </w:r>
      <w:r>
        <w:t xml:space="preserve">(Hansen 2002, p. 59)</w:t>
      </w:r>
    </w:p>
    <w:p>
      <w:pPr>
        <w:pStyle w:val="FirstParagraph"/>
      </w:pPr>
      <w:r>
        <w:t xml:space="preserve">In order to contest Kittler’s digital convergence, Hansen, following Hayles, thus explores the extent to which Kittler’s theory is grounded on the dominant strand of cybernetics and Shannon’s mathematical theory of information</w:t>
      </w:r>
      <w:r>
        <w:t xml:space="preserve"> </w:t>
      </w:r>
      <w:r>
        <w:t xml:space="preserve">(Hansen 2002, p. 63)</w:t>
      </w:r>
      <w:r>
        <w:t xml:space="preserve">. Therefore, Hansen’s goal is not only to demarcate the contingent nature upon which Kittler’s thesis is built, but also to provide insight into parallel theories of information —especially British physicist Donald M. MacKay’s— that would re-embody Kittler’s posthumanism.</w:t>
      </w:r>
      <w:hyperlink w:anchor="fn11">
        <w:r>
          <w:rPr>
            <w:vertAlign w:val="superscript"/>
            <w:rStyle w:val="Hyperlink"/>
          </w:rPr>
          <w:t xml:space="preserve">11</w:t>
        </w:r>
      </w:hyperlink>
    </w:p>
    <w:p>
      <w:pPr>
        <w:pStyle w:val="Heading4"/>
      </w:pPr>
      <w:bookmarkStart w:id="40" w:name="framing-resonance-of-the-receiver"/>
      <w:r>
        <w:t xml:space="preserve">Framing: resonance of the receiver</w:t>
      </w:r>
      <w:bookmarkEnd w:id="40"/>
    </w:p>
    <w:p>
      <w:pPr>
        <w:pStyle w:val="FirstParagraph"/>
      </w:pPr>
      <w:r>
        <w:t xml:space="preserve">For Hansen, MacKay’s argument works against the separation of information and meaning, and it is grounded on a notion of “framing.” Hansen describes that the</w:t>
      </w:r>
    </w:p>
    <w:p>
      <w:pPr>
        <w:pStyle w:val="BlockText"/>
      </w:pPr>
      <w:r>
        <w:t xml:space="preserve">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Therefore, 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BodyText"/>
      </w:pPr>
      <w:r>
        <w:t xml:space="preserve">What the interface means in this context, however, is a way for the human to ‘request’ some data out of a database. The interface itself may be of any shape, and nowadays there are conferences such as</w:t>
      </w:r>
      <w:r>
        <w:t xml:space="preserve"> </w:t>
      </w:r>
      <w:r>
        <w:t xml:space="preserve">nime</w:t>
      </w:r>
      <w:r>
        <w:t xml:space="preserve"> </w:t>
      </w:r>
      <w:r>
        <w:t xml:space="preserve">dedicated to the creation of interfaces for music. A simple example of the relationship between framing and interface can be pictured as follows. By typing the command</w:t>
      </w:r>
      <w:r>
        <w:t xml:space="preserve"> </w:t>
      </w:r>
      <w:r>
        <w:rPr>
          <w:rStyle w:val="VerbatimChar"/>
        </w:rPr>
        <w:t xml:space="preserve">ls</w:t>
      </w:r>
      <w:r>
        <w:t xml:space="preserve"> </w:t>
      </w:r>
      <w:r>
        <w:t xml:space="preserve">or</w:t>
      </w:r>
      <w:r>
        <w:t xml:space="preserve"> </w:t>
      </w:r>
      <w:r>
        <w:rPr>
          <w:rStyle w:val="VerbatimChar"/>
        </w:rPr>
        <w:t xml:space="preserve">DIR</w:t>
      </w:r>
      <w:r>
        <w:t xml:space="preserve"> </w:t>
      </w:r>
      <w:r>
        <w:t xml:space="preserve">on a computer terminal, the user is returned a list of all items residing in the terminal’s current directory. How can the framing function take place here? The returned list of files and directory names needs to be ‘figured out.’ However, the simplicity of the input (and of the output) is matched by the difficulty of its interpretation. In order for the command to be meaningful, the user has to incorporate the image returned by the computer, so as to actively ‘get’ the list as information, or to ‘make something out of’ it. Therefore, with this creative act of framing begins a relationship between the human and the computer, consisting on a translation of the computer’s directory tree that is referenced to as a list into the user’s memory. In this sense, the way files are stored inside the computer is given form in the human memory, that is, the database is subjected to databasing.</w:t>
      </w:r>
    </w:p>
    <w:p>
      <w:pPr>
        <w:pStyle w:val="BodyText"/>
      </w:pPr>
      <w:r>
        <w:t xml:space="preserve">Before delving into the interconnections that exist between the concepts of databasing and memory, however, a few more words on the development and theorizations of database practices need to be mentioned. Specially, the work of the later generation artists and theorists drawing from Manovich’s understanding of new media.</w:t>
      </w:r>
    </w:p>
    <w:p>
      <w:pPr>
        <w:pStyle w:val="Heading3"/>
      </w:pPr>
      <w:bookmarkStart w:id="41" w:name="database_aesthetics"/>
      <w:r>
        <w:t xml:space="preserve">From database form to database aesthetics</w:t>
      </w:r>
      <w:bookmarkEnd w:id="41"/>
    </w:p>
    <w:p>
      <w:pPr>
        <w:pStyle w:val="FirstParagraph"/>
      </w:pPr>
      <w:r>
        <w:t xml:space="preserve">Digital art practices in general, and internet art in particular, have reshaped the way art is being produced. As Manovich had reflected of the art in the 1990s, and even more prominently through the 2000s with the increasing presence of personal computers at lower prices, data access has become an artistically fruitful concept. In this sense, and Manovich has expressed this on numerous ocasions, the internet is a place of unlimited access, or a database in continuous and exponential growth, which reconfigures the grounds on which art has traditionally been built on. An example of these reconfigurations in art is the case of media artist Sharon Daniel and her collaborative approach. Drawing intensively from Katherine Hayles’ posthumanist critique, Daniel raises questions about authority and politics in collaborative art, and particularly, in database art</w:t>
      </w:r>
      <w:r>
        <w:t xml:space="preserve"> </w:t>
      </w:r>
      <w:r>
        <w:t xml:space="preserve">(Daniel 2007, p. 177)</w:t>
      </w:r>
      <w:r>
        <w:t xml:space="preserve">.</w:t>
      </w:r>
    </w:p>
    <w:p>
      <w:pPr>
        <w:pStyle w:val="BodyText"/>
      </w:pPr>
      <w:r>
        <w:t xml:space="preserve">Two aspects of Daniels’ work will be commented on here: her association of data with the social sphere, and her concept of mapping.</w:t>
      </w:r>
    </w:p>
    <w:p>
      <w:pPr>
        <w:pStyle w:val="BodyText"/>
      </w:pPr>
      <w:r>
        <w:t xml:space="preserve">For Daniels, algorithms such as cellular automata constitute “models for rethinking representation and authorship”</w:t>
      </w:r>
      <w:r>
        <w:t xml:space="preserve"> </w:t>
      </w:r>
      <w:r>
        <w:t xml:space="preserve">(Daniel 2007, p. 146)</w:t>
      </w:r>
      <w:r>
        <w:t xml:space="preserve">. Since cellular automata are systems that reveal emergent (global) behavior from very simple rules set on the local level. This means that given a large set of automata, each automaton changes states in time according to its surrounding automata, resulting on a grand motion on the macro level that cannot be easily predicted from the predicates of the system itself. As a consequence, the social metaphor assigned to cellular automata is a reconfigured hierarchy that is not governed from the top to the bottom, but from the bottom-up. This, for Daniels, is an example of an expanded conception of authorship that precludes any top-down decision on the system —i.e., removes the idea of authority itself—, and instead enables a concept of “cultural democracy,” which Daniels links to an aesthetics of dignity</w:t>
      </w:r>
      <w:r>
        <w:t xml:space="preserve"> </w:t>
      </w:r>
      <w:r>
        <w:t xml:space="preserve">(Daniel 2007, p. 159)</w:t>
      </w:r>
      <w:r>
        <w:t xml:space="preserve">. Brought to collaborative multimedia art where participants engage with the work itself at every stage, changing and determining the future states of the artwork, this concept of democracy is held against possible harmful uses of database practices that would continue with an imperialist —i.e., top-down— line of cultural domination and subordination.</w:t>
      </w:r>
    </w:p>
    <w:p>
      <w:pPr>
        <w:pStyle w:val="BodyText"/>
      </w:pPr>
      <w:r>
        <w:t xml:space="preserve">From a different perspective, writer Norman Klein</w:t>
      </w:r>
      <w:r>
        <w:t xml:space="preserve"> </w:t>
      </w:r>
      <w:r>
        <w:t xml:space="preserve">(Klein 2007)</w:t>
      </w:r>
      <w:r>
        <w:t xml:space="preserve"> </w:t>
      </w:r>
      <w:r>
        <w:t xml:space="preserve">notes a shift in the role of the database narrative reader. He argues that since the reader gets immersed in data, “the reader evolves pleasantly into the author ”</w:t>
      </w:r>
      <w:r>
        <w:t xml:space="preserve"> </w:t>
      </w:r>
      <w:r>
        <w:t xml:space="preserve">(Klein 2007, p. 93)</w:t>
      </w:r>
      <w:r>
        <w:t xml:space="preserve">.</w:t>
      </w:r>
      <w:hyperlink w:anchor="fn12">
        <w:r>
          <w:rPr>
            <w:vertAlign w:val="superscript"/>
            <w:rStyle w:val="Hyperlink"/>
          </w:rPr>
          <w:t xml:space="preserve">12</w:t>
        </w:r>
      </w:hyperlink>
      <w:r>
        <w:t xml:space="preserve"> </w:t>
      </w:r>
      <w:r>
        <w:t xml:space="preserve">However, he immediately takes this back: “finally, instead of an ending, the reader imagines herself about to start writing”</w:t>
      </w:r>
      <w:r>
        <w:t xml:space="preserve"> </w:t>
      </w:r>
      <w:r>
        <w:t xml:space="preserve">(Klein 2007, p. 93)</w:t>
      </w:r>
      <w:r>
        <w:t xml:space="preserve">. In contrast to Daniel’s logic of a decentralized bottom-up concept of authority, Klein’s argument leads to the conclusion that with the imposition of database logic to artworks both roles of the reader/participant and the writer/author fade into each other and vanish. On one hand, the reader turns into the author as the data-driven narrative unfolds by gradually replacing the passivity of the figure of the reader with the activity of database navigation —which comes to represent the action of the writer. On the other hand, since there is no actual writing —only the imagination of the beginning of writing—, the database comes to trump writing itself.</w:t>
      </w:r>
    </w:p>
    <w:p>
      <w:pPr>
        <w:pStyle w:val="BodyText"/>
      </w:pPr>
      <w:r>
        <w:t xml:space="preserve">Under this reader- and writer-less scenario, the database is the sole aesthetic agent to which the human is subjected. I argue that the technological determinism that is still at play here can be disarticulated by simply reconfiguring the notion of writing with databases, as yet another aspect of database performance. Klein fails to develop his writing metaphor because it is grounded in the same Manovichian fallacy of the image-interface that Hansen noted.</w:t>
      </w:r>
      <w:hyperlink w:anchor="fn13">
        <w:r>
          <w:rPr>
            <w:vertAlign w:val="superscript"/>
            <w:rStyle w:val="Hyperlink"/>
          </w:rPr>
          <w:t xml:space="preserve">13</w:t>
        </w:r>
      </w:hyperlink>
      <w:r>
        <w:t xml:space="preserve"> </w:t>
      </w:r>
      <w:r>
        <w:t xml:space="preserve">If Hansen is correct in defining the image as a process which in-forms information, then Klein’s reader would be not a passive cog in the database logic, but an active agent in its unfolding. In this way, the reader’s role does not evolve into the author’s: there is a co-evolution of the notion of writing with the database technology.</w:t>
      </w:r>
    </w:p>
    <w:p>
      <w:pPr>
        <w:pStyle w:val="BodyText"/>
      </w:pPr>
      <w:r>
        <w:t xml:space="preserve">On her account of mapping as a form of intersubjective communication, Daniels describes the cybernetic bug Hansen had found in Manovichs’ text: the difference between data and information. As Hayles and Hansen remark, information needs to be embodied (in-formed, given form). Daniel begins her text with the definition of the latin word “data” in singular: “datum: something given”</w:t>
      </w:r>
      <w:r>
        <w:t xml:space="preserve"> </w:t>
      </w:r>
      <w:r>
        <w:t xml:space="preserve">(Daniel 2007, p. 177)</w:t>
      </w:r>
      <w:r>
        <w:t xml:space="preserve">. Extending this definition to information equates to a reductionist view of information as a bodiless fluid going from sender to receiver. Understanding data as information isolates the human as a residual element in the circuit —as in Kittler’s view. This technologically determined anxiety is present in two authors who refer to new media as visualizations: Norman Klein</w:t>
      </w:r>
      <w:r>
        <w:t xml:space="preserve"> </w:t>
      </w:r>
      <w:r>
        <w:t xml:space="preserve">(Klein 2007, p. 99)</w:t>
      </w:r>
      <w:r>
        <w:t xml:space="preserve"> </w:t>
      </w:r>
      <w:r>
        <w:t xml:space="preserve">and curator Christiane Paul</w:t>
      </w:r>
      <w:r>
        <w:t xml:space="preserve"> </w:t>
      </w:r>
      <w:r>
        <w:t xml:space="preserve">(Paul 2007, p. 99)</w:t>
      </w:r>
      <w:r>
        <w:t xml:space="preserve"> </w:t>
      </w:r>
      <w:r>
        <w:t xml:space="preserve">both equate new media with data visualization. Such an extremist view of new media suffers from identifying the “new” in new media with the “digital” on the one hand, and with “visual” media on the other, and it is built upon the Manovichian anxiety that led him to convey the image-interface relationship that precludes the creative agency of the human body in the process of information. To the contrary, in Daniel’s description of mapping, a plurality of givens is given form (mapped) visually. Thus, intersubjective communication, for Daniel, involves two (human) subjects faced with visualized data. While mapping is an agent in the formation of data, it is yet another stage in the process of information itself, one that engages with the relation in between body and data. Therefore, the actual center where information takes place in any process of communication is itself the body. This is also evident in the etimology of the word ‘data’ that Daniels points to. The word ‘datum’ —from its latin roots— is itself the past participle of the verb ‘to give.’ The plural nown ‘data’ is therefore the condensed result of a previous action of giving. Thus, nothing can be data unless it is given. However, what constitutes the ‘giving’ in this context? Simply put, data is first something not ‘given’ but necessarily ‘taken’ from the world; only after it was indeed taken, it becomes that which was given from the world. In this reversal, what makes things even more complicated is the concept of ‘getting.’ To get something means to understand or incorporate something. Therefore, when one ‘gets’ data, one is informing it, that is, creating the necessary virtuality for information to emerge out of data. This terminological incursion serves to shed some light on the distinction that Daniels points to with her description of mapping and visualization. In fact, the concept of mapping itself, coming from cartography, depends on translating geographic to graphic data in such a way that a spatial image can be created within users, for their locational needs.</w:t>
      </w:r>
    </w:p>
    <w:p>
      <w:pPr>
        <w:pStyle w:val="Heading2"/>
      </w:pPr>
      <w:bookmarkStart w:id="42" w:name="Xb112ff86a4395254a684f5a434c148b018328ac"/>
      <w:r>
        <w:t xml:space="preserve">Databasing and the History of Databases</w:t>
      </w:r>
      <w:bookmarkEnd w:id="42"/>
    </w:p>
    <w:p>
      <w:pPr>
        <w:pStyle w:val="FirstParagraph"/>
      </w:pPr>
      <w:r>
        <w:t xml:space="preserve">This is why I now focus on Database practices before entering the ‘age of information’ (McLuhan 1964, Chion 1994, Manovich 2001, Simons 2002, Vesna 2007, Paul 2008, van Dijck 2017). I define two precursors of the database as ‘statistics’ and ‘archival practices.’ First, I contextualize briefly the practice of statistics, and describe the notions of ‘sampling’ and ‘data collection,’ in order to provide a glance on what I consider the origin of data-based practices. Then, I begin relating the concept of the Archive —as presented by Derrida (Archive Fever, 1995)—, so as to deepen the understanding of the principles involved in archival practices.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Heading3"/>
      </w:pPr>
      <w:bookmarkStart w:id="43" w:name="databasing"/>
      <w:r>
        <w:t xml:space="preserve">Databasing</w:t>
      </w:r>
      <w:bookmarkEnd w:id="43"/>
    </w:p>
    <w:p>
      <w:pPr>
        <w:pStyle w:val="BlockText"/>
      </w:pPr>
      <w:r>
        <w:t xml:space="preserve">The first step in working with a database is the collection and assembly of the data…Sorting determines the sequence of presentation, while filtering gives rules for admission into the set presented…only a portion of the material goes through this process…resulting in a database that is a subset of the “shot material” database. Editing is selecting from the database and sequencing the selections…For a filmmaker, database thinking is liberation—one is freed to let the material breathe.[...] To go further: for a filmmaker the term “cutting,”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Weinbren describes data collection and assambly as the first steps in working with databases. I have previously mentioned Manovich’s insight on what I call the performativity of the database. Manovich treated the selection process as a fundamental step in database practice, one that as a filmaker, he discovered to be a major change in filmmaking. Weinbren breaks this selection process into further steps that are more revealing in terms of what I call databasing. These terms are sorting and filtering. With this new terminology, Weinbren points out to a linguistic shift from ‘editing’ and ‘cutting’ to‘sorting,’ ‘assembling’ and ‘mapping.’ This linguistic shift is significant in the sense that it announces the practice that is ‘under’ the filmmaker: databasing. Databasing is the practice of the database, all the elements that lead to its performativity, which involve the repeated thinking and acting through a database.</w:t>
      </w:r>
    </w:p>
    <w:p>
      <w:pPr>
        <w:pStyle w:val="BodyText"/>
      </w:pPr>
      <w:r>
        <w:t xml:space="preserve">This performativity is repeated from higher to lower levels of software, but it is present all the way through. For example, on a higher level, a user can select and import files from their computer into the editing software environment. This action already is enabled by a very complex lower layer that is built for bridging the software with the computer’s memory. Within this lower layer, files are generally copied —depending on the software— into working memory for non-destructive editing. The copying itself can be performed in many ways, but generally it involves a combination of programming routines. It generally consists of two sets of routines, one for memory allocation and another one for traversing and writing to disk. The details of these routines are of no importance for this discussion.</w:t>
      </w:r>
      <w:hyperlink w:anchor="fn14">
        <w:r>
          <w:rPr>
            <w:vertAlign w:val="superscript"/>
            <w:rStyle w:val="Hyperlink"/>
          </w:rPr>
          <w:t xml:space="preserve">14</w:t>
        </w:r>
      </w:hyperlink>
      <w:r>
        <w:t xml:space="preserve"> </w:t>
      </w:r>
      <w:r>
        <w:t xml:space="preserve">However, this very simple action preceeds most editing software available: for most users, this is the condition to start working on any project using computers. In digital music composition contexts, much of the work is done using audio recordings (i.e., samples), a technique that goes back to the early musique concrète days, where sounds where tape manipulation and selection was the innovative aspect of sound manipulation. However, since any digital media is in essence a data structure, it can be generated using algorithms instead of analog-to-digital converters. This applies to all media, and it relates to Manovich’s five characteristics of digital media: numerical represetation, modularity, automation, variability, and transcoding. An audio sample is a data structure holding numbers (numerical representation), which can be called many times in different contexts (modularity), to be read or generated by iterative processes (automation) either for reproduction or for editing (variability), and which can be interpreted as audio —as it was intended to—, or as any other media type (variability). Furthermore, these characteristics of the digital serve to support —to an extent that will be questioned— Manovich’s notion that the “data structures and algorithms are two halves of the ontology of the world according to a computer”</w:t>
      </w:r>
      <w:r>
        <w:t xml:space="preserve"> </w:t>
      </w:r>
      <w:r>
        <w:t xml:space="preserve">(Manovich 2001, p. 223)</w:t>
      </w:r>
      <w:r>
        <w:t xml:space="preserve">. In other words, for Manovich the computer ‘sees’ or ‘understands’ the world by way of a conjunction of these two halves. To the extent that computers are essentially binary constructions, and that the world is something that exists as a collection of images —i.e., images as in strictly sonic or visual constructions—, Manovich’s claim can be considered true. However, the problem rises if we consider that the computer as a tool to understand the world, and therefore not as a world-making technology. The world understood with computers is not only one that is presented in binary terms, it is one constructed upon a specific set of data structures. As we have seen with music software —and this can be extended to the history of software development in general—, data structures constitute a fundamental research focus point. What this means is that with better and more efficient data structures, software demands fewer computer resources and runs faster, and is therefore better. Thus, since it can be said that software development is essentially data structure development, the world that is shown through the computer is a constantly accellerating stream of bits. This is to say, at every step of software development, efficiency increments the rate of command execution, and the result is an accelleration of efficiency. In other words, the speed at which the world is shown and interpreted by computers becomes faster in every software iteration. Of course, not all software develops its data structures on every release, but it is a reality that, for example, music software such as Supercollider, Pure Data, RtCMIX, among others, have emerged into the computer music scene with an introduction of a novel data structure, or have introduced changes within their own structures over the years for the purpose of efficiency.</w:t>
      </w:r>
    </w:p>
    <w:p>
      <w:pPr>
        <w:pStyle w:val="BodyText"/>
      </w:pPr>
      <w:r>
        <w:t xml:space="preserve">This accelleration is neither linear nor centralized, however geared it may seem towards convergence; it constitutes, especially in open source software development, the negation of Manovich’s above quoted claim. For example, consider a programmer —or team of programmers— writing source code for a computer music software. The multiple possibilities of data structure development that are set forth in this situation is only limited by the creativity of the programmer. This is to say that even if the programming language used by the program does not enable the necessary resources from the start, not only other languages can be used, languages can be created for the purpose of such tasks. This is the case of the music software examples created above, where new higher languages were created as interfaces to lower languages like C or C++. This is the case of many sound synthesis libraries written in C or C++ which provide functions and structures for programmers to use not only in music production or analysis —as is the case with Paul Koonce’s</w:t>
      </w:r>
      <w:r>
        <w:t xml:space="preserve"> </w:t>
      </w:r>
      <w:r>
        <w:t xml:space="preserve">pvc</w:t>
      </w:r>
      <w:r>
        <w:t xml:space="preserve">, or Tzanetakis’ Marsyas,</w:t>
      </w:r>
      <w:hyperlink w:anchor="fn15">
        <w:r>
          <w:rPr>
            <w:vertAlign w:val="superscript"/>
            <w:rStyle w:val="Hyperlink"/>
          </w:rPr>
          <w:t xml:space="preserve">15</w:t>
        </w:r>
      </w:hyperlink>
      <w:r>
        <w:t xml:space="preserve"> </w:t>
      </w:r>
      <w:r>
        <w:t xml:space="preserve">among many others—, but in software production, that is, as a means for programmers to include a synthesis library within their games, applications, instruments, or any other sound-making software —as is the case with libpd</w:t>
      </w:r>
      <w:hyperlink w:anchor="fn16">
        <w:r>
          <w:rPr>
            <w:vertAlign w:val="superscript"/>
            <w:rStyle w:val="Hyperlink"/>
          </w:rPr>
          <w:t xml:space="preserve">16</w:t>
        </w:r>
      </w:hyperlink>
      <w:r>
        <w:t xml:space="preserve">, stk</w:t>
      </w:r>
      <w:hyperlink w:anchor="fn17">
        <w:r>
          <w:rPr>
            <w:vertAlign w:val="superscript"/>
            <w:rStyle w:val="Hyperlink"/>
          </w:rPr>
          <w:t xml:space="preserve">17</w:t>
        </w:r>
      </w:hyperlink>
      <w:r>
        <w:t xml:space="preserve">, among others. Furthermore, the fact that programmers are limited only by their own creativity, defines a fundamental aspect of the performativity that I am describing here. This aspect relates to the capacity to design data structures that reconfigure the way the computer-generated world is constituted. In this way, the programmer feeds back into the computer a notion of world that is then returned by the computer’s performance. In this world-generating loop of software development, the ontology of the world as seen by a computer is a reflection of the programming community that is making the software. Thus, through open source development, computers return a multiply-sourced way of world-making. Therefore, Manovich’s idea can be easily debunked from two perspectives. On the one hand, the way in which Manovich conveys the world as seen by a computer reflects on Kittler’s convergence, discussed above, which implies a reduction of media to digital media and, by definition, a disembodied world-view where the human is an extraneous and residual element. It is no surprise that ten years after writing The Language of New Media, Manovich’s warning turn into a more serious command:</w:t>
      </w:r>
    </w:p>
    <w:p>
      <w:pPr>
        <w:pStyle w:val="BlockText"/>
      </w:pPr>
      <w:r>
        <w:t xml:space="preserve">If you want to escape our prison of software —or at least better understand what media is today—stop downloading apps created by others. Instead, learn to program —and teach it to your students</w:t>
      </w:r>
      <w:r>
        <w:t xml:space="preserve"> </w:t>
      </w:r>
      <w:r>
        <w:t xml:space="preserve">(Manovich 2015, p. 206)</w:t>
      </w:r>
      <w:r>
        <w:t xml:space="preserve">.</w:t>
      </w:r>
    </w:p>
    <w:p>
      <w:pPr>
        <w:pStyle w:val="FirstParagraph"/>
      </w:pPr>
      <w:r>
        <w:t xml:space="preserve">Taking into account the embodied approach, the data stored within data structures cannot be considered information before the instance of incorporation that is essential to any action or performance. Therefore, a world can only appear if it appears to the body. As Hansen pointed out, image creation, or world creation, is not necessarily in contact with the reality that surrounds the body (or the reality of the body), but it is a result of the embodiment of a virtuality that is inherent to our senses, and our proprioception. Therefore, the world is a virtuality that is constructed with our senses, and our body, and as such it is unique to the instance of virtuality. Therefore, the idea of an ontology of the world, that is, a sense of being in the world can only occur through the body and its senses, and this is dependent on the brain’s capacity to create the neccessary virtuality for that world to come into being. Under these considerations, data structures turn into very efficient storage devices that have no relation to worlds in themselves, but that are the condition for the possibility of world creating with computers. If it were true that data structures are themselves a representation of the world, then there would be no reason for the world to be there, since it can be endlessly reproduced with incresing efficiency, leaving humans completely out of the picture.</w:t>
      </w:r>
    </w:p>
    <w:p>
      <w:pPr>
        <w:pStyle w:val="BodyText"/>
      </w:pPr>
      <w:r>
        <w:t xml:space="preserve">On the other hand, the fact that a community of developers is in charge of designing and implementing data structures and algorithms for computer software makes the idea of ‘world’ as a singularity come to terms to its own structure, that is, the structure of an idea. This is to say that given that each developer has their own body, and their own capacity for virtuality and world-making, the notion of world making within computers is an imposition. Thus, each program routine or structure is a result of a feedback network that links the history of software development with the practice at hand for which the software is being designed.</w:t>
      </w:r>
    </w:p>
    <w:p>
      <w:pPr>
        <w:pStyle w:val="BodyText"/>
      </w:pPr>
      <w:r>
        <w:t xml:space="preserve">For example, when thinking of how to design an oscillator within computer music software development, not only digital signal processing techniques and programming language capabilities are taken into account, also other factors are in play. These are, for instance, previous routine implementations; different types of user interactions; interfaces for which the code will be built; computer hardware differences; and so on. These micro decisions at the code writing level have a tremendous resonance not only in the efficiency of the running code, also in the acoustic and aesthetic results.</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BodyText"/>
      </w:pPr>
      <w:r>
        <w:t xml:space="preserve">Data structures are the turning point of the history of the database. Their appearance enabled the performance of automated algorithms. This means that within the history of computer technology, the data structures designed by Jon Von Neumann</w:t>
      </w:r>
      <w:r>
        <w:t xml:space="preserve"> </w:t>
      </w:r>
      <w:r>
        <w:t xml:space="preserve">(von Neumann &amp; Burks 1946)</w:t>
      </w:r>
      <w:r>
        <w:t xml:space="preserve"> </w:t>
      </w:r>
      <w:r>
        <w:t xml:space="preserve">proved to be the measure by which computer science was to develop throughout the 20th century. This is how Neumann and his team implemented Alan Turing’s original concept for a general-purpose computing machine, that is, what became known as the Von Neuman Architecture:</w:t>
      </w:r>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In this introductory statement that preceeded their discussion of the electronic computing instrumnet, Neumann et al defined three elements that were to be essential to the computer: automation, memory, and control. All of these elements were considered in this paper as goals for the construction of the electronic hardware that would support them. With the Von Neumann Architecture and its data-based mode, a turning point in the history of databasing was to develop. In the following section, I traverse the history of the database in computer music, in order to find use cases which exemplify instances in which the database is made to be ‘sounded,’ that is, performed, instead of simply ‘read’ as an automated and plain computer output. I consider this difference crucial to the concept of databasing that I am developing throught this chapter. Furthermore, the performance and sounding of the database needs to be explained in terms of the existing relationship between memory and the database. For example, in the quote cited above, and as it is present in their 1946 report, the authors focus on memory-storage in their description, expanding on the needs for memory storage at great lenghts. Memory and the relation to the database will be further developed down this text (See</w:t>
      </w:r>
      <w:r>
        <w:t xml:space="preserve"> </w:t>
      </w:r>
      <w:hyperlink w:anchor="section:Memory">
        <w:r>
          <w:rPr>
            <w:rStyle w:val="Hyperlink"/>
          </w:rPr>
          <w:t xml:space="preserve">5.2</w:t>
        </w:r>
      </w:hyperlink>
      <w:r>
        <w:t xml:space="preserve">). However, before commenting on Neumann’s report, I would like to comment on yet another mention of memory that will later prove valuable. This consists on Manovich’s brief introduction of the history of the computer. Manovich’s attempt to draw a “historical loop” between the paralell histories of computer and cinema. This loop resides in between Konrad Zuse’s 1936 computer prototype —which used a 35mm movie film to store digits—, and the fact that computers now make digital movies</w:t>
      </w:r>
      <w:r>
        <w:t xml:space="preserve"> </w:t>
      </w:r>
      <w:r>
        <w:t xml:space="preserve">(Manovich 2001, p. 26)</w:t>
      </w:r>
      <w:r>
        <w:t xml:space="preserve">. What is important to note here, however, is the fact that the loop resides within —and is only possible by— the storage device. Of course, memory and storage technology are two concepts that cannot be taken lighly, not only in themselves but also in their interrelation and feedback. Therefore, a more detailed incursion in this relationship will be carried out further down this text. For now, it will suffice to focus on the technology device at hand, that is, the memory module of the computer.</w:t>
      </w:r>
    </w:p>
    <w:p>
      <w:pPr>
        <w:pStyle w:val="BodyText"/>
      </w:pPr>
      <w:r>
        <w:t xml:space="preserve">The memory module, or ‘organ’ in Neumann’s terms, is what enables the computer’s architecture in the first place. On one hand, the storage unit of the computer allows data to be written and erased in different locations and times. On the other, data itself can be not only values to be used during computation, but actualy the algorithmia itself, that is, the commands —functions, operations, routines, etc.— which are used to access and process data for computation. Thus, it is the interaction of commands and computes what define the data flow inside a the computer. This model is what defines all computer practices, and it is only possible by the data structure holding the data, that is, by the database —from the simplest to the most complex sense of the word.</w:t>
      </w:r>
    </w:p>
    <w:p>
      <w:pPr>
        <w:pStyle w:val="BodyText"/>
      </w:pPr>
      <w:r>
        <w:t xml:space="preserve">Neumann explained the need for a storage device in terms of partial differential equation solving. Without delving into the structure of the solutions of these equations, it will be enough to mention that any next value of the solution would depend on the present value. Therefore, when iterating through every step of the solution, the function in charge of solving the equation needs to access the present value, change it, output the next value, and finally update the present value with the outputted result (i.e., the next value). This is what it would look like in pseudocode:</w:t>
      </w:r>
    </w:p>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p>
      <w:pPr>
        <w:pStyle w:val="FirstParagraph"/>
      </w:pPr>
      <w:r>
        <w:t xml:space="preserve">Therefore, in order to provide such solutions, Neumann proposed that:</w:t>
      </w:r>
    </w:p>
    <w:p>
      <w:pPr>
        <w:pStyle w:val="BlockText"/>
      </w:pPr>
      <w:r>
        <w:t xml:space="preserve">Not only must the memory have sufficient room to store these intermediary data but there must be provision whereby these data can later be removed</w:t>
      </w:r>
      <w:r>
        <w:t xml:space="preserve"> </w:t>
      </w:r>
      <w:r>
        <w:t xml:space="preserve">(von Neumann &amp; Burks 1946, p. 3)</w:t>
      </w:r>
      <w:r>
        <w:t xml:space="preserve">.</w:t>
      </w:r>
    </w:p>
    <w:p>
      <w:pPr>
        <w:pStyle w:val="FirstParagraph"/>
      </w:pPr>
      <w:r>
        <w:t xml:space="preserve">In other words, the definition of computer memory is narrowed down to automated ways of inputting, outputting and removing data. Notice, however, that this definition is also effective in a terminology coming from writing, that is, from yet another storage technology: reading, writing and erasing data. Thus, the notion of storage technology when it applies to computers or scripture, varies in a matter of scale. In other words, the difference between writing down a digit, and storing it on a computer is essentially one of scale. In both cases, the number on the piece of paper or the number on some range of the memory slot, what is stored depends on a reading process for it to be of any use at all. Reading —and by reading, I mean not only being able to discern its shape, also to convey a certain meaning that would come of the interaction between the shape, the background, and the overal social context surrounding the paper— a number on a paper can lead to some form of communication, and reading a value on a computer memory can result in the solution of a partial differential equation. However, in essence, it is human memory being displaced into a technological device, that is, a form of</w:t>
      </w:r>
      <w:r>
        <w:t xml:space="preserve"> </w:t>
      </w:r>
      <w:r>
        <w:rPr>
          <w:i/>
        </w:rPr>
        <w:t xml:space="preserve">hypomnesis</w:t>
      </w:r>
      <w:r>
        <w:t xml:space="preserve">. Therefore, given the spatial displacement enabled data structures as</w:t>
      </w:r>
      <w:r>
        <w:t xml:space="preserve"> </w:t>
      </w:r>
      <w:r>
        <w:rPr>
          <w:i/>
        </w:rPr>
        <w:t xml:space="preserve">hypomnesis</w:t>
      </w:r>
      <w:r>
        <w:t xml:space="preserve"> </w:t>
      </w:r>
      <w:r>
        <w:t xml:space="preserve">—i.e., the movement from the human to the nonhuman—, to what extent has this displacemente also happened temporally? In other words, how does data structures, in their condition of representing memory outside the human, affect human temporality? The answer can be located in the accelerated rate at which computations have become available, as more efficient hardware and software integrations became available over the years. For exampl,et the 40-bit long 4000 numbers that Neumann et al were aiming at for their storage-memory unit —which was more than plenty for the computational purposes required at the time— represents around 16 Kilobytes, something which today might seem absurd in comparison to current computer storage capabilities that can be found in the case of cloud computing. Furthermore, the accelerated rate not only applies to storage itself, it goes hand in hand with the rate at which computer operations are carried out.</w:t>
      </w:r>
    </w:p>
    <w:p>
      <w:pPr>
        <w:pStyle w:val="BodyText"/>
      </w:pPr>
      <w:r>
        <w:t xml:space="preserve">These considerations, however obvious they might seem, touch on the relation between memory and time, and help us reflect on the resonances that occur in between the two when the performance of databases is at hand. In other words, database practice has direct effects on temporality and on memory. Therefore, when designing computer software for art, the way in which data is structured, together with the speed and design of data flow, has significant effects on the temporality of art altogether as a practice.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since the commands and computes stored in memory —as data— constitute the ontology of the digital, their understanding as a central aspec of database performance leads to a specific consideration of the agency of the database in art. Since any data container can be considered a database, curator Christiane Paul proposes that the database:</w:t>
      </w:r>
    </w:p>
    <w:p>
      <w:pPr>
        <w:pStyle w:val="BlockText"/>
      </w:pPr>
      <w:r>
        <w:t xml:space="preserve">…is now commonly understood as a computerized record-keeping system…it is essentially a structured collection of data that stands in the tradition of “data containers” such as a book, a library, an archive, or Wunderkammer</w:t>
      </w:r>
      <w:r>
        <w:t xml:space="preserve"> </w:t>
      </w:r>
      <w:r>
        <w:t xml:space="preserve">(Paul 2007, p. 95)</w:t>
      </w:r>
      <w:r>
        <w:t xml:space="preserve">.</w:t>
      </w:r>
    </w:p>
    <w:p>
      <w:pPr>
        <w:pStyle w:val="FirstParagraph"/>
      </w:pPr>
      <w:r>
        <w:t xml:space="preserve">In this sense, Paul suggests that databases are simply an instance of data collection, which in turn is related, as I have hinted above, to writing. However, the fact that the item ‘book’ is in itself a structured collection of words —with page numbers, indeces, references to other books, etc.— does not preclude the fact that books themselves constitute structured collections called libraries. Extending this concept to all objects, any gathering of things into one place, that is, the practice of collecting, has its resonances on database performance. This is to say that however distant Numismatics</w:t>
      </w:r>
      <w:hyperlink w:anchor="fn18">
        <w:r>
          <w:rPr>
            <w:vertAlign w:val="superscript"/>
            <w:rStyle w:val="Hyperlink"/>
          </w:rPr>
          <w:t xml:space="preserve">18</w:t>
        </w:r>
      </w:hyperlink>
      <w:r>
        <w:t xml:space="preserve"> </w:t>
      </w:r>
      <w:r>
        <w:t xml:space="preserve">is from making a party playlist on Itunes, both of these practices rely on gathering elements of some similar characteristics in one storage device that will be used for display in one form or another. In this sense of collecting, computers become immediately —and quite transparently— useful for the average end user. This means that even if an average user uses the 21st century computer as a typewriter, chances are that text files will gradually accumulate into the database that constitutes the collection of texts written or gathered by the user. And since nowadays computers —and most mobile devices are of course included in this category— exists in constant network connection with the internet, the most extreme case of data collection is taking place with every device having data packages sent back and forth with, for example, Google and Facebook servers. I dont mean by this that a case can be built on the paranoid, panopticon-like grounds of gubernamental surveillance.</w:t>
      </w:r>
      <w:hyperlink w:anchor="fn19">
        <w:r>
          <w:rPr>
            <w:vertAlign w:val="superscript"/>
            <w:rStyle w:val="Hyperlink"/>
          </w:rPr>
          <w:t xml:space="preserve">19</w:t>
        </w:r>
      </w:hyperlink>
      <w:r>
        <w:t xml:space="preserve"> </w:t>
      </w:r>
      <w:r>
        <w:t xml:space="preserve">I argue that if the internet can be considered a place where data is being collected —the use of passive voice is intentional, not to depict an external force, but to emphasize on the plurality of data collectors that each user represents—, then any consideration of database performance has to relate to networks as such. This is to say that data and network structures are related, at least to the extent that the latter depend on the former. Furthermore, what the internet data network represents —and this is the central characteristic of databases that Pauls suggested above—, is the concept of the archive. This is why I propose that understanding the relationships between archives and netorks will explain the type of agency that can be achieved by database performance.</w:t>
      </w:r>
    </w:p>
    <w:p>
      <w:pPr>
        <w:pStyle w:val="Heading3"/>
      </w:pPr>
      <w:bookmarkStart w:id="44" w:name="programming"/>
      <w:r>
        <w:t xml:space="preserve">Programming</w:t>
      </w:r>
      <w:bookmarkEnd w:id="44"/>
    </w:p>
    <w:p>
      <w:pPr>
        <w:pStyle w:val="FirstParagraph"/>
      </w:pPr>
      <w:r>
        <w:t xml:space="preserve">The computer’s capacity for data processing and storage is inherent in their constitution. Conversely, a computer without such capacity would cease to be defined as a computer. This capacity that revolves around data has different levels of complexity. In this section, I describe these levels of complexity as a database tree, starting from basic data structures to the more complex database systems.</w:t>
      </w:r>
    </w:p>
    <w:p>
      <w:pPr>
        <w:pStyle w:val="BodyText"/>
      </w:pPr>
      <w:r>
        <w:t xml:space="preserve">The ground on which the tree is built is the Von Neumann architecture, that is, the interconnected memory and central processing units and their supporting hardware. As a consequence of different ways of making hardware, that is, different companies, there are different kinds of soil that result in different root layout —for example, different operating systems. The roots of the tree are the data structures, that provide flow between stored data and the above-ground components. The below-ground level is accessed through machine and assembly code, which constitutes the core of low-level programming languages and, to a certain extent, are humanly un-readable: the world of bits. Above the ground, readability by humans is the main feature.</w:t>
      </w:r>
    </w:p>
    <w:p>
      <w:pPr>
        <w:pStyle w:val="BodyText"/>
      </w:pPr>
      <w:r>
        <w:t xml:space="preserve">Thus, the trunk of the database tree is composed of programming languages: these go from lowest —ground-level, close to machine code— to highest levels —languages built on top of other languages. These language layers, after they reach a certain level of complexity, begin to form branches that, while being separated from each other, are linked to the same trunk and to the same root. To this category belong programs with simple —mostly text-based— interfaces, such as Bash, C, etc., on one end and, on the other C++, python, and more complex programs built on the former: Pure Data, Supercollider, R, octave, etc. This is a way for the more avid user aquainted with programming languages to interact with the tree as a whole, by way of input and output that does not require the photosynthetic qualities of leaves —explained below. Thus, this is not only how branches are built, but also how they are hacked.</w:t>
      </w:r>
    </w:p>
    <w:p>
      <w:pPr>
        <w:pStyle w:val="BodyText"/>
      </w:pPr>
      <w:r>
        <w:t xml:space="preserve">Before continuing, one thing must be noted about this database tree metaphor, which relates to the concept of modularity. The database tree only takes the form of a tree once it is instantiated as a software and when it is run. This is to say that the database tree unfolds every time it is opened, and in this unfolding it exists the possibility of dynamically adapting to different grounds —i.e., programmers can set conditions (a.k.a. macros) so that their programs can compile to different compilers, hardwares, operating systems, etc. Therefore, these database trees have as their main feature the capacity to unfold their roots in different directions upon demand.</w:t>
      </w:r>
    </w:p>
    <w:p>
      <w:pPr>
        <w:pStyle w:val="BodyText"/>
      </w:pPr>
      <w:r>
        <w:t xml:space="preserve">When programming languages branch out into more specific, more complex, and more high level branches, the general use of the computer as such is constituted. Most often, these programs come with complex graphical user interfaces which come to be the leaves of the tree. Leaves are a way for the end user to interact with the tree —i.e., where input and output resides, very much like the photosynthesis that takes place within the leaves. These programs may be multimedia editors (Adobe Creative Suite, Microsoft Office, etc), browsers (Chrome, Firefox, Internet Explorer, Safari), mobile apps, etc. These leaves also include database managemet systems (DBMS), which constitute the most traditional business software for data processing and editing: MySQL, PostgreSQL, NoSQL, Oracle, etc. These systems implement different data models (See</w:t>
      </w:r>
      <w:r>
        <w:t xml:space="preserve"> </w:t>
      </w:r>
      <w:hyperlink w:anchor="tab:dbmodels">
        <w:r>
          <w:rPr>
            <w:rStyle w:val="Hyperlink"/>
          </w:rPr>
          <w:t xml:space="preserve">[tab:dbmodels]</w:t>
        </w:r>
      </w:hyperlink>
      <w:r>
        <w:t xml:space="preserve">), whose two fundamental features are their structural specifications of data within a data definition language (DDL) and a data manipulation language (DML) for accessing and updating data</w:t>
      </w:r>
      <w:r>
        <w:t xml:space="preserve"> </w:t>
      </w:r>
      <w:r>
        <w:t xml:space="preserve">(Abiteboul et al. 1995, p. 4)</w:t>
      </w:r>
      <w:r>
        <w:t xml:space="preserve">.</w:t>
      </w:r>
    </w:p>
    <w:p>
      <w:pPr>
        <w:pStyle w:val="BodyText"/>
      </w:pPr>
      <w:r>
        <w:t xml:space="preserve">An important feature of trees is their network capabilities. Networks can be established both within the same tree —connecting leaves between themselves, or between other branches, or other roots— or within other trees. For example, software can establish a network between its graphical interface an its core program —as is the case with Pure Data, for example. Another example would be the way in which DBMS interact with data: the MySQL database model allows the user to load a data set in working (i.e., RAM) memory, and establishes a connection between the opened memory and the input/output mechanisms.</w:t>
      </w:r>
    </w:p>
    <w:p>
      <w:pPr>
        <w:pStyle w:val="BodyText"/>
      </w:pPr>
      <w:r>
        <w:t xml:space="preserve">On another level, networks of trees constitute data streams running in between trees by way of a internet protocols (IP) and a client-server type of relation. This is to say, for example, that while one tree can serve as data storage and processing repository, other trees (clients) can connect to the server tree and request data or processing of data from it. This is the essence of the internet and all the communication services that it enables, such as email services and social networking sites. This is why, for example, both Pure Data and MySQL can have their respective core program and data sets in one computer, and their interfaces on a different one.</w:t>
      </w:r>
    </w:p>
    <w:p>
      <w:pPr>
        <w:pStyle w:val="BodyText"/>
      </w:pPr>
      <w:r>
        <w:t xml:space="preserve">Furthermore, combined with computer clusters —gigantic server architectures made out of multiple processing and memory units joined together—, these network protocols form what is known as cloud computing. For examples, most universities provide clusters for data processing —e.g., NYU’s Prince cluster— that can be accessed from remote locations. Another use of this type of clusters is cloud storage services —e.g., Google Drive, ICloud, OneDrive, Dropbox, etc.— which are generally used as a way to store and share data.</w:t>
      </w:r>
    </w:p>
    <w:p>
      <w:pPr>
        <w:pStyle w:val="Heading3"/>
      </w:pPr>
      <w:bookmarkStart w:id="45" w:name="models"/>
      <w:r>
        <w:t xml:space="preserve">Database Models</w:t>
      </w:r>
      <w:bookmarkEnd w:id="45"/>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BodyText"/>
      </w:pPr>
      <w:r>
        <w:t xml:space="preserve">The central aspect of database management systems (DBMS) is the database model. In essence, all DBMS share the same function: provide access to a database.</w:t>
      </w:r>
      <w:hyperlink w:anchor="fn20">
        <w:r>
          <w:rPr>
            <w:vertAlign w:val="superscript"/>
            <w:rStyle w:val="Hyperlink"/>
          </w:rPr>
          <w:t xml:space="preserve">20</w:t>
        </w:r>
      </w:hyperlink>
      <w:r>
        <w:t xml:space="preserve"> </w:t>
      </w:r>
      <w:r>
        <w:t xml:space="preserve">Database models have been thought of as collections of conceptual tools to represent real-world entities and their relationships</w:t>
      </w:r>
      <w:r>
        <w:t xml:space="preserve"> </w:t>
      </w:r>
      <w:r>
        <w:t xml:space="preserve">(Angles &amp; Gutierrez 2008, p. 1)</w:t>
      </w:r>
      <w:r>
        <w:t xml:space="preserve">. Building upon the work of E. F. Codd —an IBM programmer who revolutionized the field of database systems with databases—, Angles and Gutierrez name the three most important aspects a data model should address: data structuring, description, and access. Therefore, any data model “consists of three components: a set of data structure types, a set of operators…, and a set of integrity rules”</w:t>
      </w:r>
      <w:r>
        <w:t xml:space="preserve"> </w:t>
      </w:r>
      <w:r>
        <w:t xml:space="preserve">(Angles &amp; Gutierrez 2008, p. 2)</w:t>
      </w:r>
      <w:r>
        <w:t xml:space="preserve">.</w:t>
      </w:r>
    </w:p>
    <w:p>
      <w:pPr>
        <w:pStyle w:val="BodyText"/>
      </w:pPr>
      <w:r>
        <w:t xml:space="preserve">The first component consists of the core aspect of the model: data structures. These are the building blocks upon which the entire database model is designed. A data structure is simply a way to organize data so that a set of element operations are possible, such as ADD, REMOVE, GET, SET, FIND, etc. Data structures can be thought of in two ways: on one side, they are thought of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is the idea of the structure, and the possibilities that this idea sets forth. On the other hand, these abstract data types are then implemented in code, which is how the speed and efficiency of the data structure is physically evaluated. An implementation of this sort includes</w:t>
      </w:r>
    </w:p>
    <w:p>
      <w:pPr>
        <w:pStyle w:val="BlockText"/>
      </w:pPr>
      <w:r>
        <w:t xml:space="preserve">…the internal representation of the data structure as well as the definitions of the algorithms that implement the operations supported by the data structure.</w:t>
      </w:r>
      <w:r>
        <w:t xml:space="preserve"> </w:t>
      </w:r>
      <w:r>
        <w:t xml:space="preserve">(Morin 2019, p. 18)</w:t>
      </w:r>
    </w:p>
    <w:p>
      <w:pPr>
        <w:pStyle w:val="FirstParagraph"/>
      </w:pPr>
      <w:r>
        <w:t xml:space="preserve">In this sense, data structures have constituted a focal research point in the database and computer science communities.</w:t>
      </w:r>
      <w:hyperlink w:anchor="fn21">
        <w:r>
          <w:rPr>
            <w:vertAlign w:val="superscript"/>
            <w:rStyle w:val="Hyperlink"/>
          </w:rPr>
          <w:t xml:space="preserve">21</w:t>
        </w:r>
      </w:hyperlink>
      <w:r>
        <w:t xml:space="preserve"> </w:t>
      </w:r>
      <w:r>
        <w:t xml:space="preserve">The second component —the operators— constitute</w:t>
      </w:r>
    </w:p>
    <w:p>
      <w:pPr>
        <w:pStyle w:val="BodyText"/>
      </w:pPr>
      <w:r>
        <w:t xml:space="preserve">In scholar Serge Abiteboul’s words, a database model</w:t>
      </w:r>
    </w:p>
    <w:p>
      <w:pPr>
        <w:pStyle w:val="BlockText"/>
      </w:pPr>
      <w:r>
        <w:t xml:space="preserve">…provides the means for specifying particular data structures, for constraining the data sets associated with these structures, and for manipulating the data.</w:t>
      </w:r>
      <w:r>
        <w:t xml:space="preserve"> </w:t>
      </w:r>
      <w:r>
        <w:t xml:space="preserve">(Abiteboul et al. 1995, p. 28)</w:t>
      </w:r>
    </w:p>
    <w:p>
      <w:pPr>
        <w:pStyle w:val="FirstParagraph"/>
      </w:pPr>
      <w:r>
        <w:t xml:space="preserve">Thus, in order to arrive at a specific structure that would enable constraints to the model, database designers create two types of languages. On one hand, they device a data definition language (DDL) which is dedicated to the particular tailoring of data types —commonly known as ‘typecasting’ in C, a process by which the programmer establishes the kinds of variables that will be used within a program, e.g., ‘integers,’ ‘floats,’ ‘strings,’ etc. By limiting the input type, the programmer introduces constraints to the database, which allow for a more efficient and less error prone data management. On the other hand, in order to manipulate the data, programmers generally device yet another language, known as the data manipulation language (DML). These two languages are common to most database systems developed to date.</w:t>
      </w:r>
    </w:p>
    <w:p>
      <w:pPr>
        <w:pStyle w:val="BodyText"/>
      </w:pPr>
      <w:r>
        <w:t xml:space="preserve">For Abiteboul, the most prominent models are , , , , , and (See</w:t>
      </w:r>
      <w:r>
        <w:t xml:space="preserve"> </w:t>
      </w:r>
      <w:hyperlink w:anchor="img:dbevolution">
        <w:r>
          <w:rPr>
            <w:rStyle w:val="Hyperlink"/>
          </w:rPr>
          <w:t xml:space="preserve">4.2</w:t>
        </w:r>
      </w:hyperlink>
      <w:r>
        <w:t xml:space="preserve">). Each model differs greatly in its structuring, definition, and maintenance. Furthermore, the evolution of these models has gone hand in hand with both hardware improvement and with the r</w:t>
      </w:r>
      <w:r>
        <w:t xml:space="preserve">api</w:t>
      </w:r>
      <w:r>
        <w:t xml:space="preserve">d growth of data sets over the years, to the point that many databases are simply available online.</w:t>
      </w:r>
      <w:hyperlink w:anchor="fn22">
        <w:r>
          <w:rPr>
            <w:vertAlign w:val="superscript"/>
            <w:rStyle w:val="Hyperlink"/>
          </w:rPr>
          <w:t xml:space="preserve">22</w:t>
        </w:r>
      </w:hyperlink>
      <w:r>
        <w:t xml:space="preserve"> </w:t>
      </w:r>
      <w:r>
        <w:t xml:space="preserve">The following section contains a brief description of the main database models developed throughout the second half of the XXth century until today.</w:t>
      </w:r>
    </w:p>
    <w:p>
      <w:pPr>
        <w:pStyle w:val="CaptionedFigure"/>
      </w:pPr>
      <w:bookmarkStart w:id="47" w:name="img:dbevolution"/>
      <w:r>
        <w:drawing>
          <wp:inline>
            <wp:extent cx="5334000" cy="4551272"/>
            <wp:effectExtent b="0" l="0" r="0" t="0"/>
            <wp:docPr descr="A graph showing the evolution of data models taken from (Angles &amp; Gutierrez 2008, p. 2): “Rectangles denote database models, arrows indicate influences, and circles denote theoretical developments. A time-line in years is shown on the left (based on a diagram by A. O. Mendelzon)” " title="" id="1" name="Picture"/>
            <a:graphic>
              <a:graphicData uri="http://schemas.openxmlformats.org/drawingml/2006/picture">
                <pic:pic>
                  <pic:nvPicPr>
                    <pic:cNvPr descr="/Users/federicocamarahalac/Documents/fd_work/text/waves/bin/img/2008-angles-guitierrez-Graph_Database.jpg" id="0" name="Picture"/>
                    <pic:cNvPicPr>
                      <a:picLocks noChangeArrowheads="1" noChangeAspect="1"/>
                    </pic:cNvPicPr>
                  </pic:nvPicPr>
                  <pic:blipFill>
                    <a:blip r:embed="rId46"/>
                    <a:stretch>
                      <a:fillRect/>
                    </a:stretch>
                  </pic:blipFill>
                  <pic:spPr bwMode="auto">
                    <a:xfrm>
                      <a:off x="0" y="0"/>
                      <a:ext cx="5334000" cy="4551272"/>
                    </a:xfrm>
                    <a:prstGeom prst="rect">
                      <a:avLst/>
                    </a:prstGeom>
                    <a:noFill/>
                    <a:ln w="9525">
                      <a:noFill/>
                      <a:headEnd/>
                      <a:tailEnd/>
                    </a:ln>
                  </pic:spPr>
                </pic:pic>
              </a:graphicData>
            </a:graphic>
          </wp:inline>
        </w:drawing>
      </w:r>
      <w:bookmarkEnd w:id="47"/>
    </w:p>
    <w:p>
      <w:pPr>
        <w:pStyle w:val="ImageCaption"/>
      </w:pPr>
      <w:r>
        <w:t xml:space="preserve">A graph showing the evolution of data models taken from</w:t>
      </w:r>
      <w:r>
        <w:t xml:space="preserve"> </w:t>
      </w:r>
      <w:r>
        <w:t xml:space="preserve">(Angles &amp; Gutierrez 2008, p. 2)</w:t>
      </w:r>
      <w:r>
        <w:t xml:space="preserve">: “Rectangles denote database models, arrows indicate influences, and circles denote theoretical developments. A time-line in years is shown on the left (based on a diagram by A. O. Mendelzon)”</w:t>
      </w:r>
      <w:r>
        <w:t xml:space="preserve"> </w:t>
      </w:r>
    </w:p>
    <w:p>
      <w:pPr>
        <w:pStyle w:val="Heading4"/>
      </w:pPr>
      <w:bookmarkStart w:id="48" w:name="model:hierarchical"/>
      <w:r>
        <w:t xml:space="preserve">Hierarchical</w:t>
      </w:r>
      <w:bookmarkEnd w:id="48"/>
    </w:p>
    <w:p>
      <w:pPr>
        <w:pStyle w:val="FirstParagraph"/>
      </w:pPr>
      <w:r>
        <w:t xml:space="preserve">This is the first database model ever created. It was created by IBM during the early 1960s, in conjunction with two other American manufacturing conglomerates (Rockwell and Caterpillar) for NASA’s Project Apollo. The result of this project was IBM’s Information Management System (IMS).</w:t>
      </w:r>
      <w:hyperlink w:anchor="fn23">
        <w:r>
          <w:rPr>
            <w:vertAlign w:val="superscript"/>
            <w:rStyle w:val="Hyperlink"/>
          </w:rPr>
          <w:t xml:space="preserve">23</w:t>
        </w:r>
      </w:hyperlink>
      <w:r>
        <w:t xml:space="preserve"> </w:t>
      </w:r>
      <w:r>
        <w:t xml:space="preserve">This model is sometimes called a tree structure, where each branch of the tree constitutes a hierarchical path from the root node to the end node</w:t>
      </w:r>
      <w:r>
        <w:t xml:space="preserve"> </w:t>
      </w:r>
      <w:r>
        <w:t xml:space="preserve">(Long et al. 2000)</w:t>
      </w:r>
      <w:r>
        <w:t xml:space="preserve">. Nodes, or records —understood as collections of single-value fields— are interconnected by way of these paths, or links. Records can have type definitions, which determine the fields it contains. As a rule of this structure, a (child) record can be linked in one direction to only one (parent) record and in another direction, to one or more (child) records. This structure stems from a root record, which is the initial (parent-less) record that begins any traversing of the structure for retrieval. The relationship paradigm of this model is one-to-many.</w:t>
      </w:r>
    </w:p>
    <w:p>
      <w:pPr>
        <w:pStyle w:val="CaptionedFigure"/>
      </w:pPr>
      <w:bookmarkStart w:id="50"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49"/>
                    <a:stretch>
                      <a:fillRect/>
                    </a:stretch>
                  </pic:blipFill>
                  <pic:spPr bwMode="auto">
                    <a:xfrm>
                      <a:off x="0" y="0"/>
                      <a:ext cx="2692400" cy="1866900"/>
                    </a:xfrm>
                    <a:prstGeom prst="rect">
                      <a:avLst/>
                    </a:prstGeom>
                    <a:noFill/>
                    <a:ln w="9525">
                      <a:noFill/>
                      <a:headEnd/>
                      <a:tailEnd/>
                    </a:ln>
                  </pic:spPr>
                </pic:pic>
              </a:graphicData>
            </a:graphic>
          </wp:inline>
        </w:drawing>
      </w:r>
      <w:bookmarkEnd w:id="50"/>
    </w:p>
    <w:p>
      <w:pPr>
        <w:pStyle w:val="ImageCaption"/>
      </w:pPr>
      <w:r>
        <w:t xml:space="preserve">Diagram of the hierarchical model</w:t>
      </w:r>
    </w:p>
    <w:p>
      <w:pPr>
        <w:pStyle w:val="BodyText"/>
      </w:pPr>
      <w:r>
        <w:t xml:space="preserve">Their use was eclipsed by the relational model during the 1980s, but it resurfaced through relational-type implementations of hierarchical models, and with the appearance of model in the late 1990s. Most path structures within computer file systems implement a hierarchical model. For example, not only Microsoft’s filing system, also the Windows Registry constitutes a hierarchical database.</w:t>
      </w:r>
      <w:hyperlink w:anchor="fn24">
        <w:r>
          <w:rPr>
            <w:vertAlign w:val="superscript"/>
            <w:rStyle w:val="Hyperlink"/>
          </w:rPr>
          <w:t xml:space="preserve">24</w:t>
        </w:r>
      </w:hyperlink>
      <w:r>
        <w:t xml:space="preserve"> </w:t>
      </w:r>
      <w:r>
        <w:t xml:space="preserve">Programming and software in general are thought as hierarchic structures. For examples, the terminology ‘higher-’ and ‘lower-level’ corresponds to a hierarchical model of thinking code execution: the higher the command, the more child processes it calls, computations it encompasses, and resources it demands; the lower the command, the least child processes it calls, computations it encompasses, and resources it demands.</w:t>
      </w:r>
    </w:p>
    <w:p>
      <w:pPr>
        <w:pStyle w:val="Heading4"/>
      </w:pPr>
      <w:bookmarkStart w:id="51" w:name="model:network"/>
      <w:r>
        <w:t xml:space="preserve">Network</w:t>
      </w:r>
      <w:bookmarkEnd w:id="51"/>
    </w:p>
    <w:p>
      <w:pPr>
        <w:pStyle w:val="CaptionedFigure"/>
      </w:pPr>
      <w:bookmarkStart w:id="53"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52"/>
                    <a:stretch>
                      <a:fillRect/>
                    </a:stretch>
                  </pic:blipFill>
                  <pic:spPr bwMode="auto">
                    <a:xfrm>
                      <a:off x="0" y="0"/>
                      <a:ext cx="2298700" cy="2552700"/>
                    </a:xfrm>
                    <a:prstGeom prst="rect">
                      <a:avLst/>
                    </a:prstGeom>
                    <a:noFill/>
                    <a:ln w="9525">
                      <a:noFill/>
                      <a:headEnd/>
                      <a:tailEnd/>
                    </a:ln>
                  </pic:spPr>
                </pic:pic>
              </a:graphicData>
            </a:graphic>
          </wp:inline>
        </w:drawing>
      </w:r>
      <w:bookmarkEnd w:id="53"/>
    </w:p>
    <w:p>
      <w:pPr>
        <w:pStyle w:val="ImageCaption"/>
      </w:pPr>
      <w:r>
        <w:t xml:space="preserve">Diagram of the network model</w:t>
      </w:r>
    </w:p>
    <w:p>
      <w:pPr>
        <w:pStyle w:val="BodyText"/>
      </w:pPr>
      <w:r>
        <w:t xml:space="preserve">Invented by Charles Bachman in 1959 and published by the Conference on Data Systems Languages Consortium (</w:t>
      </w:r>
      <w:r>
        <w:t xml:space="preserve">codasyl</w:t>
      </w:r>
      <w:hyperlink w:anchor="fn25">
        <w:r>
          <w:rPr>
            <w:vertAlign w:val="superscript"/>
            <w:rStyle w:val="Hyperlink"/>
          </w:rPr>
          <w:t xml:space="preserve">25</w:t>
        </w:r>
      </w:hyperlink>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Their main feature was that these relationships are not bounded to any hierarchical or lattice-like structures, providing a more natural way of record relation. Structurally, the each node has an identity —i.e., a database key— which corresponds to the pointer to the physical address of the record on disk. These keys can thus be used to implement linked lists and trees for record navigation, allowing for very fast retrieval speeds due to the interlocking of the physical implementation and the internal logic of node identity and access. Despite the fact that databases came to overshadow network models, some DBMSs today —such as Unisys OS 2200</w:t>
      </w:r>
      <w:hyperlink w:anchor="fn26">
        <w:r>
          <w:rPr>
            <w:vertAlign w:val="superscript"/>
            <w:rStyle w:val="Hyperlink"/>
          </w:rPr>
          <w:t xml:space="preserve">26</w:t>
        </w:r>
      </w:hyperlink>
      <w:r>
        <w:t xml:space="preserve">— enable a networked view of its contents.</w:t>
      </w:r>
    </w:p>
    <w:p>
      <w:pPr>
        <w:pStyle w:val="Heading4"/>
      </w:pPr>
      <w:bookmarkStart w:id="54" w:name="model:navigational"/>
      <w:r>
        <w:t xml:space="preserve">Navigational</w:t>
      </w:r>
      <w:bookmarkEnd w:id="54"/>
    </w:p>
    <w:p>
      <w:pPr>
        <w:pStyle w:val="BlockText"/>
      </w:pPr>
      <w:r>
        <w:t xml:space="preserve">My proposition today is that it is time for the application programmer to abandon the memory-centered view, and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w:t>
      </w:r>
    </w:p>
    <w:p>
      <w:pPr>
        <w:pStyle w:val="FirstParagraph"/>
      </w:pPr>
      <w:r>
        <w:t xml:space="preserve">This is a class or type disk-based database systems —in contrast to magnetic tape or punched card systems— that enabled a different way of thinking database navigation. Charles Bachman</w:t>
      </w:r>
      <w:r>
        <w:t xml:space="preserve"> </w:t>
      </w:r>
      <w:r>
        <w:t xml:space="preserve">(Bachman 1973)</w:t>
      </w:r>
      <w:r>
        <w:t xml:space="preserve"> </w:t>
      </w:r>
      <w:r>
        <w:t xml:space="preserve">was the first to conceptualize this class, which was implemented in the network model (See</w:t>
      </w:r>
      <w:r>
        <w:t xml:space="preserve"> </w:t>
      </w:r>
      <w:hyperlink w:anchor="model:network">
        <w:r>
          <w:rPr>
            <w:rStyle w:val="Hyperlink"/>
          </w:rPr>
          <w:t xml:space="preserve">4.2.3.2</w:t>
        </w:r>
      </w:hyperlink>
      <w:r>
        <w:t xml:space="preserve">) of his Integrated Data Store (IDS), developed for General Electric. The concept behind this navigation is that of thinking data records and attributes as</w:t>
      </w:r>
      <w:r>
        <w:t xml:space="preserve"> </w:t>
      </w:r>
      <w:r>
        <w:rPr>
          <w:i/>
        </w:rPr>
        <w:t xml:space="preserve">n</w:t>
      </w:r>
      <w:r>
        <w:t xml:space="preserve">-dimensional space. This means that a database can be traversed not only by accessing the first element —i.e., the head of a list, as in a linked list— and then moving sequentially to the ‘next’ record, or by using database keys —i.e., a pointer to a record— and primary data keys —i.e., a unique identifier assigned to each record by hashing or indexing. Bachman’s programmer-as-navigator could create secondary data keys, sets made out of these secondary keys, and navigate through those sets starting from any of its members. In other words, given a database with records and attributes, all atributes can become a new dimension (i.e., a new set of primary data keys used for navigation), making retrieval times much more efficient. Therefore, navigating through a database within this paradigm becomes following record relationships —i.e., data strcucture sets— instead of record order in storage.</w:t>
      </w:r>
    </w:p>
    <w:p>
      <w:pPr>
        <w:pStyle w:val="BodyText"/>
      </w:pPr>
      <w:r>
        <w:t xml:space="preserve">With this navigational paradigm, a new level of abstraction was given to database management systems which, while not arriving at the level of complexity that models got to with relational algebra operations, resulted in better and more efficient database retrieval. In this sense, the main difference between navigational and relational databases can be seen from the way in which users formulate queries: while in the latter users specify what needs to be found in terms of a logical comparison between record sets, in the former users specify what steps need to be made in order to arrive at a certain record. While navigational databases are closely related to the network model, the model is also a structure that can be paired with this navigational paradigm. For example, the Document Object Model (DOM) is an</w:t>
      </w:r>
      <w:r>
        <w:t xml:space="preserve"> </w:t>
      </w:r>
      <w:r>
        <w:t xml:space="preserve">api</w:t>
      </w:r>
      <w:r>
        <w:t xml:space="preserve"> </w:t>
      </w:r>
      <w:r>
        <w:t xml:space="preserve">that provides access to the different elements of a webpage, for example, using Javascript to traverse an HTML document. In general a DOM contains a hierarchic structure, but this structure can be access using this navigational paradigm. During the 1980s, navigational databases were eclipsed by the relational model, but after the 1990s, they re-emerged as, for example, databases.</w:t>
      </w:r>
    </w:p>
    <w:p>
      <w:pPr>
        <w:pStyle w:val="Heading4"/>
      </w:pPr>
      <w:bookmarkStart w:id="55" w:name="model:relational"/>
      <w:r>
        <w:t xml:space="preserve">Relational</w:t>
      </w:r>
      <w:bookmarkEnd w:id="55"/>
    </w:p>
    <w:p>
      <w:pPr>
        <w:pStyle w:val="CaptionedFigure"/>
      </w:pPr>
      <w:bookmarkStart w:id="57"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56"/>
                    <a:stretch>
                      <a:fillRect/>
                    </a:stretch>
                  </pic:blipFill>
                  <pic:spPr bwMode="auto">
                    <a:xfrm>
                      <a:off x="0" y="0"/>
                      <a:ext cx="2540000" cy="1676400"/>
                    </a:xfrm>
                    <a:prstGeom prst="rect">
                      <a:avLst/>
                    </a:prstGeom>
                    <a:noFill/>
                    <a:ln w="9525">
                      <a:noFill/>
                      <a:headEnd/>
                      <a:tailEnd/>
                    </a:ln>
                  </pic:spPr>
                </pic:pic>
              </a:graphicData>
            </a:graphic>
          </wp:inline>
        </w:drawing>
      </w:r>
      <w:bookmarkEnd w:id="57"/>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The main feature of relational databases is a table-like organization of the data, together with a separation between the physical level of data storage and the abstracted language, allowing users to achieve highly complex data manipulations by way of a simple query language based on relational algebra. Data is placed into uniquely identified rows —also called records or tuplets— which can have multiple columns —also called fields or attributes. A table thus becomes a relation, that is, a set of tuples with the same attributes. Relationships can be established in between different tables and the logical interaction of instances and values. Deductive database are advanced forms of relational databases</w:t>
      </w:r>
      <w:r>
        <w:t xml:space="preserve"> </w:t>
      </w:r>
      <w:r>
        <w:t xml:space="preserve">(Ramakrishnan &amp; Ullman 1995)</w:t>
      </w:r>
      <w:r>
        <w:t xml:space="preserve">.</w:t>
      </w:r>
    </w:p>
    <w:p>
      <w:pPr>
        <w:pStyle w:val="CaptionedFigure"/>
      </w:pPr>
      <w:bookmarkStart w:id="59" w:name="img:extended-relational"/>
      <w:r>
        <w:drawing>
          <wp:inline>
            <wp:extent cx="5334000" cy="3400109"/>
            <wp:effectExtent b="0" l="0" r="0" t="0"/>
            <wp:docPr descr="Diagram of the extended-relational model" title="" id="1" name="Picture"/>
            <a:graphic>
              <a:graphicData uri="http://schemas.openxmlformats.org/drawingml/2006/picture">
                <pic:pic>
                  <pic:nvPicPr>
                    <pic:cNvPr descr="/Users/federicocamarahalac/Documents/fd_work/text/waves/bin/img/extended-relational.png" id="0" name="Picture"/>
                    <pic:cNvPicPr>
                      <a:picLocks noChangeArrowheads="1" noChangeAspect="1"/>
                    </pic:cNvPicPr>
                  </pic:nvPicPr>
                  <pic:blipFill>
                    <a:blip r:embed="rId58"/>
                    <a:stretch>
                      <a:fillRect/>
                    </a:stretch>
                  </pic:blipFill>
                  <pic:spPr bwMode="auto">
                    <a:xfrm>
                      <a:off x="0" y="0"/>
                      <a:ext cx="5334000" cy="3400109"/>
                    </a:xfrm>
                    <a:prstGeom prst="rect">
                      <a:avLst/>
                    </a:prstGeom>
                    <a:noFill/>
                    <a:ln w="9525">
                      <a:noFill/>
                      <a:headEnd/>
                      <a:tailEnd/>
                    </a:ln>
                  </pic:spPr>
                </pic:pic>
              </a:graphicData>
            </a:graphic>
          </wp:inline>
        </w:drawing>
      </w:r>
      <w:bookmarkEnd w:id="59"/>
    </w:p>
    <w:p>
      <w:pPr>
        <w:pStyle w:val="ImageCaption"/>
      </w:pPr>
      <w:r>
        <w:t xml:space="preserve">Diagram of the extended-relational model</w:t>
      </w:r>
    </w:p>
    <w:p>
      <w:pPr>
        <w:pStyle w:val="BodyText"/>
      </w:pPr>
      <w:r>
        <w:t xml:space="preserve">Two models stem from the relational model: the extended-relational (a.k.a. RM/T) and the entity-relationship (ER) models. The former was designed by Codd as an improvement to his first model, and the latter was designed by Peter Chen in 1976.</w:t>
      </w:r>
    </w:p>
    <w:p>
      <w:pPr>
        <w:pStyle w:val="CaptionedFigure"/>
      </w:pPr>
      <w:bookmarkStart w:id="61" w:name="img:entity-relational"/>
      <w:r>
        <w:drawing>
          <wp:inline>
            <wp:extent cx="3314700" cy="850900"/>
            <wp:effectExtent b="0" l="0" r="0" t="0"/>
            <wp:docPr descr="Diagram of the entity-relationship model" title="" id="1" name="Picture"/>
            <a:graphic>
              <a:graphicData uri="http://schemas.openxmlformats.org/drawingml/2006/picture">
                <pic:pic>
                  <pic:nvPicPr>
                    <pic:cNvPr descr="/Users/federicocamarahalac/Documents/fd_work/text/waves/bin/img/entity-relational.png" id="0" name="Picture"/>
                    <pic:cNvPicPr>
                      <a:picLocks noChangeArrowheads="1" noChangeAspect="1"/>
                    </pic:cNvPicPr>
                  </pic:nvPicPr>
                  <pic:blipFill>
                    <a:blip r:embed="rId60"/>
                    <a:stretch>
                      <a:fillRect/>
                    </a:stretch>
                  </pic:blipFill>
                  <pic:spPr bwMode="auto">
                    <a:xfrm>
                      <a:off x="0" y="0"/>
                      <a:ext cx="3314700" cy="850900"/>
                    </a:xfrm>
                    <a:prstGeom prst="rect">
                      <a:avLst/>
                    </a:prstGeom>
                    <a:noFill/>
                    <a:ln w="9525">
                      <a:noFill/>
                      <a:headEnd/>
                      <a:tailEnd/>
                    </a:ln>
                  </pic:spPr>
                </pic:pic>
              </a:graphicData>
            </a:graphic>
          </wp:inline>
        </w:drawing>
      </w:r>
      <w:bookmarkEnd w:id="61"/>
    </w:p>
    <w:p>
      <w:pPr>
        <w:pStyle w:val="ImageCaption"/>
      </w:pPr>
      <w:r>
        <w:t xml:space="preserve">Diagram of the entity-relationship model</w:t>
      </w:r>
    </w:p>
    <w:p>
      <w:pPr>
        <w:pStyle w:val="BodyText"/>
      </w:pPr>
      <w:r>
        <w:t xml:space="preserve">Within the entity-relational model, two entities —i.e., relations, or tables— are connected by a relationship —i.e., a link— of the type ‘is a,’ establishing a more complex way of joining relations that provide meaningful insight on the way data is organized. In this sense, entities can be thought of as ‘nouns,’ while links or relationships can be thought of as ‘verbs.’ In essence, both relationships and entitites constitute ‘relations’ in themselves —i.e., in the same sense that they contain rows and attributes—, but the complex structures that derive from the types of relationships proposed by Chen can lead to clearer entity sets that convey meaning of the data in a more natural —i.e., language-like— way.</w:t>
      </w:r>
      <w:hyperlink w:anchor="fn27">
        <w:r>
          <w:rPr>
            <w:vertAlign w:val="superscript"/>
            <w:rStyle w:val="Hyperlink"/>
          </w:rPr>
          <w:t xml:space="preserve">27</w:t>
        </w:r>
      </w:hyperlink>
    </w:p>
    <w:p>
      <w:pPr>
        <w:pStyle w:val="Heading4"/>
      </w:pPr>
      <w:bookmarkStart w:id="62" w:name="model:semantic"/>
      <w:r>
        <w:t xml:space="preserve">Semantic</w:t>
      </w:r>
      <w:bookmarkEnd w:id="62"/>
    </w:p>
    <w:p>
      <w:pPr>
        <w:pStyle w:val="FirstParagraph"/>
      </w:pPr>
      <w:r>
        <w:t xml:space="preserve">Semantic Databases developed in the 1970s by the US Air Force, and a model was deviced by Bekke</w:t>
      </w:r>
      <w:r>
        <w:t xml:space="preserve"> </w:t>
      </w:r>
      <w:r>
        <w:t xml:space="preserve">(Bekke 1991)</w:t>
      </w:r>
      <w:r>
        <w:t xml:space="preserve"> </w:t>
      </w:r>
      <w:r>
        <w:t xml:space="preserve">which was implemented in the Xplain DBMS</w:t>
      </w:r>
      <w:hyperlink w:anchor="fn28">
        <w:r>
          <w:rPr>
            <w:vertAlign w:val="superscript"/>
            <w:rStyle w:val="Hyperlink"/>
          </w:rPr>
          <w:t xml:space="preserve">28</w:t>
        </w:r>
      </w:hyperlink>
      <w:r>
        <w:t xml:space="preserve">. Two types of semantic databases come to represent the and models.</w:t>
      </w:r>
    </w:p>
    <w:p>
      <w:pPr>
        <w:pStyle w:val="CaptionedFigure"/>
      </w:pPr>
      <w:bookmarkStart w:id="64" w:name="img:semantic-network"/>
      <w:r>
        <w:drawing>
          <wp:inline>
            <wp:extent cx="2794000" cy="3416300"/>
            <wp:effectExtent b="0" l="0" r="0" t="0"/>
            <wp:docPr descr="Diagram of the semantic network model" title="" id="1" name="Picture"/>
            <a:graphic>
              <a:graphicData uri="http://schemas.openxmlformats.org/drawingml/2006/picture">
                <pic:pic>
                  <pic:nvPicPr>
                    <pic:cNvPr descr="/Users/federicocamarahalac/Documents/fd_work/text/waves/bin/img/semantic-network.png" id="0" name="Picture"/>
                    <pic:cNvPicPr>
                      <a:picLocks noChangeArrowheads="1" noChangeAspect="1"/>
                    </pic:cNvPicPr>
                  </pic:nvPicPr>
                  <pic:blipFill>
                    <a:blip r:embed="rId63"/>
                    <a:stretch>
                      <a:fillRect/>
                    </a:stretch>
                  </pic:blipFill>
                  <pic:spPr bwMode="auto">
                    <a:xfrm>
                      <a:off x="0" y="0"/>
                      <a:ext cx="2794000" cy="3416300"/>
                    </a:xfrm>
                    <a:prstGeom prst="rect">
                      <a:avLst/>
                    </a:prstGeom>
                    <a:noFill/>
                    <a:ln w="9525">
                      <a:noFill/>
                      <a:headEnd/>
                      <a:tailEnd/>
                    </a:ln>
                  </pic:spPr>
                </pic:pic>
              </a:graphicData>
            </a:graphic>
          </wp:inline>
        </w:drawing>
      </w:r>
      <w:bookmarkEnd w:id="64"/>
    </w:p>
    <w:p>
      <w:pPr>
        <w:pStyle w:val="ImageCaption"/>
      </w:pPr>
      <w:r>
        <w:t xml:space="preserve">Diagram of the semantic network model</w:t>
      </w:r>
    </w:p>
    <w:p>
      <w:pPr>
        <w:pStyle w:val="CaptionedFigure"/>
      </w:pPr>
      <w:bookmarkStart w:id="66" w:name="img:semantic-hierarchical"/>
      <w:r>
        <w:drawing>
          <wp:inline>
            <wp:extent cx="4102100" cy="1625600"/>
            <wp:effectExtent b="0" l="0" r="0" t="0"/>
            <wp:docPr descr="Diagram of the semantic hierarchical model" title="" id="1" name="Picture"/>
            <a:graphic>
              <a:graphicData uri="http://schemas.openxmlformats.org/drawingml/2006/picture">
                <pic:pic>
                  <pic:nvPicPr>
                    <pic:cNvPr descr="/Users/federicocamarahalac/Documents/fd_work/text/waves/bin/img/semantic-hierarchical.png" id="0" name="Picture"/>
                    <pic:cNvPicPr>
                      <a:picLocks noChangeArrowheads="1" noChangeAspect="1"/>
                    </pic:cNvPicPr>
                  </pic:nvPicPr>
                  <pic:blipFill>
                    <a:blip r:embed="rId65"/>
                    <a:stretch>
                      <a:fillRect/>
                    </a:stretch>
                  </pic:blipFill>
                  <pic:spPr bwMode="auto">
                    <a:xfrm>
                      <a:off x="0" y="0"/>
                      <a:ext cx="4102100" cy="1625600"/>
                    </a:xfrm>
                    <a:prstGeom prst="rect">
                      <a:avLst/>
                    </a:prstGeom>
                    <a:noFill/>
                    <a:ln w="9525">
                      <a:noFill/>
                      <a:headEnd/>
                      <a:tailEnd/>
                    </a:ln>
                  </pic:spPr>
                </pic:pic>
              </a:graphicData>
            </a:graphic>
          </wp:inline>
        </w:drawing>
      </w:r>
      <w:bookmarkEnd w:id="66"/>
    </w:p>
    <w:p>
      <w:pPr>
        <w:pStyle w:val="ImageCaption"/>
      </w:pPr>
      <w:r>
        <w:t xml:space="preserve">Diagram of the semantic hierarchical model</w:t>
      </w:r>
    </w:p>
    <w:p>
      <w:pPr>
        <w:pStyle w:val="Heading4"/>
      </w:pPr>
      <w:bookmarkStart w:id="67" w:name="model:nonrelational"/>
      <w:r>
        <w:t xml:space="preserve">Non-Relational</w:t>
      </w:r>
      <w:bookmarkEnd w:id="67"/>
    </w:p>
    <w:p>
      <w:pPr>
        <w:pStyle w:val="FirstParagraph"/>
      </w:pPr>
      <w:r>
        <w:t xml:space="preserve">This is a more generall class of database models where the internal structure is other than the tabular kind that the presents. The NoSQL acronym tends to define these databases —i.e., meaning ‘non-’ or ‘not-only-’ sql—, since SQL is the most commonly used language used for querying and updating relational databases. Within this class or group of non-relational models, some examples can be:</w:t>
      </w:r>
    </w:p>
    <w:p>
      <w:pPr>
        <w:numPr>
          <w:numId w:val="1024"/>
          <w:ilvl w:val="0"/>
        </w:numPr>
      </w:pPr>
      <w:r>
        <w:t xml:space="preserve">Key-Value databases, which are centered on associative arrays (hash tables): such as dictionaries.</w:t>
      </w:r>
    </w:p>
    <w:p>
      <w:pPr>
        <w:numPr>
          <w:numId w:val="1024"/>
          <w:ilvl w:val="0"/>
        </w:numPr>
      </w:pPr>
      <w:r>
        <w:t xml:space="preserve">databases, also called document-oriented databases: such as XML, YAML, JSON, etc.</w:t>
      </w:r>
    </w:p>
    <w:p>
      <w:pPr>
        <w:numPr>
          <w:numId w:val="1024"/>
          <w:ilvl w:val="0"/>
        </w:numPr>
      </w:pPr>
      <w:r>
        <w:t xml:space="preserve">databases</w:t>
      </w:r>
    </w:p>
    <w:p>
      <w:pPr>
        <w:numPr>
          <w:numId w:val="1024"/>
          <w:ilvl w:val="0"/>
        </w:numPr>
      </w:pPr>
      <w:r>
        <w:t xml:space="preserve">mixed graph models: such as the way in which the World Wide Web convention (W3C) structures websites, with a URL as a ‘name’ and their content as a ‘graph’</w:t>
      </w:r>
    </w:p>
    <w:p>
      <w:pPr>
        <w:numPr>
          <w:numId w:val="1024"/>
          <w:ilvl w:val="0"/>
        </w:numPr>
      </w:pPr>
      <w:r>
        <w:t xml:space="preserve">databases</w:t>
      </w:r>
    </w:p>
    <w:p>
      <w:pPr>
        <w:numPr>
          <w:numId w:val="1024"/>
          <w:ilvl w:val="0"/>
        </w:numPr>
      </w:pPr>
      <w:r>
        <w:t xml:space="preserve">mixed models, among others.</w:t>
      </w:r>
    </w:p>
    <w:p>
      <w:pPr>
        <w:pStyle w:val="Heading4"/>
      </w:pPr>
      <w:bookmarkStart w:id="68" w:name="model:graph"/>
      <w:r>
        <w:t xml:space="preserve">Graph</w:t>
      </w:r>
      <w:bookmarkEnd w:id="68"/>
    </w:p>
    <w:p>
      <w:pPr>
        <w:pStyle w:val="BlockText"/>
      </w:pPr>
      <w:r>
        <w:t xml:space="preserve">Graph database models can be defined as those in which data structures for the schema and instances are modeled as graphs or generalizations of them, and data manipulation is expressed by graph-oriented operations and type constructors.</w:t>
      </w:r>
      <w:r>
        <w:t xml:space="preserve"> </w:t>
      </w:r>
      <w:r>
        <w:t xml:space="preserve">(Angles &amp; Gutierrez 2008)</w:t>
      </w:r>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w:t>
      </w:r>
    </w:p>
    <w:p>
      <w:pPr>
        <w:pStyle w:val="Heading4"/>
      </w:pPr>
      <w:bookmarkStart w:id="69" w:name="model:inmemory"/>
      <w:r>
        <w:t xml:space="preserve">In-Memory</w:t>
      </w:r>
      <w:bookmarkEnd w:id="69"/>
    </w:p>
    <w:p>
      <w:pPr>
        <w:pStyle w:val="FirstParagraph"/>
      </w:pPr>
      <w:r>
        <w:t xml:space="preserve">A DBMS relying on main memory (RAM), contrasted with others that rely on disk storage mechanism. They are faster and well suited for data analysis, but since they depend on main memory, they are subjected to RAM’s volatility —i.e., non persistence, e.g., in the presence of a power failure. In cloud computing terms, in-memory databases (IMDBs) would enter the realm of ‘hot’ data storage —for fast retrieval and modification—, in contrast to ‘cold’ data storage —for less frequent update.</w:t>
      </w:r>
      <w:hyperlink w:anchor="fn29">
        <w:r>
          <w:rPr>
            <w:vertAlign w:val="superscript"/>
            <w:rStyle w:val="Hyperlink"/>
          </w:rPr>
          <w:t xml:space="preserve">29</w:t>
        </w:r>
      </w:hyperlink>
    </w:p>
    <w:p>
      <w:pPr>
        <w:pStyle w:val="Heading4"/>
      </w:pPr>
      <w:bookmarkStart w:id="70" w:name="model:object"/>
      <w:r>
        <w:t xml:space="preserve">Object</w:t>
      </w:r>
      <w:bookmarkEnd w:id="70"/>
    </w:p>
    <w:p>
      <w:pPr>
        <w:pStyle w:val="CaptionedFigure"/>
      </w:pPr>
      <w:bookmarkStart w:id="72"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1"/>
                    <a:stretch>
                      <a:fillRect/>
                    </a:stretch>
                  </pic:blipFill>
                  <pic:spPr bwMode="auto">
                    <a:xfrm>
                      <a:off x="0" y="0"/>
                      <a:ext cx="3073400" cy="3111500"/>
                    </a:xfrm>
                    <a:prstGeom prst="rect">
                      <a:avLst/>
                    </a:prstGeom>
                    <a:noFill/>
                    <a:ln w="9525">
                      <a:noFill/>
                      <a:headEnd/>
                      <a:tailEnd/>
                    </a:ln>
                  </pic:spPr>
                </pic:pic>
              </a:graphicData>
            </a:graphic>
          </wp:inline>
        </w:drawing>
      </w:r>
      <w:bookmarkEnd w:id="72"/>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accesible in several object-oriented languages.</w:t>
      </w:r>
    </w:p>
    <w:p>
      <w:pPr>
        <w:pStyle w:val="Heading4"/>
      </w:pPr>
      <w:bookmarkStart w:id="73" w:name="model:semistructured"/>
      <w:r>
        <w:t xml:space="preserve">Semi-structured</w:t>
      </w:r>
      <w:bookmarkEnd w:id="73"/>
    </w:p>
    <w:p>
      <w:pPr>
        <w:pStyle w:val="CaptionedFigure"/>
      </w:pPr>
      <w:bookmarkStart w:id="75"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4"/>
                    <a:stretch>
                      <a:fillRect/>
                    </a:stretch>
                  </pic:blipFill>
                  <pic:spPr bwMode="auto">
                    <a:xfrm>
                      <a:off x="0" y="0"/>
                      <a:ext cx="5334000" cy="2873505"/>
                    </a:xfrm>
                    <a:prstGeom prst="rect">
                      <a:avLst/>
                    </a:prstGeom>
                    <a:noFill/>
                    <a:ln w="9525">
                      <a:noFill/>
                      <a:headEnd/>
                      <a:tailEnd/>
                    </a:ln>
                  </pic:spPr>
                </pic:pic>
              </a:graphicData>
            </a:graphic>
          </wp:inline>
        </w:drawing>
      </w:r>
      <w:bookmarkEnd w:id="75"/>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—i.e., browsers, query languages, application-specific interfaces, etc.—, making the process of obtaining useful information increasingly more difficult since these platforms call for specificallyt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hyperlink w:anchor="fn30">
        <w:r>
          <w:rPr>
            <w:vertAlign w:val="superscript"/>
            <w:rStyle w:val="Hyperlink"/>
          </w:rPr>
          <w:t xml:space="preserve">30</w:t>
        </w:r>
      </w:hyperlink>
      <w:r>
        <w:t xml:space="preserve"> </w:t>
      </w:r>
      <w:r>
        <w:t xml:space="preserve">A known database of this kind is the Internet Movie Database (IMDB).</w:t>
      </w:r>
      <w:hyperlink w:anchor="fn31">
        <w:r>
          <w:rPr>
            <w:vertAlign w:val="superscript"/>
            <w:rStyle w:val="Hyperlink"/>
          </w:rPr>
          <w:t xml:space="preserve">31</w:t>
        </w:r>
      </w:hyperlink>
    </w:p>
    <w:p>
      <w:pPr>
        <w:pStyle w:val="Heading2"/>
      </w:pPr>
      <w:bookmarkStart w:id="76" w:name="Xb1ac8120eb0efdf1ece00979462e143f6a11d8a"/>
      <w:r>
        <w:t xml:space="preserve">Databasing Sound: Applications of databases in sound</w:t>
      </w:r>
      <w:bookmarkEnd w:id="76"/>
    </w:p>
    <w:p>
      <w:pPr>
        <w:pStyle w:val="CaptionedFigure"/>
      </w:pPr>
      <w:bookmarkStart w:id="78" w:name="img:databasingmusic"/>
      <w:r>
        <w:drawing>
          <wp:inline>
            <wp:extent cx="5334000" cy="1046259"/>
            <wp:effectExtent b="0" l="0" r="0" t="0"/>
            <wp:docPr descr="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 title="" id="1" name="Picture"/>
            <a:graphic>
              <a:graphicData uri="http://schemas.openxmlformats.org/drawingml/2006/picture">
                <pic:pic>
                  <pic:nvPicPr>
                    <pic:cNvPr descr="/Users/federicocamarahalac/Documents/fd_work/text/waves/bin/img/mir_comp_sonif.jpg" id="0" name="Picture"/>
                    <pic:cNvPicPr>
                      <a:picLocks noChangeArrowheads="1" noChangeAspect="1"/>
                    </pic:cNvPicPr>
                  </pic:nvPicPr>
                  <pic:blipFill>
                    <a:blip r:embed="rId77"/>
                    <a:stretch>
                      <a:fillRect/>
                    </a:stretch>
                  </pic:blipFill>
                  <pic:spPr bwMode="auto">
                    <a:xfrm>
                      <a:off x="0" y="0"/>
                      <a:ext cx="5334000" cy="1046259"/>
                    </a:xfrm>
                    <a:prstGeom prst="rect">
                      <a:avLst/>
                    </a:prstGeom>
                    <a:noFill/>
                    <a:ln w="9525">
                      <a:noFill/>
                      <a:headEnd/>
                      <a:tailEnd/>
                    </a:ln>
                  </pic:spPr>
                </pic:pic>
              </a:graphicData>
            </a:graphic>
          </wp:inline>
        </w:drawing>
      </w:r>
      <w:bookmarkEnd w:id="78"/>
    </w:p>
    <w:p>
      <w:pPr>
        <w:pStyle w:val="ImageCaption"/>
      </w:pPr>
      <w:r>
        <w:t xml:space="preserve">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w:t>
      </w:r>
    </w:p>
    <w:p>
      <w:pPr>
        <w:pStyle w:val="BodyText"/>
      </w:pPr>
      <w:r>
        <w:t xml:space="preserve">So far I have reviewed Manovich’s declaration of the database as a new creative center in new media art, and I have taken Hansen’s criticism on Manovich’s disembodied arguments, identifying in Manovich a silent allegiance to Kittler’s posthumanism. This interlocking between the identification of data as information and —as a consequence of this— surrendering human agency to technology, has been overlooked by the next generation of writers who followed Manovich’s call for ‘info-aesthetics’ in their ‘database aesthetics.’ My intention in this section, rather than being focused on where these artists and theorists of the aesthetics of the database have gone wrong, it is centered, however, on the question of how database practices have been considered in new media over the years. While Hansen’s emphasis on visual and virtual art is well justified within his text,</w:t>
      </w:r>
      <w:hyperlink w:anchor="fn32">
        <w:r>
          <w:rPr>
            <w:vertAlign w:val="superscript"/>
            <w:rStyle w:val="Hyperlink"/>
          </w:rPr>
          <w:t xml:space="preserve">32</w:t>
        </w:r>
      </w:hyperlink>
      <w:r>
        <w:t xml:space="preserve"> </w:t>
      </w:r>
      <w:r>
        <w:t xml:space="preserve">this is not the case within the collection gathered in</w:t>
      </w:r>
      <w:r>
        <w:t xml:space="preserve"> </w:t>
      </w:r>
      <w:r>
        <w:rPr>
          <w:i/>
        </w:rPr>
        <w:t xml:space="preserve">Database Aesthetics</w:t>
      </w:r>
      <w:r>
        <w:t xml:space="preserve">. Therefore, what I intend to describe next is the missing element in the reviewed literature of the database, namely, a theory of the use of databases in relation to sound.</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4.12</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79" w:name="mir"/>
      <w:r>
        <w:t xml:space="preserve">Music Information Retrieval</w:t>
      </w:r>
      <w:bookmarkEnd w:id="79"/>
    </w:p>
    <w:p>
      <w:pPr>
        <w:pStyle w:val="FirstParagraph"/>
      </w:pPr>
      <w:r>
        <w:t xml:space="preserve">In music information retrieval (MIR), the database is in front of the programmer, and has a crucial position in the field, but in a very different way. This practice has been present in academia for a while</w:t>
      </w:r>
      <w:hyperlink w:anchor="fn33">
        <w:r>
          <w:rPr>
            <w:vertAlign w:val="superscript"/>
            <w:rStyle w:val="Hyperlink"/>
          </w:rPr>
          <w:t xml:space="preserve">33</w:t>
        </w:r>
      </w:hyperlink>
      <w:r>
        <w:t xml:space="preserve">, most generally within electrical engineering departments. The objective of MIR is the analysis of sound signals in order to obtain useful information. Therefore, out of an audio file which contains millions of audio samples</w:t>
      </w:r>
      <w:hyperlink w:anchor="fn34">
        <w:r>
          <w:rPr>
            <w:vertAlign w:val="superscript"/>
            <w:rStyle w:val="Hyperlink"/>
          </w:rPr>
          <w:t xml:space="preserve">34</w:t>
        </w:r>
      </w:hyperlink>
      <w:r>
        <w:t xml:space="preserve">, a database of a handful of feature descriptors</w:t>
      </w:r>
      <w:hyperlink w:anchor="fn35">
        <w:r>
          <w:rPr>
            <w:vertAlign w:val="superscript"/>
            <w:rStyle w:val="Hyperlink"/>
          </w:rPr>
          <w:t xml:space="preserve">35</w:t>
        </w:r>
      </w:hyperlink>
      <w:r>
        <w:t xml:space="preserve"> </w:t>
      </w:r>
      <w:r>
        <w:t xml:space="preserve">is obtained in order to identify the file. Thus, by reducing the dimensionality of data-points to a smaller number, MIR defines an easily navigable feature space.</w:t>
      </w:r>
    </w:p>
    <w:p>
      <w:pPr>
        <w:pStyle w:val="Heading4"/>
      </w:pPr>
      <w:bookmarkStart w:id="80" w:name="mir:informationspace"/>
      <w:r>
        <w:t xml:space="preserve">Information Space</w:t>
      </w:r>
      <w:bookmarkEnd w:id="80"/>
    </w:p>
    <w:p>
      <w:pPr>
        <w:pStyle w:val="FirstParagraph"/>
      </w:pPr>
      <w:r>
        <w:t xml:space="preserve">The space of navigation is often referred to as ‘information space,’ which essentially consists of a database of feature descriptors that can be navigated. The purpose of this navigation, for MIR is still being explored. However, this type of database navigation has been used to obtain information to perform automatic tasks such as categorization (for recommendation systems), for track separation or instrument recognition, for automatic transcription, among other uses. What this feature space consists of, however, is a</w:t>
      </w:r>
      <w:r>
        <w:t xml:space="preserve"> </w:t>
      </w:r>
      <w:r>
        <w:rPr>
          <w:i/>
        </w:rPr>
        <w:t xml:space="preserve">data-set</w:t>
      </w:r>
      <w:r>
        <w:t xml:space="preserve"> </w:t>
      </w:r>
      <w:r>
        <w:t xml:space="preserve">—as it is commonly referred to in the literature— holding an identification tags —i.e., a set of ‘id’s— of a certain audio file, and its description vector. Over the 18 years of the ISMIR conference, for example, about 30 databases of this sort have been publicly created.</w:t>
      </w:r>
      <w:hyperlink w:anchor="fn36">
        <w:r>
          <w:rPr>
            <w:vertAlign w:val="superscript"/>
            <w:rStyle w:val="Hyperlink"/>
          </w:rPr>
          <w:t xml:space="preserve">36</w:t>
        </w:r>
      </w:hyperlink>
    </w:p>
    <w:p>
      <w:pPr>
        <w:pStyle w:val="Heading4"/>
      </w:pPr>
      <w:bookmarkStart w:id="81" w:name="mir:applications"/>
      <w:r>
        <w:t xml:space="preserve">Applications of MIR</w:t>
      </w:r>
      <w:bookmarkEnd w:id="81"/>
    </w:p>
    <w:p>
      <w:pPr>
        <w:pStyle w:val="FirstParagraph"/>
      </w:pPr>
      <w:r>
        <w:t xml:space="preserve">Among the many analytical uses of MIR over the years, I would like to point to the Semantic Hi-Fi 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3 years, and stemmed from the research of another previous project by Vinet at IRCAM, the CUIDADO project (Content-based Unified Interfaces and Descriptors for Audio/music Databases available Online)</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5"/>
          <w:ilvl w:val="0"/>
        </w:numPr>
      </w:pPr>
      <w:r>
        <w:t xml:space="preserve">to create digital libraries</w:t>
      </w:r>
      <w:r>
        <w:t xml:space="preserve"> </w:t>
      </w:r>
      <w:r>
        <w:t xml:space="preserve">(Dunn 2000)</w:t>
      </w:r>
    </w:p>
    <w:p>
      <w:pPr>
        <w:numPr>
          <w:numId w:val="1025"/>
          <w:ilvl w:val="0"/>
        </w:numPr>
      </w:pPr>
      <w:r>
        <w:t xml:space="preserve">to store actual music notation</w:t>
      </w:r>
      <w:r>
        <w:t xml:space="preserve"> </w:t>
      </w:r>
      <w:r>
        <w:t xml:space="preserve">(Good 2000)</w:t>
      </w:r>
    </w:p>
    <w:p>
      <w:pPr>
        <w:numPr>
          <w:numId w:val="1025"/>
          <w:ilvl w:val="0"/>
        </w:numPr>
      </w:pPr>
      <w:r>
        <w:t xml:space="preserve">for audio classification and clustering</w:t>
      </w:r>
      <w:r>
        <w:t xml:space="preserve"> </w:t>
      </w:r>
      <w:r>
        <w:t xml:space="preserve">(Homburg et al. 2005, Yang 2001)</w:t>
      </w:r>
    </w:p>
    <w:p>
      <w:pPr>
        <w:numPr>
          <w:numId w:val="1025"/>
          <w:ilvl w:val="0"/>
        </w:numPr>
      </w:pPr>
      <w:r>
        <w:t xml:space="preserve">for the evaluation of multiple-source, fundamental frequency estimation algorithms</w:t>
      </w:r>
      <w:r>
        <w:t xml:space="preserve"> </w:t>
      </w:r>
      <w:r>
        <w:t xml:space="preserve">(Yeh et al. 2007)</w:t>
      </w:r>
    </w:p>
    <w:p>
      <w:pPr>
        <w:numPr>
          <w:numId w:val="1025"/>
          <w:ilvl w:val="0"/>
        </w:numPr>
      </w:pPr>
      <w:r>
        <w:t xml:space="preserve">to describe performance expression</w:t>
      </w:r>
      <w:r>
        <w:t xml:space="preserve"> </w:t>
      </w:r>
      <w:r>
        <w:t xml:space="preserve">(Hashida et al. 2008)</w:t>
      </w:r>
    </w:p>
    <w:p>
      <w:pPr>
        <w:numPr>
          <w:numId w:val="1025"/>
          <w:ilvl w:val="0"/>
        </w:numPr>
      </w:pPr>
      <w:r>
        <w:t xml:space="preserve">for genre recognition and classification</w:t>
      </w:r>
      <w:r>
        <w:t xml:space="preserve"> </w:t>
      </w:r>
      <w:r>
        <w:t xml:space="preserve">(Jr. et al. 2008, Sanden et al. 2010, Xu et al. 2005)</w:t>
      </w:r>
    </w:p>
    <w:p>
      <w:pPr>
        <w:numPr>
          <w:numId w:val="1025"/>
          <w:ilvl w:val="0"/>
        </w:numPr>
      </w:pPr>
      <w:r>
        <w:t xml:space="preserve">for structural analysis</w:t>
      </w:r>
      <w:r>
        <w:t xml:space="preserve"> </w:t>
      </w:r>
      <w:r>
        <w:t xml:space="preserve">(Smith et al. 2011)</w:t>
      </w:r>
    </w:p>
    <w:p>
      <w:pPr>
        <w:numPr>
          <w:numId w:val="1025"/>
          <w:ilvl w:val="0"/>
        </w:numPr>
      </w:pPr>
      <w:r>
        <w:t xml:space="preserve">for contextual music listening pattern detection using social media</w:t>
      </w:r>
      <w:r>
        <w:t xml:space="preserve"> </w:t>
      </w:r>
      <w:r>
        <w:t xml:space="preserve">(Hauger et al. 2013)</w:t>
      </w:r>
    </w:p>
    <w:p>
      <w:pPr>
        <w:numPr>
          <w:numId w:val="1025"/>
          <w:ilvl w:val="0"/>
        </w:numPr>
      </w:pPr>
      <w:r>
        <w:t xml:space="preserve">to train models for phoneme detection</w:t>
      </w:r>
      <w:r>
        <w:t xml:space="preserve"> </w:t>
      </w:r>
      <w:r>
        <w:t xml:space="preserve">(Proutskova et al. 2012)</w:t>
      </w:r>
    </w:p>
    <w:p>
      <w:pPr>
        <w:numPr>
          <w:numId w:val="1025"/>
          <w:ilvl w:val="0"/>
        </w:numPr>
      </w:pPr>
      <w:r>
        <w:t xml:space="preserve">for schenkerian analysis</w:t>
      </w:r>
      <w:r>
        <w:t xml:space="preserve"> </w:t>
      </w:r>
      <w:r>
        <w:t xml:space="preserve">(Kirlin 2014)</w:t>
      </w:r>
    </w:p>
    <w:p>
      <w:pPr>
        <w:numPr>
          <w:numId w:val="1025"/>
          <w:ilvl w:val="0"/>
        </w:numPr>
      </w:pPr>
      <w:r>
        <w:t xml:space="preserve">for tonal music analysis using generative theory of tonal music (GTTM)</w:t>
      </w:r>
      <w:r>
        <w:t xml:space="preserve"> </w:t>
      </w:r>
      <w:r>
        <w:t xml:space="preserve">(Hamanaka et al. 2014)</w:t>
      </w:r>
    </w:p>
    <w:p>
      <w:pPr>
        <w:numPr>
          <w:numId w:val="1025"/>
          <w:ilvl w:val="0"/>
        </w:numPr>
      </w:pPr>
      <w:r>
        <w:t xml:space="preserve">for counterpoint analysis</w:t>
      </w:r>
      <w:r>
        <w:t xml:space="preserve"> </w:t>
      </w:r>
      <w:r>
        <w:t xml:space="preserve">(Antila &amp; Cumming 2014)</w:t>
      </w:r>
    </w:p>
    <w:p>
      <w:pPr>
        <w:numPr>
          <w:numId w:val="1025"/>
          <w:ilvl w:val="0"/>
        </w:numPr>
      </w:pPr>
      <w:r>
        <w:t xml:space="preserve">for emotion recognition and color associations in the listener</w:t>
      </w:r>
      <w:r>
        <w:t xml:space="preserve"> </w:t>
      </w:r>
      <w:r>
        <w:t xml:space="preserve">(Pesek et al. 2014)</w:t>
      </w:r>
    </w:p>
    <w:p>
      <w:pPr>
        <w:numPr>
          <w:numId w:val="1025"/>
          <w:ilvl w:val="0"/>
        </w:numPr>
      </w:pPr>
      <w:r>
        <w:t xml:space="preserve">for melody extraction</w:t>
      </w:r>
      <w:r>
        <w:t xml:space="preserve"> </w:t>
      </w:r>
      <w:r>
        <w:t xml:space="preserve">(Bittner et al. 2014)</w:t>
      </w:r>
    </w:p>
    <w:p>
      <w:pPr>
        <w:numPr>
          <w:numId w:val="1025"/>
          <w:ilvl w:val="0"/>
        </w:numPr>
      </w:pPr>
      <w:r>
        <w:t xml:space="preserve">for harmonic analysis</w:t>
      </w:r>
      <w:r>
        <w:t xml:space="preserve"> </w:t>
      </w:r>
      <w:r>
        <w:t xml:space="preserve">(Devaney et al. 2015)</w:t>
      </w:r>
    </w:p>
    <w:p>
      <w:pPr>
        <w:numPr>
          <w:numId w:val="1025"/>
          <w:ilvl w:val="0"/>
        </w:numPr>
      </w:pPr>
      <w:r>
        <w:t xml:space="preserve">for the evaluation of tempo estimation and key detection algorithms</w:t>
      </w:r>
      <w:r>
        <w:t xml:space="preserve"> </w:t>
      </w:r>
      <w:r>
        <w:t xml:space="preserve">(Knees et al. 2015)</w:t>
      </w:r>
    </w:p>
    <w:p>
      <w:pPr>
        <w:numPr>
          <w:numId w:val="1025"/>
          <w:ilvl w:val="0"/>
        </w:numPr>
      </w:pPr>
      <w:r>
        <w:t xml:space="preserve">for orchestration</w:t>
      </w:r>
      <w:r>
        <w:t xml:space="preserve"> </w:t>
      </w:r>
      <w:r>
        <w:t xml:space="preserve">(Crestel et al. 2017)</w:t>
      </w:r>
    </w:p>
    <w:p>
      <w:pPr>
        <w:numPr>
          <w:numId w:val="1025"/>
          <w:ilvl w:val="0"/>
        </w:numPr>
      </w:pPr>
      <w:r>
        <w:t xml:space="preserve">for computational musicology</w:t>
      </w:r>
      <w:hyperlink w:anchor="fn37">
        <w:r>
          <w:rPr>
            <w:vertAlign w:val="superscript"/>
            <w:rStyle w:val="Hyperlink"/>
          </w:rPr>
          <w:t xml:space="preserve">37</w:t>
        </w:r>
      </w:hyperlink>
      <w:r>
        <w:t xml:space="preserve"> </w:t>
      </w:r>
      <w:r>
        <w:t xml:space="preserve">(Parada-Cabaleiro et al. 2017)</w:t>
      </w:r>
    </w:p>
    <w:p>
      <w:pPr>
        <w:numPr>
          <w:numId w:val="1025"/>
          <w:ilvl w:val="0"/>
        </w:numPr>
      </w:pPr>
      <w:r>
        <w:t xml:space="preserve">for training and evaluating chord transcription algorithms</w:t>
      </w:r>
      <w:r>
        <w:t xml:space="preserve"> </w:t>
      </w:r>
      <w:r>
        <w:t xml:space="preserve">(Eremenko et al. 2018)</w:t>
      </w:r>
    </w:p>
    <w:p>
      <w:pPr>
        <w:numPr>
          <w:numId w:val="1025"/>
          <w:ilvl w:val="0"/>
        </w:numPr>
      </w:pPr>
      <w:r>
        <w:t xml:space="preserve">for multi-instrument recognition</w:t>
      </w:r>
      <w:r>
        <w:t xml:space="preserve"> </w:t>
      </w:r>
      <w:r>
        <w:t xml:space="preserve">(Humphrey et al. 2018)</w:t>
      </w:r>
    </w:p>
    <w:p>
      <w:pPr>
        <w:pStyle w:val="Heading3"/>
      </w:pPr>
      <w:bookmarkStart w:id="82" w:name="sonification"/>
      <w:r>
        <w:t xml:space="preserve">Sonification</w:t>
      </w:r>
      <w:bookmarkEnd w:id="82"/>
    </w:p>
    <w:p>
      <w:pPr>
        <w:pStyle w:val="FirstParagraph"/>
      </w:pPr>
      <w:r>
        <w:t xml:space="preserve">To a certain extent, the database is the ground floor of sonification, or what allowed sonification to emerge as a practice:</w:t>
      </w:r>
      <w:hyperlink w:anchor="fn38">
        <w:r>
          <w:rPr>
            <w:vertAlign w:val="superscript"/>
            <w:rStyle w:val="Hyperlink"/>
          </w:rPr>
          <w:t xml:space="preserve">38</w:t>
        </w:r>
      </w:hyperlink>
    </w:p>
    <w:p>
      <w:pPr>
        <w:pStyle w:val="BlockText"/>
      </w:pPr>
      <w:r>
        <w:t xml:space="preserve">Sonification…seeks to translate relationships in data or information into sound(s) that exploit the auditory perceptual abilities of human beings such that the data relationships are comprehensible</w:t>
      </w:r>
      <w:r>
        <w:t xml:space="preserve"> </w:t>
      </w:r>
      <w:r>
        <w:t xml:space="preserve">(Walker &amp; Nees 2011, p. 9)</w:t>
      </w:r>
      <w:r>
        <w:t xml:space="preserve">.</w:t>
      </w:r>
    </w:p>
    <w:p>
      <w:pPr>
        <w:pStyle w:val="FirstParagraph"/>
      </w:pPr>
      <w:r>
        <w:t xml:space="preserve">The ‘data’ that is sonified is very likely to be digital</w:t>
      </w:r>
      <w:hyperlink w:anchor="fn39">
        <w:r>
          <w:rPr>
            <w:vertAlign w:val="superscript"/>
            <w:rStyle w:val="Hyperlink"/>
          </w:rPr>
          <w:t xml:space="preserve">39</w:t>
        </w:r>
      </w:hyperlink>
      <w:r>
        <w:t xml:space="preserve">, which means that data needs to be stored in a structured way for fast access by computers. Therefore, in order for sonification to take place, the data needs to be anchored in a database. According to Walker and Nees, there are three types of sonifications: event-based</w:t>
      </w:r>
      <w:hyperlink w:anchor="fn40">
        <w:r>
          <w:rPr>
            <w:vertAlign w:val="superscript"/>
            <w:rStyle w:val="Hyperlink"/>
          </w:rPr>
          <w:t xml:space="preserve">40</w:t>
        </w:r>
      </w:hyperlink>
      <w:r>
        <w:t xml:space="preserve">, model-based</w:t>
      </w:r>
      <w:hyperlink w:anchor="fn41">
        <w:r>
          <w:rPr>
            <w:vertAlign w:val="superscript"/>
            <w:rStyle w:val="Hyperlink"/>
          </w:rPr>
          <w:t xml:space="preserve">41</w:t>
        </w:r>
      </w:hyperlink>
      <w:r>
        <w:t xml:space="preserve">, and continuous</w:t>
      </w:r>
      <w:hyperlink w:anchor="fn42">
        <w:r>
          <w:rPr>
            <w:vertAlign w:val="superscript"/>
            <w:rStyle w:val="Hyperlink"/>
          </w:rPr>
          <w:t xml:space="preserve">42</w:t>
        </w:r>
      </w:hyperlink>
      <w:r>
        <w:t xml:space="preserve">.</w:t>
      </w:r>
    </w:p>
    <w:p>
      <w:pPr>
        <w:pStyle w:val="Heading4"/>
      </w:pPr>
      <w:bookmarkStart w:id="83" w:name="sonification:sonifying"/>
      <w:r>
        <w:t xml:space="preserve">Sonifying the Database</w:t>
      </w:r>
      <w:bookmarkEnd w:id="83"/>
    </w:p>
    <w:p>
      <w:pPr>
        <w:pStyle w:val="FirstParagraph"/>
      </w:pPr>
      <w:r>
        <w:t xml:space="preserve">All of the above mentioned ways of sonifying data depend on pre-existing data —i.e., data before sound—, and thus, these practices depend on databases: on the interaction between databases, and on their traversing. This dependency on databases notwithstanding, sonification literature has been focused mainly on the interaction between technics and the body. What this means is that the developments in sonification have always been guided by principles of psychoacoustics, and thus shaped by the limitations of the human body’s capacity to listen.</w:t>
      </w:r>
    </w:p>
    <w:p>
      <w:pPr>
        <w:pStyle w:val="BodyText"/>
      </w:pPr>
      <w:r>
        <w:t xml:space="preserve">In this sense, sonification is</w:t>
      </w:r>
    </w:p>
    <w:p>
      <w:pPr>
        <w:pStyle w:val="BlockText"/>
      </w:pPr>
      <w:r>
        <w:t xml:space="preserve">…a relatively recent subset of auditory displays. As in any information system[,] an auditory display offers a relay between the information source and the information receiver…In the case of an auditory display, the data of interest are conveyed to the human listener through sound</w:t>
      </w:r>
      <w:r>
        <w:t xml:space="preserve"> </w:t>
      </w:r>
      <w:r>
        <w:t xml:space="preserve">(Walker &amp; Nees 2011, p. 10)</w:t>
      </w:r>
      <w:r>
        <w:t xml:space="preserve">.</w:t>
      </w:r>
    </w:p>
    <w:p>
      <w:pPr>
        <w:pStyle w:val="FirstParagraph"/>
      </w:pPr>
      <w:r>
        <w:t xml:space="preserve">What sonification as a practice has taken into account is the auditory system’s evolved ability to extract biologically relevant information from the complex acoustic world.</w:t>
      </w:r>
      <w:hyperlink w:anchor="fn43">
        <w:r>
          <w:rPr>
            <w:vertAlign w:val="superscript"/>
            <w:rStyle w:val="Hyperlink"/>
          </w:rPr>
          <w:t xml:space="preserve">43</w:t>
        </w:r>
      </w:hyperlink>
      <w:r>
        <w:t xml:space="preserve"> </w:t>
      </w:r>
      <w:r>
        <w:t xml:space="preserve">What this emphasis on sound perception and cognition mainly attests to is the fact that there is no one-to-one correspondence between sound parameters (e.g., frequency, amplitude, spectral content, etc.) and how these are perceived (e.g., pitch, loudness, timbre, etc.).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 In what follows, I present some instances of sonification practices as described by their authors.</w:t>
      </w:r>
    </w:p>
    <w:p>
      <w:pPr>
        <w:pStyle w:val="Heading4"/>
      </w:pPr>
      <w:bookmarkStart w:id="84" w:name="sonification:parametermapping"/>
      <w:r>
        <w:t xml:space="preserve">Parameter mapping</w:t>
      </w:r>
      <w:bookmarkEnd w:id="8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—i.e., an</w:t>
      </w:r>
      <w:r>
        <w:t xml:space="preserve"> </w:t>
      </w:r>
      <w:r>
        <w:rPr>
          <w:i/>
        </w:rPr>
        <w:t xml:space="preserve">orchestra</w:t>
      </w:r>
      <w:r>
        <w:t xml:space="preserve"> </w:t>
      </w:r>
      <w:r>
        <w:t xml:space="preserve">file holding the code for the music synthesis instruments, and a</w:t>
      </w:r>
      <w:r>
        <w:t xml:space="preserve"> </w:t>
      </w:r>
      <w:r>
        <w:rPr>
          <w:i/>
        </w:rPr>
        <w:t xml:space="preserve">score</w:t>
      </w:r>
      <w:r>
        <w:t xml:space="preserve"> </w:t>
      </w:r>
      <w:r>
        <w:t xml:space="preserve">file holding the code for the sequences of parameters for the instruments—,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44">
        <w:r>
          <w:rPr>
            <w:vertAlign w:val="superscript"/>
            <w:rStyle w:val="Hyperlink"/>
          </w:rPr>
          <w:t xml:space="preserve">44</w:t>
        </w:r>
      </w:hyperlink>
    </w:p>
    <w:p>
      <w:pPr>
        <w:pStyle w:val="Heading4"/>
      </w:pPr>
      <w:bookmarkStart w:id="85" w:name="sonification:artistic"/>
      <w:r>
        <w:t xml:space="preserve">Artistic sonification</w:t>
      </w:r>
      <w:bookmarkEnd w:id="85"/>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45">
        <w:r>
          <w:rPr>
            <w:vertAlign w:val="superscript"/>
            <w:rStyle w:val="Hyperlink"/>
          </w:rPr>
          <w:t xml:space="preserve">45</w:t>
        </w:r>
      </w:hyperlink>
    </w:p>
    <w:p>
      <w:pPr>
        <w:pStyle w:val="BodyText"/>
      </w:pPr>
      <w:r>
        <w:t xml:space="preserve">Natasha Barrett</w:t>
      </w:r>
      <w:r>
        <w:t xml:space="preserve"> </w:t>
      </w:r>
      <w:r>
        <w:t xml:space="preserve">(Barrett 2000)</w:t>
      </w:r>
      <w:r>
        <w:t xml:space="preserve"> </w:t>
      </w:r>
      <w:r>
        <w:t xml:space="preserve">composed an electroacoustic work called ‘Viva La Selva’</w:t>
      </w:r>
      <w:hyperlink w:anchor="fn46">
        <w:r>
          <w:rPr>
            <w:vertAlign w:val="superscript"/>
            <w:rStyle w:val="Hyperlink"/>
          </w:rPr>
          <w:t xml:space="preserve">46</w:t>
        </w:r>
      </w:hyperlink>
      <w:r>
        <w:t xml:space="preserve"> </w:t>
      </w:r>
      <w:r>
        <w:t xml:space="preserve">using 14-hour long recordings taken from a forest</w:t>
      </w:r>
      <w:hyperlink w:anchor="fn47">
        <w:r>
          <w:rPr>
            <w:vertAlign w:val="superscript"/>
            <w:rStyle w:val="Hyperlink"/>
          </w:rPr>
          <w:t xml:space="preserve">47</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 Coastal Data Information Program (CDIP) since 1975. The database until 2002 contained over 50 gigabytes (GB) of spectral and directional content of the wave-driven motions at the location of the sensing buoys. By scaling to hearable range and then performing an Inverse Fourier Transform (IFT) of the data, Sturm composed a piece called ‘Pacific Pulse,’ on which frequency sweeps indicate storms beginnings (rising) and endings (falling).</w:t>
      </w:r>
    </w:p>
    <w:p>
      <w:pPr>
        <w:pStyle w:val="BodyText"/>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 , by two audification processes —direct audification and via a straightforward additive synthesis process— applied to the Human Metabolome Database (HMDB)</w:t>
      </w:r>
      <w:hyperlink w:anchor="fn48">
        <w:r>
          <w:rPr>
            <w:vertAlign w:val="superscript"/>
            <w:rStyle w:val="Hyperlink"/>
          </w:rPr>
          <w:t xml:space="preserve">48</w:t>
        </w:r>
      </w:hyperlink>
      <w:r>
        <w:t xml:space="preserve">, a database holding nuclear magnetic resonance (NMR) spectroscopies of molecules.</w:t>
      </w:r>
    </w:p>
    <w:p>
      <w:pPr>
        <w:pStyle w:val="Heading4"/>
      </w:pPr>
      <w:bookmarkStart w:id="86" w:name="sonification:software"/>
      <w:r>
        <w:t xml:space="preserve">Sonification Software</w:t>
      </w:r>
      <w:bookmarkEnd w:id="86"/>
    </w:p>
    <w:p>
      <w:pPr>
        <w:pStyle w:val="FirstParagraph"/>
      </w:pPr>
      <w:r>
        <w:t xml:space="preserve">The following software was selected from the many sonification tools built over the years.</w:t>
      </w:r>
      <w:hyperlink w:anchor="fn49">
        <w:r>
          <w:rPr>
            <w:vertAlign w:val="superscript"/>
            <w:rStyle w:val="Hyperlink"/>
          </w:rPr>
          <w:t xml:space="preserve">49</w:t>
        </w:r>
      </w:hyperlink>
    </w:p>
    <w:p>
      <w:pPr>
        <w:pStyle w:val="BodyText"/>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the</w:t>
      </w:r>
      <w:r>
        <w:t xml:space="preserve"> </w:t>
      </w:r>
      <w:r>
        <w:rPr>
          <w:i/>
        </w:rPr>
        <w:t xml:space="preserve">scanning</w:t>
      </w:r>
      <w:r>
        <w:t xml:space="preserve"> </w:t>
      </w:r>
      <w:r>
        <w:t xml:space="preserve">—data sonified in a fixed, non-modifiable order— and</w:t>
      </w:r>
      <w:r>
        <w:t xml:space="preserve"> </w:t>
      </w:r>
      <w:r>
        <w:rPr>
          <w:i/>
        </w:rPr>
        <w:t xml:space="preserve">probing</w:t>
      </w:r>
      <w:r>
        <w:t xml:space="preserve"> </w:t>
      </w:r>
      <w:r>
        <w:t xml:space="preserve">—sonification data points are selected by the user— methods into one interface.</w:t>
      </w:r>
    </w:p>
    <w:p>
      <w:pPr>
        <w:pStyle w:val="BodyText"/>
      </w:pPr>
      <w:r>
        <w:t xml:space="preserve">Cadiz et al</w:t>
      </w:r>
      <w:r>
        <w:t xml:space="preserve"> </w:t>
      </w:r>
      <w:r>
        <w:t xml:space="preserve">(Cádiz et al. 2015)</w:t>
      </w:r>
      <w:r>
        <w:t xml:space="preserve"> </w:t>
      </w:r>
      <w:r>
        <w:t xml:space="preserve">proposed a sonification approach based on statistical descriptors of regions of interest (ROI) selected from medical images. In their study, they focused on enhancing breast cancer symptom detection in mammograms by mapping statistical descriptors —e.g., mean, minimum, maximum, standard deviation, kurtosis, skewness, etc.—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BodyText"/>
      </w:pPr>
      <w:r>
        <w:t xml:space="preserve">In his computer aided data-driven composition (CADDC) environment called DataPlayer —programmed as a standalone MAX/MSP application—, Nardelli</w:t>
      </w:r>
      <w:r>
        <w:t xml:space="preserve"> </w:t>
      </w:r>
      <w:r>
        <w:t xml:space="preserve">(Nardelli 2015)</w:t>
      </w:r>
      <w:r>
        <w:t xml:space="preserve"> </w:t>
      </w:r>
      <w:r>
        <w:t xml:space="preserve">sonified data from the AFLOWLIB</w:t>
      </w:r>
      <w:hyperlink w:anchor="fn50">
        <w:r>
          <w:rPr>
            <w:vertAlign w:val="superscript"/>
            <w:rStyle w:val="Hyperlink"/>
          </w:rPr>
          <w:t xml:space="preserve">50</w:t>
        </w:r>
      </w:hyperlink>
      <w:r>
        <w:t xml:space="preserve"> </w:t>
      </w:r>
      <w:r>
        <w:t xml:space="preserve">—a database of material compounds for which he also designed a separate Python script to map data parameters to MIDI values. His sonification intent was aimed towards data navigation, by means of a unique mapping that would convey an overall trend —i.e., a — of each material compound. Furthermore, this environment allowed for artistic remixing and exploration of the sonification procedures, simultaneously touching on the scientific use and the expressive value of databases.</w:t>
      </w:r>
    </w:p>
    <w:p>
      <w:pPr>
        <w:pStyle w:val="BodyText"/>
      </w:pPr>
      <w:r>
        <w:t xml:space="preserve">Hamilton et al</w:t>
      </w:r>
      <w:r>
        <w:t xml:space="preserve"> </w:t>
      </w:r>
      <w:r>
        <w:t xml:space="preserve">(Fox et al. 2017)</w:t>
      </w:r>
      <w:r>
        <w:t xml:space="preserve"> </w:t>
      </w:r>
      <w:r>
        <w:t xml:space="preserve">deviced</w:t>
      </w:r>
      <w:r>
        <w:t xml:space="preserve"> </w:t>
      </w:r>
      <w:r>
        <w:rPr>
          <w:i/>
        </w:rPr>
        <w:t xml:space="preserve">madBPM</w:t>
      </w:r>
      <w:r>
        <w:t xml:space="preserve">, a data-ingestion engine suitable for database perceptualization, i.e. sonification and visualization. This modular C++ software platform enables data loading from CSV (Comma-Separated Values) files, multiple mapping via tagging, several traversing algorithms and units, and networked connectivity to SuperCollider —for sound output— and OpenFrameworks</w:t>
      </w:r>
      <w:hyperlink w:anchor="fn51">
        <w:r>
          <w:rPr>
            <w:vertAlign w:val="superscript"/>
            <w:rStyle w:val="Hyperlink"/>
          </w:rPr>
          <w:t xml:space="preserve">51</w:t>
        </w:r>
      </w:hyperlink>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w:t>
      </w:r>
    </w:p>
    <w:p>
      <w:pPr>
        <w:pStyle w:val="BlockText"/>
      </w:pPr>
      <w:r>
        <w:t xml:space="preserve">…by asking users to explicitly define the data parsing and meta structure (program-level logic), the platform is flexible enough to allow work with both un- or pre- processed datasets, structured or unstructured data, or multiple forms of data segmentation and tagging. At the current state of the project, these objects are still defined in C++ source code and compiled into the platform.</w:t>
      </w:r>
      <w:r>
        <w:t xml:space="preserve"> </w:t>
      </w:r>
      <w:r>
        <w:t xml:space="preserve">(Fox et al. 2017, p. 504)</w:t>
      </w:r>
    </w:p>
    <w:p>
      <w:pPr>
        <w:pStyle w:val="FirstParagraph"/>
      </w:pPr>
      <w:r>
        <w:t xml:space="preserve">In this sense, users can structure and re-structure potentially any type of data set. However, in order to design new behavior objects the user needs to implement them in the source code and compile them. Thus, besides real-time data streaming and networking functionality, in their future work the authors aim at designing a Domain Specific Language (DSL) that would enable extending the functionality of these behaviors in real-time.</w:t>
      </w:r>
    </w:p>
    <w:p>
      <w:pPr>
        <w:pStyle w:val="Heading4"/>
      </w:pPr>
      <w:bookmarkStart w:id="87" w:name="sonification:installations"/>
      <w:r>
        <w:t xml:space="preserve">Sonification Installations</w:t>
      </w:r>
      <w:bookmarkEnd w:id="87"/>
    </w:p>
    <w:p>
      <w:pPr>
        <w:pStyle w:val="FirstParagraph"/>
      </w:pPr>
      <w:r>
        <w:t xml:space="preserve">Mark Ballora et al</w:t>
      </w:r>
      <w:r>
        <w:t xml:space="preserve"> </w:t>
      </w:r>
      <w:r>
        <w:t xml:space="preserve">(Ballora et al. 2010)</w:t>
      </w:r>
      <w:r>
        <w:t xml:space="preserve"> </w:t>
      </w:r>
      <w:r>
        <w:t xml:space="preserve">sonified a database of HTTP requests at Penn State’s Center for Network Centric Cognition and Information Fusion. This database contained entries with four fields —timestamp, location (latitude-longitude), IP address, and response type— which they used as time and spatialization (for the first two), and different pitch and timbre representations, from the more concrete —IP values mapped to frequency— to the more abstract: IP mapped as a formant filter, and as a high-pass filter for a brown noise generator. Their aim was to build a soundscape with different but simultaneous sonifications of the data, so that the resulting work could run as in the background generating a pleasing —but informative— experience.</w:t>
      </w:r>
      <w:hyperlink w:anchor="fn52">
        <w:r>
          <w:rPr>
            <w:vertAlign w:val="superscript"/>
            <w:rStyle w:val="Hyperlink"/>
          </w:rPr>
          <w:t xml:space="preserve">52</w:t>
        </w:r>
      </w:hyperlink>
    </w:p>
    <w:p>
      <w:pPr>
        <w:pStyle w:val="BodyText"/>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(Graphics Processing Unit). In order to carry this out, they used the —Apple’s built-in framework to interface with the GPU—, and intervened on the processing pipeline to output CPU (Central Processing Unit) accessible data. Thus, the audio engine running on the CPU was able to interpret as waveforms the values of the vertex and fragment shaders —i.e., the position data related to a rendered shape and the pixel values respective to its display, respectively. Therefore, they obtained simultaneous visualization and audification of the rendered three dimensional shape. In their installation</w:t>
      </w:r>
      <w:r>
        <w:t xml:space="preserve"> </w:t>
      </w:r>
      <w:r>
        <w:rPr>
          <w:i/>
        </w:rPr>
        <w:t xml:space="preserve">The Things of Shapes</w:t>
      </w:r>
      <w:hyperlink w:anchor="fn53">
        <w:r>
          <w:rPr>
            <w:vertAlign w:val="superscript"/>
            <w:rStyle w:val="Hyperlink"/>
          </w:rPr>
          <w:t xml:space="preserve">53</w:t>
        </w:r>
      </w:hyperlink>
      <w:r>
        <w:t xml:space="preserve">, they used the generated waveforms as a database, composing each waveform together with their visual generators as a collage.</w:t>
      </w:r>
    </w:p>
    <w:p>
      <w:pPr>
        <w:pStyle w:val="BodyText"/>
      </w:pPr>
      <w:r>
        <w:t xml:space="preserve">More recent installations include PerMagnus Lindorg’s sonification of real-time earthquake data as a sound sculpture</w:t>
      </w:r>
      <w:r>
        <w:t xml:space="preserve"> </w:t>
      </w:r>
      <w:r>
        <w:t xml:space="preserve">(Lindborg 2017)</w:t>
      </w:r>
      <w:r>
        <w:t xml:space="preserve">. Within</w:t>
      </w:r>
      <w:r>
        <w:t xml:space="preserve"> </w:t>
      </w:r>
      <w:r>
        <w:rPr>
          <w:i/>
        </w:rPr>
        <w:t xml:space="preserve">Pacific Bell Tower</w:t>
      </w:r>
      <w:r>
        <w:t xml:space="preserve">, Lindborg used data from the IRIS</w:t>
      </w:r>
      <w:hyperlink w:anchor="fn54">
        <w:r>
          <w:rPr>
            <w:vertAlign w:val="superscript"/>
            <w:rStyle w:val="Hyperlink"/>
          </w:rPr>
          <w:t xml:space="preserve">54</w:t>
        </w:r>
      </w:hyperlink>
      <w:r>
        <w:t xml:space="preserve"> </w:t>
      </w:r>
      <w:r>
        <w:t xml:space="preserve">Data Services, which transmits seismographic data packets updated every 30 minutes from multiple observation sites. He spatialized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4"/>
      </w:pPr>
      <w:bookmarkStart w:id="88" w:name="sonification:model"/>
      <w:r>
        <w:t xml:space="preserve">Model-based sonification</w:t>
      </w:r>
      <w:bookmarkEnd w:id="88"/>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w:t>
      </w:r>
      <w:hyperlink w:anchor="fn55">
        <w:r>
          <w:rPr>
            <w:vertAlign w:val="superscript"/>
            <w:rStyle w:val="Hyperlink"/>
          </w:rPr>
          <w:t xml:space="preserve">55</w:t>
        </w:r>
      </w:hyperlink>
      <w:r>
        <w:t xml:space="preserve"> </w:t>
      </w:r>
      <w:r>
        <w:t xml:space="preserve">project</w:t>
      </w:r>
      <w:r>
        <w:t xml:space="preserve"> </w:t>
      </w:r>
      <w:r>
        <w:t xml:space="preserve">(Vogt et al. 2012)</w:t>
      </w:r>
      <w:r>
        <w:t xml:space="preserve"> </w:t>
      </w:r>
      <w:r>
        <w:t xml:space="preserve">at the Institute of Electronic Music and Acoustics (IEM) of the University of Music and Performing Arts, Graz. Within this installation, they proposed a three dimensional, navigable space holding a Monte Carlo simulation of the theory of quantum electrodynamics (QED). Within this ‘lattice QED,’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89" w:name="sonification:affective"/>
      <w:r>
        <w:t xml:space="preserve">Affective Sonification</w:t>
      </w:r>
      <w:bookmarkEnd w:id="89"/>
    </w:p>
    <w:p>
      <w:pPr>
        <w:pStyle w:val="FirstParagraph"/>
      </w:pPr>
      <w:r>
        <w:t xml:space="preserve">Ian Whalley</w:t>
      </w:r>
      <w:r>
        <w:t xml:space="preserve"> </w:t>
      </w:r>
      <w:r>
        <w:t xml:space="preserve">(Whalley 2014)</w:t>
      </w:r>
      <w:r>
        <w:t xml:space="preserve"> </w:t>
      </w:r>
      <w:r>
        <w:t xml:space="preserve">carried out an embodied approach to data sonification in his research on telematic electroacoustic music. He claims that although sonification is well established as a practice, the role of the human body when it concerns data streams has been traditionally left out.</w:t>
      </w:r>
    </w:p>
    <w:p>
      <w:pPr>
        <w:pStyle w:val="BodyText"/>
      </w:pPr>
      <w:r>
        <w:t xml:space="preserve">In this sense, telematic performance, which is for Whalley an expression of the extent to which human life is mediated by data streams, suffers from a (disembodied) limitation. Whalley’s solution consists in emphasizing on the micro-gestural quality of music performance. Thus, he designed parameter mappings for sonification of real-time stock market data basing parameter constraints on actual human performers —musicians who were used as baseline for an affective sonification mapping.</w:t>
      </w:r>
    </w:p>
    <w:p>
      <w:pPr>
        <w:pStyle w:val="Heading3"/>
      </w:pPr>
      <w:bookmarkStart w:id="90" w:name="computer_music"/>
      <w:r>
        <w:t xml:space="preserve">Computer Music</w:t>
      </w:r>
      <w:bookmarkEnd w:id="90"/>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Heading4"/>
      </w:pPr>
      <w:bookmarkStart w:id="91" w:name="computer:sssp"/>
      <w:r>
        <w:t xml:space="preserve">SSSP and the question of complexity</w:t>
      </w:r>
      <w:bookmarkEnd w:id="91"/>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56">
        <w:r>
          <w:rPr>
            <w:vertAlign w:val="superscript"/>
            <w:rStyle w:val="Hyperlink"/>
          </w:rPr>
          <w:t xml:space="preserve">56</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57">
        <w:r>
          <w:rPr>
            <w:vertAlign w:val="superscript"/>
            <w:rStyle w:val="Hyperlink"/>
          </w:rPr>
          <w:t xml:space="preserve">57</w:t>
        </w:r>
      </w:hyperlink>
    </w:p>
    <w:p>
      <w:pPr>
        <w:pStyle w:val="Heading4"/>
      </w:pPr>
      <w:bookmarkStart w:id="92" w:name="computer:blackbox"/>
      <w:r>
        <w:t xml:space="preserve">Black-boxing Programs</w:t>
      </w:r>
      <w:bookmarkEnd w:id="92"/>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58">
        <w:r>
          <w:rPr>
            <w:vertAlign w:val="superscript"/>
            <w:rStyle w:val="Hyperlink"/>
          </w:rPr>
          <w:t xml:space="preserve">58</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93" w:name="computer:free"/>
      <w:r>
        <w:t xml:space="preserve">CAMP and the vanilla synthesizer</w:t>
      </w:r>
      <w:bookmarkEnd w:id="93"/>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59">
        <w:r>
          <w:rPr>
            <w:vertAlign w:val="superscript"/>
            <w:rStyle w:val="Hyperlink"/>
          </w:rPr>
          <w:t xml:space="preserve">59</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94" w:name="computer:linked"/>
      <w:r>
        <w:t xml:space="preserve">Enter Linked Lists</w:t>
      </w:r>
      <w:bookmarkEnd w:id="94"/>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95" w:name="computer:notation"/>
      <w:r>
        <w:t xml:space="preserve">Notating scores</w:t>
      </w:r>
      <w:bookmarkEnd w:id="95"/>
    </w:p>
    <w:p>
      <w:pPr>
        <w:pStyle w:val="FirstParagraph"/>
      </w:pPr>
      <w:r>
        <w:t xml:space="preserve">Other programming approaches for music notation software were developed during the 1980s, specifically using the DARMS</w:t>
      </w:r>
      <w:hyperlink w:anchor="fn60">
        <w:r>
          <w:rPr>
            <w:vertAlign w:val="superscript"/>
            <w:rStyle w:val="Hyperlink"/>
          </w:rPr>
          <w:t xml:space="preserve">60</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61">
        <w:r>
          <w:rPr>
            <w:vertAlign w:val="superscript"/>
            <w:rStyle w:val="Hyperlink"/>
          </w:rPr>
          <w:t xml:space="preserve">61</w:t>
        </w:r>
      </w:hyperlink>
      <w:r>
        <w:t xml:space="preserve">, SCORE shifted into music printing, and after the appearance of the PostScript format in the 1980s, the program was well established for a commercial release in 1989.</w:t>
      </w:r>
    </w:p>
    <w:p>
      <w:pPr>
        <w:pStyle w:val="Heading4"/>
      </w:pPr>
      <w:bookmarkStart w:id="96" w:name="computer:computer"/>
      <w:r>
        <w:t xml:space="preserve">Computer Scores</w:t>
      </w:r>
      <w:bookmarkEnd w:id="96"/>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 </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62">
        <w:r>
          <w:rPr>
            <w:vertAlign w:val="superscript"/>
            <w:rStyle w:val="Hyperlink"/>
          </w:rPr>
          <w:t xml:space="preserve">62</w:t>
        </w:r>
      </w:hyperlink>
    </w:p>
    <w:p>
      <w:pPr>
        <w:pStyle w:val="Heading4"/>
      </w:pPr>
      <w:bookmarkStart w:id="97" w:name="computer:nutation"/>
      <w:r>
        <w:t xml:space="preserve">N</w:t>
      </w:r>
      <w:r>
        <w:rPr>
          <w:i/>
        </w:rPr>
        <w:t xml:space="preserve">u</w:t>
      </w:r>
      <w:r>
        <w:t xml:space="preserve">tation</w:t>
      </w:r>
      <w:bookmarkEnd w:id="97"/>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63">
        <w:r>
          <w:rPr>
            <w:vertAlign w:val="superscript"/>
            <w:rStyle w:val="Hyperlink"/>
          </w:rPr>
          <w:t xml:space="preserve">63</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98" w:name="computer:theoretical"/>
      <w:r>
        <w:t xml:space="preserve">Theoretical Performance</w:t>
      </w:r>
      <w:bookmarkEnd w:id="98"/>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64">
        <w:r>
          <w:rPr>
            <w:vertAlign w:val="superscript"/>
            <w:rStyle w:val="Hyperlink"/>
          </w:rPr>
          <w:t xml:space="preserve">64</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99" w:name="computer:realtime"/>
      <w:r>
        <w:t xml:space="preserve">Real-time data structures</w:t>
      </w:r>
      <w:bookmarkEnd w:id="99"/>
    </w:p>
    <w:p>
      <w:pPr>
        <w:pStyle w:val="FirstParagraph"/>
      </w:pPr>
      <w:r>
        <w:t xml:space="preserve">Composers and programmers in the 1980s began focusing, however, on real-time performance of computer music.</w:t>
      </w:r>
      <w:hyperlink w:anchor="fn65">
        <w:r>
          <w:rPr>
            <w:vertAlign w:val="superscript"/>
            <w:rStyle w:val="Hyperlink"/>
          </w:rPr>
          <w:t xml:space="preserve">65</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p>
    <w:p>
      <w:pPr>
        <w:pStyle w:val="Heading4"/>
      </w:pPr>
      <w:bookmarkStart w:id="100" w:name="computer:puredata"/>
      <w:r>
        <w:t xml:space="preserve">Pure Data</w:t>
      </w:r>
      <w:bookmarkEnd w:id="100"/>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101" w:name="computer:datastructures"/>
      <w:r>
        <w:t xml:space="preserve">Pd Data Structures</w:t>
      </w:r>
      <w:bookmarkEnd w:id="101"/>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102" w:name="computer:rtcmix"/>
      <w:r>
        <w:t xml:space="preserve">RtCMIX and the heap</w:t>
      </w:r>
      <w:bookmarkEnd w:id="102"/>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66">
        <w:r>
          <w:rPr>
            <w:vertAlign w:val="superscript"/>
            <w:rStyle w:val="Hyperlink"/>
          </w:rPr>
          <w:t xml:space="preserve">66</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67">
        <w:r>
          <w:rPr>
            <w:vertAlign w:val="superscript"/>
            <w:rStyle w:val="Hyperlink"/>
          </w:rPr>
          <w:t xml:space="preserve">67</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103" w:name="computer:openmusic"/>
      <w:r>
        <w:t xml:space="preserve">OpenMusic</w:t>
      </w:r>
      <w:bookmarkEnd w:id="103"/>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68">
        <w:r>
          <w:rPr>
            <w:vertAlign w:val="superscript"/>
            <w:rStyle w:val="Hyperlink"/>
          </w:rPr>
          <w:t xml:space="preserve">68</w:t>
        </w:r>
      </w:hyperlink>
    </w:p>
    <w:p>
      <w:pPr>
        <w:pStyle w:val="Heading4"/>
      </w:pPr>
      <w:bookmarkStart w:id="104" w:name="computer:kyma"/>
      <w:r>
        <w:t xml:space="preserve">Kyma</w:t>
      </w:r>
      <w:bookmarkEnd w:id="104"/>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05" w:name="computer:audacity"/>
      <w:r>
        <w:t xml:space="preserve">Audacity and the Sequence</w:t>
      </w:r>
      <w:bookmarkEnd w:id="105"/>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69">
        <w:r>
          <w:rPr>
            <w:vertAlign w:val="superscript"/>
            <w:rStyle w:val="Hyperlink"/>
          </w:rPr>
          <w:t xml:space="preserve">69</w:t>
        </w:r>
      </w:hyperlink>
    </w:p>
    <w:p>
      <w:pPr>
        <w:pStyle w:val="Heading4"/>
      </w:pPr>
      <w:bookmarkStart w:id="106" w:name="computer:supercollider"/>
      <w:r>
        <w:t xml:space="preserve">SuperCollider and nodes</w:t>
      </w:r>
      <w:bookmarkEnd w:id="106"/>
    </w:p>
    <w:p>
      <w:pPr>
        <w:pStyle w:val="FirstParagraph"/>
      </w:pPr>
      <w:r>
        <w:t xml:space="preserve">The literature on computer music software for composition alone would extend beyond the scope of this dissertation.</w:t>
      </w:r>
      <w:hyperlink w:anchor="fn70">
        <w:r>
          <w:rPr>
            <w:vertAlign w:val="superscript"/>
            <w:rStyle w:val="Hyperlink"/>
          </w:rPr>
          <w:t xml:space="preserve">70</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07" w:name="applications"/>
      <w:r>
        <w:t xml:space="preserve">Applications</w:t>
      </w:r>
      <w:bookmarkEnd w:id="107"/>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08" w:name="applications:synthesis"/>
      <w:r>
        <w:t xml:space="preserve">Synthesis</w:t>
      </w:r>
      <w:bookmarkEnd w:id="108"/>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71">
        <w:r>
          <w:rPr>
            <w:vertAlign w:val="superscript"/>
            <w:rStyle w:val="Hyperlink"/>
          </w:rPr>
          <w:t xml:space="preserve">71</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09" w:name="applications:navigation"/>
      <w:r>
        <w:t xml:space="preserve">Navigation</w:t>
      </w:r>
      <w:bookmarkEnd w:id="109"/>
    </w:p>
    <w:p>
      <w:pPr>
        <w:pStyle w:val="FirstParagraph"/>
      </w:pPr>
      <w:r>
        <w:t xml:space="preserve">Insook Choi</w:t>
      </w:r>
      <w:hyperlink w:anchor="fn72">
        <w:r>
          <w:rPr>
            <w:vertAlign w:val="superscript"/>
            <w:rStyle w:val="Hyperlink"/>
          </w:rPr>
          <w:t xml:space="preserve">72</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73">
        <w:r>
          <w:rPr>
            <w:vertAlign w:val="superscript"/>
            <w:rStyle w:val="Hyperlink"/>
          </w:rPr>
          <w:t xml:space="preserve">73</w:t>
        </w:r>
      </w:hyperlink>
      <w:r>
        <w:t xml:space="preserve"> </w:t>
      </w:r>
      <w:r>
        <w:t xml:space="preserve">Furthermore, she included</w:t>
      </w:r>
      <w:r>
        <w:t xml:space="preserve"> </w:t>
      </w:r>
      <w:r>
        <w:rPr>
          <w:i/>
        </w:rPr>
        <w:t xml:space="preserve">histeresis</w:t>
      </w:r>
      <w:hyperlink w:anchor="fn74">
        <w:r>
          <w:rPr>
            <w:vertAlign w:val="superscript"/>
            <w:rStyle w:val="Hyperlink"/>
          </w:rPr>
          <w:t xml:space="preserve">74</w:t>
        </w:r>
      </w:hyperlink>
      <w:r>
        <w:t xml:space="preserve"> </w:t>
      </w:r>
      <w:r>
        <w:t xml:space="preserve">within the system, enabling condition-dependent events to occur as participants’ interaction lasted longer.</w:t>
      </w:r>
      <w:hyperlink w:anchor="fn75">
        <w:r>
          <w:rPr>
            <w:vertAlign w:val="superscript"/>
            <w:rStyle w:val="Hyperlink"/>
          </w:rPr>
          <w:t xml:space="preserve">75</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76">
        <w:r>
          <w:rPr>
            <w:vertAlign w:val="superscript"/>
            <w:rStyle w:val="Hyperlink"/>
          </w:rPr>
          <w:t xml:space="preserve">76</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10" w:name="application:performance"/>
      <w:r>
        <w:t xml:space="preserve">Performance</w:t>
      </w:r>
      <w:bookmarkEnd w:id="110"/>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77">
        <w:r>
          <w:rPr>
            <w:vertAlign w:val="superscript"/>
            <w:rStyle w:val="Hyperlink"/>
          </w:rPr>
          <w:t xml:space="preserve">77</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11" w:name="application:gesture"/>
      <w:r>
        <w:t xml:space="preserve">Gesture</w:t>
      </w:r>
      <w:bookmarkEnd w:id="111"/>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78">
        <w:r>
          <w:rPr>
            <w:vertAlign w:val="superscript"/>
            <w:rStyle w:val="Hyperlink"/>
          </w:rPr>
          <w:t xml:space="preserve">78</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79">
        <w:r>
          <w:rPr>
            <w:vertAlign w:val="superscript"/>
            <w:rStyle w:val="Hyperlink"/>
          </w:rPr>
          <w:t xml:space="preserve">79</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80">
        <w:r>
          <w:rPr>
            <w:vertAlign w:val="superscript"/>
            <w:rStyle w:val="Hyperlink"/>
          </w:rPr>
          <w:t xml:space="preserve">80</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12" w:name="application:sharing"/>
      <w:r>
        <w:t xml:space="preserve">Resource Sharing</w:t>
      </w:r>
      <w:bookmarkEnd w:id="112"/>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81">
        <w:r>
          <w:rPr>
            <w:vertAlign w:val="superscript"/>
            <w:rStyle w:val="Hyperlink"/>
          </w:rPr>
          <w:t xml:space="preserve">81</w:t>
        </w:r>
      </w:hyperlink>
      <w:r>
        <w:t xml:space="preserve"> </w:t>
      </w:r>
      <w:r>
        <w:t xml:space="preserve">project a data format for sharing between different multimedia environments. Based on previous work on file formats</w:t>
      </w:r>
      <w:hyperlink w:anchor="fn82">
        <w:r>
          <w:rPr>
            <w:vertAlign w:val="superscript"/>
            <w:rStyle w:val="Hyperlink"/>
          </w:rPr>
          <w:t xml:space="preserve">82</w:t>
        </w:r>
      </w:hyperlink>
      <w:r>
        <w:t xml:space="preserve">, they developed the IXD format which is capable of containing sequences, tags and meta-data, and presets. Their argument for an XML</w:t>
      </w:r>
      <w:hyperlink w:anchor="fn83">
        <w:r>
          <w:rPr>
            <w:vertAlign w:val="superscript"/>
            <w:rStyle w:val="Hyperlink"/>
          </w:rPr>
          <w:t xml:space="preserve">83</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13" w:name="chapter:Database_Aesthetics"/>
      <w:r>
        <w:t xml:space="preserve">Database Aesthetics</w:t>
      </w:r>
      <w:bookmarkEnd w:id="113"/>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14" w:name="section:Listening_Database"/>
      <w:r>
        <w:t xml:space="preserve">Listening Database</w:t>
      </w:r>
      <w:bookmarkEnd w:id="114"/>
    </w:p>
    <w:p>
      <w:pPr>
        <w:pStyle w:val="FirstParagraph"/>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Heading3"/>
      </w:pPr>
      <w:bookmarkStart w:id="115" w:name="resonance_of_a_return"/>
      <w:r>
        <w:t xml:space="preserve">The Resonance of a Return</w:t>
      </w:r>
      <w:bookmarkEnd w:id="115"/>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4.1.3</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4.1.3</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84">
        <w:r>
          <w:rPr>
            <w:vertAlign w:val="superscript"/>
            <w:rStyle w:val="Hyperlink"/>
          </w:rPr>
          <w:t xml:space="preserve">84</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85">
        <w:r>
          <w:rPr>
            <w:vertAlign w:val="superscript"/>
            <w:rStyle w:val="Hyperlink"/>
          </w:rPr>
          <w:t xml:space="preserve">85</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16" w:name="network"/>
      <w:r>
        <w:t xml:space="preserve">Resonant Network</w:t>
      </w:r>
      <w:bookmarkEnd w:id="116"/>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(Latour 1990, p. 14)</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17" w:name="work"/>
      <w:r>
        <w:t xml:space="preserve">The Work of Actors</w:t>
      </w:r>
      <w:bookmarkEnd w:id="117"/>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18" w:name="inoperativity"/>
      <w:r>
        <w:t xml:space="preserve">The Unworking Network</w:t>
      </w:r>
      <w:bookmarkEnd w:id="118"/>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(Nancy 1991, p. 31)</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19" w:name="section:Memory"/>
      <w:r>
        <w:t xml:space="preserve">Memory</w:t>
      </w:r>
      <w:bookmarkEnd w:id="119"/>
    </w:p>
    <w:p>
      <w:pPr>
        <w:pStyle w:val="FirstParagraph"/>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Heading3"/>
      </w:pPr>
      <w:bookmarkStart w:id="120" w:name="funeslude"/>
      <w:r>
        <w:t xml:space="preserve">Interlude: Embodied Memory</w:t>
      </w:r>
      <w:bookmarkEnd w:id="120"/>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remembmer, to dream, to imagine. Throughout the years, he became condemned to absolute memory, and so to its consequence, insomnia:</w:t>
      </w:r>
      <w:hyperlink w:anchor="fn86">
        <w:r>
          <w:rPr>
            <w:vertAlign w:val="superscript"/>
            <w:rStyle w:val="Hyperlink"/>
          </w:rPr>
          <w:t xml:space="preserve">86</w:t>
        </w:r>
      </w:hyperlink>
      <w:r>
        <w:t xml:space="preserve"> </w:t>
      </w:r>
      <w:r>
        <w:t xml:space="preserve">he was secluded in a dark and enclosed space so as not to perceive the world.</w:t>
      </w:r>
      <w:hyperlink w:anchor="fn87">
        <w:r>
          <w:rPr>
            <w:vertAlign w:val="superscript"/>
            <w:rStyle w:val="Hyperlink"/>
          </w:rPr>
          <w:t xml:space="preserve">87</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88">
        <w:r>
          <w:rPr>
            <w:vertAlign w:val="superscript"/>
            <w:rStyle w:val="Hyperlink"/>
          </w:rPr>
          <w:t xml:space="preserve">88</w:t>
        </w:r>
      </w:hyperlink>
      <w:r>
        <w:t xml:space="preserve"> </w:t>
      </w:r>
      <w:r>
        <w:t xml:space="preserve">However, the distinction that Hayles presents —which has been discussed before (See</w:t>
      </w:r>
      <w:r>
        <w:t xml:space="preserve"> </w:t>
      </w:r>
      <w:hyperlink w:anchor="bodiless_information">
        <w:r>
          <w:rPr>
            <w:rStyle w:val="Hyperlink"/>
          </w:rPr>
          <w:t xml:space="preserve">4.1.2</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89">
        <w:r>
          <w:rPr>
            <w:vertAlign w:val="superscript"/>
            <w:rStyle w:val="Hyperlink"/>
          </w:rPr>
          <w:t xml:space="preserve">89</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90">
        <w:r>
          <w:rPr>
            <w:vertAlign w:val="superscript"/>
            <w:rStyle w:val="Hyperlink"/>
          </w:rPr>
          <w:t xml:space="preserve">90</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nontheless possible— that Borges was aware of American acoustician Leo Beranek’s research for the US Army during World War II, that is, when the first anechoic chamber was built.</w:t>
      </w:r>
      <w:hyperlink w:anchor="fn91">
        <w:r>
          <w:rPr>
            <w:vertAlign w:val="superscript"/>
            <w:rStyle w:val="Hyperlink"/>
          </w:rPr>
          <w:t xml:space="preserve">91</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21" w:name="human"/>
      <w:r>
        <w:t xml:space="preserve">The Effraction of the Trace</w:t>
      </w:r>
      <w:bookmarkEnd w:id="121"/>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(Derrida 1978, p. 227)</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22" w:name="archontic"/>
      <w:r>
        <w:t xml:space="preserve">The Archontic Principle</w:t>
      </w:r>
      <w:bookmarkEnd w:id="122"/>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92">
        <w:r>
          <w:rPr>
            <w:vertAlign w:val="superscript"/>
            <w:rStyle w:val="Hyperlink"/>
          </w:rPr>
          <w:t xml:space="preserve">92</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93">
        <w:r>
          <w:rPr>
            <w:vertAlign w:val="superscript"/>
            <w:rStyle w:val="Hyperlink"/>
          </w:rPr>
          <w:t xml:space="preserve">93</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94">
        <w:r>
          <w:rPr>
            <w:vertAlign w:val="superscript"/>
            <w:rStyle w:val="Hyperlink"/>
          </w:rPr>
          <w:t xml:space="preserve">94</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23" w:name="spectrality"/>
      <w:r>
        <w:t xml:space="preserve">The Spectral Database</w:t>
      </w:r>
      <w:bookmarkEnd w:id="123"/>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(Ernst 2013, p. 130)</w:t>
      </w:r>
      <w:r>
        <w:t xml:space="preserve">. This statement is only valid within the Kittlerian, disembodied worldview (See</w:t>
      </w:r>
      <w:r>
        <w:t xml:space="preserve"> </w:t>
      </w:r>
      <w:hyperlink w:anchor="convergence_and_framing">
        <w:r>
          <w:rPr>
            <w:rStyle w:val="Hyperlink"/>
          </w:rPr>
          <w:t xml:space="preserve">4.1.4</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95">
        <w:r>
          <w:rPr>
            <w:vertAlign w:val="superscript"/>
            <w:rStyle w:val="Hyperlink"/>
          </w:rPr>
          <w:t xml:space="preserve">95</w:t>
        </w:r>
      </w:hyperlink>
      <w:r>
        <w:t xml:space="preserve"> </w:t>
      </w:r>
      <w:r>
        <w:t xml:space="preserve">becomes an archivization process, that is, a process by which symbolic transcription leads to an ordered archive, i.e., a score.</w:t>
      </w:r>
      <w:hyperlink w:anchor="fn96">
        <w:r>
          <w:rPr>
            <w:vertAlign w:val="superscript"/>
            <w:rStyle w:val="Hyperlink"/>
          </w:rPr>
          <w:t xml:space="preserve">96</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 (See</w:t>
      </w:r>
      <w:r>
        <w:t xml:space="preserve"> </w:t>
      </w:r>
      <w:hyperlink w:anchor="convergence_and_framing">
        <w:r>
          <w:rPr>
            <w:rStyle w:val="Hyperlink"/>
          </w:rPr>
          <w:t xml:space="preserve">4.1.4</w:t>
        </w:r>
      </w:hyperlink>
      <w:r>
        <w:t xml:space="preserve">).</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24" w:name="section:Performance"/>
      <w:r>
        <w:t xml:space="preserve">Performance</w:t>
      </w:r>
      <w:bookmarkEnd w:id="124"/>
    </w:p>
    <w:p>
      <w:pPr>
        <w:pStyle w:val="FirstParagraph"/>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Heading3"/>
      </w:pPr>
      <w:bookmarkStart w:id="125" w:name="gender"/>
      <w:r>
        <w:t xml:space="preserve">Gendered Database</w:t>
      </w:r>
      <w:bookmarkEnd w:id="125"/>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26" w:name="limits"/>
      <w:r>
        <w:t xml:space="preserve">Towards the Limits</w:t>
      </w:r>
      <w:bookmarkEnd w:id="126"/>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97">
        <w:r>
          <w:rPr>
            <w:vertAlign w:val="superscript"/>
            <w:rStyle w:val="Hyperlink"/>
          </w:rPr>
          <w:t xml:space="preserve">97</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98">
        <w:r>
          <w:rPr>
            <w:vertAlign w:val="superscript"/>
            <w:rStyle w:val="Hyperlink"/>
          </w:rPr>
          <w:t xml:space="preserve">98</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99">
        <w:r>
          <w:rPr>
            <w:vertAlign w:val="superscript"/>
            <w:rStyle w:val="Hyperlink"/>
          </w:rPr>
          <w:t xml:space="preserve">99</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27" w:name="style"/>
      <w:r>
        <w:t xml:space="preserve">Contingencies of Style</w:t>
      </w:r>
      <w:bookmarkEnd w:id="127"/>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100">
        <w:r>
          <w:rPr>
            <w:vertAlign w:val="superscript"/>
            <w:rStyle w:val="Hyperlink"/>
          </w:rPr>
          <w:t xml:space="preserve">100</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101">
        <w:r>
          <w:rPr>
            <w:vertAlign w:val="superscript"/>
            <w:rStyle w:val="Hyperlink"/>
          </w:rPr>
          <w:t xml:space="preserve">101</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102">
        <w:r>
          <w:rPr>
            <w:vertAlign w:val="superscript"/>
            <w:rStyle w:val="Hyperlink"/>
          </w:rPr>
          <w:t xml:space="preserve">102</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103">
        <w:r>
          <w:rPr>
            <w:vertAlign w:val="superscript"/>
            <w:rStyle w:val="Hyperlink"/>
          </w:rPr>
          <w:t xml:space="preserve">103</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(Vaggione 2001, p. 59)</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104">
        <w:r>
          <w:rPr>
            <w:vertAlign w:val="superscript"/>
            <w:rStyle w:val="Hyperlink"/>
          </w:rPr>
          <w:t xml:space="preserve">104</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105">
        <w:r>
          <w:rPr>
            <w:vertAlign w:val="superscript"/>
            <w:rStyle w:val="Hyperlink"/>
          </w:rPr>
          <w:t xml:space="preserve">105</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28" w:name="authority"/>
      <w:r>
        <w:t xml:space="preserve">A Specter of Authority</w:t>
      </w:r>
      <w:bookmarkEnd w:id="128"/>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106">
        <w:r>
          <w:rPr>
            <w:vertAlign w:val="superscript"/>
            <w:rStyle w:val="Hyperlink"/>
          </w:rPr>
          <w:t xml:space="preserve">106</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107">
        <w:r>
          <w:rPr>
            <w:vertAlign w:val="superscript"/>
            <w:rStyle w:val="Hyperlink"/>
          </w:rPr>
          <w:t xml:space="preserve">107</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108">
        <w:r>
          <w:rPr>
            <w:vertAlign w:val="superscript"/>
            <w:rStyle w:val="Hyperlink"/>
          </w:rPr>
          <w:t xml:space="preserve">108</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109">
        <w:r>
          <w:rPr>
            <w:vertAlign w:val="superscript"/>
            <w:rStyle w:val="Hyperlink"/>
          </w:rPr>
          <w:t xml:space="preserve">109</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110">
        <w:r>
          <w:rPr>
            <w:vertAlign w:val="superscript"/>
            <w:rStyle w:val="Hyperlink"/>
          </w:rPr>
          <w:t xml:space="preserve">110</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(Roads 2001, pp. 313–14)</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(Solomos 2005, p. 3)</w:t>
      </w:r>
      <w:r>
        <w:t xml:space="preserv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111">
        <w:r>
          <w:rPr>
            <w:vertAlign w:val="superscript"/>
            <w:rStyle w:val="Hyperlink"/>
          </w:rPr>
          <w:t xml:space="preserve">111</w:t>
        </w:r>
      </w:hyperlink>
      <w:r>
        <w:t xml:space="preserve"> </w:t>
      </w:r>
      <w:r>
        <w:t xml:space="preserve">This call for artistry stemms from the radical formalisms that governed computer-assisted composition in the early stages of computer music.</w:t>
      </w:r>
      <w:hyperlink w:anchor="fn112">
        <w:r>
          <w:rPr>
            <w:vertAlign w:val="superscript"/>
            <w:rStyle w:val="Hyperlink"/>
          </w:rPr>
          <w:t xml:space="preserve">112</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113">
        <w:r>
          <w:rPr>
            <w:vertAlign w:val="superscript"/>
            <w:rStyle w:val="Hyperlink"/>
          </w:rPr>
          <w:t xml:space="preserve">113</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29" w:name="chapter:Database_Politics"/>
      <w:r>
        <w:t xml:space="preserve">Database Politics</w:t>
      </w:r>
      <w:bookmarkEnd w:id="129"/>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30" w:name="section:Rethinking_Composition"/>
      <w:r>
        <w:t xml:space="preserve">Rethinking Composition</w:t>
      </w:r>
      <w:bookmarkEnd w:id="130"/>
    </w:p>
    <w:p>
      <w:pPr>
        <w:pStyle w:val="FirstParagraph"/>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Heading3"/>
      </w:pPr>
      <w:bookmarkStart w:id="131" w:name="performance"/>
      <w:r>
        <w:t xml:space="preserve">Performing the Database</w:t>
      </w:r>
      <w:bookmarkEnd w:id="131"/>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114">
        <w:r>
          <w:rPr>
            <w:vertAlign w:val="superscript"/>
            <w:rStyle w:val="Hyperlink"/>
          </w:rPr>
          <w:t xml:space="preserve">114</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115">
        <w:r>
          <w:rPr>
            <w:vertAlign w:val="superscript"/>
            <w:rStyle w:val="Hyperlink"/>
          </w:rPr>
          <w:t xml:space="preserve">115</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116">
        <w:r>
          <w:rPr>
            <w:vertAlign w:val="superscript"/>
            <w:rStyle w:val="Hyperlink"/>
          </w:rPr>
          <w:t xml:space="preserve">116</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4.1.2</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32" w:name="organic"/>
      <w:r>
        <w:t xml:space="preserve">Working Composition</w:t>
      </w:r>
      <w:bookmarkEnd w:id="132"/>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(Szendy 2008, p. 127)</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117">
        <w:r>
          <w:rPr>
            <w:vertAlign w:val="superscript"/>
            <w:rStyle w:val="Hyperlink"/>
          </w:rPr>
          <w:t xml:space="preserve">117</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118">
        <w:r>
          <w:rPr>
            <w:vertAlign w:val="superscript"/>
            <w:rStyle w:val="Hyperlink"/>
          </w:rPr>
          <w:t xml:space="preserve">118</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33" w:name="practice"/>
      <w:r>
        <w:t xml:space="preserve">The Composer as Navigator</w:t>
      </w:r>
      <w:bookmarkEnd w:id="133"/>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119">
        <w:r>
          <w:rPr>
            <w:vertAlign w:val="superscript"/>
            <w:rStyle w:val="Hyperlink"/>
          </w:rPr>
          <w:t xml:space="preserve">119</w:t>
        </w:r>
      </w:hyperlink>
      <w:r>
        <w:t xml:space="preserve"> </w:t>
      </w:r>
      <w:r>
        <w:t xml:space="preserve">and Peter Sellers’ plot-twisting moment in Stanley Kubrick’s “Dr. Strangelove or: How I Learned to Stop Worrying and Love the Bomb.”</w:t>
      </w:r>
      <w:hyperlink w:anchor="fn120">
        <w:r>
          <w:rPr>
            <w:vertAlign w:val="superscript"/>
            <w:rStyle w:val="Hyperlink"/>
          </w:rPr>
          <w:t xml:space="preserve">120</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121">
        <w:r>
          <w:rPr>
            <w:vertAlign w:val="superscript"/>
            <w:rStyle w:val="Hyperlink"/>
          </w:rPr>
          <w:t xml:space="preserve">121</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122">
        <w:r>
          <w:rPr>
            <w:vertAlign w:val="superscript"/>
            <w:rStyle w:val="Hyperlink"/>
          </w:rPr>
          <w:t xml:space="preserve">122</w:t>
        </w:r>
      </w:hyperlink>
    </w:p>
    <w:p>
      <w:pPr>
        <w:pStyle w:val="BlockText"/>
      </w:pPr>
      <w:r>
        <w:t xml:space="preserve">A high-speed machine such as the I.B.M. 7090, using the programs described later in this article, can compute</w:t>
      </w:r>
      <w:r>
        <w:t xml:space="preserve"> </w:t>
      </w:r>
      <w:r>
        <w:rPr>
          <w:i/>
        </w:rPr>
        <w:t xml:space="preserve">only</w:t>
      </w:r>
      <w:r>
        <w:t xml:space="preserve"> </w:t>
      </w:r>
      <w:r>
        <w:t xml:space="preserve">about 5000 numbers per second when generating a reasonably complex sound. However, the numbers can be temporarily stored on one of the computer’s digital magnetic tapes, and this tape can subsequently be replayed at rates up to 30,000 numbers per second (each number being a 12-bit binary number).</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123">
        <w:r>
          <w:rPr>
            <w:vertAlign w:val="superscript"/>
            <w:rStyle w:val="Hyperlink"/>
          </w:rPr>
          <w:t xml:space="preserve">123</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124">
        <w:r>
          <w:rPr>
            <w:vertAlign w:val="superscript"/>
            <w:rStyle w:val="Hyperlink"/>
          </w:rPr>
          <w:t xml:space="preserve">124</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125">
        <w:r>
          <w:rPr>
            <w:vertAlign w:val="superscript"/>
            <w:rStyle w:val="Hyperlink"/>
          </w:rPr>
          <w:t xml:space="preserve">125</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34" w:name="improv"/>
      <w:r>
        <w:t xml:space="preserve">The Database as Performer</w:t>
      </w:r>
      <w:bookmarkEnd w:id="134"/>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126">
        <w:r>
          <w:rPr>
            <w:vertAlign w:val="superscript"/>
            <w:rStyle w:val="Hyperlink"/>
          </w:rPr>
          <w:t xml:space="preserve">126</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127">
        <w:r>
          <w:rPr>
            <w:vertAlign w:val="superscript"/>
            <w:rStyle w:val="Hyperlink"/>
            <w:i/>
          </w:rPr>
          <w:t xml:space="preserve">127</w:t>
        </w:r>
      </w:hyperlink>
      <w:r>
        <w:rPr>
          <w:i/>
        </w:rPr>
        <w:t xml:space="preserve"> </w:t>
      </w:r>
      <w:r>
        <w:rPr>
          <w:i/>
        </w:rPr>
        <w:t xml:space="preserve">is allowed the computer</w:t>
      </w:r>
      <w:r>
        <w:t xml:space="preserve">. [emphasis added]</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 a very different negotiation than Lewis’ sonic negotiation between computer and improvisor.</w:t>
      </w:r>
      <w:hyperlink w:anchor="fn128">
        <w:r>
          <w:rPr>
            <w:vertAlign w:val="superscript"/>
            <w:rStyle w:val="Hyperlink"/>
          </w:rPr>
          <w:t xml:space="preserve">128</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 This means that the composer intentionally relinquishes control of the structure of the piece, to the system itself. He achieves this by means of a different paradigm of interaction: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129">
        <w:r>
          <w:rPr>
            <w:vertAlign w:val="superscript"/>
            <w:rStyle w:val="Hyperlink"/>
          </w:rPr>
          <w:t xml:space="preserve">129</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130">
        <w:r>
          <w:rPr>
            <w:vertAlign w:val="superscript"/>
            <w:rStyle w:val="Hyperlink"/>
          </w:rPr>
          <w:t xml:space="preserve">130</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131">
        <w:r>
          <w:rPr>
            <w:vertAlign w:val="superscript"/>
            <w:rStyle w:val="Hyperlink"/>
          </w:rPr>
          <w:t xml:space="preserve">131</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4.1.3</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35" w:name="section:Inoperativity"/>
      <w:r>
        <w:t xml:space="preserve">Inoperativity</w:t>
      </w:r>
      <w:bookmarkEnd w:id="135"/>
    </w:p>
    <w:p>
      <w:pPr>
        <w:pStyle w:val="FirstParagraph"/>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Heading3"/>
      </w:pPr>
      <w:bookmarkStart w:id="136" w:name="music"/>
      <w:r>
        <w:t xml:space="preserve">The severed object of music: composing composer</w:t>
      </w:r>
      <w:bookmarkEnd w:id="136"/>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132">
        <w:r>
          <w:rPr>
            <w:vertAlign w:val="superscript"/>
            <w:rStyle w:val="Hyperlink"/>
          </w:rPr>
          <w:t xml:space="preserve">132</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133">
        <w:r>
          <w:rPr>
            <w:vertAlign w:val="superscript"/>
            <w:rStyle w:val="Hyperlink"/>
          </w:rPr>
          <w:t xml:space="preserve">133</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37" w:name="anarchy"/>
      <w:r>
        <w:t xml:space="preserve">Anarchy and the unwork</w:t>
      </w:r>
      <w:bookmarkEnd w:id="137"/>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134">
        <w:r>
          <w:rPr>
            <w:vertAlign w:val="superscript"/>
            <w:rStyle w:val="Hyperlink"/>
          </w:rPr>
          <w:t xml:space="preserve">134</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afficionados”</w:t>
      </w:r>
      <w:r>
        <w:t xml:space="preserve"> </w:t>
      </w:r>
      <w:r>
        <w:t xml:space="preserve">(Cascone 2000, p. 17)</w:t>
      </w:r>
      <w:r>
        <w:t xml:space="preserve">. Therefore, Cascone’s conslusion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135">
        <w:r>
          <w:rPr>
            <w:vertAlign w:val="superscript"/>
            <w:rStyle w:val="Hyperlink"/>
          </w:rPr>
          <w:t xml:space="preserve">135</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achive the same standards of formal cohesion that are required by the modern conception of the music ‘work’. Therefore, instead of finding an academic cure for blind experimentalism, I would claim to understand failure itself as an unnecessary blinfold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136">
        <w:r>
          <w:rPr>
            <w:vertAlign w:val="superscript"/>
            <w:rStyle w:val="Hyperlink"/>
          </w:rPr>
          <w:t xml:space="preserve">136</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137">
        <w:r>
          <w:rPr>
            <w:vertAlign w:val="superscript"/>
            <w:rStyle w:val="Hyperlink"/>
          </w:rPr>
          <w:t xml:space="preserve">137</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erradicate the archic with the ‘an’, which means to introduce a bug in the oedipal loop that could result in unheard musical behaviors.</w:t>
      </w:r>
    </w:p>
    <w:p>
      <w:pPr>
        <w:pStyle w:val="Heading3"/>
      </w:pPr>
      <w:bookmarkStart w:id="138" w:name="trans"/>
      <w:r>
        <w:t xml:space="preserve">Trans-inoperativity: a database politics of authorship</w:t>
      </w:r>
      <w:bookmarkEnd w:id="138"/>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39" w:name="worker"/>
      <w:r>
        <w:t xml:space="preserve">[WIP] work in progress</w:t>
      </w:r>
      <w:bookmarkEnd w:id="139"/>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40" w:name="chapter:Conclusion"/>
      <w:r>
        <w:t xml:space="preserve">Conclusion</w:t>
      </w:r>
      <w:bookmarkEnd w:id="140"/>
    </w:p>
    <w:p>
      <w:pPr>
        <w:pStyle w:val="FirstParagraph"/>
      </w:pPr>
      <w:r>
        <w:t xml:space="preserve">… placeholder for conclusion abstract …</w:t>
      </w:r>
    </w:p>
    <w:p>
      <w:pPr>
        <w:pStyle w:val="Heading2"/>
      </w:pPr>
      <w:bookmarkStart w:id="141" w:name="section:And_They_Are_Sounding_Back"/>
      <w:r>
        <w:t xml:space="preserve">And They Are Sounding Back</w:t>
      </w:r>
      <w:bookmarkEnd w:id="141"/>
    </w:p>
    <w:p>
      <w:pPr>
        <w:pStyle w:val="FirstParagraph"/>
      </w:pPr>
      <w:r>
        <w:t xml:space="preserve">I am sounding in a database, and the database is sounding back …</w:t>
      </w:r>
    </w:p>
    <w:p>
      <w:pPr>
        <w:pStyle w:val="Heading1"/>
      </w:pPr>
      <w:bookmarkStart w:id="142" w:name="chapter:Appendices"/>
      <w:r>
        <w:t xml:space="preserve">Appendices</w:t>
      </w:r>
      <w:bookmarkEnd w:id="142"/>
    </w:p>
    <w:p>
      <w:pPr>
        <w:pStyle w:val="FirstParagraph"/>
      </w:pPr>
      <w:r>
        <w:t xml:space="preserve">abstract of appendices</w:t>
      </w:r>
    </w:p>
    <w:p>
      <w:pPr>
        <w:pStyle w:val="Heading2"/>
      </w:pPr>
      <w:bookmarkStart w:id="143" w:name="X9928d5a4298d9156e673c83842d96a99bfb66d7"/>
      <w:r>
        <w:t xml:space="preserve">DIANA: Database for Image and Audio Navigation</w:t>
      </w:r>
      <w:bookmarkEnd w:id="143"/>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44" w:name="dbmodel"/>
      <w:r>
        <w:t xml:space="preserve">A Database Model</w:t>
      </w:r>
      <w:bookmarkEnd w:id="144"/>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45" w:name="X7616598f194c52ee6f4c09f01c755a7090177ba"/>
      <w:r>
        <w:t xml:space="preserve">ABBY: An Online Environment for Annotated Bibliographies</w:t>
      </w:r>
      <w:bookmarkEnd w:id="145"/>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146" w:name="texdb"/>
      <w:r>
        <w:t xml:space="preserve">A Text Database</w:t>
      </w:r>
      <w:bookmarkEnd w:id="146"/>
    </w:p>
    <w:p>
      <w:pPr>
        <w:pStyle w:val="FirstParagraph"/>
      </w:pPr>
      <w:r>
        <w:t xml:space="preserve">A detailed description of the text database model…</w:t>
      </w:r>
    </w:p>
    <w:bookmarkStart w:id="420" w:name="refs"/>
    <w:bookmarkStart w:id="147"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47"/>
    <w:bookmarkStart w:id="148"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48"/>
    <w:bookmarkStart w:id="149"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49"/>
    <w:bookmarkStart w:id="150"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50"/>
    <w:bookmarkStart w:id="151"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51"/>
    <w:bookmarkStart w:id="153"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52">
        <w:r>
          <w:rPr>
            <w:rStyle w:val="Hyperlink"/>
          </w:rPr>
          <w:t xml:space="preserve">http://www.terasoft.com.tw/conf/ismir2014/proceedings/T014_162_Paper.pdf</w:t>
        </w:r>
      </w:hyperlink>
    </w:p>
    <w:bookmarkEnd w:id="153"/>
    <w:bookmarkStart w:id="154"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54"/>
    <w:bookmarkStart w:id="155"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55"/>
    <w:bookmarkStart w:id="156"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56"/>
    <w:bookmarkStart w:id="157"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57"/>
    <w:bookmarkStart w:id="158"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58"/>
    <w:bookmarkStart w:id="159"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59"/>
    <w:bookmarkStart w:id="160"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60"/>
    <w:bookmarkStart w:id="161"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61"/>
    <w:bookmarkStart w:id="162" w:name="ref-Bar68:Ele"/>
    <w:p>
      <w:pPr>
        <w:pStyle w:val="Bibliography"/>
      </w:pPr>
      <w:r>
        <w:t xml:space="preserve">Barthes R, Lavers A, Smith C. 1968.</w:t>
      </w:r>
      <w:r>
        <w:t xml:space="preserve"> </w:t>
      </w:r>
      <w:r>
        <w:rPr>
          <w:i/>
        </w:rPr>
        <w:t xml:space="preserve">Elements of Semiology</w:t>
      </w:r>
      <w:r>
        <w:t xml:space="preserve">. Hill; Wang, New York. ed.</w:t>
      </w:r>
    </w:p>
    <w:bookmarkEnd w:id="162"/>
    <w:bookmarkStart w:id="163" w:name="ref-bekke:semantic:91"/>
    <w:p>
      <w:pPr>
        <w:pStyle w:val="Bibliography"/>
      </w:pPr>
      <w:r>
        <w:t xml:space="preserve">Bekke JH ter. 1991.</w:t>
      </w:r>
      <w:r>
        <w:t xml:space="preserve"> </w:t>
      </w:r>
      <w:r>
        <w:rPr>
          <w:i/>
        </w:rPr>
        <w:t xml:space="preserve">Semantic data modeling in relational environments</w:t>
      </w:r>
      <w:r>
        <w:t xml:space="preserve">. PhD thesis thesis. Technische Universiteit Delft</w:t>
      </w:r>
    </w:p>
    <w:bookmarkEnd w:id="163"/>
    <w:bookmarkStart w:id="164"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64"/>
    <w:bookmarkStart w:id="165"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65"/>
    <w:bookmarkStart w:id="167"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66">
        <w:r>
          <w:rPr>
            <w:rStyle w:val="Hyperlink"/>
          </w:rPr>
          <w:t xml:space="preserve">http://www.terasoft.com.tw/conf/ismir2014/proceedings/T028_322_Paper.pdf</w:t>
        </w:r>
      </w:hyperlink>
    </w:p>
    <w:bookmarkEnd w:id="167"/>
    <w:bookmarkStart w:id="168" w:name="ref-Bor42:Fun"/>
    <w:p>
      <w:pPr>
        <w:pStyle w:val="Bibliography"/>
      </w:pPr>
      <w:r>
        <w:t xml:space="preserve">Borges JL. 1942. Funes el memorioso.</w:t>
      </w:r>
      <w:r>
        <w:t xml:space="preserve"> </w:t>
      </w:r>
      <w:r>
        <w:rPr>
          <w:i/>
        </w:rPr>
        <w:t xml:space="preserve">Ficciones</w:t>
      </w:r>
    </w:p>
    <w:bookmarkEnd w:id="168"/>
    <w:bookmarkStart w:id="169" w:name="ref-Bor95:Rat"/>
    <w:p>
      <w:pPr>
        <w:pStyle w:val="Bibliography"/>
      </w:pPr>
      <w:r>
        <w:t xml:space="preserve">Born G. 1995.</w:t>
      </w:r>
      <w:r>
        <w:t xml:space="preserve"> </w:t>
      </w:r>
      <w:r>
        <w:rPr>
          <w:i/>
        </w:rPr>
        <w:t xml:space="preserve">Rationalizing Culture</w:t>
      </w:r>
      <w:r>
        <w:t xml:space="preserve">. University of California Press. ed.</w:t>
      </w:r>
    </w:p>
    <w:bookmarkEnd w:id="169"/>
    <w:bookmarkStart w:id="170"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70"/>
    <w:bookmarkStart w:id="171"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71"/>
    <w:bookmarkStart w:id="172"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72"/>
    <w:bookmarkStart w:id="173"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73"/>
    <w:bookmarkStart w:id="174"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74"/>
    <w:bookmarkStart w:id="175"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75"/>
    <w:bookmarkStart w:id="176"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76"/>
    <w:bookmarkStart w:id="177" w:name="ref-score11manual"/>
    <w:p>
      <w:pPr>
        <w:pStyle w:val="Bibliography"/>
      </w:pPr>
      <w:r>
        <w:t xml:space="preserve">Brinkman AR. 1982. Original version of the score11 manual.</w:t>
      </w:r>
      <w:r>
        <w:t xml:space="preserve"> </w:t>
      </w:r>
      <w:r>
        <w:rPr>
          <w:i/>
        </w:rPr>
        <w:t xml:space="preserve">Score11 Manual</w:t>
      </w:r>
    </w:p>
    <w:bookmarkEnd w:id="177"/>
    <w:bookmarkStart w:id="178"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78"/>
    <w:bookmarkStart w:id="179"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79"/>
    <w:bookmarkStart w:id="181"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80">
        <w:r>
          <w:rPr>
            <w:rStyle w:val="Hyperlink"/>
          </w:rPr>
          <w:t xml:space="preserve">http://www.nime.org/proceedings/2011/nime2011_387.pdf</w:t>
        </w:r>
      </w:hyperlink>
    </w:p>
    <w:bookmarkEnd w:id="181"/>
    <w:bookmarkStart w:id="183"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82">
        <w:r>
          <w:rPr>
            <w:rStyle w:val="Hyperlink"/>
          </w:rPr>
          <w:t xml:space="preserve">http://www.nime.org/proceedings/2009/nime2009_266.pdf</w:t>
        </w:r>
      </w:hyperlink>
    </w:p>
    <w:bookmarkEnd w:id="183"/>
    <w:bookmarkStart w:id="184"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84"/>
    <w:bookmarkStart w:id="185"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185"/>
    <w:bookmarkStart w:id="186"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186"/>
    <w:bookmarkStart w:id="187"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187"/>
    <w:bookmarkStart w:id="188" w:name="ref-youtube/buxton10"/>
    <w:p>
      <w:pPr>
        <w:pStyle w:val="Bibliography"/>
      </w:pPr>
      <w:r>
        <w:t xml:space="preserve">Buxton W. 2016b. Objed: The sssp sound editing tool.</w:t>
      </w:r>
      <w:r>
        <w:t xml:space="preserve"> </w:t>
      </w:r>
      <w:r>
        <w:rPr>
          <w:i/>
        </w:rPr>
        <w:t xml:space="preserve">Youtube</w:t>
      </w:r>
    </w:p>
    <w:bookmarkEnd w:id="188"/>
    <w:bookmarkStart w:id="189"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189"/>
    <w:bookmarkStart w:id="190"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190"/>
    <w:bookmarkStart w:id="191"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191"/>
    <w:bookmarkStart w:id="193"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192">
        <w:r>
          <w:rPr>
            <w:rStyle w:val="Hyperlink"/>
          </w:rPr>
          <w:t xml:space="preserve">http://www.nime.org/proceedings/2011/nime2011_329.pdf</w:t>
        </w:r>
      </w:hyperlink>
    </w:p>
    <w:bookmarkEnd w:id="193"/>
    <w:bookmarkStart w:id="194"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194"/>
    <w:bookmarkStart w:id="195"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195"/>
    <w:bookmarkStart w:id="196"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196"/>
    <w:bookmarkStart w:id="197"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197"/>
    <w:bookmarkStart w:id="198"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198"/>
    <w:bookmarkStart w:id="199"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199"/>
    <w:bookmarkStart w:id="200"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00"/>
    <w:bookmarkStart w:id="201"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01"/>
    <w:bookmarkStart w:id="202"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202"/>
    <w:bookmarkStart w:id="203"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03"/>
    <w:bookmarkStart w:id="204"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04"/>
    <w:bookmarkStart w:id="205"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05"/>
    <w:bookmarkStart w:id="206"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06"/>
    <w:bookmarkStart w:id="207"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07"/>
    <w:bookmarkStart w:id="208"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08"/>
    <w:bookmarkStart w:id="209"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09"/>
    <w:bookmarkStart w:id="210"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10"/>
    <w:bookmarkStart w:id="212"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11">
        <w:r>
          <w:rPr>
            <w:rStyle w:val="Hyperlink"/>
          </w:rPr>
          <w:t xml:space="preserve">https://ismir2017.smcnus.org/wp-content/uploads/2017/10/235_Paper.pdf</w:t>
        </w:r>
      </w:hyperlink>
    </w:p>
    <w:bookmarkEnd w:id="212"/>
    <w:bookmarkStart w:id="214" w:name="ref-crowley98"/>
    <w:p>
      <w:pPr>
        <w:pStyle w:val="Bibliography"/>
      </w:pPr>
      <w:r>
        <w:t xml:space="preserve">Crowley C. 1998. Data structures for text sequences.</w:t>
      </w:r>
      <w:r>
        <w:t xml:space="preserve"> </w:t>
      </w:r>
      <w:hyperlink r:id="rId213">
        <w:r>
          <w:rPr>
            <w:rStyle w:val="Hyperlink"/>
          </w:rPr>
          <w:t xml:space="preserve">https://www.cs.unm.edu/~crowley/papers/sds.pdf</w:t>
        </w:r>
      </w:hyperlink>
    </w:p>
    <w:bookmarkEnd w:id="214"/>
    <w:bookmarkStart w:id="215"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15"/>
    <w:bookmarkStart w:id="217"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16">
        <w:r>
          <w:rPr>
            <w:rStyle w:val="Hyperlink"/>
          </w:rPr>
          <w:t xml:space="preserve">https://ismir2017.smcnus.org/wp-content/uploads/2017/10/75_Paper.pdf</w:t>
        </w:r>
      </w:hyperlink>
    </w:p>
    <w:bookmarkEnd w:id="217"/>
    <w:bookmarkStart w:id="218"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18"/>
    <w:bookmarkStart w:id="219" w:name="ref-Der78:Wri"/>
    <w:p>
      <w:pPr>
        <w:pStyle w:val="Bibliography"/>
      </w:pPr>
      <w:r>
        <w:t xml:space="preserve">Derrida J. 1978.</w:t>
      </w:r>
      <w:r>
        <w:t xml:space="preserve"> </w:t>
      </w:r>
      <w:r>
        <w:rPr>
          <w:i/>
        </w:rPr>
        <w:t xml:space="preserve">Writing and Difference</w:t>
      </w:r>
      <w:r>
        <w:t xml:space="preserve">. The University of Chicago. ed.</w:t>
      </w:r>
    </w:p>
    <w:bookmarkEnd w:id="219"/>
    <w:bookmarkStart w:id="220" w:name="ref-Der82:Mar"/>
    <w:p>
      <w:pPr>
        <w:pStyle w:val="Bibliography"/>
      </w:pPr>
      <w:r>
        <w:t xml:space="preserve">Derrida J. 1982.</w:t>
      </w:r>
      <w:r>
        <w:t xml:space="preserve"> </w:t>
      </w:r>
      <w:r>
        <w:rPr>
          <w:i/>
        </w:rPr>
        <w:t xml:space="preserve">Margins of Philosophy</w:t>
      </w:r>
      <w:r>
        <w:t xml:space="preserve">. The Harvester Press. ed.</w:t>
      </w:r>
    </w:p>
    <w:bookmarkEnd w:id="220"/>
    <w:bookmarkStart w:id="221" w:name="ref-Der95:Arc"/>
    <w:p>
      <w:pPr>
        <w:pStyle w:val="Bibliography"/>
      </w:pPr>
      <w:r>
        <w:t xml:space="preserve">Derrida J, Prenowitz E. 1995. Archive fever: A freudian impression.</w:t>
      </w:r>
      <w:r>
        <w:t xml:space="preserve"> </w:t>
      </w:r>
      <w:r>
        <w:rPr>
          <w:i/>
        </w:rPr>
        <w:t xml:space="preserve">Diacritics</w:t>
      </w:r>
      <w:r>
        <w:t xml:space="preserve">. 25(2):</w:t>
      </w:r>
    </w:p>
    <w:bookmarkEnd w:id="221"/>
    <w:bookmarkStart w:id="223"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22">
        <w:r>
          <w:rPr>
            <w:rStyle w:val="Hyperlink"/>
          </w:rPr>
          <w:t xml:space="preserve">http://ismir2015.uma.es/articles/261_Paper.pdf</w:t>
        </w:r>
      </w:hyperlink>
    </w:p>
    <w:bookmarkEnd w:id="223"/>
    <w:bookmarkStart w:id="224"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24"/>
    <w:bookmarkStart w:id="225"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25"/>
    <w:bookmarkStart w:id="226"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26"/>
    <w:bookmarkStart w:id="227"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27"/>
    <w:bookmarkStart w:id="229"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28">
        <w:r>
          <w:rPr>
            <w:rStyle w:val="Hyperlink"/>
          </w:rPr>
          <w:t xml:space="preserve">http://ismir2018.ircam.fr/doc/pdfs/265_Paper.pdf</w:t>
        </w:r>
      </w:hyperlink>
    </w:p>
    <w:bookmarkEnd w:id="229"/>
    <w:bookmarkStart w:id="231"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30">
        <w:r>
          <w:rPr>
            <w:rStyle w:val="Hyperlink"/>
          </w:rPr>
          <w:t xml:space="preserve">http://ismir2000.ismir.net/papers/invites/dunn_invite.pdf</w:t>
        </w:r>
      </w:hyperlink>
    </w:p>
    <w:bookmarkEnd w:id="231"/>
    <w:bookmarkStart w:id="232"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32"/>
    <w:bookmarkStart w:id="233"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33"/>
    <w:bookmarkStart w:id="234" w:name="ref-Eco04:The"/>
    <w:p>
      <w:pPr>
        <w:pStyle w:val="Bibliography"/>
      </w:pPr>
      <w:r>
        <w:t xml:space="preserve">Eco U. 2004. The poetics of the open work.</w:t>
      </w:r>
      <w:r>
        <w:t xml:space="preserve"> </w:t>
      </w:r>
      <w:r>
        <w:rPr>
          <w:i/>
        </w:rPr>
        <w:t xml:space="preserve">Audio Culture: Readings in Modern Music</w:t>
      </w:r>
    </w:p>
    <w:bookmarkEnd w:id="234"/>
    <w:bookmarkStart w:id="236"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35">
        <w:r>
          <w:rPr>
            <w:rStyle w:val="Hyperlink"/>
          </w:rPr>
          <w:t xml:space="preserve">http://ismir2018.ircam.fr/doc/pdfs/206_Paper.pdf</w:t>
        </w:r>
      </w:hyperlink>
    </w:p>
    <w:bookmarkEnd w:id="236"/>
    <w:bookmarkStart w:id="237"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37"/>
    <w:bookmarkStart w:id="238" w:name="ref-Ern13:Dig"/>
    <w:p>
      <w:pPr>
        <w:pStyle w:val="Bibliography"/>
      </w:pPr>
      <w:r>
        <w:t xml:space="preserve">Ernst W. 2013.</w:t>
      </w:r>
      <w:r>
        <w:t xml:space="preserve"> </w:t>
      </w:r>
      <w:r>
        <w:rPr>
          <w:i/>
        </w:rPr>
        <w:t xml:space="preserve">Digital Memory and the Archive</w:t>
      </w:r>
      <w:r>
        <w:t xml:space="preserve">. University of Minnesota Press. ed.</w:t>
      </w:r>
    </w:p>
    <w:bookmarkEnd w:id="238"/>
    <w:bookmarkStart w:id="239"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39"/>
    <w:bookmarkStart w:id="240"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40"/>
    <w:bookmarkStart w:id="242"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41">
        <w:r>
          <w:rPr>
            <w:rStyle w:val="Hyperlink"/>
          </w:rPr>
          <w:t xml:space="preserve">https://ismir2017.smcnus.org/wp-content/uploads/2017/10/161_Paper.pdf</w:t>
        </w:r>
      </w:hyperlink>
    </w:p>
    <w:bookmarkEnd w:id="242"/>
    <w:bookmarkStart w:id="243"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43"/>
    <w:bookmarkStart w:id="244"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44"/>
    <w:bookmarkStart w:id="245"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45"/>
    <w:bookmarkStart w:id="246"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46"/>
    <w:bookmarkStart w:id="247"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47"/>
    <w:bookmarkStart w:id="249"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48">
        <w:r>
          <w:rPr>
            <w:rStyle w:val="Hyperlink"/>
          </w:rPr>
          <w:t xml:space="preserve">http://www.nime.org/proceedings/2010/nime2010_473.pdf</w:t>
        </w:r>
      </w:hyperlink>
    </w:p>
    <w:bookmarkEnd w:id="249"/>
    <w:bookmarkStart w:id="250" w:name="ref-Gal11:Wha"/>
    <w:p>
      <w:pPr>
        <w:pStyle w:val="Bibliography"/>
      </w:pPr>
      <w:r>
        <w:t xml:space="preserve">Galloway AR. 2011. What is new media?: Ten years after the language of new.</w:t>
      </w:r>
      <w:r>
        <w:t xml:space="preserve"> </w:t>
      </w:r>
      <w:r>
        <w:rPr>
          <w:i/>
        </w:rPr>
        <w:t xml:space="preserve">Criticism</w:t>
      </w:r>
      <w:r>
        <w:t xml:space="preserve">. 53(3):</w:t>
      </w:r>
    </w:p>
    <w:bookmarkEnd w:id="250"/>
    <w:bookmarkStart w:id="252"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51">
        <w:r>
          <w:rPr>
            <w:rStyle w:val="Hyperlink"/>
          </w:rPr>
          <w:t xml:space="preserve">http://www.nime.org/proceedings/2011/nime2011_124.pdf</w:t>
        </w:r>
      </w:hyperlink>
    </w:p>
    <w:bookmarkEnd w:id="252"/>
    <w:bookmarkStart w:id="253"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53"/>
    <w:bookmarkStart w:id="255"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54">
        <w:r>
          <w:rPr>
            <w:rStyle w:val="Hyperlink"/>
          </w:rPr>
          <w:t xml:space="preserve">http://ismir2000.ismir.net/posters/good.pdf</w:t>
        </w:r>
      </w:hyperlink>
    </w:p>
    <w:bookmarkEnd w:id="255"/>
    <w:bookmarkStart w:id="257"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56">
        <w:r>
          <w:rPr>
            <w:rStyle w:val="Hyperlink"/>
          </w:rPr>
          <w:t xml:space="preserve">http://ismir2002.ismir.net/proceedings/03-SP04-1.pdf</w:t>
        </w:r>
      </w:hyperlink>
    </w:p>
    <w:bookmarkEnd w:id="257"/>
    <w:bookmarkStart w:id="259"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58">
        <w:r>
          <w:rPr>
            <w:rStyle w:val="Hyperlink"/>
          </w:rPr>
          <w:t xml:space="preserve">http://ismir2003.ismir.net/papers/Goto1.PDF</w:t>
        </w:r>
      </w:hyperlink>
    </w:p>
    <w:bookmarkEnd w:id="259"/>
    <w:bookmarkStart w:id="260" w:name="ref-Gra10:Ret"/>
    <w:p>
      <w:pPr>
        <w:pStyle w:val="Bibliography"/>
      </w:pPr>
      <w:r>
        <w:t xml:space="preserve">Graham B, Cook S. 2010.</w:t>
      </w:r>
      <w:r>
        <w:t xml:space="preserve"> </w:t>
      </w:r>
      <w:r>
        <w:rPr>
          <w:i/>
        </w:rPr>
        <w:t xml:space="preserve">Rethinking Curating - Art After New Media</w:t>
      </w:r>
      <w:r>
        <w:t xml:space="preserve">. MIT Pess. ed.</w:t>
      </w:r>
    </w:p>
    <w:bookmarkEnd w:id="260"/>
    <w:bookmarkStart w:id="261" w:name="ref-Gra15:The"/>
    <w:p>
      <w:pPr>
        <w:pStyle w:val="Bibliography"/>
      </w:pPr>
      <w:r>
        <w:t xml:space="preserve">Gratton P, Morin M-E. 2015.</w:t>
      </w:r>
      <w:r>
        <w:t xml:space="preserve"> </w:t>
      </w:r>
      <w:r>
        <w:rPr>
          <w:i/>
        </w:rPr>
        <w:t xml:space="preserve">The Nancy Dictionary</w:t>
      </w:r>
      <w:r>
        <w:t xml:space="preserve">. Edinburgh University Press. ed.</w:t>
      </w:r>
    </w:p>
    <w:bookmarkEnd w:id="261"/>
    <w:bookmarkStart w:id="263"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62">
        <w:r>
          <w:rPr>
            <w:rStyle w:val="Hyperlink"/>
          </w:rPr>
          <w:t xml:space="preserve">http://www.terasoft.com.tw/conf/ismir2014/proceedings/T059_257_Paper.pdf</w:t>
        </w:r>
      </w:hyperlink>
    </w:p>
    <w:bookmarkEnd w:id="263"/>
    <w:bookmarkStart w:id="264"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64"/>
    <w:bookmarkStart w:id="265"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65"/>
    <w:bookmarkStart w:id="266" w:name="ref-Han04:New"/>
    <w:p>
      <w:pPr>
        <w:pStyle w:val="Bibliography"/>
      </w:pPr>
      <w:r>
        <w:t xml:space="preserve">Hansen MBN. 2004.</w:t>
      </w:r>
      <w:r>
        <w:t xml:space="preserve"> </w:t>
      </w:r>
      <w:r>
        <w:rPr>
          <w:i/>
        </w:rPr>
        <w:t xml:space="preserve">New Philosophy for New Media</w:t>
      </w:r>
      <w:r>
        <w:t xml:space="preserve">. The MIT Press. ed.</w:t>
      </w:r>
    </w:p>
    <w:bookmarkEnd w:id="266"/>
    <w:bookmarkStart w:id="267" w:name="ref-Han06:Med"/>
    <w:p>
      <w:pPr>
        <w:pStyle w:val="Bibliography"/>
      </w:pPr>
      <w:r>
        <w:t xml:space="preserve">Hansen MBN. 2006. Media theory.</w:t>
      </w:r>
      <w:r>
        <w:t xml:space="preserve"> </w:t>
      </w:r>
      <w:r>
        <w:rPr>
          <w:i/>
        </w:rPr>
        <w:t xml:space="preserve">Theory, Culture and Society</w:t>
      </w:r>
      <w:r>
        <w:t xml:space="preserve">. 23:</w:t>
      </w:r>
    </w:p>
    <w:bookmarkEnd w:id="267"/>
    <w:bookmarkStart w:id="269"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68">
        <w:r>
          <w:rPr>
            <w:rStyle w:val="Hyperlink"/>
          </w:rPr>
          <w:t xml:space="preserve">http://ismir2008.ismir.net/papers/ISMIR2008_173.pdf</w:t>
        </w:r>
      </w:hyperlink>
    </w:p>
    <w:bookmarkEnd w:id="269"/>
    <w:bookmarkStart w:id="271"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70">
        <w:r>
          <w:rPr>
            <w:rStyle w:val="Hyperlink"/>
          </w:rPr>
          <w:t xml:space="preserve">http://www.ppgia.pucpr.br/ismir2013/wp-content/uploads/2013/09/85_Paper.pdf</w:t>
        </w:r>
      </w:hyperlink>
    </w:p>
    <w:bookmarkEnd w:id="271"/>
    <w:bookmarkStart w:id="272" w:name="ref-Hay93:The"/>
    <w:p>
      <w:pPr>
        <w:pStyle w:val="Bibliography"/>
      </w:pPr>
      <w:r>
        <w:t xml:space="preserve">Hayles K. 1993. The materiality of informatics.</w:t>
      </w:r>
      <w:r>
        <w:t xml:space="preserve"> </w:t>
      </w:r>
      <w:r>
        <w:rPr>
          <w:i/>
        </w:rPr>
        <w:t xml:space="preserve">Configurations</w:t>
      </w:r>
      <w:r>
        <w:t xml:space="preserve">. 1(1):</w:t>
      </w:r>
    </w:p>
    <w:bookmarkEnd w:id="272"/>
    <w:bookmarkStart w:id="273"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73"/>
    <w:bookmarkStart w:id="274" w:name="ref-HermannHuntNeuhoff2011-SHB"/>
    <w:p>
      <w:pPr>
        <w:pStyle w:val="Bibliography"/>
      </w:pPr>
      <w:r>
        <w:t xml:space="preserve">Hermann T, Hunt A, Neuhoff JG, eds. 2011.</w:t>
      </w:r>
      <w:r>
        <w:t xml:space="preserve"> </w:t>
      </w:r>
      <w:r>
        <w:rPr>
          <w:i/>
        </w:rPr>
        <w:t xml:space="preserve">The Sonification Handbook</w:t>
      </w:r>
      <w:r>
        <w:t xml:space="preserve">. Berlin, Germany: Logos Publishing House. ed.</w:t>
      </w:r>
    </w:p>
    <w:bookmarkEnd w:id="274"/>
    <w:bookmarkStart w:id="276"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75">
        <w:r>
          <w:rPr>
            <w:rStyle w:val="Hyperlink"/>
          </w:rPr>
          <w:t xml:space="preserve">http://www.nime.org/proceedings/2010/nime2010_233.pdf</w:t>
        </w:r>
      </w:hyperlink>
    </w:p>
    <w:bookmarkEnd w:id="276"/>
    <w:bookmarkStart w:id="278"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77">
        <w:r>
          <w:rPr>
            <w:rStyle w:val="Hyperlink"/>
          </w:rPr>
          <w:t xml:space="preserve">http://ismir2005.ismir.net/proceedings/2117.pdf</w:t>
        </w:r>
      </w:hyperlink>
    </w:p>
    <w:bookmarkEnd w:id="278"/>
    <w:bookmarkStart w:id="280"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79">
        <w:r>
          <w:rPr>
            <w:rStyle w:val="Hyperlink"/>
          </w:rPr>
          <w:t xml:space="preserve">http://ismir2018.ircam.fr/doc/pdfs/248_Paper.pdf</w:t>
        </w:r>
      </w:hyperlink>
    </w:p>
    <w:bookmarkEnd w:id="280"/>
    <w:bookmarkStart w:id="281" w:name="ref-Mau99:Abr"/>
    <w:p>
      <w:pPr>
        <w:pStyle w:val="Bibliography"/>
      </w:pPr>
      <w:r>
        <w:t xml:space="preserve">IV JAM. 1999.</w:t>
      </w:r>
      <w:r>
        <w:t xml:space="preserve"> </w:t>
      </w:r>
      <w:r>
        <w:rPr>
          <w:i/>
        </w:rPr>
        <w:t xml:space="preserve">A Brief History of Algorithmic Composition</w:t>
      </w:r>
      <w:r>
        <w:t xml:space="preserve">. Online. ed.</w:t>
      </w:r>
    </w:p>
    <w:bookmarkEnd w:id="281"/>
    <w:bookmarkStart w:id="282"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82"/>
    <w:bookmarkStart w:id="283"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83"/>
    <w:bookmarkStart w:id="284"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84"/>
    <w:bookmarkStart w:id="286"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85">
        <w:r>
          <w:rPr>
            <w:rStyle w:val="Hyperlink"/>
          </w:rPr>
          <w:t xml:space="preserve">http://ismir2008.ismir.net/papers/ISMIR2008_106.pdf</w:t>
        </w:r>
      </w:hyperlink>
    </w:p>
    <w:bookmarkEnd w:id="286"/>
    <w:bookmarkStart w:id="287"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87"/>
    <w:bookmarkStart w:id="288"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88"/>
    <w:bookmarkStart w:id="290"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289">
        <w:r>
          <w:rPr>
            <w:rStyle w:val="Hyperlink"/>
          </w:rPr>
          <w:t xml:space="preserve">http://www.nime.org/proceedings/2004/nime2004_130.pdf</w:t>
        </w:r>
      </w:hyperlink>
    </w:p>
    <w:bookmarkEnd w:id="290"/>
    <w:bookmarkStart w:id="291"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291"/>
    <w:bookmarkStart w:id="293"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292">
        <w:r>
          <w:rPr>
            <w:rStyle w:val="Hyperlink"/>
          </w:rPr>
          <w:t xml:space="preserve">http://www.terasoft.com.tw/conf/ismir2014/proceedings/T039_344_Paper.pdf</w:t>
        </w:r>
      </w:hyperlink>
    </w:p>
    <w:bookmarkEnd w:id="293"/>
    <w:bookmarkStart w:id="294"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294"/>
    <w:bookmarkStart w:id="296"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295">
        <w:r>
          <w:rPr>
            <w:rStyle w:val="Hyperlink"/>
          </w:rPr>
          <w:t xml:space="preserve">http://ismir2015.uma.es/articles/246_Paper.pdf</w:t>
        </w:r>
      </w:hyperlink>
    </w:p>
    <w:bookmarkEnd w:id="296"/>
    <w:bookmarkStart w:id="297"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297"/>
    <w:bookmarkStart w:id="298"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298"/>
    <w:bookmarkStart w:id="299"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299"/>
    <w:bookmarkStart w:id="300"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00"/>
    <w:bookmarkStart w:id="301"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01"/>
    <w:bookmarkStart w:id="302"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02"/>
    <w:bookmarkStart w:id="303"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03"/>
    <w:bookmarkStart w:id="304"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04"/>
    <w:bookmarkStart w:id="305"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05"/>
    <w:bookmarkStart w:id="307"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06">
        <w:r>
          <w:rPr>
            <w:rStyle w:val="Hyperlink"/>
          </w:rPr>
          <w:t xml:space="preserve">http://www.nime.org/proceedings/2008/nime2008_221.pdf</w:t>
        </w:r>
      </w:hyperlink>
    </w:p>
    <w:bookmarkEnd w:id="307"/>
    <w:bookmarkStart w:id="308" w:name="ref-Man01:The"/>
    <w:p>
      <w:pPr>
        <w:pStyle w:val="Bibliography"/>
      </w:pPr>
      <w:r>
        <w:t xml:space="preserve">Manovich L. 2001.</w:t>
      </w:r>
      <w:r>
        <w:t xml:space="preserve"> </w:t>
      </w:r>
      <w:r>
        <w:rPr>
          <w:i/>
        </w:rPr>
        <w:t xml:space="preserve">The Language of New Media</w:t>
      </w:r>
      <w:r>
        <w:t xml:space="preserve">. MIT Press. ed.</w:t>
      </w:r>
    </w:p>
    <w:bookmarkEnd w:id="308"/>
    <w:bookmarkStart w:id="309" w:name="ref-Man02:Old"/>
    <w:p>
      <w:pPr>
        <w:pStyle w:val="Bibliography"/>
      </w:pPr>
      <w:r>
        <w:t xml:space="preserve">Manovich L. 2002. Old media as new media: Cinema.</w:t>
      </w:r>
      <w:r>
        <w:t xml:space="preserve"> </w:t>
      </w:r>
      <w:r>
        <w:rPr>
          <w:i/>
        </w:rPr>
        <w:t xml:space="preserve">The New Media Book</w:t>
      </w:r>
    </w:p>
    <w:bookmarkEnd w:id="309"/>
    <w:bookmarkStart w:id="310" w:name="ref-Man15:The"/>
    <w:p>
      <w:pPr>
        <w:pStyle w:val="Bibliography"/>
      </w:pPr>
      <w:r>
        <w:t xml:space="preserve">Manovich L. 2015. There is only software.</w:t>
      </w:r>
      <w:r>
        <w:t xml:space="preserve"> </w:t>
      </w:r>
      <w:r>
        <w:rPr>
          <w:i/>
        </w:rPr>
        <w:t xml:space="preserve">Vision Anew - the Lens and Screen Arts</w:t>
      </w:r>
    </w:p>
    <w:bookmarkEnd w:id="310"/>
    <w:bookmarkStart w:id="311"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11"/>
    <w:bookmarkStart w:id="313"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12">
        <w:r>
          <w:rPr>
            <w:rStyle w:val="Hyperlink"/>
          </w:rPr>
          <w:t xml:space="preserve">http://ismir2008.ismir.net/papers/ISMIR2008_158.pdf</w:t>
        </w:r>
      </w:hyperlink>
    </w:p>
    <w:bookmarkEnd w:id="313"/>
    <w:bookmarkStart w:id="314"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14"/>
    <w:bookmarkStart w:id="315"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15"/>
    <w:bookmarkStart w:id="316"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16"/>
    <w:bookmarkStart w:id="317" w:name="ref-csoundMethods"/>
    <w:p>
      <w:pPr>
        <w:pStyle w:val="Bibliography"/>
      </w:pPr>
      <w:r>
        <w:t xml:space="preserve">McCurdy I, Heintz J, Joaquin J, Knevel M. 2015. Methods of writing csound scores.</w:t>
      </w:r>
      <w:r>
        <w:t xml:space="preserve"> </w:t>
      </w:r>
      <w:r>
        <w:rPr>
          <w:i/>
        </w:rPr>
        <w:t xml:space="preserve">FLOSS Manuals</w:t>
      </w:r>
    </w:p>
    <w:bookmarkEnd w:id="317"/>
    <w:bookmarkStart w:id="318"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18"/>
    <w:bookmarkStart w:id="320"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19">
        <w:r>
          <w:rPr>
            <w:rStyle w:val="Hyperlink"/>
          </w:rPr>
          <w:t xml:space="preserve">http://ismir2018.ircam.fr/doc/pdfs/35_Paper.pdf</w:t>
        </w:r>
      </w:hyperlink>
    </w:p>
    <w:bookmarkEnd w:id="320"/>
    <w:bookmarkStart w:id="321"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21"/>
    <w:bookmarkStart w:id="322"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22"/>
    <w:bookmarkStart w:id="323" w:name="ref-ods-cpp"/>
    <w:p>
      <w:pPr>
        <w:pStyle w:val="Bibliography"/>
      </w:pPr>
      <w:r>
        <w:t xml:space="preserve">Morin P. 2019.</w:t>
      </w:r>
      <w:r>
        <w:t xml:space="preserve"> </w:t>
      </w:r>
      <w:r>
        <w:rPr>
          <w:i/>
        </w:rPr>
        <w:t xml:space="preserve">Open Data Structures</w:t>
      </w:r>
      <w:r>
        <w:t xml:space="preserve">. Creative Commons. ed.</w:t>
      </w:r>
    </w:p>
    <w:bookmarkEnd w:id="323"/>
    <w:bookmarkStart w:id="324"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24"/>
    <w:bookmarkStart w:id="326"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25">
        <w:r>
          <w:rPr>
            <w:rStyle w:val="Hyperlink"/>
          </w:rPr>
          <w:t xml:space="preserve">http://www.nime.org/proceedings/2007/nime2007_409.pdf</w:t>
        </w:r>
      </w:hyperlink>
    </w:p>
    <w:bookmarkEnd w:id="326"/>
    <w:bookmarkStart w:id="327"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27"/>
    <w:bookmarkStart w:id="328" w:name="ref-Nan07:Lis"/>
    <w:p>
      <w:pPr>
        <w:pStyle w:val="Bibliography"/>
      </w:pPr>
      <w:r>
        <w:t xml:space="preserve">Nancy J-L. 2007.</w:t>
      </w:r>
      <w:r>
        <w:t xml:space="preserve"> </w:t>
      </w:r>
      <w:r>
        <w:rPr>
          <w:i/>
        </w:rPr>
        <w:t xml:space="preserve">Listening</w:t>
      </w:r>
      <w:r>
        <w:t xml:space="preserve">. Fordham University Place. ed.</w:t>
      </w:r>
    </w:p>
    <w:bookmarkEnd w:id="328"/>
    <w:bookmarkStart w:id="329"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29"/>
    <w:bookmarkStart w:id="330"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30"/>
    <w:bookmarkStart w:id="331"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31"/>
    <w:bookmarkStart w:id="332"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32"/>
    <w:bookmarkStart w:id="333"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33"/>
    <w:bookmarkStart w:id="334"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34"/>
    <w:bookmarkStart w:id="335" w:name="ref-Oli12:Cd"/>
    <w:p>
      <w:pPr>
        <w:pStyle w:val="Bibliography"/>
      </w:pPr>
      <w:r>
        <w:t xml:space="preserve">Oliver La Rosa J. 2012. Cdigo abierto | obra abierta. El efecto de las prcticas de intercambio de cdigo en la composicin de msica.</w:t>
      </w:r>
      <w:r>
        <w:t xml:space="preserve"> </w:t>
      </w:r>
      <w:r>
        <w:rPr>
          <w:i/>
        </w:rPr>
        <w:t xml:space="preserve">Canto Electroacstico: Aves Latinoamericanas En Una Creacin Colaborativa</w:t>
      </w:r>
    </w:p>
    <w:bookmarkEnd w:id="335"/>
    <w:bookmarkStart w:id="336"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36"/>
    <w:bookmarkStart w:id="337"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37"/>
    <w:bookmarkStart w:id="339"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38">
        <w:r>
          <w:rPr>
            <w:rStyle w:val="Hyperlink"/>
          </w:rPr>
          <w:t xml:space="preserve">https://ismir2017.smcnus.org/wp-content/uploads/2017/10/14_Paper.pdf</w:t>
        </w:r>
      </w:hyperlink>
    </w:p>
    <w:bookmarkEnd w:id="339"/>
    <w:bookmarkStart w:id="340"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40"/>
    <w:bookmarkStart w:id="341"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41"/>
    <w:bookmarkStart w:id="342"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42"/>
    <w:bookmarkStart w:id="344"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43">
        <w:r>
          <w:rPr>
            <w:rStyle w:val="Hyperlink"/>
          </w:rPr>
          <w:t xml:space="preserve">http://www.terasoft.com.tw/conf/ismir2014/proceedings/T064_307_Paper.pdf</w:t>
        </w:r>
      </w:hyperlink>
    </w:p>
    <w:bookmarkEnd w:id="344"/>
    <w:bookmarkStart w:id="345" w:name="ref-Pos11:Int"/>
    <w:p>
      <w:pPr>
        <w:pStyle w:val="Bibliography"/>
      </w:pPr>
      <w:r>
        <w:t xml:space="preserve">Poster M. 2011. Introduction.</w:t>
      </w:r>
      <w:r>
        <w:t xml:space="preserve"> </w:t>
      </w:r>
      <w:r>
        <w:rPr>
          <w:i/>
        </w:rPr>
        <w:t xml:space="preserve">Into the Universe of Technical Images</w:t>
      </w:r>
    </w:p>
    <w:bookmarkEnd w:id="345"/>
    <w:bookmarkStart w:id="347"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46">
        <w:r>
          <w:rPr>
            <w:rStyle w:val="Hyperlink"/>
          </w:rPr>
          <w:t xml:space="preserve">http://www.nime.org/proceedings/2008/nime2008_311.pdf</w:t>
        </w:r>
      </w:hyperlink>
    </w:p>
    <w:bookmarkEnd w:id="347"/>
    <w:bookmarkStart w:id="348"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48"/>
    <w:bookmarkStart w:id="349"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49"/>
    <w:bookmarkStart w:id="350"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50"/>
    <w:bookmarkStart w:id="351"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51"/>
    <w:bookmarkStart w:id="352"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52"/>
    <w:bookmarkStart w:id="353"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53"/>
    <w:bookmarkStart w:id="354"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54"/>
    <w:bookmarkStart w:id="355" w:name="ref-ramakrishnan:deductive:95"/>
    <w:p>
      <w:pPr>
        <w:pStyle w:val="Bibliography"/>
      </w:pPr>
      <w:r>
        <w:t xml:space="preserve">Ramakrishnan R, Ullman J. 1995. A survey of research in deductive database systems.</w:t>
      </w:r>
      <w:r>
        <w:t xml:space="preserve"> </w:t>
      </w:r>
      <w:r>
        <w:rPr>
          <w:i/>
        </w:rPr>
        <w:t xml:space="preserve">1995-14</w:t>
      </w:r>
      <w:r>
        <w:t xml:space="preserve">, Stanford Infolab; Stanford InfoLab</w:t>
      </w:r>
    </w:p>
    <w:bookmarkEnd w:id="355"/>
    <w:bookmarkStart w:id="356" w:name="ref-Roa04:Mic"/>
    <w:p>
      <w:pPr>
        <w:pStyle w:val="Bibliography"/>
      </w:pPr>
      <w:r>
        <w:t xml:space="preserve">Roads C. 2001.</w:t>
      </w:r>
      <w:r>
        <w:t xml:space="preserve"> </w:t>
      </w:r>
      <w:r>
        <w:rPr>
          <w:i/>
        </w:rPr>
        <w:t xml:space="preserve">Microsound</w:t>
      </w:r>
      <w:r>
        <w:t xml:space="preserve">. MIT Pess. ed.</w:t>
      </w:r>
    </w:p>
    <w:bookmarkEnd w:id="356"/>
    <w:bookmarkStart w:id="357"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57"/>
    <w:bookmarkStart w:id="358"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58"/>
    <w:bookmarkStart w:id="359"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59"/>
    <w:bookmarkStart w:id="360"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60"/>
    <w:bookmarkStart w:id="361"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61"/>
    <w:bookmarkStart w:id="362"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62"/>
    <w:bookmarkStart w:id="363"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63"/>
    <w:bookmarkStart w:id="364"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64"/>
    <w:bookmarkStart w:id="365"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65"/>
    <w:bookmarkStart w:id="366"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66"/>
    <w:bookmarkStart w:id="367"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67"/>
    <w:bookmarkStart w:id="368"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68"/>
    <w:bookmarkStart w:id="369"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69"/>
    <w:bookmarkStart w:id="370"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70"/>
    <w:bookmarkStart w:id="371"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71"/>
    <w:bookmarkStart w:id="372"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72"/>
    <w:bookmarkStart w:id="373" w:name="ref-scoremus"/>
    <w:p>
      <w:pPr>
        <w:pStyle w:val="Bibliography"/>
      </w:pPr>
      <w:r>
        <w:t xml:space="preserve">Selfridge-Field E. 1997. The score music publishing system.</w:t>
      </w:r>
      <w:r>
        <w:t xml:space="preserve"> </w:t>
      </w:r>
      <w:r>
        <w:rPr>
          <w:i/>
        </w:rPr>
        <w:t xml:space="preserve">SCORE</w:t>
      </w:r>
    </w:p>
    <w:bookmarkEnd w:id="373"/>
    <w:bookmarkStart w:id="374"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74"/>
    <w:bookmarkStart w:id="375"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75"/>
    <w:bookmarkStart w:id="376"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376"/>
    <w:bookmarkStart w:id="377" w:name="ref-10.2307/941442"/>
    <w:p>
      <w:pPr>
        <w:pStyle w:val="Bibliography"/>
      </w:pPr>
      <w:r>
        <w:t xml:space="preserve">Skinner R. 1990a. Music software.</w:t>
      </w:r>
      <w:r>
        <w:t xml:space="preserve"> </w:t>
      </w:r>
      <w:r>
        <w:rPr>
          <w:i/>
        </w:rPr>
        <w:t xml:space="preserve">Notes</w:t>
      </w:r>
      <w:r>
        <w:t xml:space="preserve">. 46(3):660–84</w:t>
      </w:r>
    </w:p>
    <w:bookmarkEnd w:id="377"/>
    <w:bookmarkStart w:id="378" w:name="ref-10.2307/940555"/>
    <w:p>
      <w:pPr>
        <w:pStyle w:val="Bibliography"/>
      </w:pPr>
      <w:r>
        <w:t xml:space="preserve">Skinner R. 1990b. Music software.</w:t>
      </w:r>
      <w:r>
        <w:t xml:space="preserve"> </w:t>
      </w:r>
      <w:r>
        <w:rPr>
          <w:i/>
        </w:rPr>
        <w:t xml:space="preserve">Notes</w:t>
      </w:r>
      <w:r>
        <w:t xml:space="preserve">. 47(1):91–101</w:t>
      </w:r>
    </w:p>
    <w:bookmarkEnd w:id="378"/>
    <w:bookmarkStart w:id="379"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79"/>
    <w:bookmarkStart w:id="380"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80"/>
    <w:bookmarkStart w:id="381"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81"/>
    <w:bookmarkStart w:id="382"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82"/>
    <w:bookmarkStart w:id="383" w:name="ref-Sze08:Lis"/>
    <w:p>
      <w:pPr>
        <w:pStyle w:val="Bibliography"/>
      </w:pPr>
      <w:r>
        <w:t xml:space="preserve">Szendy P. 2008.</w:t>
      </w:r>
      <w:r>
        <w:t xml:space="preserve"> </w:t>
      </w:r>
      <w:r>
        <w:rPr>
          <w:i/>
        </w:rPr>
        <w:t xml:space="preserve">Listen: A History of Our Ears</w:t>
      </w:r>
      <w:r>
        <w:t xml:space="preserve">. Fordham University. ed.</w:t>
      </w:r>
    </w:p>
    <w:bookmarkEnd w:id="383"/>
    <w:bookmarkStart w:id="384"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84"/>
    <w:bookmarkStart w:id="385"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85"/>
    <w:bookmarkStart w:id="386"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86"/>
    <w:bookmarkStart w:id="387" w:name="ref-Var04:The"/>
    <w:p>
      <w:pPr>
        <w:pStyle w:val="Bibliography"/>
      </w:pPr>
      <w:r>
        <w:t xml:space="preserve">Varese E. 2004. The liberation of sound.</w:t>
      </w:r>
      <w:r>
        <w:t xml:space="preserve"> </w:t>
      </w:r>
      <w:r>
        <w:rPr>
          <w:i/>
        </w:rPr>
        <w:t xml:space="preserve">Audio Culture: Readings in Modern Music</w:t>
      </w:r>
    </w:p>
    <w:bookmarkEnd w:id="387"/>
    <w:bookmarkStart w:id="388" w:name="ref-Ves07:See"/>
    <w:p>
      <w:pPr>
        <w:pStyle w:val="Bibliography"/>
      </w:pPr>
      <w:r>
        <w:t xml:space="preserve">Vesna V. 2007a. Seeing the world in a grain of sand: The database aesthetics of everything.</w:t>
      </w:r>
      <w:r>
        <w:t xml:space="preserve"> </w:t>
      </w:r>
      <w:r>
        <w:rPr>
          <w:i/>
        </w:rPr>
        <w:t xml:space="preserve">Database Aesthetics: Art in the Age of Information Overflow</w:t>
      </w:r>
    </w:p>
    <w:bookmarkEnd w:id="388"/>
    <w:bookmarkStart w:id="389" w:name="ref-Ves07:Dat"/>
    <w:p>
      <w:pPr>
        <w:pStyle w:val="Bibliography"/>
      </w:pPr>
      <w:r>
        <w:t xml:space="preserve">Vesna V. 2007b.</w:t>
      </w:r>
      <w:r>
        <w:t xml:space="preserve"> </w:t>
      </w:r>
      <w:r>
        <w:rPr>
          <w:i/>
        </w:rPr>
        <w:t xml:space="preserve">Database Aesthetics: Art in the Age of Information Overflow</w:t>
      </w:r>
      <w:r>
        <w:t xml:space="preserve">. University of Minnesotta Press. ed.</w:t>
      </w:r>
    </w:p>
    <w:bookmarkEnd w:id="389"/>
    <w:bookmarkStart w:id="391"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390">
        <w:r>
          <w:rPr>
            <w:rStyle w:val="Hyperlink"/>
          </w:rPr>
          <w:t xml:space="preserve">https://ismir2017.smcnus.org/wp-content/uploads/2017/10/180_Paper.pdf</w:t>
        </w:r>
      </w:hyperlink>
    </w:p>
    <w:bookmarkEnd w:id="391"/>
    <w:bookmarkStart w:id="392"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392"/>
    <w:bookmarkStart w:id="394"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393">
        <w:r>
          <w:rPr>
            <w:rStyle w:val="Hyperlink"/>
          </w:rPr>
          <w:t xml:space="preserve">http://ismir2002.ismir.net/proceedings/02-FP06-3.pdf</w:t>
        </w:r>
      </w:hyperlink>
    </w:p>
    <w:bookmarkEnd w:id="394"/>
    <w:bookmarkStart w:id="395"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395"/>
    <w:bookmarkStart w:id="396"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396"/>
    <w:bookmarkStart w:id="397"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397"/>
    <w:bookmarkStart w:id="398"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398"/>
    <w:bookmarkStart w:id="399"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399"/>
    <w:bookmarkStart w:id="400"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00"/>
    <w:bookmarkStart w:id="401" w:name="ref-Wei07:Oce"/>
    <w:p>
      <w:pPr>
        <w:pStyle w:val="Bibliography"/>
      </w:pPr>
      <w:r>
        <w:t xml:space="preserve">Weinbren G. 2007. Ocean, database, recut.</w:t>
      </w:r>
      <w:r>
        <w:t xml:space="preserve"> </w:t>
      </w:r>
      <w:r>
        <w:rPr>
          <w:i/>
        </w:rPr>
        <w:t xml:space="preserve">Database Aesthetics: Art in the Age of Information Overflow</w:t>
      </w:r>
    </w:p>
    <w:bookmarkEnd w:id="401"/>
    <w:bookmarkStart w:id="402"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02"/>
    <w:bookmarkStart w:id="403"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03"/>
    <w:bookmarkStart w:id="405"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04">
        <w:r>
          <w:rPr>
            <w:rStyle w:val="Hyperlink"/>
          </w:rPr>
          <w:t xml:space="preserve">http://ismir2018.ircam.fr/doc/pdfs/114_Paper.pdf</w:t>
        </w:r>
      </w:hyperlink>
    </w:p>
    <w:bookmarkEnd w:id="405"/>
    <w:bookmarkStart w:id="407"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06">
        <w:r>
          <w:rPr>
            <w:rStyle w:val="Hyperlink"/>
          </w:rPr>
          <w:t xml:space="preserve">http://ismir2004.ismir.net/proceedings/p010-page-48-paper227.pdf</w:t>
        </w:r>
      </w:hyperlink>
    </w:p>
    <w:bookmarkEnd w:id="407"/>
    <w:bookmarkStart w:id="408"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08"/>
    <w:bookmarkStart w:id="409"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09"/>
    <w:bookmarkStart w:id="411"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10">
        <w:r>
          <w:rPr>
            <w:rStyle w:val="Hyperlink"/>
          </w:rPr>
          <w:t xml:space="preserve">http://ismir2018.ircam.fr/doc/pdfs/188_Paper.pdf</w:t>
        </w:r>
      </w:hyperlink>
    </w:p>
    <w:bookmarkEnd w:id="411"/>
    <w:bookmarkStart w:id="412"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12"/>
    <w:bookmarkStart w:id="413"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13"/>
    <w:bookmarkStart w:id="414"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14"/>
    <w:bookmarkStart w:id="415"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15"/>
    <w:bookmarkStart w:id="416"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16"/>
    <w:bookmarkStart w:id="418"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17">
        <w:r>
          <w:rPr>
            <w:rStyle w:val="Hyperlink"/>
          </w:rPr>
          <w:t xml:space="preserve">http://www.nime.org/proceedings/2007/nime2007_352.pdf</w:t>
        </w:r>
      </w:hyperlink>
    </w:p>
    <w:bookmarkEnd w:id="418"/>
    <w:bookmarkStart w:id="419"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19"/>
    <w:bookmarkEnd w:id="420"/>
    <w:p>
      <w:r>
        <w:pict>
          <v:rect style="width:0;height:1.5pt" o:hralign="center" o:hrstd="t" o:hr="t"/>
        </w:pict>
      </w:r>
    </w:p>
    <w:bookmarkStart w:id="422" w:name="fn1"/>
    <w:p>
      <w:pPr>
        <w:numPr>
          <w:numId w:val="1026"/>
          <w:ilvl w:val="0"/>
        </w:numPr>
      </w:pPr>
      <w:r>
        <w:t xml:space="preserve">Alvin Lucier. I Am Sitting In A Room. See:</w:t>
      </w:r>
      <w:r>
        <w:t xml:space="preserve"> </w:t>
      </w:r>
      <w:hyperlink r:id="rId421">
        <w:r>
          <w:rPr>
            <w:rStyle w:val="Hyperlink"/>
          </w:rPr>
          <w:t xml:space="preserve">https://en.wikipedia.org/wiki/I_Am_Sitting_in_a_Room</w:t>
        </w:r>
      </w:hyperlink>
      <w:hyperlink w:anchor="fnref1">
        <w:r>
          <w:rPr>
            <w:rStyle w:val="Hyperlink"/>
          </w:rPr>
          <w:t xml:space="preserve">↩</w:t>
        </w:r>
      </w:hyperlink>
    </w:p>
    <w:bookmarkEnd w:id="422"/>
    <w:bookmarkStart w:id="423" w:name="fn2"/>
    <w:p>
      <w:pPr>
        <w:numPr>
          <w:numId w:val="1026"/>
          <w:ilvl w:val="0"/>
        </w:numPr>
      </w:pPr>
      <w:r>
        <w:t xml:space="preserve">This trajectory is, technically, the traversing of the database, and it is one of the central aspects of the performativity of a database. I will return to this point at the end of this chapter.</w:t>
      </w:r>
      <w:hyperlink w:anchor="fnref2">
        <w:r>
          <w:rPr>
            <w:rStyle w:val="Hyperlink"/>
          </w:rPr>
          <w:t xml:space="preserve">↩</w:t>
        </w:r>
      </w:hyperlink>
    </w:p>
    <w:bookmarkEnd w:id="423"/>
    <w:bookmarkStart w:id="424" w:name="fn3"/>
    <w:p>
      <w:pPr>
        <w:numPr>
          <w:numId w:val="1026"/>
          <w:ilvl w:val="0"/>
        </w:numPr>
      </w:pPr>
      <w:r>
        <w:t xml:space="preserve">Manovich supports this statement with the aesthetic that results from the ability of a computer to generate multiple variations. For example, the writing of computer programs to generate minimalist art. Likewise, in Manovich’s view, computer art pioneer John Whitney’s work</w:t>
      </w:r>
      <w:r>
        <w:t xml:space="preserve"> </w:t>
      </w:r>
      <w:r>
        <w:rPr>
          <w:i/>
        </w:rPr>
        <w:t xml:space="preserve">Catalog</w:t>
      </w:r>
      <w:r>
        <w:t xml:space="preserve"> </w:t>
      </w:r>
      <w:r>
        <w:t xml:space="preserve">is the application of the technological device of image variation. This technology, in turn, determined the proliferation of the use of computers as endless transforming (digital image) filters, as was the case with all the (MTV) music videos that followed Whitney’s aesthetic throughout the 1990s</w:t>
      </w:r>
      <w:r>
        <w:t xml:space="preserve"> </w:t>
      </w:r>
      <w:r>
        <w:t xml:space="preserve">(Manovich 2001, p. 236)</w:t>
      </w:r>
      <w:r>
        <w:t xml:space="preserve">.</w:t>
      </w:r>
      <w:hyperlink w:anchor="fnref3">
        <w:r>
          <w:rPr>
            <w:rStyle w:val="Hyperlink"/>
          </w:rPr>
          <w:t xml:space="preserve">↩</w:t>
        </w:r>
      </w:hyperlink>
    </w:p>
    <w:bookmarkEnd w:id="424"/>
    <w:bookmarkStart w:id="425" w:name="fn4"/>
    <w:p>
      <w:pPr>
        <w:numPr>
          <w:numId w:val="1026"/>
          <w:ilvl w:val="0"/>
        </w:numPr>
      </w:pPr>
      <w:r>
        <w:t xml:space="preserve">This example was used by Manovich in the late 1990s, and it is still valid today with most editing sofwares, i.e., any multimedia editor: audio, video, text, etc.</w:t>
      </w:r>
      <w:hyperlink w:anchor="fnref4">
        <w:r>
          <w:rPr>
            <w:rStyle w:val="Hyperlink"/>
          </w:rPr>
          <w:t xml:space="preserve">↩</w:t>
        </w:r>
      </w:hyperlink>
    </w:p>
    <w:bookmarkEnd w:id="425"/>
    <w:bookmarkStart w:id="426" w:name="fn5"/>
    <w:p>
      <w:pPr>
        <w:numPr>
          <w:numId w:val="1026"/>
          <w:ilvl w:val="0"/>
        </w:numPr>
      </w:pPr>
      <w:r>
        <w:t xml:space="preserve">‘Import,’ ‘export,’ and ‘render,’ refer to processes that read from or write to the computer’s disk.</w:t>
      </w:r>
      <w:hyperlink w:anchor="fnref5">
        <w:r>
          <w:rPr>
            <w:rStyle w:val="Hyperlink"/>
          </w:rPr>
          <w:t xml:space="preserve">↩</w:t>
        </w:r>
      </w:hyperlink>
    </w:p>
    <w:bookmarkEnd w:id="426"/>
    <w:bookmarkStart w:id="427" w:name="fn6"/>
    <w:p>
      <w:pPr>
        <w:numPr>
          <w:numId w:val="1026"/>
          <w:ilvl w:val="0"/>
        </w:numPr>
      </w:pPr>
      <w:r>
        <w:t xml:space="preserve">Further down this text I consider the distinction between data and information (See</w:t>
      </w:r>
      <w:r>
        <w:t xml:space="preserve"> </w:t>
      </w:r>
      <w:hyperlink w:anchor="embodiment">
        <w:r>
          <w:rPr>
            <w:rStyle w:val="Hyperlink"/>
          </w:rPr>
          <w:t xml:space="preserve">4.1.3</w:t>
        </w:r>
      </w:hyperlink>
      <w:r>
        <w:t xml:space="preserve">) as a foundation for a new way of thinking the database as neither explicit nor implicit, but as spectral (See</w:t>
      </w:r>
      <w:r>
        <w:t xml:space="preserve"> </w:t>
      </w:r>
      <w:hyperlink w:anchor="spectrality">
        <w:r>
          <w:rPr>
            <w:rStyle w:val="Hyperlink"/>
          </w:rPr>
          <w:t xml:space="preserve">5.2.4</w:t>
        </w:r>
      </w:hyperlink>
      <w:r>
        <w:t xml:space="preserve">).</w:t>
      </w:r>
      <w:hyperlink w:anchor="fnref6">
        <w:r>
          <w:rPr>
            <w:rStyle w:val="Hyperlink"/>
          </w:rPr>
          <w:t xml:space="preserve">↩</w:t>
        </w:r>
      </w:hyperlink>
    </w:p>
    <w:bookmarkEnd w:id="427"/>
    <w:bookmarkStart w:id="428" w:name="fn7"/>
    <w:p>
      <w:pPr>
        <w:numPr>
          <w:numId w:val="1026"/>
          <w:ilvl w:val="0"/>
        </w:numPr>
      </w:pPr>
      <w:r>
        <w:t xml:space="preserve">Respectively, the concepts of homeostasis —expressed in systems such as feedback loops—, reflexivity —or “the movement whereby that which has been used to generate a system [becomes] part of the system it generates,”</w:t>
      </w:r>
      <w:r>
        <w:t xml:space="preserve"> </w:t>
      </w:r>
      <w:r>
        <w:t xml:space="preserve">(Hayles 1999, p. 18)</w:t>
      </w:r>
      <w:r>
        <w:t xml:space="preserve"> </w:t>
      </w:r>
      <w:r>
        <w:t xml:space="preserve">which then developed into autopoiesis [self-generation]—, and finally self-organization and the development of artificial intelligence —with genetic algorithms and cellular automata.</w:t>
      </w:r>
      <w:hyperlink w:anchor="fnref7">
        <w:r>
          <w:rPr>
            <w:rStyle w:val="Hyperlink"/>
          </w:rPr>
          <w:t xml:space="preserve">↩</w:t>
        </w:r>
      </w:hyperlink>
    </w:p>
    <w:bookmarkEnd w:id="428"/>
    <w:bookmarkStart w:id="429" w:name="fn8"/>
    <w:p>
      <w:pPr>
        <w:numPr>
          <w:numId w:val="1026"/>
          <w:ilvl w:val="0"/>
        </w:numPr>
      </w:pPr>
      <w:r>
        <w:t xml:space="preserve">Disembodied information, the cyborg, and the posthuman.</w:t>
      </w:r>
      <w:hyperlink w:anchor="fnref8">
        <w:r>
          <w:rPr>
            <w:rStyle w:val="Hyperlink"/>
          </w:rPr>
          <w:t xml:space="preserve">↩</w:t>
        </w:r>
      </w:hyperlink>
    </w:p>
    <w:bookmarkEnd w:id="429"/>
    <w:bookmarkStart w:id="430" w:name="fn9"/>
    <w:p>
      <w:pPr>
        <w:numPr>
          <w:numId w:val="1026"/>
          <w:ilvl w:val="0"/>
        </w:numPr>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w:t>
      </w:r>
      <w:hyperlink w:anchor="fnref9">
        <w:r>
          <w:rPr>
            <w:rStyle w:val="Hyperlink"/>
          </w:rPr>
          <w:t xml:space="preserve">↩</w:t>
        </w:r>
      </w:hyperlink>
    </w:p>
    <w:bookmarkEnd w:id="430"/>
    <w:bookmarkStart w:id="431" w:name="fn10"/>
    <w:p>
      <w:pPr>
        <w:numPr>
          <w:numId w:val="1026"/>
          <w:ilvl w:val="0"/>
        </w:numPr>
      </w:pPr>
      <w:r>
        <w:t xml:space="preserve">Media theorist Alexander Galloway calls this Manovich’s ‘dirty little secret.’ I will expand on this later in the text.</w:t>
      </w:r>
      <w:hyperlink w:anchor="fnref10">
        <w:r>
          <w:rPr>
            <w:rStyle w:val="Hyperlink"/>
          </w:rPr>
          <w:t xml:space="preserve">↩</w:t>
        </w:r>
      </w:hyperlink>
    </w:p>
    <w:bookmarkEnd w:id="431"/>
    <w:bookmarkStart w:id="432" w:name="fn11"/>
    <w:p>
      <w:pPr>
        <w:numPr>
          <w:numId w:val="1026"/>
          <w:ilvl w:val="0"/>
        </w:numPr>
      </w:pPr>
      <w:r>
        <w:t xml:space="preserve">This is why Hansen later considers Lev Manovich’s analysis of new media —as well as some of Kittler’s analysis— to be extremely partial, in the sense that they focus on the formalist and technical aspects of programming and computation</w:t>
      </w:r>
      <w:r>
        <w:t xml:space="preserve"> </w:t>
      </w:r>
      <w:r>
        <w:t xml:space="preserve">(Hansen 2006, p. 264)</w:t>
      </w:r>
      <w:r>
        <w:t xml:space="preserve">.</w:t>
      </w:r>
      <w:hyperlink w:anchor="fnref11">
        <w:r>
          <w:rPr>
            <w:rStyle w:val="Hyperlink"/>
          </w:rPr>
          <w:t xml:space="preserve">↩</w:t>
        </w:r>
      </w:hyperlink>
    </w:p>
    <w:bookmarkEnd w:id="432"/>
    <w:bookmarkStart w:id="433" w:name="fn12"/>
    <w:p>
      <w:pPr>
        <w:numPr>
          <w:numId w:val="1026"/>
          <w:ilvl w:val="0"/>
        </w:numPr>
      </w:pPr>
      <w:r>
        <w:t xml:space="preserve">The fact that Klein is a writer himself may attest to why he classifies this shift as evolutive.</w:t>
      </w:r>
      <w:hyperlink w:anchor="fnref12">
        <w:r>
          <w:rPr>
            <w:rStyle w:val="Hyperlink"/>
          </w:rPr>
          <w:t xml:space="preserve">↩</w:t>
        </w:r>
      </w:hyperlink>
    </w:p>
    <w:bookmarkEnd w:id="433"/>
    <w:bookmarkStart w:id="434" w:name="fn13"/>
    <w:p>
      <w:pPr>
        <w:numPr>
          <w:numId w:val="1026"/>
          <w:ilvl w:val="0"/>
        </w:numPr>
      </w:pPr>
      <w:r>
        <w:t xml:space="preserve">Furthermore, in Klein’s words</w:t>
      </w:r>
      <w:r>
        <w:t xml:space="preserve"> </w:t>
      </w:r>
      <w:r>
        <w:t xml:space="preserve">(Klein 2007, pp. 86–88)</w:t>
      </w:r>
      <w:r>
        <w:t xml:space="preserve">, the human is a slave to data, and as a consequence the human is economically colonized and psychologically invaded by the evolving force of computers, information, or technology in general.</w:t>
      </w:r>
      <w:hyperlink w:anchor="fnref13">
        <w:r>
          <w:rPr>
            <w:rStyle w:val="Hyperlink"/>
          </w:rPr>
          <w:t xml:space="preserve">↩</w:t>
        </w:r>
      </w:hyperlink>
    </w:p>
    <w:bookmarkEnd w:id="434"/>
    <w:bookmarkStart w:id="435" w:name="fn14"/>
    <w:p>
      <w:pPr>
        <w:numPr>
          <w:numId w:val="1026"/>
          <w:ilvl w:val="0"/>
        </w:numPr>
      </w:pPr>
      <w:r>
        <w:t xml:space="preserve">As an example, consider these two sets of routines that are called for the purpose of copying a file into working memory. The first set of routines are dedicated to (1) opening the file for reading, (2) using the file’s header information to (3) get the file size, so that (4) another file is opened for writing, and (5) the corresponding file size is allocated in memory. The second set of routines are geared towards data traversing of the original file, and storing it on the copy. This task is of course automated, and operates on the bit-level, generally as fast as the</w:t>
      </w:r>
      <w:r>
        <w:t xml:space="preserve"> </w:t>
      </w:r>
      <w:r>
        <w:t xml:space="preserve">cpu</w:t>
      </w:r>
      <w:r>
        <w:t xml:space="preserve"> </w:t>
      </w:r>
      <w:r>
        <w:t xml:space="preserve">can manage.</w:t>
      </w:r>
      <w:hyperlink w:anchor="fnref14">
        <w:r>
          <w:rPr>
            <w:rStyle w:val="Hyperlink"/>
          </w:rPr>
          <w:t xml:space="preserve">↩</w:t>
        </w:r>
      </w:hyperlink>
    </w:p>
    <w:bookmarkEnd w:id="435"/>
    <w:bookmarkStart w:id="437" w:name="fn15"/>
    <w:p>
      <w:pPr>
        <w:numPr>
          <w:numId w:val="1026"/>
          <w:ilvl w:val="0"/>
        </w:numPr>
      </w:pPr>
      <w:hyperlink r:id="rId436">
        <w:r>
          <w:rPr>
            <w:rStyle w:val="Hyperlink"/>
          </w:rPr>
          <w:t xml:space="preserve">https://github.com/marsyas/marsyas</w:t>
        </w:r>
      </w:hyperlink>
      <w:hyperlink w:anchor="fnref15">
        <w:r>
          <w:rPr>
            <w:rStyle w:val="Hyperlink"/>
          </w:rPr>
          <w:t xml:space="preserve">↩</w:t>
        </w:r>
      </w:hyperlink>
    </w:p>
    <w:bookmarkEnd w:id="437"/>
    <w:bookmarkStart w:id="439" w:name="fn16"/>
    <w:p>
      <w:pPr>
        <w:numPr>
          <w:numId w:val="1026"/>
          <w:ilvl w:val="0"/>
        </w:numPr>
      </w:pPr>
      <w:hyperlink r:id="rId438">
        <w:r>
          <w:rPr>
            <w:rStyle w:val="Hyperlink"/>
          </w:rPr>
          <w:t xml:space="preserve">https://github.com/libpd</w:t>
        </w:r>
      </w:hyperlink>
      <w:hyperlink w:anchor="fnref16">
        <w:r>
          <w:rPr>
            <w:rStyle w:val="Hyperlink"/>
          </w:rPr>
          <w:t xml:space="preserve">↩</w:t>
        </w:r>
      </w:hyperlink>
    </w:p>
    <w:bookmarkEnd w:id="439"/>
    <w:bookmarkStart w:id="441" w:name="fn17"/>
    <w:p>
      <w:pPr>
        <w:numPr>
          <w:numId w:val="1026"/>
          <w:ilvl w:val="0"/>
        </w:numPr>
      </w:pPr>
      <w:hyperlink r:id="rId440">
        <w:r>
          <w:rPr>
            <w:rStyle w:val="Hyperlink"/>
          </w:rPr>
          <w:t xml:space="preserve">https://github.com/thestk/stk</w:t>
        </w:r>
      </w:hyperlink>
      <w:hyperlink w:anchor="fnref17">
        <w:r>
          <w:rPr>
            <w:rStyle w:val="Hyperlink"/>
          </w:rPr>
          <w:t xml:space="preserve">↩</w:t>
        </w:r>
      </w:hyperlink>
    </w:p>
    <w:bookmarkEnd w:id="441"/>
    <w:bookmarkStart w:id="443" w:name="fn18"/>
    <w:p>
      <w:pPr>
        <w:numPr>
          <w:numId w:val="1026"/>
          <w:ilvl w:val="0"/>
        </w:numPr>
      </w:pPr>
      <w:hyperlink r:id="rId442">
        <w:r>
          <w:rPr>
            <w:rStyle w:val="Hyperlink"/>
          </w:rPr>
          <w:t xml:space="preserve">https://en.wikipedia.org/wiki/Coin_collecting</w:t>
        </w:r>
      </w:hyperlink>
      <w:hyperlink w:anchor="fnref18">
        <w:r>
          <w:rPr>
            <w:rStyle w:val="Hyperlink"/>
          </w:rPr>
          <w:t xml:space="preserve">↩</w:t>
        </w:r>
      </w:hyperlink>
    </w:p>
    <w:bookmarkEnd w:id="443"/>
    <w:bookmarkStart w:id="444" w:name="fn19"/>
    <w:p>
      <w:pPr>
        <w:numPr>
          <w:numId w:val="1026"/>
          <w:ilvl w:val="0"/>
        </w:numPr>
      </w:pPr>
      <w:r>
        <w:t xml:space="preserve">There are however cases on which data from Facebook has been used on political campaigns, shifting the discussion of democracy into another kind of democracy that exists in the silent and constant voting that takes place in the exchange of data packets between clients and servers</w:t>
      </w:r>
      <w:hyperlink w:anchor="fnref19">
        <w:r>
          <w:rPr>
            <w:rStyle w:val="Hyperlink"/>
          </w:rPr>
          <w:t xml:space="preserve">↩</w:t>
        </w:r>
      </w:hyperlink>
    </w:p>
    <w:bookmarkEnd w:id="444"/>
    <w:bookmarkStart w:id="445" w:name="fn20"/>
    <w:p>
      <w:pPr>
        <w:numPr>
          <w:numId w:val="1026"/>
          <w:ilvl w:val="0"/>
        </w:numPr>
      </w:pPr>
      <w:r>
        <w:t xml:space="preserve">The qualities of this access, however, have a direct influcence on the quality and success of the business to which the DBMS is applied to. For example, if the database system in charge of airline reservations is not immediately updating, the results would be detrimental for the company —e.g., empty seats not being filled— or for the customers —e.g., double-booking.</w:t>
      </w:r>
      <w:hyperlink w:anchor="fnref20">
        <w:r>
          <w:rPr>
            <w:rStyle w:val="Hyperlink"/>
          </w:rPr>
          <w:t xml:space="preserve">↩</w:t>
        </w:r>
      </w:hyperlink>
    </w:p>
    <w:bookmarkEnd w:id="445"/>
    <w:bookmarkStart w:id="446" w:name="fn21"/>
    <w:p>
      <w:pPr>
        <w:numPr>
          <w:numId w:val="1026"/>
          <w:ilvl w:val="0"/>
        </w:numPr>
      </w:pPr>
      <w:r>
        <w:t xml:space="preserve">For more on data structures, see</w:t>
      </w:r>
      <w:r>
        <w:t xml:space="preserve"> </w:t>
      </w:r>
      <w:r>
        <w:t xml:space="preserve">(Morin 2019)</w:t>
      </w:r>
      <w:r>
        <w:t xml:space="preserve">.</w:t>
      </w:r>
      <w:hyperlink w:anchor="fnref21">
        <w:r>
          <w:rPr>
            <w:rStyle w:val="Hyperlink"/>
          </w:rPr>
          <w:t xml:space="preserve">↩</w:t>
        </w:r>
      </w:hyperlink>
    </w:p>
    <w:bookmarkEnd w:id="446"/>
    <w:bookmarkStart w:id="448" w:name="fn22"/>
    <w:p>
      <w:pPr>
        <w:numPr>
          <w:numId w:val="1026"/>
          <w:ilvl w:val="0"/>
        </w:numPr>
      </w:pPr>
      <w:r>
        <w:t xml:space="preserve">For a list of online databases, see:</w:t>
      </w:r>
      <w:r>
        <w:t xml:space="preserve"> </w:t>
      </w:r>
      <w:hyperlink r:id="rId447">
        <w:r>
          <w:rPr>
            <w:rStyle w:val="Hyperlink"/>
          </w:rPr>
          <w:t xml:space="preserve">https://en.wikipedia.org/wiki/List_of_online_databases</w:t>
        </w:r>
      </w:hyperlink>
      <w:hyperlink w:anchor="fnref22">
        <w:r>
          <w:rPr>
            <w:rStyle w:val="Hyperlink"/>
          </w:rPr>
          <w:t xml:space="preserve">↩</w:t>
        </w:r>
      </w:hyperlink>
    </w:p>
    <w:bookmarkEnd w:id="448"/>
    <w:bookmarkStart w:id="450" w:name="fn23"/>
    <w:p>
      <w:pPr>
        <w:numPr>
          <w:numId w:val="1026"/>
          <w:ilvl w:val="0"/>
        </w:numPr>
      </w:pPr>
      <w:hyperlink r:id="rId449">
        <w:r>
          <w:rPr>
            <w:rStyle w:val="Hyperlink"/>
          </w:rPr>
          <w:t xml:space="preserve">https://en.wikipedia.org/wiki/IBM_Information_Management_System</w:t>
        </w:r>
      </w:hyperlink>
      <w:hyperlink w:anchor="fnref23">
        <w:r>
          <w:rPr>
            <w:rStyle w:val="Hyperlink"/>
          </w:rPr>
          <w:t xml:space="preserve">↩</w:t>
        </w:r>
      </w:hyperlink>
    </w:p>
    <w:bookmarkEnd w:id="450"/>
    <w:bookmarkStart w:id="452" w:name="fn24"/>
    <w:p>
      <w:pPr>
        <w:numPr>
          <w:numId w:val="1026"/>
          <w:ilvl w:val="0"/>
        </w:numPr>
      </w:pPr>
      <w:hyperlink r:id="rId451">
        <w:r>
          <w:rPr>
            <w:rStyle w:val="Hyperlink"/>
          </w:rPr>
          <w:t xml:space="preserve">https://docs.microsoft.com/en-us/windows/desktop/SysInfo/structure-of-the-registry</w:t>
        </w:r>
      </w:hyperlink>
      <w:hyperlink w:anchor="fnref24">
        <w:r>
          <w:rPr>
            <w:rStyle w:val="Hyperlink"/>
          </w:rPr>
          <w:t xml:space="preserve">↩</w:t>
        </w:r>
      </w:hyperlink>
    </w:p>
    <w:bookmarkEnd w:id="452"/>
    <w:bookmarkStart w:id="454" w:name="fn25"/>
    <w:p>
      <w:pPr>
        <w:numPr>
          <w:numId w:val="1026"/>
          <w:ilvl w:val="0"/>
        </w:numPr>
      </w:pPr>
      <w:hyperlink r:id="rId453">
        <w:r>
          <w:rPr>
            <w:rStyle w:val="Hyperlink"/>
          </w:rPr>
          <w:t xml:space="preserve">https://en.wikipedia.org/wiki/\acrshort{codasyl}</w:t>
        </w:r>
      </w:hyperlink>
      <w:hyperlink w:anchor="fnref25">
        <w:r>
          <w:rPr>
            <w:rStyle w:val="Hyperlink"/>
          </w:rPr>
          <w:t xml:space="preserve">↩</w:t>
        </w:r>
      </w:hyperlink>
    </w:p>
    <w:bookmarkEnd w:id="454"/>
    <w:bookmarkStart w:id="456" w:name="fn26"/>
    <w:p>
      <w:pPr>
        <w:numPr>
          <w:numId w:val="1026"/>
          <w:ilvl w:val="0"/>
        </w:numPr>
      </w:pPr>
      <w:hyperlink r:id="rId455">
        <w:r>
          <w:rPr>
            <w:rStyle w:val="Hyperlink"/>
          </w:rPr>
          <w:t xml:space="preserve">https://en.wikipedia.org/wiki/Unisys_OS_2200_databases</w:t>
        </w:r>
      </w:hyperlink>
      <w:hyperlink w:anchor="fnref26">
        <w:r>
          <w:rPr>
            <w:rStyle w:val="Hyperlink"/>
          </w:rPr>
          <w:t xml:space="preserve">↩</w:t>
        </w:r>
      </w:hyperlink>
    </w:p>
    <w:bookmarkEnd w:id="456"/>
    <w:bookmarkStart w:id="458" w:name="fn27"/>
    <w:p>
      <w:pPr>
        <w:numPr>
          <w:numId w:val="1026"/>
          <w:ilvl w:val="0"/>
        </w:numPr>
      </w:pPr>
      <w:r>
        <w:t xml:space="preserve">For more information on relational database management systems, see</w:t>
      </w:r>
      <w:r>
        <w:t xml:space="preserve"> </w:t>
      </w:r>
      <w:hyperlink r:id="rId457">
        <w:r>
          <w:rPr>
            <w:rStyle w:val="Hyperlink"/>
          </w:rPr>
          <w:t xml:space="preserve">https://en.wikipedia.org/wiki/Comparison_of_relational_database_management_systems</w:t>
        </w:r>
      </w:hyperlink>
      <w:hyperlink w:anchor="fnref27">
        <w:r>
          <w:rPr>
            <w:rStyle w:val="Hyperlink"/>
          </w:rPr>
          <w:t xml:space="preserve">↩</w:t>
        </w:r>
      </w:hyperlink>
    </w:p>
    <w:bookmarkEnd w:id="458"/>
    <w:bookmarkStart w:id="460" w:name="fn28"/>
    <w:p>
      <w:pPr>
        <w:numPr>
          <w:numId w:val="1026"/>
          <w:ilvl w:val="0"/>
        </w:numPr>
      </w:pPr>
      <w:hyperlink r:id="rId459">
        <w:r>
          <w:rPr>
            <w:rStyle w:val="Hyperlink"/>
          </w:rPr>
          <w:t xml:space="preserve">http://www.jhterbekke.net/XplainDBMS.html</w:t>
        </w:r>
      </w:hyperlink>
      <w:hyperlink w:anchor="fnref28">
        <w:r>
          <w:rPr>
            <w:rStyle w:val="Hyperlink"/>
          </w:rPr>
          <w:t xml:space="preserve">↩</w:t>
        </w:r>
      </w:hyperlink>
    </w:p>
    <w:bookmarkEnd w:id="460"/>
    <w:bookmarkStart w:id="462" w:name="fn29"/>
    <w:p>
      <w:pPr>
        <w:numPr>
          <w:numId w:val="1026"/>
          <w:ilvl w:val="0"/>
        </w:numPr>
      </w:pPr>
      <w:r>
        <w:t xml:space="preserve">For more information on in-memory databases, see</w:t>
      </w:r>
      <w:r>
        <w:t xml:space="preserve"> </w:t>
      </w:r>
      <w:hyperlink r:id="rId461">
        <w:r>
          <w:rPr>
            <w:rStyle w:val="Hyperlink"/>
          </w:rPr>
          <w:t xml:space="preserve">http://web.archive.org/web/20121009191558/http://slashdot.org/topic/datacenter/the-rise-of-in-memory-databases/</w:t>
        </w:r>
      </w:hyperlink>
      <w:hyperlink w:anchor="fnref29">
        <w:r>
          <w:rPr>
            <w:rStyle w:val="Hyperlink"/>
          </w:rPr>
          <w:t xml:space="preserve">↩</w:t>
        </w:r>
      </w:hyperlink>
    </w:p>
    <w:bookmarkEnd w:id="462"/>
    <w:bookmarkStart w:id="463" w:name="fn30"/>
    <w:p>
      <w:pPr>
        <w:numPr>
          <w:numId w:val="1026"/>
          <w:ilvl w:val="0"/>
        </w:numPr>
      </w:pPr>
      <w:r>
        <w:t xml:space="preserve">For more infomration on semi-structured databases, see</w:t>
      </w:r>
      <w:r>
        <w:t xml:space="preserve"> </w:t>
      </w:r>
      <w:r>
        <w:t xml:space="preserve">(Buneman 1997)</w:t>
      </w:r>
      <w:r>
        <w:t xml:space="preserve">.</w:t>
      </w:r>
      <w:hyperlink w:anchor="fnref30">
        <w:r>
          <w:rPr>
            <w:rStyle w:val="Hyperlink"/>
          </w:rPr>
          <w:t xml:space="preserve">↩</w:t>
        </w:r>
      </w:hyperlink>
    </w:p>
    <w:bookmarkEnd w:id="463"/>
    <w:bookmarkStart w:id="465" w:name="fn31"/>
    <w:p>
      <w:pPr>
        <w:numPr>
          <w:numId w:val="1026"/>
          <w:ilvl w:val="0"/>
        </w:numPr>
      </w:pPr>
      <w:hyperlink r:id="rId464">
        <w:r>
          <w:rPr>
            <w:rStyle w:val="Hyperlink"/>
          </w:rPr>
          <w:t xml:space="preserve">https://www.imdb.com/</w:t>
        </w:r>
      </w:hyperlink>
      <w:hyperlink w:anchor="fnref31">
        <w:r>
          <w:rPr>
            <w:rStyle w:val="Hyperlink"/>
          </w:rPr>
          <w:t xml:space="preserve">↩</w:t>
        </w:r>
      </w:hyperlink>
    </w:p>
    <w:bookmarkEnd w:id="465"/>
    <w:bookmarkStart w:id="466" w:name="fn32"/>
    <w:p>
      <w:pPr>
        <w:numPr>
          <w:numId w:val="1026"/>
          <w:ilvl w:val="0"/>
        </w:numPr>
      </w:pPr>
      <w:r>
        <w:t xml:space="preserve">He goes through great pains to prove his theory of body and affect within new media while dedicating himself solely to what he considers ‘the most disembodied’ of the senses</w:t>
      </w:r>
      <w:r>
        <w:t xml:space="preserve"> </w:t>
      </w:r>
      <w:r>
        <w:t xml:space="preserve">(Hansen 2004, p. 31)</w:t>
      </w:r>
      <w:r>
        <w:t xml:space="preserve">.</w:t>
      </w:r>
      <w:hyperlink w:anchor="fnref32">
        <w:r>
          <w:rPr>
            <w:rStyle w:val="Hyperlink"/>
          </w:rPr>
          <w:t xml:space="preserve">↩</w:t>
        </w:r>
      </w:hyperlink>
    </w:p>
    <w:bookmarkEnd w:id="466"/>
    <w:bookmarkStart w:id="467" w:name="fn33"/>
    <w:p>
      <w:pPr>
        <w:numPr>
          <w:numId w:val="1026"/>
          <w:ilvl w:val="0"/>
        </w:numPr>
      </w:pPr>
      <w:r>
        <w:t xml:space="preserve">See for example the International Society for Music Information Retrieval (ISMIR), founded in 2000</w:t>
      </w:r>
      <w:hyperlink w:anchor="fnref33">
        <w:r>
          <w:rPr>
            <w:rStyle w:val="Hyperlink"/>
          </w:rPr>
          <w:t xml:space="preserve">↩</w:t>
        </w:r>
      </w:hyperlink>
    </w:p>
    <w:bookmarkEnd w:id="467"/>
    <w:bookmarkStart w:id="468" w:name="fn34"/>
    <w:p>
      <w:pPr>
        <w:numPr>
          <w:numId w:val="1026"/>
          <w:ilvl w:val="0"/>
        </w:numPr>
      </w:pPr>
      <w:r>
        <w:t xml:space="preserve">Depending on the sample rate of a recording (usually 44.1 or 48 kHz, that is, samples per second)</w:t>
      </w:r>
      <w:hyperlink w:anchor="fnref34">
        <w:r>
          <w:rPr>
            <w:rStyle w:val="Hyperlink"/>
          </w:rPr>
          <w:t xml:space="preserve">↩</w:t>
        </w:r>
      </w:hyperlink>
    </w:p>
    <w:bookmarkEnd w:id="468"/>
    <w:bookmarkStart w:id="469" w:name="fn35"/>
    <w:p>
      <w:pPr>
        <w:numPr>
          <w:numId w:val="1026"/>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35">
        <w:r>
          <w:rPr>
            <w:rStyle w:val="Hyperlink"/>
          </w:rPr>
          <w:t xml:space="preserve">↩</w:t>
        </w:r>
      </w:hyperlink>
    </w:p>
    <w:bookmarkEnd w:id="469"/>
    <w:bookmarkStart w:id="470" w:name="fn36"/>
    <w:p>
      <w:pPr>
        <w:numPr>
          <w:numId w:val="1026"/>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36">
        <w:r>
          <w:rPr>
            <w:rStyle w:val="Hyperlink"/>
          </w:rPr>
          <w:t xml:space="preserve">↩</w:t>
        </w:r>
      </w:hyperlink>
    </w:p>
    <w:bookmarkEnd w:id="470"/>
    <w:bookmarkStart w:id="471" w:name="fn37"/>
    <w:p>
      <w:pPr>
        <w:numPr>
          <w:numId w:val="1026"/>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37">
        <w:r>
          <w:rPr>
            <w:rStyle w:val="Hyperlink"/>
          </w:rPr>
          <w:t xml:space="preserve">↩</w:t>
        </w:r>
      </w:hyperlink>
    </w:p>
    <w:bookmarkEnd w:id="471"/>
    <w:bookmarkStart w:id="472" w:name="fn38"/>
    <w:p>
      <w:pPr>
        <w:numPr>
          <w:numId w:val="1026"/>
          <w:ilvl w:val="0"/>
        </w:numPr>
      </w:pPr>
      <w:r>
        <w:rPr>
          <w:i/>
        </w:rPr>
        <w:t xml:space="preserve">The Sonification Handbook</w:t>
      </w:r>
      <w:r>
        <w:t xml:space="preserve"> </w:t>
      </w:r>
      <w:r>
        <w:t xml:space="preserve">(Hermann et al. 2011)</w:t>
      </w:r>
      <w:r>
        <w:t xml:space="preserve"> </w:t>
      </w:r>
      <w:r>
        <w:t xml:space="preserve">continues to be the most recent and comprehensive reference in the field.</w:t>
      </w:r>
      <w:hyperlink w:anchor="fnref38">
        <w:r>
          <w:rPr>
            <w:rStyle w:val="Hyperlink"/>
          </w:rPr>
          <w:t xml:space="preserve">↩</w:t>
        </w:r>
      </w:hyperlink>
    </w:p>
    <w:bookmarkEnd w:id="472"/>
    <w:bookmarkStart w:id="473" w:name="fn39"/>
    <w:p>
      <w:pPr>
        <w:numPr>
          <w:numId w:val="1026"/>
          <w:ilvl w:val="0"/>
        </w:numPr>
      </w:pPr>
      <w:r>
        <w:t xml:space="preserve">While there are cases where sonification is entirely analog (e.g., see the first sonification tool ever created: the Geiger counter), I will focus on the most recent use cases of sonification.</w:t>
      </w:r>
      <w:hyperlink w:anchor="fnref39">
        <w:r>
          <w:rPr>
            <w:rStyle w:val="Hyperlink"/>
          </w:rPr>
          <w:t xml:space="preserve">↩</w:t>
        </w:r>
      </w:hyperlink>
    </w:p>
    <w:bookmarkEnd w:id="473"/>
    <w:bookmarkStart w:id="474" w:name="fn40"/>
    <w:p>
      <w:pPr>
        <w:numPr>
          <w:numId w:val="1026"/>
          <w:ilvl w:val="0"/>
        </w:numPr>
      </w:pPr>
      <w:r>
        <w:t xml:space="preserve">This is also referred as ‘parameter mapping,’ meaning that some dimensions of the data are mapped or translated into some parameters of sound (frequency, periodicity, density, etc.). I use the word ‘some’ to represent the necessity of data dimensionality reduction. Parameter mapping is most useful to represent changes in the data</w:t>
      </w:r>
      <w:r>
        <w:t xml:space="preserve"> </w:t>
      </w:r>
      <w:r>
        <w:t xml:space="preserve">(Walker &amp; Nees 2011, p. 16)</w:t>
      </w:r>
      <w:r>
        <w:t xml:space="preserve">.</w:t>
      </w:r>
      <w:hyperlink w:anchor="fnref40">
        <w:r>
          <w:rPr>
            <w:rStyle w:val="Hyperlink"/>
          </w:rPr>
          <w:t xml:space="preserve">↩</w:t>
        </w:r>
      </w:hyperlink>
    </w:p>
    <w:bookmarkEnd w:id="474"/>
    <w:bookmarkStart w:id="475" w:name="fn41"/>
    <w:p>
      <w:pPr>
        <w:numPr>
          <w:numId w:val="1026"/>
          <w:ilvl w:val="0"/>
        </w:numPr>
      </w:pPr>
      <w:r>
        <w:t xml:space="preserve">Model-based sonification is useful for what is known as ‘data exploration.’ The sonification is driven by the interaction of the user with a virtual model of the data</w:t>
      </w:r>
      <w:r>
        <w:t xml:space="preserve"> </w:t>
      </w:r>
      <w:r>
        <w:t xml:space="preserve">(Walker &amp; Nees 2011, p. 17)</w:t>
      </w:r>
      <w:r>
        <w:t xml:space="preserve">.</w:t>
      </w:r>
      <w:hyperlink w:anchor="fnref41">
        <w:r>
          <w:rPr>
            <w:rStyle w:val="Hyperlink"/>
          </w:rPr>
          <w:t xml:space="preserve">↩</w:t>
        </w:r>
      </w:hyperlink>
    </w:p>
    <w:bookmarkEnd w:id="475"/>
    <w:bookmarkStart w:id="476" w:name="fn42"/>
    <w:p>
      <w:pPr>
        <w:numPr>
          <w:numId w:val="1026"/>
          <w:ilvl w:val="0"/>
        </w:numPr>
      </w:pPr>
      <w:r>
        <w:t xml:space="preserve">This is also known as ‘audification,’ and it consists of directly translating waveforms of periodic data into sound</w:t>
      </w:r>
      <w:r>
        <w:t xml:space="preserve"> </w:t>
      </w:r>
      <w:r>
        <w:t xml:space="preserve">(Walker &amp; Nees 2011, p. 17)</w:t>
      </w:r>
      <w:r>
        <w:t xml:space="preserve">.</w:t>
      </w:r>
      <w:hyperlink w:anchor="fnref42">
        <w:r>
          <w:rPr>
            <w:rStyle w:val="Hyperlink"/>
          </w:rPr>
          <w:t xml:space="preserve">↩</w:t>
        </w:r>
      </w:hyperlink>
    </w:p>
    <w:bookmarkEnd w:id="476"/>
    <w:bookmarkStart w:id="477" w:name="fn43"/>
    <w:p>
      <w:pPr>
        <w:numPr>
          <w:numId w:val="1026"/>
          <w:ilvl w:val="0"/>
        </w:numPr>
      </w:pPr>
      <w:r>
        <w:t xml:space="preserve">See for example Carlile’s chapter on psychoacoustics</w:t>
      </w:r>
      <w:r>
        <w:t xml:space="preserve"> </w:t>
      </w:r>
      <w:r>
        <w:t xml:space="preserve">(Carlile 2011)</w:t>
      </w:r>
      <w:r>
        <w:t xml:space="preserve">.</w:t>
      </w:r>
      <w:hyperlink w:anchor="fnref43">
        <w:r>
          <w:rPr>
            <w:rStyle w:val="Hyperlink"/>
          </w:rPr>
          <w:t xml:space="preserve">↩</w:t>
        </w:r>
      </w:hyperlink>
    </w:p>
    <w:bookmarkEnd w:id="477"/>
    <w:bookmarkStart w:id="478" w:name="fn44"/>
    <w:p>
      <w:pPr>
        <w:numPr>
          <w:numId w:val="1026"/>
          <w:ilvl w:val="0"/>
        </w:numPr>
      </w:pPr>
      <w:r>
        <w:t xml:space="preserve">Other examples of stock market sonification include Ciardi’s set of tools for downloading and sonifying real-time data</w:t>
      </w:r>
      <w:r>
        <w:t xml:space="preserve"> </w:t>
      </w:r>
      <w:r>
        <w:t xml:space="preserve">(Ciardi 2004)</w:t>
      </w:r>
      <w:r>
        <w:t xml:space="preserve">, and Ian Whalley’s research on telematic performance (See</w:t>
      </w:r>
      <w:r>
        <w:t xml:space="preserve"> </w:t>
      </w:r>
      <w:hyperlink w:anchor="sonification:affective">
        <w:r>
          <w:rPr>
            <w:rStyle w:val="Hyperlink"/>
          </w:rPr>
          <w:t xml:space="preserve">4.3.2.7</w:t>
        </w:r>
      </w:hyperlink>
      <w:r>
        <w:t xml:space="preserve">)</w:t>
      </w:r>
      <w:hyperlink w:anchor="fnref44">
        <w:r>
          <w:rPr>
            <w:rStyle w:val="Hyperlink"/>
          </w:rPr>
          <w:t xml:space="preserve">↩</w:t>
        </w:r>
      </w:hyperlink>
    </w:p>
    <w:bookmarkEnd w:id="478"/>
    <w:bookmarkStart w:id="479" w:name="fn45"/>
    <w:p>
      <w:pPr>
        <w:numPr>
          <w:numId w:val="1026"/>
          <w:ilvl w:val="0"/>
        </w:numPr>
      </w:pPr>
      <w:r>
        <w:t xml:space="preserve">From a lecture given by Judy Klein at New York University’s Waverly Project, on February 2nd, 2017.</w:t>
      </w:r>
      <w:hyperlink w:anchor="fnref45">
        <w:r>
          <w:rPr>
            <w:rStyle w:val="Hyperlink"/>
          </w:rPr>
          <w:t xml:space="preserve">↩</w:t>
        </w:r>
      </w:hyperlink>
    </w:p>
    <w:bookmarkEnd w:id="479"/>
    <w:bookmarkStart w:id="481" w:name="fn46"/>
    <w:p>
      <w:pPr>
        <w:numPr>
          <w:numId w:val="1026"/>
          <w:ilvl w:val="0"/>
        </w:numPr>
      </w:pPr>
      <w:hyperlink r:id="rId480">
        <w:r>
          <w:rPr>
            <w:rStyle w:val="Hyperlink"/>
          </w:rPr>
          <w:t xml:space="preserve">http://www.natashabarrett.org/viva.html</w:t>
        </w:r>
      </w:hyperlink>
      <w:hyperlink w:anchor="fnref46">
        <w:r>
          <w:rPr>
            <w:rStyle w:val="Hyperlink"/>
          </w:rPr>
          <w:t xml:space="preserve">↩</w:t>
        </w:r>
      </w:hyperlink>
    </w:p>
    <w:bookmarkEnd w:id="481"/>
    <w:bookmarkStart w:id="482" w:name="fn47"/>
    <w:p>
      <w:pPr>
        <w:numPr>
          <w:numId w:val="1026"/>
          <w:ilvl w:val="0"/>
        </w:numPr>
      </w:pPr>
      <w:r>
        <w:t xml:space="preserve">A biological field station called ‘La Suerte’ in Costa Rica</w:t>
      </w:r>
      <w:hyperlink w:anchor="fnref47">
        <w:r>
          <w:rPr>
            <w:rStyle w:val="Hyperlink"/>
          </w:rPr>
          <w:t xml:space="preserve">↩</w:t>
        </w:r>
      </w:hyperlink>
    </w:p>
    <w:bookmarkEnd w:id="482"/>
    <w:bookmarkStart w:id="484" w:name="fn48"/>
    <w:p>
      <w:pPr>
        <w:numPr>
          <w:numId w:val="1026"/>
          <w:ilvl w:val="0"/>
        </w:numPr>
      </w:pPr>
      <w:hyperlink r:id="rId483">
        <w:r>
          <w:rPr>
            <w:rStyle w:val="Hyperlink"/>
          </w:rPr>
          <w:t xml:space="preserve">http://www.hmdb.ca/</w:t>
        </w:r>
      </w:hyperlink>
      <w:hyperlink w:anchor="fnref48">
        <w:r>
          <w:rPr>
            <w:rStyle w:val="Hyperlink"/>
          </w:rPr>
          <w:t xml:space="preserve">↩</w:t>
        </w:r>
      </w:hyperlink>
    </w:p>
    <w:bookmarkEnd w:id="484"/>
    <w:bookmarkStart w:id="485" w:name="fn49"/>
    <w:p>
      <w:pPr>
        <w:numPr>
          <w:numId w:val="1026"/>
          <w:ilvl w:val="0"/>
        </w:numPr>
      </w:pPr>
      <w:r>
        <w:t xml:space="preserve">For further reference, see: software. Pauletto and Hung</w:t>
      </w:r>
      <w:r>
        <w:t xml:space="preserve"> </w:t>
      </w:r>
      <w:r>
        <w:t xml:space="preserve">(Pauletto &amp; Hunt 2004)</w:t>
      </w:r>
      <w:r>
        <w:t xml:space="preserve"> </w:t>
      </w:r>
      <w:r>
        <w:t xml:space="preserve">designed The Sonification Toolkit. Joao Menzenes designed using MAX/MSP.</w:t>
      </w:r>
      <w:hyperlink w:anchor="fnref49">
        <w:r>
          <w:rPr>
            <w:rStyle w:val="Hyperlink"/>
          </w:rPr>
          <w:t xml:space="preserve">↩</w:t>
        </w:r>
      </w:hyperlink>
    </w:p>
    <w:bookmarkEnd w:id="485"/>
    <w:bookmarkStart w:id="487" w:name="fn50"/>
    <w:p>
      <w:pPr>
        <w:numPr>
          <w:numId w:val="1026"/>
          <w:ilvl w:val="0"/>
        </w:numPr>
      </w:pPr>
      <w:hyperlink r:id="rId486">
        <w:r>
          <w:rPr>
            <w:rStyle w:val="Hyperlink"/>
          </w:rPr>
          <w:t xml:space="preserve">http://aflowlib.org/</w:t>
        </w:r>
      </w:hyperlink>
      <w:hyperlink w:anchor="fnref50">
        <w:r>
          <w:rPr>
            <w:rStyle w:val="Hyperlink"/>
          </w:rPr>
          <w:t xml:space="preserve">↩</w:t>
        </w:r>
      </w:hyperlink>
    </w:p>
    <w:bookmarkEnd w:id="487"/>
    <w:bookmarkStart w:id="489" w:name="fn51"/>
    <w:p>
      <w:pPr>
        <w:numPr>
          <w:numId w:val="1026"/>
          <w:ilvl w:val="0"/>
        </w:numPr>
      </w:pPr>
      <w:r>
        <w:t xml:space="preserve">OpenFrameworks is a C++ program for visuals:</w:t>
      </w:r>
      <w:r>
        <w:t xml:space="preserve"> </w:t>
      </w:r>
      <w:hyperlink r:id="rId488">
        <w:r>
          <w:rPr>
            <w:rStyle w:val="Hyperlink"/>
          </w:rPr>
          <w:t xml:space="preserve">https://openframeworks.cc</w:t>
        </w:r>
      </w:hyperlink>
      <w:hyperlink w:anchor="fnref51">
        <w:r>
          <w:rPr>
            <w:rStyle w:val="Hyperlink"/>
          </w:rPr>
          <w:t xml:space="preserve">↩</w:t>
        </w:r>
      </w:hyperlink>
    </w:p>
    <w:bookmarkEnd w:id="489"/>
    <w:bookmarkStart w:id="490" w:name="fn52"/>
    <w:p>
      <w:pPr>
        <w:numPr>
          <w:numId w:val="1026"/>
          <w:ilvl w:val="0"/>
        </w:numPr>
      </w:pPr>
      <w:r>
        <w:t xml:space="preserve">Ballora’s interface and sonification design stems from his PhD dissertation on cardiac rate sonification</w:t>
      </w:r>
      <w:r>
        <w:t xml:space="preserve"> </w:t>
      </w:r>
      <w:r>
        <w:t xml:space="preserve">(Ballora 2000)</w:t>
      </w:r>
      <w:r>
        <w:t xml:space="preserve">.</w:t>
      </w:r>
      <w:hyperlink w:anchor="fnref52">
        <w:r>
          <w:rPr>
            <w:rStyle w:val="Hyperlink"/>
          </w:rPr>
          <w:t xml:space="preserve">↩</w:t>
        </w:r>
      </w:hyperlink>
    </w:p>
    <w:bookmarkEnd w:id="490"/>
    <w:bookmarkStart w:id="492" w:name="fn53"/>
    <w:p>
      <w:pPr>
        <w:numPr>
          <w:numId w:val="1026"/>
          <w:ilvl w:val="0"/>
        </w:numPr>
      </w:pPr>
      <w:hyperlink r:id="rId491">
        <w:r>
          <w:rPr>
            <w:rStyle w:val="Hyperlink"/>
          </w:rPr>
          <w:t xml:space="preserve">https://vimeo.com/167646306</w:t>
        </w:r>
      </w:hyperlink>
      <w:hyperlink w:anchor="fnref53">
        <w:r>
          <w:rPr>
            <w:rStyle w:val="Hyperlink"/>
          </w:rPr>
          <w:t xml:space="preserve">↩</w:t>
        </w:r>
      </w:hyperlink>
    </w:p>
    <w:bookmarkEnd w:id="492"/>
    <w:bookmarkStart w:id="494" w:name="fn54"/>
    <w:p>
      <w:pPr>
        <w:numPr>
          <w:numId w:val="1026"/>
          <w:ilvl w:val="0"/>
        </w:numPr>
      </w:pPr>
      <w:hyperlink r:id="rId493">
        <w:r>
          <w:rPr>
            <w:rStyle w:val="Hyperlink"/>
          </w:rPr>
          <w:t xml:space="preserve">https://www.iris.edu</w:t>
        </w:r>
      </w:hyperlink>
      <w:hyperlink w:anchor="fnref54">
        <w:r>
          <w:rPr>
            <w:rStyle w:val="Hyperlink"/>
          </w:rPr>
          <w:t xml:space="preserve">↩</w:t>
        </w:r>
      </w:hyperlink>
    </w:p>
    <w:bookmarkEnd w:id="494"/>
    <w:bookmarkStart w:id="496" w:name="fn55"/>
    <w:p>
      <w:pPr>
        <w:numPr>
          <w:numId w:val="1026"/>
          <w:ilvl w:val="0"/>
        </w:numPr>
      </w:pPr>
      <w:hyperlink r:id="rId495">
        <w:r>
          <w:rPr>
            <w:rStyle w:val="Hyperlink"/>
          </w:rPr>
          <w:t xml:space="preserve">https://qcd-audio.at</w:t>
        </w:r>
      </w:hyperlink>
      <w:hyperlink w:anchor="fnref55">
        <w:r>
          <w:rPr>
            <w:rStyle w:val="Hyperlink"/>
          </w:rPr>
          <w:t xml:space="preserve">↩</w:t>
        </w:r>
      </w:hyperlink>
    </w:p>
    <w:bookmarkEnd w:id="496"/>
    <w:bookmarkStart w:id="497" w:name="fn56"/>
    <w:p>
      <w:pPr>
        <w:numPr>
          <w:numId w:val="1026"/>
          <w:ilvl w:val="0"/>
        </w:numPr>
      </w:pPr>
      <w:r>
        <w:t xml:space="preserve">William (Bill) Buxton is now considered a pioneer in HCI, and he is now a major figure in the Microsoft Research department.</w:t>
      </w:r>
      <w:hyperlink w:anchor="fnref56">
        <w:r>
          <w:rPr>
            <w:rStyle w:val="Hyperlink"/>
          </w:rPr>
          <w:t xml:space="preserve">↩</w:t>
        </w:r>
      </w:hyperlink>
    </w:p>
    <w:bookmarkEnd w:id="497"/>
    <w:bookmarkStart w:id="498" w:name="fn57"/>
    <w:p>
      <w:pPr>
        <w:numPr>
          <w:numId w:val="1026"/>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57">
        <w:r>
          <w:rPr>
            <w:rStyle w:val="Hyperlink"/>
          </w:rPr>
          <w:t xml:space="preserve">↩</w:t>
        </w:r>
      </w:hyperlink>
    </w:p>
    <w:bookmarkEnd w:id="498"/>
    <w:bookmarkStart w:id="499" w:name="fn58"/>
    <w:p>
      <w:pPr>
        <w:numPr>
          <w:numId w:val="1026"/>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58">
        <w:r>
          <w:rPr>
            <w:rStyle w:val="Hyperlink"/>
          </w:rPr>
          <w:t xml:space="preserve">↩</w:t>
        </w:r>
      </w:hyperlink>
    </w:p>
    <w:bookmarkEnd w:id="499"/>
    <w:bookmarkStart w:id="500" w:name="fn59"/>
    <w:p>
      <w:pPr>
        <w:numPr>
          <w:numId w:val="1026"/>
          <w:ilvl w:val="0"/>
        </w:numPr>
      </w:pPr>
      <w:r>
        <w:t xml:space="preserve">MIDI (Musical Instrument Digital Interface) is a communication protocol between synthesizers and computers.</w:t>
      </w:r>
      <w:hyperlink w:anchor="fnref59">
        <w:r>
          <w:rPr>
            <w:rStyle w:val="Hyperlink"/>
          </w:rPr>
          <w:t xml:space="preserve">↩</w:t>
        </w:r>
      </w:hyperlink>
    </w:p>
    <w:bookmarkEnd w:id="500"/>
    <w:bookmarkStart w:id="501" w:name="fn60"/>
    <w:p>
      <w:pPr>
        <w:numPr>
          <w:numId w:val="1026"/>
          <w:ilvl w:val="0"/>
        </w:numPr>
      </w:pPr>
      <w:r>
        <w:t xml:space="preserve">DARMS stands for ‘Digital Alternate Representation of Musical Scores.’</w:t>
      </w:r>
      <w:hyperlink w:anchor="fnref60">
        <w:r>
          <w:rPr>
            <w:rStyle w:val="Hyperlink"/>
          </w:rPr>
          <w:t xml:space="preserve">↩</w:t>
        </w:r>
      </w:hyperlink>
    </w:p>
    <w:bookmarkEnd w:id="501"/>
    <w:bookmarkStart w:id="502" w:name="fn61"/>
    <w:p>
      <w:pPr>
        <w:numPr>
          <w:numId w:val="1026"/>
          <w:ilvl w:val="0"/>
        </w:numPr>
      </w:pPr>
      <w:r>
        <w:t xml:space="preserve">Vector graphics are computer graphics images that are defined in terms of two dimensional points.</w:t>
      </w:r>
      <w:hyperlink w:anchor="fnref61">
        <w:r>
          <w:rPr>
            <w:rStyle w:val="Hyperlink"/>
          </w:rPr>
          <w:t xml:space="preserve">↩</w:t>
        </w:r>
      </w:hyperlink>
    </w:p>
    <w:bookmarkEnd w:id="502"/>
    <w:bookmarkStart w:id="503" w:name="fn62"/>
    <w:p>
      <w:pPr>
        <w:numPr>
          <w:numId w:val="1026"/>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62">
        <w:r>
          <w:rPr>
            <w:rStyle w:val="Hyperlink"/>
          </w:rPr>
          <w:t xml:space="preserve">↩</w:t>
        </w:r>
      </w:hyperlink>
    </w:p>
    <w:bookmarkEnd w:id="503"/>
    <w:bookmarkStart w:id="504" w:name="fn63"/>
    <w:p>
      <w:pPr>
        <w:numPr>
          <w:numId w:val="1026"/>
          <w:ilvl w:val="0"/>
        </w:numPr>
      </w:pPr>
      <w:r>
        <w:t xml:space="preserve">Objective-C is a programming language combining the Smalltalk messaging system and the C programming language, which enables an object-oriented approach to the latter.</w:t>
      </w:r>
      <w:hyperlink w:anchor="fnref63">
        <w:r>
          <w:rPr>
            <w:rStyle w:val="Hyperlink"/>
          </w:rPr>
          <w:t xml:space="preserve">↩</w:t>
        </w:r>
      </w:hyperlink>
    </w:p>
    <w:bookmarkEnd w:id="504"/>
    <w:bookmarkStart w:id="505" w:name="fn64"/>
    <w:p>
      <w:pPr>
        <w:numPr>
          <w:numId w:val="1026"/>
          <w:ilvl w:val="0"/>
        </w:numPr>
      </w:pPr>
      <w:r>
        <w:t xml:space="preserve">The same can be said about music listening: the generated output can have internal structures that go beyond our perceptual skills.</w:t>
      </w:r>
      <w:hyperlink w:anchor="fnref64">
        <w:r>
          <w:rPr>
            <w:rStyle w:val="Hyperlink"/>
          </w:rPr>
          <w:t xml:space="preserve">↩</w:t>
        </w:r>
      </w:hyperlink>
    </w:p>
    <w:bookmarkEnd w:id="505"/>
    <w:bookmarkStart w:id="506" w:name="fn65"/>
    <w:p>
      <w:pPr>
        <w:numPr>
          <w:numId w:val="1026"/>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65">
        <w:r>
          <w:rPr>
            <w:rStyle w:val="Hyperlink"/>
          </w:rPr>
          <w:t xml:space="preserve">↩</w:t>
        </w:r>
      </w:hyperlink>
    </w:p>
    <w:bookmarkEnd w:id="506"/>
    <w:bookmarkStart w:id="508" w:name="fn66"/>
    <w:p>
      <w:pPr>
        <w:numPr>
          <w:numId w:val="1026"/>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507">
        <w:r>
          <w:rPr>
            <w:rStyle w:val="Hyperlink"/>
          </w:rPr>
          <w:t xml:space="preserve">https://en.wikipedia.org/wiki/Heap_(data_structure)</w:t>
        </w:r>
      </w:hyperlink>
      <w:hyperlink w:anchor="fnref66">
        <w:r>
          <w:rPr>
            <w:rStyle w:val="Hyperlink"/>
          </w:rPr>
          <w:t xml:space="preserve">↩</w:t>
        </w:r>
      </w:hyperlink>
    </w:p>
    <w:bookmarkEnd w:id="508"/>
    <w:bookmarkStart w:id="509" w:name="fn67"/>
    <w:p>
      <w:pPr>
        <w:numPr>
          <w:numId w:val="1026"/>
          <w:ilvl w:val="0"/>
        </w:numPr>
      </w:pPr>
      <w:r>
        <w:t xml:space="preserve">A TCP/IP connection is an internet protocol that enables data to be transferred between two ‘sockets,’ or ports, that is, the basic elements to establish a network.</w:t>
      </w:r>
      <w:hyperlink w:anchor="fnref67">
        <w:r>
          <w:rPr>
            <w:rStyle w:val="Hyperlink"/>
          </w:rPr>
          <w:t xml:space="preserve">↩</w:t>
        </w:r>
      </w:hyperlink>
    </w:p>
    <w:bookmarkEnd w:id="509"/>
    <w:bookmarkStart w:id="510" w:name="fn68"/>
    <w:p>
      <w:pPr>
        <w:numPr>
          <w:numId w:val="1026"/>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68">
        <w:r>
          <w:rPr>
            <w:rStyle w:val="Hyperlink"/>
          </w:rPr>
          <w:t xml:space="preserve">↩</w:t>
        </w:r>
      </w:hyperlink>
    </w:p>
    <w:bookmarkEnd w:id="510"/>
    <w:bookmarkStart w:id="511" w:name="fn69"/>
    <w:p>
      <w:pPr>
        <w:numPr>
          <w:numId w:val="1026"/>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69">
        <w:r>
          <w:rPr>
            <w:rStyle w:val="Hyperlink"/>
          </w:rPr>
          <w:t xml:space="preserve">↩</w:t>
        </w:r>
      </w:hyperlink>
    </w:p>
    <w:bookmarkEnd w:id="511"/>
    <w:bookmarkStart w:id="513" w:name="fn70"/>
    <w:p>
      <w:pPr>
        <w:numPr>
          <w:numId w:val="1026"/>
          <w:ilvl w:val="0"/>
        </w:numPr>
      </w:pPr>
      <w:bookmarkStart w:id="512" w:name="furthersoftware"/>
      <w:r>
        <w:t xml:space="preserve">[furthersoftware]</w:t>
      </w:r>
      <w:bookmarkEnd w:id="512"/>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70">
        <w:r>
          <w:rPr>
            <w:rStyle w:val="Hyperlink"/>
          </w:rPr>
          <w:t xml:space="preserve">↩</w:t>
        </w:r>
      </w:hyperlink>
    </w:p>
    <w:bookmarkEnd w:id="513"/>
    <w:bookmarkStart w:id="514" w:name="fn71"/>
    <w:p>
      <w:pPr>
        <w:numPr>
          <w:numId w:val="1026"/>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71">
        <w:r>
          <w:rPr>
            <w:rStyle w:val="Hyperlink"/>
          </w:rPr>
          <w:t xml:space="preserve">↩</w:t>
        </w:r>
      </w:hyperlink>
    </w:p>
    <w:bookmarkEnd w:id="514"/>
    <w:bookmarkStart w:id="516" w:name="fn72"/>
    <w:p>
      <w:pPr>
        <w:numPr>
          <w:numId w:val="1026"/>
          <w:ilvl w:val="0"/>
        </w:numPr>
      </w:pPr>
      <w:hyperlink r:id="rId515">
        <w:r>
          <w:rPr>
            <w:rStyle w:val="Hyperlink"/>
          </w:rPr>
          <w:t xml:space="preserve">http://insookchoi.com</w:t>
        </w:r>
      </w:hyperlink>
      <w:hyperlink w:anchor="fnref72">
        <w:r>
          <w:rPr>
            <w:rStyle w:val="Hyperlink"/>
          </w:rPr>
          <w:t xml:space="preserve">↩</w:t>
        </w:r>
      </w:hyperlink>
    </w:p>
    <w:bookmarkEnd w:id="516"/>
    <w:bookmarkStart w:id="517" w:name="fn73"/>
    <w:p>
      <w:pPr>
        <w:numPr>
          <w:numId w:val="1026"/>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73">
        <w:r>
          <w:rPr>
            <w:rStyle w:val="Hyperlink"/>
          </w:rPr>
          <w:t xml:space="preserve">↩</w:t>
        </w:r>
      </w:hyperlink>
    </w:p>
    <w:bookmarkEnd w:id="517"/>
    <w:bookmarkStart w:id="518" w:name="fn74"/>
    <w:p>
      <w:pPr>
        <w:numPr>
          <w:numId w:val="1026"/>
          <w:ilvl w:val="0"/>
        </w:numPr>
      </w:pPr>
      <w:r>
        <w:t xml:space="preserve">Histeresis is the recorded history of the observer’s interaction with a system.</w:t>
      </w:r>
      <w:hyperlink w:anchor="fnref74">
        <w:r>
          <w:rPr>
            <w:rStyle w:val="Hyperlink"/>
          </w:rPr>
          <w:t xml:space="preserve">↩</w:t>
        </w:r>
      </w:hyperlink>
    </w:p>
    <w:bookmarkEnd w:id="518"/>
    <w:bookmarkStart w:id="520" w:name="fn75"/>
    <w:p>
      <w:pPr>
        <w:numPr>
          <w:numId w:val="1026"/>
          <w:ilvl w:val="0"/>
        </w:numPr>
      </w:pPr>
      <w:r>
        <w:t xml:space="preserve">A video of the installation can be seen here:</w:t>
      </w:r>
      <w:r>
        <w:t xml:space="preserve"> </w:t>
      </w:r>
      <w:hyperlink r:id="rId519">
        <w:r>
          <w:rPr>
            <w:rStyle w:val="Hyperlink"/>
          </w:rPr>
          <w:t xml:space="preserve">https://vimeo.com/23086026</w:t>
        </w:r>
      </w:hyperlink>
      <w:hyperlink w:anchor="fnref75">
        <w:r>
          <w:rPr>
            <w:rStyle w:val="Hyperlink"/>
          </w:rPr>
          <w:t xml:space="preserve">↩</w:t>
        </w:r>
      </w:hyperlink>
    </w:p>
    <w:bookmarkEnd w:id="520"/>
    <w:bookmarkStart w:id="522" w:name="fn76"/>
    <w:p>
      <w:pPr>
        <w:numPr>
          <w:numId w:val="1026"/>
          <w:ilvl w:val="0"/>
        </w:numPr>
      </w:pPr>
      <w:hyperlink r:id="rId521">
        <w:r>
          <w:rPr>
            <w:rStyle w:val="Hyperlink"/>
          </w:rPr>
          <w:t xml:space="preserve">https://sihwapark.com/COMPath</w:t>
        </w:r>
      </w:hyperlink>
      <w:hyperlink w:anchor="fnref76">
        <w:r>
          <w:rPr>
            <w:rStyle w:val="Hyperlink"/>
          </w:rPr>
          <w:t xml:space="preserve">↩</w:t>
        </w:r>
      </w:hyperlink>
    </w:p>
    <w:bookmarkEnd w:id="522"/>
    <w:bookmarkStart w:id="523" w:name="fn77"/>
    <w:p>
      <w:pPr>
        <w:numPr>
          <w:numId w:val="1026"/>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77">
        <w:r>
          <w:rPr>
            <w:rStyle w:val="Hyperlink"/>
          </w:rPr>
          <w:t xml:space="preserve">↩</w:t>
        </w:r>
      </w:hyperlink>
    </w:p>
    <w:bookmarkEnd w:id="523"/>
    <w:bookmarkStart w:id="524" w:name="fn78"/>
    <w:p>
      <w:pPr>
        <w:numPr>
          <w:numId w:val="1026"/>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78">
        <w:r>
          <w:rPr>
            <w:rStyle w:val="Hyperlink"/>
          </w:rPr>
          <w:t xml:space="preserve">↩</w:t>
        </w:r>
      </w:hyperlink>
    </w:p>
    <w:bookmarkEnd w:id="524"/>
    <w:bookmarkStart w:id="525" w:name="fn79"/>
    <w:p>
      <w:pPr>
        <w:numPr>
          <w:numId w:val="1026"/>
          <w:ilvl w:val="0"/>
        </w:numPr>
      </w:pPr>
      <w:r>
        <w:t xml:space="preserve">Digital waveguides are an efficient model for physical modeling of wave propagation</w:t>
      </w:r>
      <w:hyperlink w:anchor="fnref79">
        <w:r>
          <w:rPr>
            <w:rStyle w:val="Hyperlink"/>
          </w:rPr>
          <w:t xml:space="preserve">↩</w:t>
        </w:r>
      </w:hyperlink>
    </w:p>
    <w:bookmarkEnd w:id="525"/>
    <w:bookmarkStart w:id="526" w:name="fn80"/>
    <w:p>
      <w:pPr>
        <w:numPr>
          <w:numId w:val="1026"/>
          <w:ilvl w:val="0"/>
        </w:numPr>
      </w:pPr>
      <w:r>
        <w:t xml:space="preserve">Center for New Music and Audio Technologies, Berkeley</w:t>
      </w:r>
      <w:hyperlink w:anchor="fnref80">
        <w:r>
          <w:rPr>
            <w:rStyle w:val="Hyperlink"/>
          </w:rPr>
          <w:t xml:space="preserve">↩</w:t>
        </w:r>
      </w:hyperlink>
    </w:p>
    <w:bookmarkEnd w:id="526"/>
    <w:bookmarkStart w:id="527" w:name="fn81"/>
    <w:p>
      <w:pPr>
        <w:numPr>
          <w:numId w:val="1026"/>
          <w:ilvl w:val="0"/>
        </w:numPr>
      </w:pPr>
      <w:r>
        <w:t xml:space="preserve">See footnote:</w:t>
      </w:r>
      <w:r>
        <w:t xml:space="preserve"> </w:t>
      </w:r>
      <w:hyperlink w:anchor="furthersoftware">
        <w:r>
          <w:rPr>
            <w:rStyle w:val="Hyperlink"/>
          </w:rPr>
          <w:t xml:space="preserve">[furthersoftware]</w:t>
        </w:r>
      </w:hyperlink>
      <w:hyperlink w:anchor="fnref81">
        <w:r>
          <w:rPr>
            <w:rStyle w:val="Hyperlink"/>
          </w:rPr>
          <w:t xml:space="preserve">↩</w:t>
        </w:r>
      </w:hyperlink>
    </w:p>
    <w:bookmarkEnd w:id="527"/>
    <w:bookmarkStart w:id="528" w:name="fn82"/>
    <w:p>
      <w:pPr>
        <w:numPr>
          <w:numId w:val="1026"/>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82">
        <w:r>
          <w:rPr>
            <w:rStyle w:val="Hyperlink"/>
          </w:rPr>
          <w:t xml:space="preserve">↩</w:t>
        </w:r>
      </w:hyperlink>
    </w:p>
    <w:bookmarkEnd w:id="528"/>
    <w:bookmarkStart w:id="529" w:name="fn83"/>
    <w:p>
      <w:pPr>
        <w:numPr>
          <w:numId w:val="1026"/>
          <w:ilvl w:val="0"/>
        </w:numPr>
      </w:pPr>
      <w:r>
        <w:t xml:space="preserve">XML is a human-readable, eXtensible Markup Language very similar to HTML.</w:t>
      </w:r>
      <w:hyperlink w:anchor="fnref83">
        <w:r>
          <w:rPr>
            <w:rStyle w:val="Hyperlink"/>
          </w:rPr>
          <w:t xml:space="preserve">↩</w:t>
        </w:r>
      </w:hyperlink>
    </w:p>
    <w:bookmarkEnd w:id="529"/>
    <w:bookmarkStart w:id="530" w:name="fn84"/>
    <w:p>
      <w:pPr>
        <w:numPr>
          <w:numId w:val="1026"/>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84">
        <w:r>
          <w:rPr>
            <w:rStyle w:val="Hyperlink"/>
          </w:rPr>
          <w:t xml:space="preserve">↩</w:t>
        </w:r>
      </w:hyperlink>
    </w:p>
    <w:bookmarkEnd w:id="530"/>
    <w:bookmarkStart w:id="531" w:name="fn85"/>
    <w:p>
      <w:pPr>
        <w:numPr>
          <w:numId w:val="1026"/>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85">
        <w:r>
          <w:rPr>
            <w:rStyle w:val="Hyperlink"/>
          </w:rPr>
          <w:t xml:space="preserve">↩</w:t>
        </w:r>
      </w:hyperlink>
    </w:p>
    <w:bookmarkEnd w:id="531"/>
    <w:bookmarkStart w:id="532" w:name="fn86"/>
    <w:p>
      <w:pPr>
        <w:numPr>
          <w:numId w:val="1026"/>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86">
        <w:r>
          <w:rPr>
            <w:rStyle w:val="Hyperlink"/>
          </w:rPr>
          <w:t xml:space="preserve">↩</w:t>
        </w:r>
      </w:hyperlink>
    </w:p>
    <w:bookmarkEnd w:id="532"/>
    <w:bookmarkStart w:id="533" w:name="fn87"/>
    <w:p>
      <w:pPr>
        <w:numPr>
          <w:numId w:val="1026"/>
          <w:ilvl w:val="0"/>
        </w:numPr>
      </w:pPr>
      <w:r>
        <w:t xml:space="preserve">Within this fictional universe, the only way for him to sleep was to imagine the opaqueness of an unknowable future…</w:t>
      </w:r>
      <w:hyperlink w:anchor="fnref87">
        <w:r>
          <w:rPr>
            <w:rStyle w:val="Hyperlink"/>
          </w:rPr>
          <w:t xml:space="preserve">↩</w:t>
        </w:r>
      </w:hyperlink>
    </w:p>
    <w:bookmarkEnd w:id="533"/>
    <w:bookmarkStart w:id="534" w:name="fn88"/>
    <w:p>
      <w:pPr>
        <w:numPr>
          <w:numId w:val="1026"/>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88">
        <w:r>
          <w:rPr>
            <w:rStyle w:val="Hyperlink"/>
          </w:rPr>
          <w:t xml:space="preserve">↩</w:t>
        </w:r>
      </w:hyperlink>
    </w:p>
    <w:bookmarkEnd w:id="534"/>
    <w:bookmarkStart w:id="535" w:name="fn89"/>
    <w:p>
      <w:pPr>
        <w:numPr>
          <w:numId w:val="1026"/>
          <w:ilvl w:val="0"/>
        </w:numPr>
      </w:pPr>
      <w:r>
        <w:t xml:space="preserve">For example, one of Irineo’s concerns was to reduce the amount of memories on a single day, which he downsized to about seventy thousand…</w:t>
      </w:r>
      <w:hyperlink w:anchor="fnref89">
        <w:r>
          <w:rPr>
            <w:rStyle w:val="Hyperlink"/>
          </w:rPr>
          <w:t xml:space="preserve">↩</w:t>
        </w:r>
      </w:hyperlink>
    </w:p>
    <w:bookmarkEnd w:id="535"/>
    <w:bookmarkStart w:id="536" w:name="fn90"/>
    <w:p>
      <w:pPr>
        <w:numPr>
          <w:numId w:val="1026"/>
          <w:ilvl w:val="0"/>
        </w:numPr>
      </w:pPr>
      <w:r>
        <w:t xml:space="preserve">This acousmatic quality of Funes’ voice will not be touched here, but it is indeed a good point of departure for an essay.</w:t>
      </w:r>
      <w:hyperlink w:anchor="fnref90">
        <w:r>
          <w:rPr>
            <w:rStyle w:val="Hyperlink"/>
          </w:rPr>
          <w:t xml:space="preserve">↩</w:t>
        </w:r>
      </w:hyperlink>
    </w:p>
    <w:bookmarkEnd w:id="536"/>
    <w:bookmarkStart w:id="538" w:name="fn91"/>
    <w:p>
      <w:pPr>
        <w:numPr>
          <w:numId w:val="1026"/>
          <w:ilvl w:val="0"/>
        </w:numPr>
      </w:pPr>
      <w:hyperlink r:id="rId537">
        <w:r>
          <w:rPr>
            <w:rStyle w:val="Hyperlink"/>
          </w:rPr>
          <w:t xml:space="preserve">https://en.wikipedia.org/wiki/Leo_Beranek</w:t>
        </w:r>
      </w:hyperlink>
      <w:hyperlink w:anchor="fnref91">
        <w:r>
          <w:rPr>
            <w:rStyle w:val="Hyperlink"/>
          </w:rPr>
          <w:t xml:space="preserve">↩</w:t>
        </w:r>
      </w:hyperlink>
    </w:p>
    <w:bookmarkEnd w:id="538"/>
    <w:bookmarkStart w:id="539" w:name="fn92"/>
    <w:p>
      <w:pPr>
        <w:numPr>
          <w:numId w:val="1026"/>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92">
        <w:r>
          <w:rPr>
            <w:rStyle w:val="Hyperlink"/>
          </w:rPr>
          <w:t xml:space="preserve">↩</w:t>
        </w:r>
      </w:hyperlink>
    </w:p>
    <w:bookmarkEnd w:id="539"/>
    <w:bookmarkStart w:id="540" w:name="fn93"/>
    <w:p>
      <w:pPr>
        <w:numPr>
          <w:numId w:val="1026"/>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93">
        <w:r>
          <w:rPr>
            <w:rStyle w:val="Hyperlink"/>
          </w:rPr>
          <w:t xml:space="preserve">↩</w:t>
        </w:r>
      </w:hyperlink>
    </w:p>
    <w:bookmarkEnd w:id="540"/>
    <w:bookmarkStart w:id="542" w:name="fn94"/>
    <w:p>
      <w:pPr>
        <w:numPr>
          <w:numId w:val="1026"/>
          <w:ilvl w:val="0"/>
        </w:numPr>
      </w:pPr>
      <w:hyperlink r:id="rId541">
        <w:r>
          <w:rPr>
            <w:rStyle w:val="Hyperlink"/>
          </w:rPr>
          <w:t xml:space="preserve">https://en.cppreference.com/w/cpp/language/destructor</w:t>
        </w:r>
      </w:hyperlink>
      <w:hyperlink w:anchor="fnref94">
        <w:r>
          <w:rPr>
            <w:rStyle w:val="Hyperlink"/>
          </w:rPr>
          <w:t xml:space="preserve">↩</w:t>
        </w:r>
      </w:hyperlink>
    </w:p>
    <w:bookmarkEnd w:id="542"/>
    <w:bookmarkStart w:id="544" w:name="fn95"/>
    <w:p>
      <w:pPr>
        <w:numPr>
          <w:numId w:val="1026"/>
          <w:ilvl w:val="0"/>
        </w:numPr>
      </w:pPr>
      <w:hyperlink r:id="rId543">
        <w:r>
          <w:rPr>
            <w:rStyle w:val="Hyperlink"/>
          </w:rPr>
          <w:t xml:space="preserve">https://mpc.chs.harvard.edu/</w:t>
        </w:r>
      </w:hyperlink>
      <w:hyperlink w:anchor="fnref95">
        <w:r>
          <w:rPr>
            <w:rStyle w:val="Hyperlink"/>
          </w:rPr>
          <w:t xml:space="preserve">↩</w:t>
        </w:r>
      </w:hyperlink>
    </w:p>
    <w:bookmarkEnd w:id="544"/>
    <w:bookmarkStart w:id="545" w:name="fn96"/>
    <w:p>
      <w:pPr>
        <w:numPr>
          <w:numId w:val="1026"/>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96">
        <w:r>
          <w:rPr>
            <w:rStyle w:val="Hyperlink"/>
          </w:rPr>
          <w:t xml:space="preserve">↩</w:t>
        </w:r>
      </w:hyperlink>
    </w:p>
    <w:bookmarkEnd w:id="545"/>
    <w:bookmarkStart w:id="546" w:name="fn97"/>
    <w:p>
      <w:pPr>
        <w:numPr>
          <w:numId w:val="1026"/>
          <w:ilvl w:val="0"/>
        </w:numPr>
      </w:pPr>
      <w:r>
        <w:t xml:space="preserve">Programming ‘slang’ for inlet/outlet.</w:t>
      </w:r>
      <w:hyperlink w:anchor="fnref97">
        <w:r>
          <w:rPr>
            <w:rStyle w:val="Hyperlink"/>
          </w:rPr>
          <w:t xml:space="preserve">↩</w:t>
        </w:r>
      </w:hyperlink>
    </w:p>
    <w:bookmarkEnd w:id="546"/>
    <w:bookmarkStart w:id="547" w:name="fn98"/>
    <w:p>
      <w:pPr>
        <w:numPr>
          <w:numId w:val="1026"/>
          <w:ilvl w:val="0"/>
        </w:numPr>
      </w:pPr>
      <w:r>
        <w:t xml:space="preserve">Miller Puckette suggested this during an open discussion at</w:t>
      </w:r>
      <w:hyperlink w:anchor="fnref98">
        <w:r>
          <w:rPr>
            <w:rStyle w:val="Hyperlink"/>
          </w:rPr>
          <w:t xml:space="preserve">↩</w:t>
        </w:r>
      </w:hyperlink>
    </w:p>
    <w:bookmarkEnd w:id="547"/>
    <w:bookmarkStart w:id="548" w:name="fn99"/>
    <w:p>
      <w:pPr>
        <w:numPr>
          <w:numId w:val="1026"/>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99">
        <w:r>
          <w:rPr>
            <w:rStyle w:val="Hyperlink"/>
          </w:rPr>
          <w:t xml:space="preserve">↩</w:t>
        </w:r>
      </w:hyperlink>
    </w:p>
    <w:bookmarkEnd w:id="548"/>
    <w:bookmarkStart w:id="549" w:name="fn100"/>
    <w:p>
      <w:pPr>
        <w:numPr>
          <w:numId w:val="1026"/>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100">
        <w:r>
          <w:rPr>
            <w:rStyle w:val="Hyperlink"/>
          </w:rPr>
          <w:t xml:space="preserve">↩</w:t>
        </w:r>
      </w:hyperlink>
    </w:p>
    <w:bookmarkEnd w:id="549"/>
    <w:bookmarkStart w:id="550" w:name="fn101"/>
    <w:p>
      <w:pPr>
        <w:numPr>
          <w:numId w:val="1026"/>
          <w:ilvl w:val="0"/>
        </w:numPr>
      </w:pPr>
      <w:r>
        <w:t xml:space="preserve">Max Mathews refers to the human operator simply as a ‘cooperator’, see</w:t>
      </w:r>
      <w:r>
        <w:t xml:space="preserve"> </w:t>
      </w:r>
      <w:r>
        <w:t xml:space="preserve">(Mathews 1963)</w:t>
      </w:r>
      <w:r>
        <w:t xml:space="preserve">.</w:t>
      </w:r>
      <w:hyperlink w:anchor="fnref101">
        <w:r>
          <w:rPr>
            <w:rStyle w:val="Hyperlink"/>
          </w:rPr>
          <w:t xml:space="preserve">↩</w:t>
        </w:r>
      </w:hyperlink>
    </w:p>
    <w:bookmarkEnd w:id="550"/>
    <w:bookmarkStart w:id="552" w:name="fn102"/>
    <w:p>
      <w:pPr>
        <w:numPr>
          <w:numId w:val="1026"/>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51">
        <w:r>
          <w:rPr>
            <w:rStyle w:val="Hyperlink"/>
          </w:rPr>
          <w:t xml:space="preserve">https://en.wikipedia.org/wiki/Lorenz_system</w:t>
        </w:r>
      </w:hyperlink>
      <w:hyperlink w:anchor="fnref102">
        <w:r>
          <w:rPr>
            <w:rStyle w:val="Hyperlink"/>
          </w:rPr>
          <w:t xml:space="preserve">↩</w:t>
        </w:r>
      </w:hyperlink>
    </w:p>
    <w:bookmarkEnd w:id="552"/>
    <w:bookmarkStart w:id="553" w:name="fn103"/>
    <w:p>
      <w:pPr>
        <w:numPr>
          <w:numId w:val="1026"/>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103">
        <w:r>
          <w:rPr>
            <w:rStyle w:val="Hyperlink"/>
          </w:rPr>
          <w:t xml:space="preserve">↩</w:t>
        </w:r>
      </w:hyperlink>
    </w:p>
    <w:bookmarkEnd w:id="553"/>
    <w:bookmarkStart w:id="555" w:name="fn104"/>
    <w:p>
      <w:pPr>
        <w:numPr>
          <w:numId w:val="1026"/>
          <w:ilvl w:val="0"/>
        </w:numPr>
      </w:pPr>
      <w:hyperlink r:id="rId554">
        <w:r>
          <w:rPr>
            <w:rStyle w:val="Hyperlink"/>
          </w:rPr>
          <w:t xml:space="preserve">https://en.wiktionary.org/wiki/exercise</w:t>
        </w:r>
      </w:hyperlink>
      <w:hyperlink w:anchor="fnref104">
        <w:r>
          <w:rPr>
            <w:rStyle w:val="Hyperlink"/>
          </w:rPr>
          <w:t xml:space="preserve">↩</w:t>
        </w:r>
      </w:hyperlink>
    </w:p>
    <w:bookmarkEnd w:id="555"/>
    <w:bookmarkStart w:id="556" w:name="fn105"/>
    <w:p>
      <w:pPr>
        <w:numPr>
          <w:numId w:val="1026"/>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105">
        <w:r>
          <w:rPr>
            <w:rStyle w:val="Hyperlink"/>
          </w:rPr>
          <w:t xml:space="preserve">↩</w:t>
        </w:r>
      </w:hyperlink>
    </w:p>
    <w:bookmarkEnd w:id="556"/>
    <w:bookmarkStart w:id="557" w:name="fn106"/>
    <w:p>
      <w:pPr>
        <w:numPr>
          <w:numId w:val="1026"/>
          <w:ilvl w:val="0"/>
        </w:numPr>
      </w:pPr>
      <w:r>
        <w:t xml:space="preserve">For example, that which what escapes the databaser in Pure Data: the programming language C; or, even databasing in C: compiler instructions; etc.</w:t>
      </w:r>
      <w:hyperlink w:anchor="fnref106">
        <w:r>
          <w:rPr>
            <w:rStyle w:val="Hyperlink"/>
          </w:rPr>
          <w:t xml:space="preserve">↩</w:t>
        </w:r>
      </w:hyperlink>
    </w:p>
    <w:bookmarkEnd w:id="557"/>
    <w:bookmarkStart w:id="558" w:name="fn107"/>
    <w:p>
      <w:pPr>
        <w:numPr>
          <w:numId w:val="1026"/>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107">
        <w:r>
          <w:rPr>
            <w:rStyle w:val="Hyperlink"/>
          </w:rPr>
          <w:t xml:space="preserve">↩</w:t>
        </w:r>
      </w:hyperlink>
    </w:p>
    <w:bookmarkEnd w:id="558"/>
    <w:bookmarkStart w:id="559" w:name="fn108"/>
    <w:p>
      <w:pPr>
        <w:numPr>
          <w:numId w:val="1026"/>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108">
        <w:r>
          <w:rPr>
            <w:rStyle w:val="Hyperlink"/>
          </w:rPr>
          <w:t xml:space="preserve">↩</w:t>
        </w:r>
      </w:hyperlink>
    </w:p>
    <w:bookmarkEnd w:id="559"/>
    <w:bookmarkStart w:id="561" w:name="fn109"/>
    <w:p>
      <w:pPr>
        <w:numPr>
          <w:numId w:val="1026"/>
          <w:ilvl w:val="0"/>
        </w:numPr>
      </w:pPr>
      <w:hyperlink r:id="rId560">
        <w:r>
          <w:rPr>
            <w:rStyle w:val="Hyperlink"/>
          </w:rPr>
          <w:t xml:space="preserve">https://ccrma.stanford.edu/~blackrse/</w:t>
        </w:r>
      </w:hyperlink>
      <w:hyperlink w:anchor="fnref109">
        <w:r>
          <w:rPr>
            <w:rStyle w:val="Hyperlink"/>
          </w:rPr>
          <w:t xml:space="preserve">↩</w:t>
        </w:r>
      </w:hyperlink>
    </w:p>
    <w:bookmarkEnd w:id="561"/>
    <w:bookmarkStart w:id="562" w:name="fn110"/>
    <w:p>
      <w:pPr>
        <w:numPr>
          <w:numId w:val="1026"/>
          <w:ilvl w:val="0"/>
        </w:numPr>
      </w:pPr>
      <w:r>
        <w:t xml:space="preserve">The word ‘microsound’ refers to sonic events shaped below the threshold of the ‘note.’ See</w:t>
      </w:r>
      <w:r>
        <w:t xml:space="preserve"> </w:t>
      </w:r>
      <w:r>
        <w:t xml:space="preserve">(Roads 2001)</w:t>
      </w:r>
      <w:hyperlink w:anchor="fnref110">
        <w:r>
          <w:rPr>
            <w:rStyle w:val="Hyperlink"/>
          </w:rPr>
          <w:t xml:space="preserve">↩</w:t>
        </w:r>
      </w:hyperlink>
    </w:p>
    <w:bookmarkEnd w:id="562"/>
    <w:bookmarkStart w:id="563" w:name="fn111"/>
    <w:p>
      <w:pPr>
        <w:numPr>
          <w:numId w:val="1026"/>
          <w:ilvl w:val="0"/>
        </w:numPr>
      </w:pPr>
      <w:r>
        <w:t xml:space="preserve">“It is clear that this ‘hand,’ is not necessarily working without the extension of a computer’s mouse</w:t>
      </w:r>
      <w:r>
        <w:t xml:space="preserve"> </w:t>
      </w:r>
      <w:r>
        <w:t xml:space="preserve">(Solomos 2005, p. 4)</w:t>
      </w:r>
      <w:r>
        <w:t xml:space="preserve">.</w:t>
      </w:r>
      <w:hyperlink w:anchor="fnref111">
        <w:r>
          <w:rPr>
            <w:rStyle w:val="Hyperlink"/>
          </w:rPr>
          <w:t xml:space="preserve">↩</w:t>
        </w:r>
      </w:hyperlink>
    </w:p>
    <w:bookmarkEnd w:id="563"/>
    <w:bookmarkStart w:id="564" w:name="fn112"/>
    <w:p>
      <w:pPr>
        <w:numPr>
          <w:numId w:val="1026"/>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112">
        <w:r>
          <w:rPr>
            <w:rStyle w:val="Hyperlink"/>
          </w:rPr>
          <w:t xml:space="preserve">↩</w:t>
        </w:r>
      </w:hyperlink>
    </w:p>
    <w:bookmarkEnd w:id="564"/>
    <w:bookmarkStart w:id="565" w:name="fn113"/>
    <w:p>
      <w:pPr>
        <w:numPr>
          <w:numId w:val="1026"/>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113">
        <w:r>
          <w:rPr>
            <w:rStyle w:val="Hyperlink"/>
          </w:rPr>
          <w:t xml:space="preserve">↩</w:t>
        </w:r>
      </w:hyperlink>
    </w:p>
    <w:bookmarkEnd w:id="565"/>
    <w:bookmarkStart w:id="566" w:name="fn114"/>
    <w:p>
      <w:pPr>
        <w:numPr>
          <w:numId w:val="1026"/>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114">
        <w:r>
          <w:rPr>
            <w:rStyle w:val="Hyperlink"/>
          </w:rPr>
          <w:t xml:space="preserve">↩</w:t>
        </w:r>
      </w:hyperlink>
    </w:p>
    <w:bookmarkEnd w:id="566"/>
    <w:bookmarkStart w:id="567" w:name="fn115"/>
    <w:p>
      <w:pPr>
        <w:numPr>
          <w:numId w:val="1026"/>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115">
        <w:r>
          <w:rPr>
            <w:rStyle w:val="Hyperlink"/>
          </w:rPr>
          <w:t xml:space="preserve">↩</w:t>
        </w:r>
      </w:hyperlink>
    </w:p>
    <w:bookmarkEnd w:id="567"/>
    <w:bookmarkStart w:id="568" w:name="fn116"/>
    <w:p>
      <w:pPr>
        <w:numPr>
          <w:numId w:val="1026"/>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116">
        <w:r>
          <w:rPr>
            <w:rStyle w:val="Hyperlink"/>
          </w:rPr>
          <w:t xml:space="preserve">↩</w:t>
        </w:r>
      </w:hyperlink>
    </w:p>
    <w:bookmarkEnd w:id="568"/>
    <w:bookmarkStart w:id="569" w:name="fn117"/>
    <w:p>
      <w:pPr>
        <w:numPr>
          <w:numId w:val="1026"/>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117">
        <w:r>
          <w:rPr>
            <w:rStyle w:val="Hyperlink"/>
          </w:rPr>
          <w:t xml:space="preserve">↩</w:t>
        </w:r>
      </w:hyperlink>
    </w:p>
    <w:bookmarkEnd w:id="569"/>
    <w:bookmarkStart w:id="570" w:name="fn118"/>
    <w:p>
      <w:pPr>
        <w:numPr>
          <w:numId w:val="1026"/>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118">
        <w:r>
          <w:rPr>
            <w:rStyle w:val="Hyperlink"/>
          </w:rPr>
          <w:t xml:space="preserve">↩</w:t>
        </w:r>
      </w:hyperlink>
    </w:p>
    <w:bookmarkEnd w:id="570"/>
    <w:bookmarkStart w:id="572" w:name="fn119"/>
    <w:p>
      <w:pPr>
        <w:numPr>
          <w:numId w:val="1026"/>
          <w:ilvl w:val="0"/>
        </w:numPr>
      </w:pPr>
      <w:hyperlink r:id="rId571">
        <w:r>
          <w:rPr>
            <w:rStyle w:val="Hyperlink"/>
          </w:rPr>
          <w:t xml:space="preserve">https://www.mersenne.org/primes/</w:t>
        </w:r>
      </w:hyperlink>
      <w:hyperlink w:anchor="fnref119">
        <w:r>
          <w:rPr>
            <w:rStyle w:val="Hyperlink"/>
          </w:rPr>
          <w:t xml:space="preserve">↩</w:t>
        </w:r>
      </w:hyperlink>
    </w:p>
    <w:bookmarkEnd w:id="572"/>
    <w:bookmarkStart w:id="574" w:name="fn120"/>
    <w:p>
      <w:pPr>
        <w:numPr>
          <w:numId w:val="1026"/>
          <w:ilvl w:val="0"/>
        </w:numPr>
      </w:pPr>
      <w:hyperlink r:id="rId573">
        <w:r>
          <w:rPr>
            <w:rStyle w:val="Hyperlink"/>
          </w:rPr>
          <w:t xml:space="preserve">https://en.wikipedia.org/wiki/Dr._Strangelove#/media/File:Dr._Strangelove_-_Group_Captain_Lionel_Mandrake.png</w:t>
        </w:r>
      </w:hyperlink>
      <w:hyperlink w:anchor="fnref120">
        <w:r>
          <w:rPr>
            <w:rStyle w:val="Hyperlink"/>
          </w:rPr>
          <w:t xml:space="preserve">↩</w:t>
        </w:r>
      </w:hyperlink>
    </w:p>
    <w:bookmarkEnd w:id="574"/>
    <w:bookmarkStart w:id="575" w:name="fn121"/>
    <w:p>
      <w:pPr>
        <w:numPr>
          <w:numId w:val="1026"/>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121">
        <w:r>
          <w:rPr>
            <w:rStyle w:val="Hyperlink"/>
          </w:rPr>
          <w:t xml:space="preserve">↩</w:t>
        </w:r>
      </w:hyperlink>
    </w:p>
    <w:bookmarkEnd w:id="575"/>
    <w:bookmarkStart w:id="576" w:name="fn122"/>
    <w:p>
      <w:pPr>
        <w:numPr>
          <w:numId w:val="1026"/>
          <w:ilvl w:val="0"/>
        </w:numPr>
      </w:pPr>
      <w:r>
        <w:t xml:space="preserve">Beyond a mention of “communication studies” by Mathews et al in New Jersey</w:t>
      </w:r>
      <w:hyperlink w:anchor="fnref122">
        <w:r>
          <w:rPr>
            <w:rStyle w:val="Hyperlink"/>
          </w:rPr>
          <w:t xml:space="preserve">↩</w:t>
        </w:r>
      </w:hyperlink>
    </w:p>
    <w:bookmarkEnd w:id="576"/>
    <w:bookmarkStart w:id="578" w:name="fn123"/>
    <w:p>
      <w:pPr>
        <w:numPr>
          <w:numId w:val="1026"/>
          <w:ilvl w:val="0"/>
        </w:numPr>
      </w:pPr>
      <w:r>
        <w:t xml:space="preserve">As an example, I would refer the reader to James Tenney’s work from 1962 “Five Stochastic Studies,” which can be found on his YouTube account:</w:t>
      </w:r>
      <w:r>
        <w:t xml:space="preserve"> </w:t>
      </w:r>
      <w:hyperlink r:id="rId577">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123">
        <w:r>
          <w:rPr>
            <w:rStyle w:val="Hyperlink"/>
          </w:rPr>
          <w:t xml:space="preserve">↩</w:t>
        </w:r>
      </w:hyperlink>
    </w:p>
    <w:bookmarkEnd w:id="578"/>
    <w:bookmarkStart w:id="579" w:name="fn124"/>
    <w:p>
      <w:pPr>
        <w:numPr>
          <w:numId w:val="1026"/>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124">
        <w:r>
          <w:rPr>
            <w:rStyle w:val="Hyperlink"/>
          </w:rPr>
          <w:t xml:space="preserve">↩</w:t>
        </w:r>
      </w:hyperlink>
    </w:p>
    <w:bookmarkEnd w:id="579"/>
    <w:bookmarkStart w:id="580" w:name="fn125"/>
    <w:p>
      <w:pPr>
        <w:numPr>
          <w:numId w:val="1026"/>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125">
        <w:r>
          <w:rPr>
            <w:rStyle w:val="Hyperlink"/>
          </w:rPr>
          <w:t xml:space="preserve">↩</w:t>
        </w:r>
      </w:hyperlink>
    </w:p>
    <w:bookmarkEnd w:id="580"/>
    <w:bookmarkStart w:id="581" w:name="fn126"/>
    <w:p>
      <w:pPr>
        <w:numPr>
          <w:numId w:val="1026"/>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126">
        <w:r>
          <w:rPr>
            <w:rStyle w:val="Hyperlink"/>
          </w:rPr>
          <w:t xml:space="preserve">↩</w:t>
        </w:r>
      </w:hyperlink>
    </w:p>
    <w:bookmarkEnd w:id="581"/>
    <w:bookmarkStart w:id="582" w:name="fn127"/>
    <w:p>
      <w:pPr>
        <w:numPr>
          <w:numId w:val="1026"/>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127">
        <w:r>
          <w:rPr>
            <w:rStyle w:val="Hyperlink"/>
          </w:rPr>
          <w:t xml:space="preserve">↩</w:t>
        </w:r>
      </w:hyperlink>
    </w:p>
    <w:bookmarkEnd w:id="582"/>
    <w:bookmarkStart w:id="583" w:name="fn128"/>
    <w:p>
      <w:pPr>
        <w:numPr>
          <w:numId w:val="1026"/>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 “There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128">
        <w:r>
          <w:rPr>
            <w:rStyle w:val="Hyperlink"/>
          </w:rPr>
          <w:t xml:space="preserve">↩</w:t>
        </w:r>
      </w:hyperlink>
    </w:p>
    <w:bookmarkEnd w:id="583"/>
    <w:bookmarkStart w:id="584" w:name="fn129"/>
    <w:p>
      <w:pPr>
        <w:numPr>
          <w:numId w:val="1026"/>
          <w:ilvl w:val="0"/>
        </w:numPr>
      </w:pPr>
      <w:r>
        <w:t xml:space="preserve">This is why,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r>
        <w:t xml:space="preserve">.</w:t>
      </w:r>
      <w:hyperlink w:anchor="fnref129">
        <w:r>
          <w:rPr>
            <w:rStyle w:val="Hyperlink"/>
          </w:rPr>
          <w:t xml:space="preserve">↩</w:t>
        </w:r>
      </w:hyperlink>
    </w:p>
    <w:bookmarkEnd w:id="584"/>
    <w:bookmarkStart w:id="585" w:name="fn130"/>
    <w:p>
      <w:pPr>
        <w:numPr>
          <w:numId w:val="1026"/>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130">
        <w:r>
          <w:rPr>
            <w:rStyle w:val="Hyperlink"/>
          </w:rPr>
          <w:t xml:space="preserve">↩</w:t>
        </w:r>
      </w:hyperlink>
    </w:p>
    <w:bookmarkEnd w:id="585"/>
    <w:bookmarkStart w:id="586" w:name="fn131"/>
    <w:p>
      <w:pPr>
        <w:numPr>
          <w:numId w:val="1026"/>
          <w:ilvl w:val="0"/>
        </w:numPr>
      </w:pPr>
      <w:r>
        <w:t xml:space="preserve">I hope the reader would forgive me for having borrowed these adjectives out of context —‘entirely’ and ‘really’— so as to allow my argument to echo with Lewis’ for a while.</w:t>
      </w:r>
      <w:hyperlink w:anchor="fnref131">
        <w:r>
          <w:rPr>
            <w:rStyle w:val="Hyperlink"/>
          </w:rPr>
          <w:t xml:space="preserve">↩</w:t>
        </w:r>
      </w:hyperlink>
    </w:p>
    <w:bookmarkEnd w:id="586"/>
    <w:bookmarkStart w:id="587" w:name="fn132"/>
    <w:p>
      <w:pPr>
        <w:numPr>
          <w:numId w:val="1026"/>
          <w:ilvl w:val="0"/>
        </w:numPr>
      </w:pPr>
      <w:r>
        <w:t xml:space="preserve">Since, the notion of a ‘piece’ presuposes that of the whole to which it belongs.</w:t>
      </w:r>
      <w:hyperlink w:anchor="fnref132">
        <w:r>
          <w:rPr>
            <w:rStyle w:val="Hyperlink"/>
          </w:rPr>
          <w:t xml:space="preserve">↩</w:t>
        </w:r>
      </w:hyperlink>
    </w:p>
    <w:bookmarkEnd w:id="587"/>
    <w:bookmarkStart w:id="588" w:name="fn133"/>
    <w:p>
      <w:pPr>
        <w:numPr>
          <w:numId w:val="1026"/>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133">
        <w:r>
          <w:rPr>
            <w:rStyle w:val="Hyperlink"/>
          </w:rPr>
          <w:t xml:space="preserve">↩</w:t>
        </w:r>
      </w:hyperlink>
    </w:p>
    <w:bookmarkEnd w:id="588"/>
    <w:bookmarkStart w:id="589" w:name="fn134"/>
    <w:p>
      <w:pPr>
        <w:numPr>
          <w:numId w:val="1026"/>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134">
        <w:r>
          <w:rPr>
            <w:rStyle w:val="Hyperlink"/>
          </w:rPr>
          <w:t xml:space="preserve">↩</w:t>
        </w:r>
      </w:hyperlink>
    </w:p>
    <w:bookmarkEnd w:id="589"/>
    <w:bookmarkStart w:id="590" w:name="fn135"/>
    <w:p>
      <w:pPr>
        <w:numPr>
          <w:numId w:val="1026"/>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135">
        <w:r>
          <w:rPr>
            <w:rStyle w:val="Hyperlink"/>
          </w:rPr>
          <w:t xml:space="preserve">↩</w:t>
        </w:r>
      </w:hyperlink>
    </w:p>
    <w:bookmarkEnd w:id="590"/>
    <w:bookmarkStart w:id="591" w:name="fn136"/>
    <w:p>
      <w:pPr>
        <w:numPr>
          <w:numId w:val="1026"/>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136">
        <w:r>
          <w:rPr>
            <w:rStyle w:val="Hyperlink"/>
          </w:rPr>
          <w:t xml:space="preserve">↩</w:t>
        </w:r>
      </w:hyperlink>
    </w:p>
    <w:bookmarkEnd w:id="591"/>
    <w:bookmarkStart w:id="593" w:name="fn137"/>
    <w:p>
      <w:pPr>
        <w:numPr>
          <w:numId w:val="1026"/>
          <w:ilvl w:val="0"/>
        </w:numPr>
      </w:pPr>
      <w:hyperlink r:id="rId592">
        <w:r>
          <w:rPr>
            <w:rStyle w:val="Hyperlink"/>
          </w:rPr>
          <w:t xml:space="preserve">https://en.wikipedia.org/wiki/Overfitting</w:t>
        </w:r>
      </w:hyperlink>
      <w:hyperlink w:anchor="fnref137">
        <w:r>
          <w:rPr>
            <w:rStyle w:val="Hyperlink"/>
          </w:rPr>
          <w:t xml:space="preserve">↩</w:t>
        </w:r>
      </w:hyperlink>
    </w:p>
    <w:bookmarkEnd w:id="5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jpg" /><Relationship Type="http://schemas.openxmlformats.org/officeDocument/2006/relationships/image" Id="rId20" Target="media/rId20.jpg" /><Relationship Type="http://schemas.openxmlformats.org/officeDocument/2006/relationships/image" Id="rId60" Target="media/rId60.png" /><Relationship Type="http://schemas.openxmlformats.org/officeDocument/2006/relationships/image" Id="rId58" Target="media/rId58.png" /><Relationship Type="http://schemas.openxmlformats.org/officeDocument/2006/relationships/image" Id="rId49" Target="media/rId49.png" /><Relationship Type="http://schemas.openxmlformats.org/officeDocument/2006/relationships/image" Id="rId77" Target="media/rId77.jpg" /><Relationship Type="http://schemas.openxmlformats.org/officeDocument/2006/relationships/image" Id="rId52" Target="media/rId52.png" /><Relationship Type="http://schemas.openxmlformats.org/officeDocument/2006/relationships/image" Id="rId71" Target="media/rId71.png" /><Relationship Type="http://schemas.openxmlformats.org/officeDocument/2006/relationships/image" Id="rId31" Target="media/rId31.png" /><Relationship Type="http://schemas.openxmlformats.org/officeDocument/2006/relationships/image" Id="rId56" Target="media/rId56.png" /><Relationship Type="http://schemas.openxmlformats.org/officeDocument/2006/relationships/image" Id="rId65" Target="media/rId65.png" /><Relationship Type="http://schemas.openxmlformats.org/officeDocument/2006/relationships/image" Id="rId63" Target="media/rId63.png" /><Relationship Type="http://schemas.openxmlformats.org/officeDocument/2006/relationships/image" Id="rId74" Target="media/rId74.png" /><Relationship Type="http://schemas.openxmlformats.org/officeDocument/2006/relationships/hyperlink" Id="rId486" Target="http://aflowlib.org/" TargetMode="External" /><Relationship Type="http://schemas.openxmlformats.org/officeDocument/2006/relationships/hyperlink" Id="rId515" Target="http://insookchoi.com" TargetMode="External" /><Relationship Type="http://schemas.openxmlformats.org/officeDocument/2006/relationships/hyperlink" Id="rId230" Target="http://ismir2000.ismir.net/papers/invites/dunn_invite.pdf" TargetMode="External" /><Relationship Type="http://schemas.openxmlformats.org/officeDocument/2006/relationships/hyperlink" Id="rId254" Target="http://ismir2000.ismir.net/posters/good.pdf" TargetMode="External" /><Relationship Type="http://schemas.openxmlformats.org/officeDocument/2006/relationships/hyperlink" Id="rId393" Target="http://ismir2002.ismir.net/proceedings/02-FP06-3.pdf" TargetMode="External" /><Relationship Type="http://schemas.openxmlformats.org/officeDocument/2006/relationships/hyperlink" Id="rId256" Target="http://ismir2002.ismir.net/proceedings/03-SP04-1.pdf" TargetMode="External" /><Relationship Type="http://schemas.openxmlformats.org/officeDocument/2006/relationships/hyperlink" Id="rId258" Target="http://ismir2003.ismir.net/papers/Goto1.PDF" TargetMode="External" /><Relationship Type="http://schemas.openxmlformats.org/officeDocument/2006/relationships/hyperlink" Id="rId406" Target="http://ismir2004.ismir.net/proceedings/p010-page-48-paper227.pdf" TargetMode="External" /><Relationship Type="http://schemas.openxmlformats.org/officeDocument/2006/relationships/hyperlink" Id="rId277" Target="http://ismir2005.ismir.net/proceedings/2117.pdf" TargetMode="External" /><Relationship Type="http://schemas.openxmlformats.org/officeDocument/2006/relationships/hyperlink" Id="rId285" Target="http://ismir2008.ismir.net/papers/ISMIR2008_106.pdf" TargetMode="External" /><Relationship Type="http://schemas.openxmlformats.org/officeDocument/2006/relationships/hyperlink" Id="rId312" Target="http://ismir2008.ismir.net/papers/ISMIR2008_158.pdf" TargetMode="External" /><Relationship Type="http://schemas.openxmlformats.org/officeDocument/2006/relationships/hyperlink" Id="rId268" Target="http://ismir2008.ismir.net/papers/ISMIR2008_173.pdf" TargetMode="External" /><Relationship Type="http://schemas.openxmlformats.org/officeDocument/2006/relationships/hyperlink" Id="rId295" Target="http://ismir2015.uma.es/articles/246_Paper.pdf" TargetMode="External" /><Relationship Type="http://schemas.openxmlformats.org/officeDocument/2006/relationships/hyperlink" Id="rId222" Target="http://ismir2015.uma.es/articles/261_Paper.pdf" TargetMode="External" /><Relationship Type="http://schemas.openxmlformats.org/officeDocument/2006/relationships/hyperlink" Id="rId404" Target="http://ismir2018.ircam.fr/doc/pdfs/114_Paper.pdf" TargetMode="External" /><Relationship Type="http://schemas.openxmlformats.org/officeDocument/2006/relationships/hyperlink" Id="rId410" Target="http://ismir2018.ircam.fr/doc/pdfs/188_Paper.pdf" TargetMode="External" /><Relationship Type="http://schemas.openxmlformats.org/officeDocument/2006/relationships/hyperlink" Id="rId235" Target="http://ismir2018.ircam.fr/doc/pdfs/206_Paper.pdf" TargetMode="External" /><Relationship Type="http://schemas.openxmlformats.org/officeDocument/2006/relationships/hyperlink" Id="rId279" Target="http://ismir2018.ircam.fr/doc/pdfs/248_Paper.pdf" TargetMode="External" /><Relationship Type="http://schemas.openxmlformats.org/officeDocument/2006/relationships/hyperlink" Id="rId228" Target="http://ismir2018.ircam.fr/doc/pdfs/265_Paper.pdf" TargetMode="External" /><Relationship Type="http://schemas.openxmlformats.org/officeDocument/2006/relationships/hyperlink" Id="rId319" Target="http://ismir2018.ircam.fr/doc/pdfs/35_Paper.pdf" TargetMode="External" /><Relationship Type="http://schemas.openxmlformats.org/officeDocument/2006/relationships/hyperlink" Id="rId461" Target="http://web.archive.org/web/20121009191558/http://slashdot.org/topic/datacenter/the-rise-of-in-memory-databases/" TargetMode="External" /><Relationship Type="http://schemas.openxmlformats.org/officeDocument/2006/relationships/hyperlink" Id="rId483" Target="http://www.hmdb.ca/" TargetMode="External" /><Relationship Type="http://schemas.openxmlformats.org/officeDocument/2006/relationships/hyperlink" Id="rId459" Target="http://www.jhterbekke.net/XplainDBMS.html" TargetMode="External" /><Relationship Type="http://schemas.openxmlformats.org/officeDocument/2006/relationships/hyperlink" Id="rId480" Target="http://www.natashabarrett.org/viva.html" TargetMode="External" /><Relationship Type="http://schemas.openxmlformats.org/officeDocument/2006/relationships/hyperlink" Id="rId289" Target="http://www.nime.org/proceedings/2004/nime2004_130.pdf" TargetMode="External" /><Relationship Type="http://schemas.openxmlformats.org/officeDocument/2006/relationships/hyperlink" Id="rId417" Target="http://www.nime.org/proceedings/2007/nime2007_352.pdf" TargetMode="External" /><Relationship Type="http://schemas.openxmlformats.org/officeDocument/2006/relationships/hyperlink" Id="rId325" Target="http://www.nime.org/proceedings/2007/nime2007_409.pdf" TargetMode="External" /><Relationship Type="http://schemas.openxmlformats.org/officeDocument/2006/relationships/hyperlink" Id="rId306" Target="http://www.nime.org/proceedings/2008/nime2008_221.pdf" TargetMode="External" /><Relationship Type="http://schemas.openxmlformats.org/officeDocument/2006/relationships/hyperlink" Id="rId346" Target="http://www.nime.org/proceedings/2008/nime2008_311.pdf" TargetMode="External" /><Relationship Type="http://schemas.openxmlformats.org/officeDocument/2006/relationships/hyperlink" Id="rId182" Target="http://www.nime.org/proceedings/2009/nime2009_266.pdf" TargetMode="External" /><Relationship Type="http://schemas.openxmlformats.org/officeDocument/2006/relationships/hyperlink" Id="rId275" Target="http://www.nime.org/proceedings/2010/nime2010_233.pdf" TargetMode="External" /><Relationship Type="http://schemas.openxmlformats.org/officeDocument/2006/relationships/hyperlink" Id="rId248" Target="http://www.nime.org/proceedings/2010/nime2010_473.pdf" TargetMode="External" /><Relationship Type="http://schemas.openxmlformats.org/officeDocument/2006/relationships/hyperlink" Id="rId251" Target="http://www.nime.org/proceedings/2011/nime2011_124.pdf" TargetMode="External" /><Relationship Type="http://schemas.openxmlformats.org/officeDocument/2006/relationships/hyperlink" Id="rId192" Target="http://www.nime.org/proceedings/2011/nime2011_329.pdf" TargetMode="External" /><Relationship Type="http://schemas.openxmlformats.org/officeDocument/2006/relationships/hyperlink" Id="rId180" Target="http://www.nime.org/proceedings/2011/nime2011_387.pdf" TargetMode="External" /><Relationship Type="http://schemas.openxmlformats.org/officeDocument/2006/relationships/hyperlink" Id="rId270" Target="http://www.ppgia.pucpr.br/ismir2013/wp-content/uploads/2013/09/85_Paper.pdf" TargetMode="External" /><Relationship Type="http://schemas.openxmlformats.org/officeDocument/2006/relationships/hyperlink" Id="rId152" Target="http://www.terasoft.com.tw/conf/ismir2014/proceedings/T014_162_Paper.pdf" TargetMode="External" /><Relationship Type="http://schemas.openxmlformats.org/officeDocument/2006/relationships/hyperlink" Id="rId166" Target="http://www.terasoft.com.tw/conf/ismir2014/proceedings/T028_322_Paper.pdf" TargetMode="External" /><Relationship Type="http://schemas.openxmlformats.org/officeDocument/2006/relationships/hyperlink" Id="rId292" Target="http://www.terasoft.com.tw/conf/ismir2014/proceedings/T039_344_Paper.pdf" TargetMode="External" /><Relationship Type="http://schemas.openxmlformats.org/officeDocument/2006/relationships/hyperlink" Id="rId262" Target="http://www.terasoft.com.tw/conf/ismir2014/proceedings/T059_257_Paper.pdf" TargetMode="External" /><Relationship Type="http://schemas.openxmlformats.org/officeDocument/2006/relationships/hyperlink" Id="rId343" Target="http://www.terasoft.com.tw/conf/ismir2014/proceedings/T064_307_Paper.pdf" TargetMode="External" /><Relationship Type="http://schemas.openxmlformats.org/officeDocument/2006/relationships/hyperlink" Id="rId560" Target="https://ccrma.stanford.edu/~blackrse/" TargetMode="External" /><Relationship Type="http://schemas.openxmlformats.org/officeDocument/2006/relationships/hyperlink" Id="rId451" Target="https://docs.microsoft.com/en-us/windows/desktop/SysInfo/structure-of-the-registry" TargetMode="External" /><Relationship Type="http://schemas.openxmlformats.org/officeDocument/2006/relationships/hyperlink" Id="rId541" Target="https://en.cppreference.com/w/cpp/language/destructor" TargetMode="External" /><Relationship Type="http://schemas.openxmlformats.org/officeDocument/2006/relationships/hyperlink" Id="rId442" Target="https://en.wikipedia.org/wiki/Coin_collecting" TargetMode="External" /><Relationship Type="http://schemas.openxmlformats.org/officeDocument/2006/relationships/hyperlink" Id="rId457" Target="https://en.wikipedia.org/wiki/Comparison_of_relational_database_management_systems" TargetMode="External" /><Relationship Type="http://schemas.openxmlformats.org/officeDocument/2006/relationships/hyperlink" Id="rId573" Target="https://en.wikipedia.org/wiki/Dr._Strangelove#/media/File:Dr._Strangelove_-_Group_Captain_Lionel_Mandrake.png" TargetMode="External" /><Relationship Type="http://schemas.openxmlformats.org/officeDocument/2006/relationships/hyperlink" Id="rId507" Target="https://en.wikipedia.org/wiki/Heap_(data_structure)" TargetMode="External" /><Relationship Type="http://schemas.openxmlformats.org/officeDocument/2006/relationships/hyperlink" Id="rId449" Target="https://en.wikipedia.org/wiki/IBM_Information_Management_System" TargetMode="External" /><Relationship Type="http://schemas.openxmlformats.org/officeDocument/2006/relationships/hyperlink" Id="rId421" Target="https://en.wikipedia.org/wiki/I_Am_Sitting_in_a_Room" TargetMode="External" /><Relationship Type="http://schemas.openxmlformats.org/officeDocument/2006/relationships/hyperlink" Id="rId537" Target="https://en.wikipedia.org/wiki/Leo_Beranek" TargetMode="External" /><Relationship Type="http://schemas.openxmlformats.org/officeDocument/2006/relationships/hyperlink" Id="rId447" Target="https://en.wikipedia.org/wiki/List_of_online_databases" TargetMode="External" /><Relationship Type="http://schemas.openxmlformats.org/officeDocument/2006/relationships/hyperlink" Id="rId551" Target="https://en.wikipedia.org/wiki/Lorenz_system" TargetMode="External" /><Relationship Type="http://schemas.openxmlformats.org/officeDocument/2006/relationships/hyperlink" Id="rId592" Target="https://en.wikipedia.org/wiki/Overfitting" TargetMode="External" /><Relationship Type="http://schemas.openxmlformats.org/officeDocument/2006/relationships/hyperlink" Id="rId455" Target="https://en.wikipedia.org/wiki/Unisys_OS_2200_databases" TargetMode="External" /><Relationship Type="http://schemas.openxmlformats.org/officeDocument/2006/relationships/hyperlink" Id="rId453" Target="https://en.wikipedia.org/wiki/\acrshort%7Bcodasyl%7D" TargetMode="External" /><Relationship Type="http://schemas.openxmlformats.org/officeDocument/2006/relationships/hyperlink" Id="rId554"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38" Target="https://github.com/libpd" TargetMode="External" /><Relationship Type="http://schemas.openxmlformats.org/officeDocument/2006/relationships/hyperlink" Id="rId436" Target="https://github.com/marsyas/marsyas" TargetMode="External" /><Relationship Type="http://schemas.openxmlformats.org/officeDocument/2006/relationships/hyperlink" Id="rId440" Target="https://github.com/thestk/stk" TargetMode="External" /><Relationship Type="http://schemas.openxmlformats.org/officeDocument/2006/relationships/hyperlink" Id="rId338" Target="https://ismir2017.smcnus.org/wp-content/uploads/2017/10/14_Paper.pdf" TargetMode="External" /><Relationship Type="http://schemas.openxmlformats.org/officeDocument/2006/relationships/hyperlink" Id="rId241" Target="https://ismir2017.smcnus.org/wp-content/uploads/2017/10/161_Paper.pdf" TargetMode="External" /><Relationship Type="http://schemas.openxmlformats.org/officeDocument/2006/relationships/hyperlink" Id="rId390" Target="https://ismir2017.smcnus.org/wp-content/uploads/2017/10/180_Paper.pdf" TargetMode="External" /><Relationship Type="http://schemas.openxmlformats.org/officeDocument/2006/relationships/hyperlink" Id="rId211" Target="https://ismir2017.smcnus.org/wp-content/uploads/2017/10/235_Paper.pdf" TargetMode="External" /><Relationship Type="http://schemas.openxmlformats.org/officeDocument/2006/relationships/hyperlink" Id="rId216" Target="https://ismir2017.smcnus.org/wp-content/uploads/2017/10/75_Paper.pdf" TargetMode="External" /><Relationship Type="http://schemas.openxmlformats.org/officeDocument/2006/relationships/hyperlink" Id="rId543" Target="https://mpc.chs.harvard.edu/" TargetMode="External" /><Relationship Type="http://schemas.openxmlformats.org/officeDocument/2006/relationships/hyperlink" Id="rId488" Target="https://openframeworks.cc" TargetMode="External" /><Relationship Type="http://schemas.openxmlformats.org/officeDocument/2006/relationships/hyperlink" Id="rId495" Target="https://qcd-audio.at" TargetMode="External" /><Relationship Type="http://schemas.openxmlformats.org/officeDocument/2006/relationships/hyperlink" Id="rId521" Target="https://sihwapark.com/COMPath" TargetMode="External" /><Relationship Type="http://schemas.openxmlformats.org/officeDocument/2006/relationships/hyperlink" Id="rId491" Target="https://vimeo.com/167646306" TargetMode="External" /><Relationship Type="http://schemas.openxmlformats.org/officeDocument/2006/relationships/hyperlink" Id="rId519" Target="https://vimeo.com/23086026" TargetMode="External" /><Relationship Type="http://schemas.openxmlformats.org/officeDocument/2006/relationships/hyperlink" Id="rId213" Target="https://www.cs.unm.edu/~crowley/papers/sds.pdf" TargetMode="External" /><Relationship Type="http://schemas.openxmlformats.org/officeDocument/2006/relationships/hyperlink" Id="rId464" Target="https://www.imdb.com/" TargetMode="External" /><Relationship Type="http://schemas.openxmlformats.org/officeDocument/2006/relationships/hyperlink" Id="rId493" Target="https://www.iris.edu" TargetMode="External" /><Relationship Type="http://schemas.openxmlformats.org/officeDocument/2006/relationships/hyperlink" Id="rId571" Target="https://www.mersenne.org/primes/" TargetMode="External" /><Relationship Type="http://schemas.openxmlformats.org/officeDocument/2006/relationships/hyperlink" Id="rId577"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86" Target="http://aflowlib.org/" TargetMode="External" /><Relationship Type="http://schemas.openxmlformats.org/officeDocument/2006/relationships/hyperlink" Id="rId515" Target="http://insookchoi.com" TargetMode="External" /><Relationship Type="http://schemas.openxmlformats.org/officeDocument/2006/relationships/hyperlink" Id="rId230" Target="http://ismir2000.ismir.net/papers/invites/dunn_invite.pdf" TargetMode="External" /><Relationship Type="http://schemas.openxmlformats.org/officeDocument/2006/relationships/hyperlink" Id="rId254" Target="http://ismir2000.ismir.net/posters/good.pdf" TargetMode="External" /><Relationship Type="http://schemas.openxmlformats.org/officeDocument/2006/relationships/hyperlink" Id="rId393" Target="http://ismir2002.ismir.net/proceedings/02-FP06-3.pdf" TargetMode="External" /><Relationship Type="http://schemas.openxmlformats.org/officeDocument/2006/relationships/hyperlink" Id="rId256" Target="http://ismir2002.ismir.net/proceedings/03-SP04-1.pdf" TargetMode="External" /><Relationship Type="http://schemas.openxmlformats.org/officeDocument/2006/relationships/hyperlink" Id="rId258" Target="http://ismir2003.ismir.net/papers/Goto1.PDF" TargetMode="External" /><Relationship Type="http://schemas.openxmlformats.org/officeDocument/2006/relationships/hyperlink" Id="rId406" Target="http://ismir2004.ismir.net/proceedings/p010-page-48-paper227.pdf" TargetMode="External" /><Relationship Type="http://schemas.openxmlformats.org/officeDocument/2006/relationships/hyperlink" Id="rId277" Target="http://ismir2005.ismir.net/proceedings/2117.pdf" TargetMode="External" /><Relationship Type="http://schemas.openxmlformats.org/officeDocument/2006/relationships/hyperlink" Id="rId285" Target="http://ismir2008.ismir.net/papers/ISMIR2008_106.pdf" TargetMode="External" /><Relationship Type="http://schemas.openxmlformats.org/officeDocument/2006/relationships/hyperlink" Id="rId312" Target="http://ismir2008.ismir.net/papers/ISMIR2008_158.pdf" TargetMode="External" /><Relationship Type="http://schemas.openxmlformats.org/officeDocument/2006/relationships/hyperlink" Id="rId268" Target="http://ismir2008.ismir.net/papers/ISMIR2008_173.pdf" TargetMode="External" /><Relationship Type="http://schemas.openxmlformats.org/officeDocument/2006/relationships/hyperlink" Id="rId295" Target="http://ismir2015.uma.es/articles/246_Paper.pdf" TargetMode="External" /><Relationship Type="http://schemas.openxmlformats.org/officeDocument/2006/relationships/hyperlink" Id="rId222" Target="http://ismir2015.uma.es/articles/261_Paper.pdf" TargetMode="External" /><Relationship Type="http://schemas.openxmlformats.org/officeDocument/2006/relationships/hyperlink" Id="rId404" Target="http://ismir2018.ircam.fr/doc/pdfs/114_Paper.pdf" TargetMode="External" /><Relationship Type="http://schemas.openxmlformats.org/officeDocument/2006/relationships/hyperlink" Id="rId410" Target="http://ismir2018.ircam.fr/doc/pdfs/188_Paper.pdf" TargetMode="External" /><Relationship Type="http://schemas.openxmlformats.org/officeDocument/2006/relationships/hyperlink" Id="rId235" Target="http://ismir2018.ircam.fr/doc/pdfs/206_Paper.pdf" TargetMode="External" /><Relationship Type="http://schemas.openxmlformats.org/officeDocument/2006/relationships/hyperlink" Id="rId279" Target="http://ismir2018.ircam.fr/doc/pdfs/248_Paper.pdf" TargetMode="External" /><Relationship Type="http://schemas.openxmlformats.org/officeDocument/2006/relationships/hyperlink" Id="rId228" Target="http://ismir2018.ircam.fr/doc/pdfs/265_Paper.pdf" TargetMode="External" /><Relationship Type="http://schemas.openxmlformats.org/officeDocument/2006/relationships/hyperlink" Id="rId319" Target="http://ismir2018.ircam.fr/doc/pdfs/35_Paper.pdf" TargetMode="External" /><Relationship Type="http://schemas.openxmlformats.org/officeDocument/2006/relationships/hyperlink" Id="rId461" Target="http://web.archive.org/web/20121009191558/http://slashdot.org/topic/datacenter/the-rise-of-in-memory-databases/" TargetMode="External" /><Relationship Type="http://schemas.openxmlformats.org/officeDocument/2006/relationships/hyperlink" Id="rId483" Target="http://www.hmdb.ca/" TargetMode="External" /><Relationship Type="http://schemas.openxmlformats.org/officeDocument/2006/relationships/hyperlink" Id="rId459" Target="http://www.jhterbekke.net/XplainDBMS.html" TargetMode="External" /><Relationship Type="http://schemas.openxmlformats.org/officeDocument/2006/relationships/hyperlink" Id="rId480" Target="http://www.natashabarrett.org/viva.html" TargetMode="External" /><Relationship Type="http://schemas.openxmlformats.org/officeDocument/2006/relationships/hyperlink" Id="rId289" Target="http://www.nime.org/proceedings/2004/nime2004_130.pdf" TargetMode="External" /><Relationship Type="http://schemas.openxmlformats.org/officeDocument/2006/relationships/hyperlink" Id="rId417" Target="http://www.nime.org/proceedings/2007/nime2007_352.pdf" TargetMode="External" /><Relationship Type="http://schemas.openxmlformats.org/officeDocument/2006/relationships/hyperlink" Id="rId325" Target="http://www.nime.org/proceedings/2007/nime2007_409.pdf" TargetMode="External" /><Relationship Type="http://schemas.openxmlformats.org/officeDocument/2006/relationships/hyperlink" Id="rId306" Target="http://www.nime.org/proceedings/2008/nime2008_221.pdf" TargetMode="External" /><Relationship Type="http://schemas.openxmlformats.org/officeDocument/2006/relationships/hyperlink" Id="rId346" Target="http://www.nime.org/proceedings/2008/nime2008_311.pdf" TargetMode="External" /><Relationship Type="http://schemas.openxmlformats.org/officeDocument/2006/relationships/hyperlink" Id="rId182" Target="http://www.nime.org/proceedings/2009/nime2009_266.pdf" TargetMode="External" /><Relationship Type="http://schemas.openxmlformats.org/officeDocument/2006/relationships/hyperlink" Id="rId275" Target="http://www.nime.org/proceedings/2010/nime2010_233.pdf" TargetMode="External" /><Relationship Type="http://schemas.openxmlformats.org/officeDocument/2006/relationships/hyperlink" Id="rId248" Target="http://www.nime.org/proceedings/2010/nime2010_473.pdf" TargetMode="External" /><Relationship Type="http://schemas.openxmlformats.org/officeDocument/2006/relationships/hyperlink" Id="rId251" Target="http://www.nime.org/proceedings/2011/nime2011_124.pdf" TargetMode="External" /><Relationship Type="http://schemas.openxmlformats.org/officeDocument/2006/relationships/hyperlink" Id="rId192" Target="http://www.nime.org/proceedings/2011/nime2011_329.pdf" TargetMode="External" /><Relationship Type="http://schemas.openxmlformats.org/officeDocument/2006/relationships/hyperlink" Id="rId180" Target="http://www.nime.org/proceedings/2011/nime2011_387.pdf" TargetMode="External" /><Relationship Type="http://schemas.openxmlformats.org/officeDocument/2006/relationships/hyperlink" Id="rId270" Target="http://www.ppgia.pucpr.br/ismir2013/wp-content/uploads/2013/09/85_Paper.pdf" TargetMode="External" /><Relationship Type="http://schemas.openxmlformats.org/officeDocument/2006/relationships/hyperlink" Id="rId152" Target="http://www.terasoft.com.tw/conf/ismir2014/proceedings/T014_162_Paper.pdf" TargetMode="External" /><Relationship Type="http://schemas.openxmlformats.org/officeDocument/2006/relationships/hyperlink" Id="rId166" Target="http://www.terasoft.com.tw/conf/ismir2014/proceedings/T028_322_Paper.pdf" TargetMode="External" /><Relationship Type="http://schemas.openxmlformats.org/officeDocument/2006/relationships/hyperlink" Id="rId292" Target="http://www.terasoft.com.tw/conf/ismir2014/proceedings/T039_344_Paper.pdf" TargetMode="External" /><Relationship Type="http://schemas.openxmlformats.org/officeDocument/2006/relationships/hyperlink" Id="rId262" Target="http://www.terasoft.com.tw/conf/ismir2014/proceedings/T059_257_Paper.pdf" TargetMode="External" /><Relationship Type="http://schemas.openxmlformats.org/officeDocument/2006/relationships/hyperlink" Id="rId343" Target="http://www.terasoft.com.tw/conf/ismir2014/proceedings/T064_307_Paper.pdf" TargetMode="External" /><Relationship Type="http://schemas.openxmlformats.org/officeDocument/2006/relationships/hyperlink" Id="rId560" Target="https://ccrma.stanford.edu/~blackrse/" TargetMode="External" /><Relationship Type="http://schemas.openxmlformats.org/officeDocument/2006/relationships/hyperlink" Id="rId451" Target="https://docs.microsoft.com/en-us/windows/desktop/SysInfo/structure-of-the-registry" TargetMode="External" /><Relationship Type="http://schemas.openxmlformats.org/officeDocument/2006/relationships/hyperlink" Id="rId541" Target="https://en.cppreference.com/w/cpp/language/destructor" TargetMode="External" /><Relationship Type="http://schemas.openxmlformats.org/officeDocument/2006/relationships/hyperlink" Id="rId442" Target="https://en.wikipedia.org/wiki/Coin_collecting" TargetMode="External" /><Relationship Type="http://schemas.openxmlformats.org/officeDocument/2006/relationships/hyperlink" Id="rId457" Target="https://en.wikipedia.org/wiki/Comparison_of_relational_database_management_systems" TargetMode="External" /><Relationship Type="http://schemas.openxmlformats.org/officeDocument/2006/relationships/hyperlink" Id="rId573" Target="https://en.wikipedia.org/wiki/Dr._Strangelove#/media/File:Dr._Strangelove_-_Group_Captain_Lionel_Mandrake.png" TargetMode="External" /><Relationship Type="http://schemas.openxmlformats.org/officeDocument/2006/relationships/hyperlink" Id="rId507" Target="https://en.wikipedia.org/wiki/Heap_(data_structure)" TargetMode="External" /><Relationship Type="http://schemas.openxmlformats.org/officeDocument/2006/relationships/hyperlink" Id="rId449" Target="https://en.wikipedia.org/wiki/IBM_Information_Management_System" TargetMode="External" /><Relationship Type="http://schemas.openxmlformats.org/officeDocument/2006/relationships/hyperlink" Id="rId421" Target="https://en.wikipedia.org/wiki/I_Am_Sitting_in_a_Room" TargetMode="External" /><Relationship Type="http://schemas.openxmlformats.org/officeDocument/2006/relationships/hyperlink" Id="rId537" Target="https://en.wikipedia.org/wiki/Leo_Beranek" TargetMode="External" /><Relationship Type="http://schemas.openxmlformats.org/officeDocument/2006/relationships/hyperlink" Id="rId447" Target="https://en.wikipedia.org/wiki/List_of_online_databases" TargetMode="External" /><Relationship Type="http://schemas.openxmlformats.org/officeDocument/2006/relationships/hyperlink" Id="rId551" Target="https://en.wikipedia.org/wiki/Lorenz_system" TargetMode="External" /><Relationship Type="http://schemas.openxmlformats.org/officeDocument/2006/relationships/hyperlink" Id="rId592" Target="https://en.wikipedia.org/wiki/Overfitting" TargetMode="External" /><Relationship Type="http://schemas.openxmlformats.org/officeDocument/2006/relationships/hyperlink" Id="rId455" Target="https://en.wikipedia.org/wiki/Unisys_OS_2200_databases" TargetMode="External" /><Relationship Type="http://schemas.openxmlformats.org/officeDocument/2006/relationships/hyperlink" Id="rId453" Target="https://en.wikipedia.org/wiki/\acrshort%7Bcodasyl%7D" TargetMode="External" /><Relationship Type="http://schemas.openxmlformats.org/officeDocument/2006/relationships/hyperlink" Id="rId554"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38" Target="https://github.com/libpd" TargetMode="External" /><Relationship Type="http://schemas.openxmlformats.org/officeDocument/2006/relationships/hyperlink" Id="rId436" Target="https://github.com/marsyas/marsyas" TargetMode="External" /><Relationship Type="http://schemas.openxmlformats.org/officeDocument/2006/relationships/hyperlink" Id="rId440" Target="https://github.com/thestk/stk" TargetMode="External" /><Relationship Type="http://schemas.openxmlformats.org/officeDocument/2006/relationships/hyperlink" Id="rId338" Target="https://ismir2017.smcnus.org/wp-content/uploads/2017/10/14_Paper.pdf" TargetMode="External" /><Relationship Type="http://schemas.openxmlformats.org/officeDocument/2006/relationships/hyperlink" Id="rId241" Target="https://ismir2017.smcnus.org/wp-content/uploads/2017/10/161_Paper.pdf" TargetMode="External" /><Relationship Type="http://schemas.openxmlformats.org/officeDocument/2006/relationships/hyperlink" Id="rId390" Target="https://ismir2017.smcnus.org/wp-content/uploads/2017/10/180_Paper.pdf" TargetMode="External" /><Relationship Type="http://schemas.openxmlformats.org/officeDocument/2006/relationships/hyperlink" Id="rId211" Target="https://ismir2017.smcnus.org/wp-content/uploads/2017/10/235_Paper.pdf" TargetMode="External" /><Relationship Type="http://schemas.openxmlformats.org/officeDocument/2006/relationships/hyperlink" Id="rId216" Target="https://ismir2017.smcnus.org/wp-content/uploads/2017/10/75_Paper.pdf" TargetMode="External" /><Relationship Type="http://schemas.openxmlformats.org/officeDocument/2006/relationships/hyperlink" Id="rId543" Target="https://mpc.chs.harvard.edu/" TargetMode="External" /><Relationship Type="http://schemas.openxmlformats.org/officeDocument/2006/relationships/hyperlink" Id="rId488" Target="https://openframeworks.cc" TargetMode="External" /><Relationship Type="http://schemas.openxmlformats.org/officeDocument/2006/relationships/hyperlink" Id="rId495" Target="https://qcd-audio.at" TargetMode="External" /><Relationship Type="http://schemas.openxmlformats.org/officeDocument/2006/relationships/hyperlink" Id="rId521" Target="https://sihwapark.com/COMPath" TargetMode="External" /><Relationship Type="http://schemas.openxmlformats.org/officeDocument/2006/relationships/hyperlink" Id="rId491" Target="https://vimeo.com/167646306" TargetMode="External" /><Relationship Type="http://schemas.openxmlformats.org/officeDocument/2006/relationships/hyperlink" Id="rId519" Target="https://vimeo.com/23086026" TargetMode="External" /><Relationship Type="http://schemas.openxmlformats.org/officeDocument/2006/relationships/hyperlink" Id="rId213" Target="https://www.cs.unm.edu/~crowley/papers/sds.pdf" TargetMode="External" /><Relationship Type="http://schemas.openxmlformats.org/officeDocument/2006/relationships/hyperlink" Id="rId464" Target="https://www.imdb.com/" TargetMode="External" /><Relationship Type="http://schemas.openxmlformats.org/officeDocument/2006/relationships/hyperlink" Id="rId493" Target="https://www.iris.edu" TargetMode="External" /><Relationship Type="http://schemas.openxmlformats.org/officeDocument/2006/relationships/hyperlink" Id="rId571" Target="https://www.mersenne.org/primes/" TargetMode="External" /><Relationship Type="http://schemas.openxmlformats.org/officeDocument/2006/relationships/hyperlink" Id="rId577"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2019-03-21T20:42:50Z</dcterms:created>
  <dcterms:modified xsi:type="dcterms:W3CDTF">2019-03-21T20:42:50Z</dcterms:modified>
</cp:coreProperties>
</file>

<file path=docProps/custom.xml><?xml version="1.0" encoding="utf-8"?>
<Properties xmlns="http://schemas.openxmlformats.org/officeDocument/2006/custom-properties" xmlns:vt="http://schemas.openxmlformats.org/officeDocument/2006/docPropsVTypes"/>
</file>