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117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117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91"/>
        <w:gridCol w:w="1927"/>
        <w:gridCol w:w="1801"/>
        <w:gridCol w:w="1885"/>
        <w:gridCol w:w="1591"/>
        <w:gridCol w:w="1005"/>
      </w:tblGrid>
      <w:tr>
        <w:trPr>
          <w:cantSplit/>
          <w:trHeight w:val="460" w:hRule="atLeast"/>
        </w:trPr>
        <w:tc>
          <w:tcPr>
            <w:tcW w:type="dxa" w:w="15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2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 min</w:t>
            </w:r>
          </w:p>
        </w:tc>
        <w:tc>
          <w:tcPr>
            <w:tcW w:type="dxa" w:w="180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8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22.5 min</w:t>
            </w:r>
          </w:p>
        </w:tc>
        <w:tc>
          <w:tcPr>
            <w:tcW w:type="dxa" w:w="15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19 min</w:t>
            </w:r>
          </w:p>
        </w:tc>
        <w:tc>
          <w:tcPr>
            <w:tcW w:type="dxa" w:w="100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2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80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w:t>
            </w:r>
          </w:p>
        </w:tc>
        <w:tc>
          <w:tcPr>
            <w:tcW w:type="dxa" w:w="188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63.5</w:t>
            </w:r>
          </w:p>
        </w:tc>
        <w:tc>
          <w:tcPr>
            <w:tcW w:type="dxa" w:w="15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w:t>
            </w:r>
          </w:p>
        </w:tc>
        <w:tc>
          <w:tcPr>
            <w:tcW w:type="dxa" w:w="10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write a metric a team cannot hit while the outcome gets worse, and read what a gamed one did.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Uber Hyderabad's peak-hour guarantee, the six weeks beginning 20 July 2026 against the six beginning 31 August 2026, the launch day.</w:t>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before the launch (the week beginning 10 August 2026) and one week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Using the six drivers in Exhibit 1B, what do the rows show, and what should the city head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per hour fell from 1.90 to 1.19 as hours rose from 60 to 74; E and F added 10 hours and lost 30 trips, so hold the extension and pay for completed trips.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went from 60 to 74, up 23 percent, close to the city's 24, and A to D kept about two trips an hour, so the guarantee added supply and the extension can go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Trips fell from 114 to 88 because riders asked for fewer trips after the monsoon, as E's and F's offers show, so the guarantee is not the cause of the fall.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trips per hour went from 1.90 to 1.31, a smaller fall than the totals show, so supply held up and the extension can go ahead.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819"/>
              <w:gridCol w:w="8980"/>
            </w:tblGrid>
            <w:tr>
              <w:trPr>
                <w:cantSplit/>
                <w:tblHeader/>
              </w:trPr>
              <w:tc>
                <w:tcPr>
                  <w:tcW w:type="dxa" w:w="81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paid on the count opened accounts nobody asked for, staged funding and dodged the surveys, each to move the number the bank paid for.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which line of a complete metric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36 percent, 0.04 of 0.11; a guardrail on customer satisfaction, which would have fallen as soon as the new accounts joined the 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0.11; a dated log of every change to what is counted, with the year's ratio printed on the old definition too.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4 percent, the 0.04 itself; the window, since a ratio counted over a shorter period would have shown the new accounts sooner.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it: remittance accounts are products a household holds, so the rise was real, and no line of the definition was breached.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192"/>
              <w:gridCol w:w="5607"/>
            </w:tblGrid>
            <w:tr>
              <w:trPr>
                <w:cantSplit/>
                <w:tblHeader/>
              </w:trPr>
              <w:tc>
                <w:tcPr>
                  <w:tcW w:type="dxa" w:w="419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60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each was an auto-reorder, cancelled, merged into a later order or still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 minutes. What it shows: whether you can put one claim on one slide, defend it without retreating, and size a number from nothing with a check in the right unit.</w:t>
      </w:r>
    </w:p>
    <w:p>
      <w:pPr>
        <w:keepNext/>
        <w:spacing w:after="140" w:line="276"/>
      </w:pPr>
      <w:r>
        <w:rPr>
          <w:rFonts w:ascii="Arial" w:cs="Arial" w:eastAsia="Arial" w:hAnsi="Arial"/>
          <w:color w:val="1C1B16"/>
          <w:sz w:val="21"/>
          <w:szCs w:val="21"/>
        </w:rPr>
        <w:t xml:space="preserve">On Tuesday the city head asked for Monday's redesign on one slide at Thursday's city review: five minutes, with the driver-operations lead, the marketing lead and the finance partner in the room, each of whom loses something under it. The redesign pays per completed peak trip, with a floor on the share of offers a driver accepts.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The same peak bookings read three ways, Uber Hyderabad, the six weeks before the launch and the six weeks after.</w:t>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Four of these six lines make the city head's slide, and two would spoil it. Leave those two out and write the other four in the order they appear on the slide, from the top.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pay per completed peak trip with an acceptance floor, tested on half the drivers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title, as a claim: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title, as a topic: "Peak-hour guarantee: six-week review"</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headline number: peak online hours up 24 percent since the launch</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to drivers, 269,773 to 347,583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Rs 5,817 to Rs 5,861</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concession tells the room the claim is weak, so the analyst restates the Rs 314 to Rs 260 chart and moves straight on to the action.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per-hour chart already answers the season, since the fare held at Rs 165, so a concession could only add a doubt the chart has removed.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 their old range while trips per hour held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concede the point in full and take the slide off the agenda until a year of weeks exists to set these six weeks against.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a great memo takes a week; the letter's lesson is that each element earns its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Divide the day's 1 lakh trips by the 2.4 trips a busy driver fits in an hour, which gives about 41,700 drivers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four published numbers to check estimates against.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page's web address reads, set against a capacity estimate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of revenue over the average of 415 stores at the year's start and 500 at its end, about Rs 146 crore a store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taken to hold eight million households at four people to a household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each in the words its source uses, checked 13 October 2026.</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2468"/>
              <w:gridCol w:w="878"/>
              <w:gridCol w:w="2901"/>
              <w:gridCol w:w="3551"/>
            </w:tblGrid>
            <w:tr>
              <w:trPr>
                <w:cantSplit/>
                <w:tblHeader/>
              </w:trPr>
              <w:tc>
                <w:tcPr>
                  <w:tcW w:type="dxa" w:w="24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8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90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355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24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8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90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 all days</w:t>
                  </w:r>
                </w:p>
              </w:tc>
              <w:tc>
                <w:tcPr>
                  <w:tcW w:type="dxa" w:w="355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24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8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90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during a bus strike</w:t>
                  </w:r>
                </w:p>
              </w:tc>
              <w:tc>
                <w:tcPr>
                  <w:tcW w:type="dxa" w:w="355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tell a pair that beats chance from one that rides a popular item, and put a slot's value in margin.</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Toned milk is in 71 percent of Pune carts, so it now appears beside nearly everything, and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ticket's headline numbers.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habits changed after the monsoon: the strip's click-through fell from 6.1 to 3.8 percent, and every slot shows the same fall.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 row clicks less than before; the fall is milk's share of impressions, and slot 1, with milk on 70 percent of them, loses most.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is the weak slot: its click-through on other items is the lowest of the three, so the strip should drop to two slots.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Milk's own click-through collapsed after the switch, so toned milk should leave the strip and the curated list should come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Allow for heavy buyers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thin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pair rests on 2 baskets, where one basket moves its lift by half, and Instamart's real 100 carts sit beside ice cream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have the same support of 0.25 percent, so both are equally doubtful, and both should be dropped from the strip and from Kalpa's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22.5 minutes. What it shows: whether you can separate a cohort problem from an everyone problem and find the step that changed, in the right unit.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signed up in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members by signup month in 2026, and the share who ordered in month one, the calendar month after signup. 53,089 members joined from January to September.</w:t>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declined, and a large new cohort in its strong first month hid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Retention improved, because the newest cohort retains better than the two before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Retention is stable at 41 percent in both months, so the membership plan needs no change this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data is inconsistent, because a blended rate cannot stay flat when cohorts move.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Units are mixed and one step is an artefact: carousel menus skip search,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Android checkout: Android members lose about 3,198 orders a week against their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Android checkout: Android members lose about 1,317 orders a week against their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 Android checkout, for every user: add-to-cart to order fell for members and non-members alike on Android once the release shipped.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members bought on a discount order less, and their 31 percent month one explains the fall in members'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Ask for the denominator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per user who joined, 80 per user who stayed; ask what the cells divide by and whether they count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80 percent on both bases, since the five weaned users had stopped ordering anyway; ask only which quarter the cohort was acquired 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per user who joined and 60 per user who stayed; ask whether every cohort in the table is indexed to the same first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80 percent per user who joined and 40 per user who stayed; ask whether the weaned users were counted twice in the table's cells.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read 41 percent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blended retention held at 41 percent across the window, so the app lost no members and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 the monsoon cohort: August's members joined weakest, so the window's lost checkouts came from them and the app is not involved.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it open: checkout per cart fell inside the window, 7 of 11 against 10 of 12, about 2 short; check the step and read three more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Rebuild checkout now: a 19-point fall is the largest move in the tier's funnel, and a full three-week window of carts is enough to act on.</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19 minutes. What it shows: whether you can choose a forecast on weeks it never saw, place the festival in the right month and price a miss in each direction.</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Every forecast was also scored on the thirteen weeks beginning 29 June to 21 September 2026, which it never saw.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spike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the festival-aligned copy, last year's Diwali month plus 4 percent, for whichever 2026 month holds Diwali,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35.8 percent of 1,972 teams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beat both machine-learning benchmarks and most teams; score the curve on the hidden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the winning entries in M5 were machine learning, so a curve that fits two years of Lucknow's weeks this closely has earned its place in the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Fit and forecast agree on a series this regular: a curve within 2 percent of two years of weeks will stay within 2 percent of the next ten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Score the curve on its fitted weeks with MAPE as well as MAE, and send it to the plan if both measures stay under 2 percent of the actual.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costs least, about Rs 13.5 lakh, so the plan books its forecast with no cushion above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festival-aligned is nearly unbiased, so the plan sits at its forecast.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none of them a Diwali month. The same six months a year earlier booked Rs 18.93 crore.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3641"/>
              <w:gridCol w:w="1412"/>
              <w:gridCol w:w="1539"/>
              <w:gridCol w:w="1985"/>
              <w:gridCol w:w="1221"/>
            </w:tblGrid>
            <w:tr>
              <w:trPr>
                <w:cantSplit/>
                <w:tblHeader/>
              </w:trPr>
              <w:tc>
                <w:tcPr>
                  <w:tcW w:type="dxa" w:w="36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4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5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19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c>
                <w:tcPr>
                  <w:tcW w:type="dxa" w:w="12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Puts the spike in</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November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Diwali falls on 8 November 2026. Using Exhibit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23.09 crore, the vendor's curve: it fits its 18 fitted months within 1.8 percent, the closest fit of any forecast on the table."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on six unseen months it missed by about Rs 3.5 lakh a month."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halfway between finance's 4 percent and the vendor's 22, so neither side's error carries the board's number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finance's rule and festival-aligned agree on the six months, so either may go to the 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name what changed, the metric, the constraint and the cost of an error.</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every answer names the metric, the constraint and the cost of an error that changed, what stays, and what would change back on the Retail tables.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in each direction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the first question of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copy aligned to the festival, planned toward the costlier side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0.65, the late cost over both costs;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since an idle shift costs the same Rs 650 at both centres, and the cheaper late shipment moves only the forecast itself.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0.35, the spare cost over the two costs together; the plan then sits below the forecast in most weeks, on the side the cheaper late shipment favours.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the two costs; and the copy of last year's calendar weeks carries over, since Amazon's sale dates follow the calendar month.</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Ice cream and chocolate sauce read a lift of 4.6 on 100 of 40,000 carts. Design the test that decides whether the pair takes a strip slot.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Lucknow's plan raises festival-aligned by a 2.6 percent cushion, read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26eef7a37dc9533cc4be8398a8c193f86aed7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2026-10-13T00:34:02.101Z</dcterms:created>
  <dcterms:modified xsi:type="dcterms:W3CDTF">2026-10-13T00:34:02.102Z</dcterms:modified>
</cp:coreProperties>
</file>

<file path=docProps/custom.xml><?xml version="1.0" encoding="utf-8"?>
<Properties xmlns="http://schemas.openxmlformats.org/officeDocument/2006/custom-properties" xmlns:vt="http://schemas.openxmlformats.org/officeDocument/2006/docPropsVTypes"/>
</file>