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78"/>
        <w:gridCol w:w="1909"/>
        <w:gridCol w:w="1786"/>
        <w:gridCol w:w="1869"/>
        <w:gridCol w:w="1661"/>
        <w:gridCol w:w="997"/>
      </w:tblGrid>
      <w:tr>
        <w:trPr>
          <w:cantSplit/>
          <w:trHeight w:val="460" w:hRule="atLeast"/>
        </w:trPr>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0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7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6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20 min</w:t>
            </w:r>
          </w:p>
        </w:tc>
        <w:tc>
          <w:tcPr>
            <w:tcW w:type="dxa" w:w="9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9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106</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so the six fell less than the totals say, and the pay can stay per online hour with a higher floor.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74"/>
              <w:gridCol w:w="8725"/>
            </w:tblGrid>
            <w:tr>
              <w:trPr>
                <w:cantSplit/>
                <w:tblHeader/>
              </w:trPr>
              <w:tc>
                <w:tcPr>
                  <w:tcW w:type="dxa" w:w="10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7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what record kept beside the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36 percent, 0.04 of 0.11;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seven lines make the city head's slide, and three would spoil it. Leave those three out and write the other four in the order Tuesday's one-slide template puts them, from the top.</w:t>
            </w:r>
          </w:p>
          <w:p>
            <w:pPr>
              <w:keepNext/>
              <w:spacing w:after="80" w:line="276"/>
            </w:pPr>
            <w:r>
              <w:rPr>
                <w:rFonts w:ascii="Arial" w:cs="Arial" w:eastAsia="Arial" w:hAnsi="Arial"/>
                <w:color w:val="1C1B16"/>
                <w:sz w:val="21"/>
                <w:szCs w:val="21"/>
              </w:rPr>
              <w:t xml:space="preserve">(g) The title, as a claim: bookings per active driver-week rose 0.8 percent, so the scheme pays its way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stayed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grant that part may be the season, then show the fare held at Rs 165 a trip in both windows, so the season cannot explain the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the letter itself says a great memo probably takes a week or more to write.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Set the chain against Exhibit 1A's 2.13 rider requests per peak online hour before the launch, and move the answer down to about 3,900</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five checks on four numbers: NPCI's UPI count as Outlook Money reported it, Flipkart Stories' post of 9 October 2026, Avenue Supermarts' FY26 release for DMart, and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UPI, September 2026: the same 802 million a day, set against an estimate of the payments made on Diwali day itself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and how DMRC counts a journey, each in the words its source uses,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97"/>
              <w:gridCol w:w="3293"/>
              <w:gridCol w:w="2855"/>
              <w:gridCol w:w="2154"/>
            </w:tblGrid>
            <w:tr>
              <w:trPr>
                <w:cantSplit/>
                <w:tblHeader/>
              </w:trPr>
              <w:tc>
                <w:tcPr>
                  <w:tcW w:type="dxa" w:w="1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29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85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215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current average, August 2026</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the fall is milk's share of impressions, and slot 1, at 70 percent milk,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to be counted again or tested,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beat chance but reach only carts holding ice cream.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was grown by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where the lower path from Open is the home carousel, which opens a menu without a search,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held steady from May to June,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existing cohorts declined, and cohort C retains less than cohort A did in May, so the new members are the weaker ones.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since carousel menus need none,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Android orders fall about 1,317 a week against the old rate, Rs 4.0 to 6.6 lakh, so roll it back for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 percent per user who joined, 80 per user who stayed; ask only whether the cohort was acquired in a sale quarter, which explains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it open: blended retention has not risen since the fix shipped, which shows the feature is still costing the tier its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20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shown; score the curve against it on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Score the curve on the hidden weeks, and send it to the plan if its miss there stays inside its own 2 percent fit to the two years.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October 2025 to March 2026, a year before the forecast months,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Using Exhibits 5A and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26eef7a37dc9533cc4be8398a8c193f86aed7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2026-10-13T03:58:09.033Z</dcterms:created>
  <dcterms:modified xsi:type="dcterms:W3CDTF">2026-10-13T03:58:09.037Z</dcterms:modified>
</cp:coreProperties>
</file>

<file path=docProps/custom.xml><?xml version="1.0" encoding="utf-8"?>
<Properties xmlns="http://schemas.openxmlformats.org/officeDocument/2006/custom-properties" xmlns:vt="http://schemas.openxmlformats.org/officeDocument/2006/docPropsVTypes"/>
</file>