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color w:val="1A0F5C"/>
          <w:sz w:val="40"/>
          <w:szCs w:val="40"/>
        </w:rPr>
        <w:t xml:space="preserve">Week 2 recap paper: key</w:t>
      </w:r>
    </w:p>
    <w:p>
      <w:pPr>
        <w:spacing w:after="160"/>
      </w:pPr>
      <w:r>
        <w:rPr>
          <w:color w:val="6B6690"/>
          <w:sz w:val="21"/>
          <w:szCs w:val="21"/>
        </w:rPr>
        <w:t xml:space="preserve">TRAINER.  Saturday 17 October 2026  ·  120 minutes  ·  58 items</w:t>
      </w:r>
    </w:p>
    <w:p>
      <w:pPr>
        <w:spacing w:after="100" w:before="12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Papers are swapped, so nobody checks their 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Academic TA reads the key out section by section, and the marker ticks or crosses each item on the answer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An item is right when its answer matches the key: every correct letter and no other on a more-than-one item, the number on an applied maths item, and the whole sequence on an ordering item. No partial credit.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marker writes the count of ticks as Items right, out of 58, and hands the paper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TA tallies the misses by tag for Monday's remediation read, never a ranking and never read out by name.</w:t>
      </w:r>
    </w:p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The key</w:t>
      </w:r>
    </w:p>
    <w:tbl>
      <w:tblPr>
        <w:tblW w:type="dxa" w:w="9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2300"/>
        <w:gridCol w:w="1100"/>
        <w:gridCol w:w="900"/>
        <w:gridCol w:w="900"/>
        <w:gridCol w:w="2506"/>
      </w:tblGrid>
      <w:tr>
        <w:trPr>
          <w:tblHeader/>
        </w:trPr>
        <w:tc>
          <w:tcPr>
            <w:tcW w:type="dxa" w:w="6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3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2506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HAVING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guarantee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CTE (common table expression)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left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NULL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NULL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PARTITION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MergeError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melt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c,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1,050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1,020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1,060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Rs 21 lakh, which overstates collections by Rs 1 lakh.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51 under RANK(); 50 under ROW_NUMBER().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 fall of Rs 800, then a fall of Rs 300; the flag fires.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400 rows; 2.5 orders per customer.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c, b, e, f, a,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b, c, 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Fri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58</w:t>
            </w:r>
          </w:p>
        </w:tc>
      </w:tr>
    </w:tbl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For the tally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[S] (31): Q1, Q3, Q4, Q6, Q7, Q10, Q12, Q13, Q14, Q18, Q19, Q21, Q22, Q25, Q26, Q27, Q29, Q31, Q32, Q33, Q34, Q36, Q39, Q40, Q41, Q44, Q45, Q50, Q52, Q53, Q57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[F] (21): Q2, Q5, Q8, Q9, Q11, Q15, Q16, Q17, Q20, Q23, Q28, Q30, Q35, Q38, Q42, Q43, Q46, Q48, Q49, Q55, Q56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[SV] (0): none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[D] (6): Q24, Q37, Q47, Q51, Q54, Q58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Easy (14): Q1, Q2, Q3, Q4, Q7, Q9, Q10, Q12, Q16, Q17, Q18, Q21, Q25, Q52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Medium (34): Q5, Q6, Q8, Q11, Q13, Q15, Q19, Q20, Q22, Q23, Q26, Q27, Q29, Q30, Q31, Q32, Q33, Q34, Q38, Q39, Q40, Q41, Q42, Q43, Q44, Q45, Q48, Q49, Q50, Q53, Q55, Q56, Q57, Q58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Hard (10): Q14, Q24, Q28, Q35, Q36, Q37, Q46, Q47, Q51, Q54</w:t>
      </w:r>
    </w:p>
    <w:sectPr>
      <w:headerReference w:type="default" r:id="rId7"/>
      <w:footerReference w:type="default" r:id="rId8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69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B6690"/>
        <w:sz w:val="16"/>
        <w:szCs w:val="16"/>
      </w:rPr>
      <w:t xml:space="preserve">Cohort 2  ·  Week 2 recap paper  ·  key  ·  TRAINER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0F5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recap paper: key</dc:title>
  <dc:creator>C2 content factory</dc:creator>
  <cp:lastModifiedBy>Un-named</cp:lastModifiedBy>
  <cp:revision>1</cp:revision>
  <dcterms:created xsi:type="dcterms:W3CDTF">2026-09-29T17:57:58.880Z</dcterms:created>
  <dcterms:modified xsi:type="dcterms:W3CDTF">2026-09-29T17:57:58.880Z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