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color w:val="1A0F5C"/>
          <w:sz w:val="40"/>
          <w:szCs w:val="40"/>
        </w:rPr>
        <w:t xml:space="preserve">Week 1 recap paper: key</w:t>
      </w:r>
    </w:p>
    <w:p>
      <w:pPr>
        <w:spacing w:after="160"/>
      </w:pPr>
      <w:r>
        <w:rPr>
          <w:color w:val="6B6690"/>
          <w:sz w:val="21"/>
          <w:szCs w:val="21"/>
        </w:rPr>
        <w:t xml:space="preserve">TRAINER.  Saturday 10 October 2026  ·  120 minutes  ·  52 items</w:t>
      </w:r>
    </w:p>
    <w:p>
      <w:pPr>
        <w:spacing w:after="100" w:before="120"/>
      </w:pPr>
      <w:r>
        <w:rPr>
          <w:rFonts w:ascii="Georgia" w:cs="Georgia" w:eastAsia="Georgia" w:hAnsi="Georgia"/>
          <w:color w:val="1A0F5C"/>
          <w:sz w:val="26"/>
          <w:szCs w:val="26"/>
        </w:rPr>
        <w:t xml:space="preserve">Marking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0F5C"/>
          <w:sz w:val="21"/>
          <w:szCs w:val="21"/>
        </w:rPr>
        <w:t xml:space="preserve">Papers are swapped, so nobody marks their own.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0F5C"/>
          <w:sz w:val="21"/>
          <w:szCs w:val="21"/>
        </w:rPr>
        <w:t xml:space="preserve">The Academic TA reads the key out section by section, and the marker ticks or crosses each item on the answer sheet.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0F5C"/>
          <w:sz w:val="21"/>
          <w:szCs w:val="21"/>
        </w:rPr>
        <w:t xml:space="preserve">An item is right when its answer matches the key: every correct letter and no other on a more-than-one item, the number on an applied maths item, and the whole sequence on an ordering item. No partial credit.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0F5C"/>
          <w:sz w:val="21"/>
          <w:szCs w:val="21"/>
        </w:rPr>
        <w:t xml:space="preserve">The marker writes the count of ticks as Items right, out of 52, and hands the paper back.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0F5C"/>
          <w:sz w:val="21"/>
          <w:szCs w:val="21"/>
        </w:rPr>
        <w:t xml:space="preserve">The TA tallies the misses by tag for Monday's remediation read, never a ranking and never read out by name.</w:t>
      </w:r>
    </w:p>
    <w:p>
      <w:pPr>
        <w:spacing w:after="100" w:before="240"/>
      </w:pPr>
      <w:r>
        <w:rPr>
          <w:rFonts w:ascii="Georgia" w:cs="Georgia" w:eastAsia="Georgia" w:hAnsi="Georgia"/>
          <w:color w:val="1A0F5C"/>
          <w:sz w:val="26"/>
          <w:szCs w:val="26"/>
        </w:rPr>
        <w:t xml:space="preserve">The key</w:t>
      </w:r>
    </w:p>
    <w:tbl>
      <w:tblPr>
        <w:tblW w:type="dxa" w:w="98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2300"/>
        <w:gridCol w:w="1100"/>
        <w:gridCol w:w="900"/>
        <w:gridCol w:w="900"/>
        <w:gridCol w:w="2506"/>
      </w:tblGrid>
      <w:tr>
        <w:trPr>
          <w:tblHeader/>
        </w:trPr>
        <w:tc>
          <w:tcPr>
            <w:tcW w:type="dxa" w:w="600"/>
            <w:tcBorders>
              <w:top w:val="single" w:color="1A0F5C" w:sz="6"/>
              <w:left w:val="single" w:color="1A0F5C" w:sz="6"/>
              <w:bottom w:val="single" w:color="1A0F5C" w:sz="6"/>
              <w:right w:val="single" w:color="1A0F5C" w:sz="6"/>
            </w:tcBorders>
            <w:shd w:fill="1A0F5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</w:t>
            </w:r>
          </w:p>
        </w:tc>
        <w:tc>
          <w:tcPr>
            <w:tcW w:type="dxa" w:w="1500"/>
            <w:tcBorders>
              <w:top w:val="single" w:color="1A0F5C" w:sz="6"/>
              <w:left w:val="single" w:color="1A0F5C" w:sz="6"/>
              <w:bottom w:val="single" w:color="1A0F5C" w:sz="6"/>
              <w:right w:val="single" w:color="1A0F5C" w:sz="6"/>
            </w:tcBorders>
            <w:shd w:fill="1A0F5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Key</w:t>
            </w:r>
          </w:p>
        </w:tc>
        <w:tc>
          <w:tcPr>
            <w:tcW w:type="dxa" w:w="2300"/>
            <w:tcBorders>
              <w:top w:val="single" w:color="1A0F5C" w:sz="6"/>
              <w:left w:val="single" w:color="1A0F5C" w:sz="6"/>
              <w:bottom w:val="single" w:color="1A0F5C" w:sz="6"/>
              <w:right w:val="single" w:color="1A0F5C" w:sz="6"/>
            </w:tcBorders>
            <w:shd w:fill="1A0F5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100"/>
            <w:tcBorders>
              <w:top w:val="single" w:color="1A0F5C" w:sz="6"/>
              <w:left w:val="single" w:color="1A0F5C" w:sz="6"/>
              <w:bottom w:val="single" w:color="1A0F5C" w:sz="6"/>
              <w:right w:val="single" w:color="1A0F5C" w:sz="6"/>
            </w:tcBorders>
            <w:shd w:fill="1A0F5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Level</w:t>
            </w:r>
          </w:p>
        </w:tc>
        <w:tc>
          <w:tcPr>
            <w:tcW w:type="dxa" w:w="900"/>
            <w:tcBorders>
              <w:top w:val="single" w:color="1A0F5C" w:sz="6"/>
              <w:left w:val="single" w:color="1A0F5C" w:sz="6"/>
              <w:bottom w:val="single" w:color="1A0F5C" w:sz="6"/>
              <w:right w:val="single" w:color="1A0F5C" w:sz="6"/>
            </w:tcBorders>
            <w:shd w:fill="1A0F5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Tag</w:t>
            </w:r>
          </w:p>
        </w:tc>
        <w:tc>
          <w:tcPr>
            <w:tcW w:type="dxa" w:w="900"/>
            <w:tcBorders>
              <w:top w:val="single" w:color="1A0F5C" w:sz="6"/>
              <w:left w:val="single" w:color="1A0F5C" w:sz="6"/>
              <w:bottom w:val="single" w:color="1A0F5C" w:sz="6"/>
              <w:right w:val="single" w:color="1A0F5C" w:sz="6"/>
            </w:tcBorders>
            <w:shd w:fill="1A0F5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Day</w:t>
            </w:r>
          </w:p>
        </w:tc>
        <w:tc>
          <w:tcPr>
            <w:tcW w:type="dxa" w:w="2506"/>
            <w:tcBorders>
              <w:top w:val="single" w:color="1A0F5C" w:sz="6"/>
              <w:left w:val="single" w:color="1A0F5C" w:sz="6"/>
              <w:bottom w:val="single" w:color="1A0F5C" w:sz="6"/>
              <w:right w:val="single" w:color="1A0F5C" w:sz="6"/>
            </w:tcBorders>
            <w:shd w:fill="1A0F5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price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Fill in the blank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Mon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1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customers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Fill in the blank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Mon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2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None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Fill in the blank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3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str (a string)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Fill in the blank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4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rejected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Fill in the blank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5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6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large (or extreme)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Fill in the blank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6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7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caveat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Fill in the blank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7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8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confounder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Fill in the blank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8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9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False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 or false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9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10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 or false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Mon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10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11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False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 or false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[SV]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Mon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11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12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 or false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12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13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 or false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13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14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False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 or false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14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15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False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 or false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15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16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 or false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Hard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[D]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16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17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c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17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18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Mon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18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19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d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Mon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19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20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20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21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d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21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22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c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22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23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d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23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24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24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25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25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26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c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Hard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26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27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27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28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d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28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29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c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One correct option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Hard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[D]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Mon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29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30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a, b, d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More than one correct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30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31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a, b, c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More than one correct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31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32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a, b, c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More than one correct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32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33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a, b, c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More than one correct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33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34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a, b, c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More than one correct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34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35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a, b, d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More than one correct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Hard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35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36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Scenario set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36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37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Scenario set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37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38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Scenario set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38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39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Scenario set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Hard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[D]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39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40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197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Scenario set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40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41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17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Scenario set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41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42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c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Scenario set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Hard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42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43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Scenario set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Hard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[D]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43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44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True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Scenario set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44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45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d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Scenario set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Hard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[D]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45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46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Revenue falls by 6.5 percent (1.10 x 0.85 = 0.935).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Applied maths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Hard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Mon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46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47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Median Rs 1,400; mean Rs 97,080.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Applied maths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Mon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47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48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 fall of 9.5 percent ((1.9 - 2.1) / 2.1).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Applied maths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Easy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48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49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0.028 (140 / 5,000).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Applied maths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Thu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49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50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Rs 11 crore (Rs 12 crore before discounts).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Applied maths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Mon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50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51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b, d, e, a, c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Order the steps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[S]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Tue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51</w:t>
            </w:r>
          </w:p>
        </w:tc>
      </w:tr>
      <w:tr>
        <w:tc>
          <w:tcPr>
            <w:tcW w:type="dxa" w:w="6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color w:val="1A0F5C"/>
                <w:sz w:val="18"/>
                <w:szCs w:val="18"/>
              </w:rPr>
              <w:t xml:space="preserve">52</w:t>
            </w:r>
          </w:p>
        </w:tc>
        <w:tc>
          <w:tcPr>
            <w:tcW w:type="dxa" w:w="15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b, d, a, c</w:t>
            </w:r>
          </w:p>
        </w:tc>
        <w:tc>
          <w:tcPr>
            <w:tcW w:type="dxa" w:w="23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Order the steps</w:t>
            </w:r>
          </w:p>
        </w:tc>
        <w:tc>
          <w:tcPr>
            <w:tcW w:type="dxa" w:w="11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Medium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[F]</w:t>
            </w:r>
          </w:p>
        </w:tc>
        <w:tc>
          <w:tcPr>
            <w:tcW w:type="dxa" w:w="900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Wed</w:t>
            </w:r>
          </w:p>
        </w:tc>
        <w:tc>
          <w:tcPr>
            <w:tcW w:type="dxa" w:w="2506"/>
            <w:tcBorders>
              <w:top w:val="single" w:color="CFC9EE" w:sz="6"/>
              <w:left w:val="single" w:color="CFC9EE" w:sz="6"/>
              <w:bottom w:val="single" w:color="CFC9EE" w:sz="6"/>
              <w:right w:val="single" w:color="CFC9EE" w:sz="6"/>
            </w:tcBorders>
            <w:shd w:fill="F4F2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A0F5C"/>
                <w:sz w:val="18"/>
                <w:szCs w:val="18"/>
              </w:rPr>
              <w:t xml:space="preserve">bank 52</w:t>
            </w:r>
          </w:p>
        </w:tc>
      </w:tr>
    </w:tbl>
    <w:p>
      <w:pPr>
        <w:spacing w:after="100" w:before="240"/>
      </w:pPr>
      <w:r>
        <w:rPr>
          <w:rFonts w:ascii="Georgia" w:cs="Georgia" w:eastAsia="Georgia" w:hAnsi="Georgia"/>
          <w:color w:val="1A0F5C"/>
          <w:sz w:val="26"/>
          <w:szCs w:val="26"/>
        </w:rPr>
        <w:t xml:space="preserve">For the tally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color w:val="1A0F5C"/>
          <w:sz w:val="21"/>
          <w:szCs w:val="21"/>
        </w:rPr>
        <w:t xml:space="preserve">[S] (24): Q1, Q2, Q6, Q7, Q9, Q10, Q17, Q18, Q19, Q20, Q26, Q28, Q30, Q31, Q32, Q35, Q36, Q37, Q42, Q47, Q48, Q49, Q50, Q51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color w:val="1A0F5C"/>
          <w:sz w:val="21"/>
          <w:szCs w:val="21"/>
        </w:rPr>
        <w:t xml:space="preserve">[F] (22): Q3, Q4, Q5, Q8, Q12, Q13, Q14, Q15, Q21, Q22, Q23, Q24, Q25, Q27, Q33, Q34, Q38, Q40, Q41, Q44, Q46, Q52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color w:val="1A0F5C"/>
          <w:sz w:val="21"/>
          <w:szCs w:val="21"/>
        </w:rPr>
        <w:t xml:space="preserve">[SV] (1): Q11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color w:val="1A0F5C"/>
          <w:sz w:val="21"/>
          <w:szCs w:val="21"/>
        </w:rPr>
        <w:t xml:space="preserve">[D] (5): Q16, Q29, Q39, Q43, Q45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color w:val="1A0F5C"/>
          <w:sz w:val="21"/>
          <w:szCs w:val="21"/>
        </w:rPr>
        <w:t xml:space="preserve">Easy (24): Q1, Q2, Q3, Q4, Q5, Q7, Q10, Q12, Q13, Q14, Q15, Q17, Q18, Q19, Q20, Q22, Q27, Q30, Q32, Q33, Q36, Q40, Q47, Q48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color w:val="1A0F5C"/>
          <w:sz w:val="21"/>
          <w:szCs w:val="21"/>
        </w:rPr>
        <w:t xml:space="preserve">Medium (19): Q6, Q8, Q9, Q11, Q21, Q23, Q24, Q25, Q28, Q31, Q34, Q37, Q38, Q41, Q44, Q49, Q50, Q51, Q52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color w:val="1A0F5C"/>
          <w:sz w:val="21"/>
          <w:szCs w:val="21"/>
        </w:rPr>
        <w:t xml:space="preserve">Hard (9): Q16, Q26, Q29, Q35, Q39, Q42, Q43, Q45, Q46</w:t>
      </w:r>
    </w:p>
    <w:sectPr>
      <w:headerReference w:type="default" r:id="rId7"/>
      <w:footerReference w:type="default" r:id="rId8"/>
      <w:pgSz w:w="11906" w:h="16838" w:orient="portrait"/>
      <w:pgMar w:top="900" w:right="1050" w:bottom="900" w:left="10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669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6B6690"/>
        <w:sz w:val="16"/>
        <w:szCs w:val="16"/>
      </w:rPr>
      <w:t xml:space="preserve">Cohort 2  ·  Week 1 recap paper  ·  key  ·  TRAINER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0F5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 recap paper: key</dc:title>
  <dc:creator>C2 content factory</dc:creator>
  <cp:lastModifiedBy>Un-named</cp:lastModifiedBy>
  <cp:revision>1</cp:revision>
  <dcterms:created xsi:type="dcterms:W3CDTF">2026-09-29T16:39:20.756Z</dcterms:created>
  <dcterms:modified xsi:type="dcterms:W3CDTF">2026-09-29T16:39:20.756Z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