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4 Recap Paper</w:t>
      </w:r>
    </w:p>
    <w:p>
      <w:pPr>
        <w:keepNext w:val="false"/>
        <w:spacing w:after="160"/>
      </w:pPr>
      <w:r>
        <w:rPr>
          <w:rFonts w:ascii="Arial" w:cs="Arial" w:eastAsia="Arial" w:hAnsi="Arial"/>
          <w:color w:val="6B675E"/>
          <w:sz w:val="21"/>
          <w:szCs w:val="21"/>
        </w:rPr>
        <w:t xml:space="preserve">Cohort 2 | Week 4 | Saturday 31 October 2026 | 120 minutes | 39 items in 6 parts | ungraded</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What this paper is for</w:t>
      </w:r>
    </w:p>
    <w:p>
      <w:pPr>
        <w:keepNext w:val="false"/>
        <w:spacing w:after="120" w:line="276"/>
      </w:pPr>
      <w:r>
        <w:rPr>
          <w:rFonts w:ascii="Arial" w:cs="Arial" w:eastAsia="Arial" w:hAnsi="Arial"/>
          <w:color w:val="1C1B16"/>
          <w:sz w:val="21"/>
          <w:szCs w:val="21"/>
        </w:rPr>
        <w:t xml:space="preserve">This week you took five tickets at companies the room uses: Uber's peak-hour guarantee in Hyderabad, twice; Swiggy Instamart's bought-together strip in Pune; Zomato Gold's members in Chennai; and Flipkart's festive packer plan in Lucknow. Each day the same method ran again on Kalpa Retail in the lab. This paper puts the week's calls back to you: which number a scheme should pay for, what goes on one slide and how a number sized from nothing is checked, which pairs beat chance, where a membership loses people, which forecast goes to the plan, and what changes when the method moves to another company. The room's score in each part, set beside the rating you give that part in step one, tells Monday's session where to start.</w:t>
      </w:r>
    </w:p>
    <w:p>
      <w:pPr>
        <w:keepNext/>
        <w:spacing w:after="80" w:before="200"/>
      </w:pPr>
      <w:r>
        <w:rPr>
          <w:rFonts w:ascii="Arial" w:cs="Arial" w:eastAsia="Arial" w:hAnsi="Arial"/>
          <w:b/>
          <w:bCs/>
          <w:color w:val="1C1B16"/>
          <w:sz w:val="22"/>
          <w:szCs w:val="22"/>
        </w:rPr>
        <w:t xml:space="preserve">Rules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1500"/>
        <w:gridCol w:w="8300"/>
      </w:tblGrid>
      <w:tr>
        <w:trPr>
          <w:cantSplit/>
          <w:tblHeader/>
        </w:trPr>
        <w:tc>
          <w:tcPr>
            <w:tcW w:type="dxa" w:w="15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Rule</w:t>
            </w:r>
          </w:p>
        </w:tc>
        <w:tc>
          <w:tcPr>
            <w:tcW w:type="dxa" w:w="8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Detail</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Time</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120 minutes in one sitting for 39 items, which the blueprint paces at 117 minutes. Each part gives its minutes as a guide; move on when an item is eating your time, and come back to it at the end.</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Tools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Pen and this paper only: no laptop, no phone, no notes and no assistant. Rough working goes in the margins and in the working boxes.</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Answers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answer goes on the answer sheet at the back, which is the page that is marked: one box for a lettered item, every correct box for a starred one, the letter for a word-bank or match item, and the number or the letters in order in the space. A wrong answer costs nothing, so answer every item.</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Levels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item shows its level beside its number, easy, medium or hard. A hard item is several steps on an exhibit, never an obscure fact.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Exhibits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 exhibit is printed once, labelled by its part as Exhibit 2A, 2B, and every item that reads it follows it. Read code and queries as written: Python 3 and PostgreSQL unless the item says otherwise.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Company</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Parts 1 to 5 open on the week's cases at Uber, Swiggy Instamart, Zomato Gold and Flipkart, and each is an illustrative case: the company is real, the situation and the data are synthetic, built for this class. The Kalpa items continue the labs at Kalpa Retail, where Meera Raghavan is the CEO and Anand Iyer the finance controller; the head of Retail-Plus, the merchandising team and the app team are named by role. Part 6 moves to Kalpa's other units: Rohan Desai, head of risk at Kalpa Financial Services; Dr Priya Menon, COO of Kalpa Health; Ananya Bose, COO of Kalpa Connect; and the head of operations at Kalpa Logistics, named by role. Items that use a public case (Wells Fargo, Delhi Metro, Flipkart, NPCI's UPI count, DMart, Amazon, Swiggy and the M5 competition) give the source beside the fact, and every number an item needs is on the page.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Afterwards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Papers are swapped and marked against the key, then the discussion takes the items the room missed most. The paper is ungraded and ranks nobody; the room's rates by part and by tag set Monday's revision.</w:t>
            </w:r>
          </w:p>
        </w:tc>
      </w:tr>
    </w:tbl>
    <w:p>
      <w:pPr>
        <w:keepNext/>
        <w:spacing w:after="80" w:before="200"/>
      </w:pPr>
      <w:r>
        <w:rPr>
          <w:rFonts w:ascii="Arial" w:cs="Arial" w:eastAsia="Arial" w:hAnsi="Arial"/>
          <w:b/>
          <w:bCs/>
          <w:color w:val="1C1B16"/>
          <w:sz w:val="22"/>
          <w:szCs w:val="22"/>
        </w:rPr>
        <w:t xml:space="preserve">Step one, before Part 1</w:t>
      </w:r>
    </w:p>
    <w:p>
      <w:pPr>
        <w:keepNext/>
        <w:spacing w:after="100" w:line="276"/>
      </w:pPr>
      <w:r>
        <w:rPr>
          <w:rFonts w:ascii="Arial" w:cs="Arial" w:eastAsia="Arial" w:hAnsi="Arial"/>
          <w:color w:val="1C1B16"/>
          <w:sz w:val="21"/>
          <w:szCs w:val="21"/>
        </w:rPr>
        <w:t xml:space="preserve">On the answer sheet, rate yourself from 1 to 4 on each part before you read any item. Rate yourself as you are today: the comparison between your rating and your score in each part is the most useful thing this paper produces for Monday.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2450"/>
        <w:gridCol w:w="2450"/>
        <w:gridCol w:w="2450"/>
        <w:gridCol w:w="2450"/>
      </w:tblGrid>
      <w:tr>
        <w:trPr>
          <w:cantSplit/>
        </w:trPr>
        <w:tc>
          <w:tcPr>
            <w:tcW w:type="dxa" w:w="2450"/>
            <w:tcBorders>
              <w:top w:val="single" w:color="FFFFFF" w:sz="4"/>
              <w:left w:val="single" w:color="FFFFFF" w:sz="4"/>
              <w:bottom w:val="single" w:color="FFFFFF" w:sz="4"/>
              <w:right w:val="single" w:color="FFFFFF" w:sz="4"/>
            </w:tcBorders>
            <w:shd w:fill="F9F8F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1</w:t>
            </w:r>
          </w:p>
          <w:p>
            <w:pPr>
              <w:keepNext w:val="false"/>
              <w:spacing w:after="0" w:line="252"/>
              <w:jc w:val="center"/>
            </w:pPr>
            <w:r>
              <w:rPr>
                <w:rFonts w:ascii="Arial" w:cs="Arial" w:eastAsia="Arial" w:hAnsi="Arial"/>
                <w:color w:val="1C1B16"/>
                <w:sz w:val="18"/>
                <w:szCs w:val="18"/>
              </w:rPr>
              <w:t xml:space="preserve">I have not used this</w:t>
            </w:r>
          </w:p>
        </w:tc>
        <w:tc>
          <w:tcPr>
            <w:tcW w:type="dxa" w:w="2450"/>
            <w:tcBorders>
              <w:top w:val="single" w:color="FFFFFF" w:sz="4"/>
              <w:left w:val="single" w:color="FFFFFF" w:sz="4"/>
              <w:bottom w:val="single" w:color="FFFFFF" w:sz="4"/>
              <w:right w:val="single" w:color="FFFFFF" w:sz="4"/>
            </w:tcBorders>
            <w:shd w:fill="EFE3D0"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2</w:t>
            </w:r>
          </w:p>
          <w:p>
            <w:pPr>
              <w:keepNext w:val="false"/>
              <w:spacing w:after="0" w:line="252"/>
              <w:jc w:val="center"/>
            </w:pPr>
            <w:r>
              <w:rPr>
                <w:rFonts w:ascii="Arial" w:cs="Arial" w:eastAsia="Arial" w:hAnsi="Arial"/>
                <w:color w:val="1C1B16"/>
                <w:sz w:val="18"/>
                <w:szCs w:val="18"/>
              </w:rPr>
              <w:t xml:space="preserve">I can follow it when someone shows me</w:t>
            </w:r>
          </w:p>
        </w:tc>
        <w:tc>
          <w:tcPr>
            <w:tcW w:type="dxa" w:w="2450"/>
            <w:tcBorders>
              <w:top w:val="single" w:color="FFFFFF" w:sz="4"/>
              <w:left w:val="single" w:color="FFFFFF" w:sz="4"/>
              <w:bottom w:val="single" w:color="FFFFFF" w:sz="4"/>
              <w:right w:val="single" w:color="FFFFFF" w:sz="4"/>
            </w:tcBorders>
            <w:shd w:fill="E2C9A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3</w:t>
            </w:r>
          </w:p>
          <w:p>
            <w:pPr>
              <w:keepNext w:val="false"/>
              <w:spacing w:after="0" w:line="252"/>
              <w:jc w:val="center"/>
            </w:pPr>
            <w:r>
              <w:rPr>
                <w:rFonts w:ascii="Arial" w:cs="Arial" w:eastAsia="Arial" w:hAnsi="Arial"/>
                <w:color w:val="1C1B16"/>
                <w:sz w:val="18"/>
                <w:szCs w:val="18"/>
              </w:rPr>
              <w:t xml:space="preserve">I can do it alone on a small problem</w:t>
            </w:r>
          </w:p>
        </w:tc>
        <w:tc>
          <w:tcPr>
            <w:tcW w:type="dxa" w:w="2450"/>
            <w:tcBorders>
              <w:top w:val="single" w:color="FFFFFF" w:sz="4"/>
              <w:left w:val="single" w:color="FFFFFF" w:sz="4"/>
              <w:bottom w:val="single" w:color="FFFFFF" w:sz="4"/>
              <w:right w:val="single" w:color="FFFFFF" w:sz="4"/>
            </w:tcBorders>
            <w:shd w:fill="B37A3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FFFFFF"/>
                <w:sz w:val="36"/>
                <w:szCs w:val="36"/>
              </w:rPr>
              <w:t xml:space="preserve">4</w:t>
            </w:r>
          </w:p>
          <w:p>
            <w:pPr>
              <w:keepNext w:val="false"/>
              <w:spacing w:after="0" w:line="252"/>
              <w:jc w:val="center"/>
            </w:pPr>
            <w:r>
              <w:rPr>
                <w:rFonts w:ascii="Arial" w:cs="Arial" w:eastAsia="Arial" w:hAnsi="Arial"/>
                <w:color w:val="FFFFFF"/>
                <w:sz w:val="18"/>
                <w:szCs w:val="18"/>
              </w:rPr>
              <w:t xml:space="preserve">I can find and fix mistakes in someone else's version</w:t>
            </w:r>
          </w:p>
        </w:tc>
      </w:tr>
    </w:tbl>
    <w:p>
      <w:pPr>
        <w:keepNext w:val="false"/>
        <w:spacing w:after="80" w:before="60"/>
      </w:pPr>
      <w:r>
        <w:rPr>
          <w:rFonts w:ascii="Arial" w:cs="Arial" w:eastAsia="Arial" w:hAnsi="Arial"/>
          <w:color w:val="6B675E"/>
          <w:sz w:val="19"/>
          <w:szCs w:val="19"/>
        </w:rPr>
        <w:t xml:space="preserve">One rating for each of the 6 parts in the table below, in the boxes on the answer sheet.</w:t>
      </w:r>
    </w:p>
    <w:p>
      <w:pPr>
        <w:keepNext/>
        <w:spacing w:after="80" w:before="200"/>
      </w:pPr>
      <w:r>
        <w:rPr>
          <w:rFonts w:ascii="Arial" w:cs="Arial" w:eastAsia="Arial" w:hAnsi="Arial"/>
          <w:b/>
          <w:bCs/>
          <w:color w:val="1C1B16"/>
          <w:sz w:val="22"/>
          <w:szCs w:val="22"/>
        </w:rPr>
        <w:t xml:space="preserve">The paper at a glance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number should the plan chase, and which should a scheme pay for?</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Q7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write a metric a team cannot hit while the outcome gets worse, and read what a gamed one did</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Can the number survive the room, and can you size a city from nothing?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Q8 to Q14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put one claim on one slide, defend it without retreating, and size a number from nothing with a check in the right unit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pairs beat chance, and what is a slot worth?</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Q15 to Q21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tell a pair that beats chance from one that rides a popular item, and put a slot's value in margin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is the tier losing people?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Q22 to Q28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separate a cohort problem from an everyone problem and find the step that changed, in the right unit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forecast earns the plan's trust?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Q29 to Q33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choose a forecast on weeks it never saw, place the festival in the right month and price a miss in each direction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What changes when the method moves company?</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Q34 to Q39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carry the week's methods to another company and name what changed, the metric, the constraint and the cost of an error</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39</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117</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23</w:t>
            </w:r>
          </w:p>
        </w:tc>
      </w:tr>
    </w:tbl>
    <w:p>
      <w:pPr>
        <w:keepNext/>
        <w:spacing w:after="80" w:before="200"/>
      </w:pPr>
      <w:r>
        <w:rPr>
          <w:rFonts w:ascii="Arial" w:cs="Arial" w:eastAsia="Arial" w:hAnsi="Arial"/>
          <w:b/>
          <w:bCs/>
          <w:color w:val="1C1B16"/>
          <w:sz w:val="22"/>
          <w:szCs w:val="22"/>
        </w:rPr>
        <w:t xml:space="preserve">Pacing</w:t>
      </w:r>
    </w:p>
    <w:p>
      <w:pPr>
        <w:keepNext/>
        <w:spacing w:after="80"/>
      </w:pPr>
      <w:r>
        <w:rPr>
          <w:rFonts w:ascii="Arial" w:cs="Arial" w:eastAsia="Arial" w:hAnsi="Arial"/>
          <w:color w:val="6B675E"/>
          <w:sz w:val="19"/>
          <w:szCs w:val="19"/>
        </w:rPr>
        <w:t xml:space="preserve">Each band is as wide as its part's minutes; the timed items fill 117 of the 120 minutes, and the minute each part starts is under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1591"/>
        <w:gridCol w:w="1927"/>
        <w:gridCol w:w="1801"/>
        <w:gridCol w:w="1885"/>
        <w:gridCol w:w="1591"/>
        <w:gridCol w:w="1005"/>
      </w:tblGrid>
      <w:tr>
        <w:trPr>
          <w:cantSplit/>
          <w:trHeight w:val="460" w:hRule="atLeast"/>
        </w:trPr>
        <w:tc>
          <w:tcPr>
            <w:tcW w:type="dxa" w:w="1591"/>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1</w:t>
            </w:r>
          </w:p>
          <w:p>
            <w:pPr>
              <w:keepNext w:val="false"/>
              <w:spacing w:after="0" w:line="240"/>
              <w:jc w:val="center"/>
            </w:pPr>
            <w:r>
              <w:rPr>
                <w:rFonts w:ascii="Arial" w:cs="Arial" w:eastAsia="Arial" w:hAnsi="Arial"/>
                <w:color w:val="FFFFFF"/>
                <w:sz w:val="15"/>
                <w:szCs w:val="15"/>
              </w:rPr>
              <w:t xml:space="preserve">19 min</w:t>
            </w:r>
          </w:p>
        </w:tc>
        <w:tc>
          <w:tcPr>
            <w:tcW w:type="dxa" w:w="1927"/>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2</w:t>
            </w:r>
          </w:p>
          <w:p>
            <w:pPr>
              <w:keepNext w:val="false"/>
              <w:spacing w:after="0" w:line="240"/>
              <w:jc w:val="center"/>
            </w:pPr>
            <w:r>
              <w:rPr>
                <w:rFonts w:ascii="Arial" w:cs="Arial" w:eastAsia="Arial" w:hAnsi="Arial"/>
                <w:color w:val="1C1B16"/>
                <w:sz w:val="15"/>
                <w:szCs w:val="15"/>
              </w:rPr>
              <w:t xml:space="preserve">23 min</w:t>
            </w:r>
          </w:p>
        </w:tc>
        <w:tc>
          <w:tcPr>
            <w:tcW w:type="dxa" w:w="1801"/>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3</w:t>
            </w:r>
          </w:p>
          <w:p>
            <w:pPr>
              <w:keepNext w:val="false"/>
              <w:spacing w:after="0" w:line="240"/>
              <w:jc w:val="center"/>
            </w:pPr>
            <w:r>
              <w:rPr>
                <w:rFonts w:ascii="Arial" w:cs="Arial" w:eastAsia="Arial" w:hAnsi="Arial"/>
                <w:color w:val="FFFFFF"/>
                <w:sz w:val="15"/>
                <w:szCs w:val="15"/>
              </w:rPr>
              <w:t xml:space="preserve">21.5 min</w:t>
            </w:r>
          </w:p>
        </w:tc>
        <w:tc>
          <w:tcPr>
            <w:tcW w:type="dxa" w:w="1885"/>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4</w:t>
            </w:r>
          </w:p>
          <w:p>
            <w:pPr>
              <w:keepNext w:val="false"/>
              <w:spacing w:after="0" w:line="240"/>
              <w:jc w:val="center"/>
            </w:pPr>
            <w:r>
              <w:rPr>
                <w:rFonts w:ascii="Arial" w:cs="Arial" w:eastAsia="Arial" w:hAnsi="Arial"/>
                <w:color w:val="1C1B16"/>
                <w:sz w:val="15"/>
                <w:szCs w:val="15"/>
              </w:rPr>
              <w:t xml:space="preserve">22.5 min</w:t>
            </w:r>
          </w:p>
        </w:tc>
        <w:tc>
          <w:tcPr>
            <w:tcW w:type="dxa" w:w="1591"/>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5</w:t>
            </w:r>
          </w:p>
          <w:p>
            <w:pPr>
              <w:keepNext w:val="false"/>
              <w:spacing w:after="0" w:line="240"/>
              <w:jc w:val="center"/>
            </w:pPr>
            <w:r>
              <w:rPr>
                <w:rFonts w:ascii="Arial" w:cs="Arial" w:eastAsia="Arial" w:hAnsi="Arial"/>
                <w:color w:val="FFFFFF"/>
                <w:sz w:val="15"/>
                <w:szCs w:val="15"/>
              </w:rPr>
              <w:t xml:space="preserve">19 min</w:t>
            </w:r>
          </w:p>
        </w:tc>
        <w:tc>
          <w:tcPr>
            <w:tcW w:type="dxa" w:w="1005"/>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6</w:t>
            </w:r>
          </w:p>
          <w:p>
            <w:pPr>
              <w:keepNext w:val="false"/>
              <w:spacing w:after="0" w:line="240"/>
              <w:jc w:val="center"/>
            </w:pPr>
            <w:r>
              <w:rPr>
                <w:rFonts w:ascii="Arial" w:cs="Arial" w:eastAsia="Arial" w:hAnsi="Arial"/>
                <w:color w:val="1C1B16"/>
                <w:sz w:val="15"/>
                <w:szCs w:val="15"/>
              </w:rPr>
              <w:t xml:space="preserve">12 min</w:t>
            </w:r>
          </w:p>
        </w:tc>
      </w:tr>
      <w:tr>
        <w:trPr>
          <w:cantSplit/>
        </w:trPr>
        <w:tc>
          <w:tcPr>
            <w:tcW w:type="dxa" w:w="1591"/>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0</w:t>
            </w:r>
          </w:p>
        </w:tc>
        <w:tc>
          <w:tcPr>
            <w:tcW w:type="dxa" w:w="1927"/>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19</w:t>
            </w:r>
          </w:p>
        </w:tc>
        <w:tc>
          <w:tcPr>
            <w:tcW w:type="dxa" w:w="1801"/>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42</w:t>
            </w:r>
          </w:p>
        </w:tc>
        <w:tc>
          <w:tcPr>
            <w:tcW w:type="dxa" w:w="1885"/>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63.5</w:t>
            </w:r>
          </w:p>
        </w:tc>
        <w:tc>
          <w:tcPr>
            <w:tcW w:type="dxa" w:w="1591"/>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86</w:t>
            </w:r>
          </w:p>
        </w:tc>
        <w:tc>
          <w:tcPr>
            <w:tcW w:type="dxa" w:w="1005"/>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105</w:t>
            </w:r>
          </w:p>
        </w:tc>
      </w:tr>
    </w:tbl>
    <w:p>
      <w:pPr>
        <w:keepNext/>
        <w:pBdr>
          <w:bottom w:val="single" w:color="B37A33" w:sz="6" w:space="4"/>
        </w:pBdr>
        <w:spacing w:after="120" w:before="280"/>
      </w:pPr>
      <w:r>
        <w:rPr>
          <w:rFonts w:ascii="Georgia" w:cs="Georgia" w:eastAsia="Georgia" w:hAnsi="Georgia"/>
          <w:color w:val="B37A33"/>
          <w:sz w:val="30"/>
          <w:szCs w:val="30"/>
        </w:rPr>
        <w:t xml:space="preserve">Part 1. Which number should the plan chase, and which should a scheme pay for?</w:t>
      </w:r>
    </w:p>
    <w:p>
      <w:pPr>
        <w:keepNext/>
        <w:spacing w:after="160" w:line="276"/>
      </w:pPr>
      <w:r>
        <w:rPr>
          <w:rFonts w:ascii="Arial" w:cs="Arial" w:eastAsia="Arial" w:hAnsi="Arial"/>
          <w:color w:val="6B675E"/>
          <w:sz w:val="19"/>
          <w:szCs w:val="19"/>
        </w:rPr>
        <w:t xml:space="preserve">7 items, Q1 to Q7, about 19 minutes. What it shows: whether you can write a metric a team cannot hit while the outcome gets worse, and read what a gamed one did.</w:t>
      </w:r>
    </w:p>
    <w:p>
      <w:pPr>
        <w:keepNext/>
        <w:spacing w:after="140" w:line="276"/>
      </w:pPr>
      <w:r>
        <w:rPr>
          <w:rFonts w:ascii="Arial" w:cs="Arial" w:eastAsia="Arial" w:hAnsi="Arial"/>
          <w:color w:val="1C1B16"/>
          <w:sz w:val="21"/>
          <w:szCs w:val="21"/>
        </w:rPr>
        <w:t xml:space="preserve">On Monday 31 August 2026 Uber's Hyderabad city team launched a peak-hour earnings guarantee for enrolled drivers: a floor of Rs 300 per peak online hour, with Uber paying the gap between a driver's trip earnings in the peak window and the floor as a top-up. The launch note's goal was more drivers on the road at peak, so riders are picked up faster. Exhibit 1A sets the six weeks after the launch against the six weeks before. The city head must decide whether to extend the scheme to two more cities. Illustrative case: the company is real, the situation and the data are synthetic, built for this class. In the lab the same method ran on Kalpa Retail, where the head of Retail-Plus had proposed reorders per member as the growth plan's number.</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1A</w:t>
            </w:r>
            <w:r>
              <w:rPr>
                <w:rFonts w:ascii="Arial" w:cs="Arial" w:eastAsia="Arial" w:hAnsi="Arial"/>
                <w:i/>
                <w:iCs/>
                <w:color w:val="6B675E"/>
                <w:sz w:val="18"/>
                <w:szCs w:val="18"/>
              </w:rPr>
              <w:t xml:space="preserve">   Uber Hyderabad's peak-hour guarantee, the six weeks beginning 20 July 2026 against the six beginning 31 August 2026, the launch day.</w:t>
            </w:r>
          </w:p>
          <w:tbl>
            <w:tblPr>
              <w:tblW w:type="dxa" w:w="9180"/>
              <w:tblBorders>
                <w:top w:val="single" w:color="D5D0C4" w:sz="4"/>
                <w:left w:val="single" w:color="D5D0C4" w:sz="4"/>
                <w:bottom w:val="single" w:color="D5D0C4" w:sz="4"/>
                <w:right w:val="single" w:color="D5D0C4" w:sz="4"/>
                <w:insideH w:val="single" w:color="D5D0C4" w:sz="4"/>
                <w:insideV w:val="single" w:color="D5D0C4" w:sz="4"/>
              </w:tblBorders>
            </w:tblPr>
            <w:tblGrid>
              <w:gridCol w:w="4940"/>
              <w:gridCol w:w="2180"/>
              <w:gridCol w:w="2060"/>
            </w:tblGrid>
            <w:tr>
              <w:trPr>
                <w:cantSplit/>
                <w:tblHeader/>
              </w:trPr>
              <w:tc>
                <w:tcPr>
                  <w:tcW w:type="dxa" w:w="49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Measure</w:t>
                  </w:r>
                </w:p>
              </w:tc>
              <w:tc>
                <w:tcPr>
                  <w:tcW w:type="dxa" w:w="21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weeks before</w:t>
                  </w:r>
                </w:p>
              </w:tc>
              <w:tc>
                <w:tcPr>
                  <w:tcW w:type="dxa" w:w="20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weeks after</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Peak online hours, all enrolled drivers</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118,000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146,300</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Completed peak trips</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224,200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230,900</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Trips per peak online hour</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1.58</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Rider requests at peak</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251,910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256,556</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Rider requests per peak online hour</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2.13</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1.75</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Offers accepted over offers shown</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0.86</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0.73</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Median rider wait at peak, minutes</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4.6</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Top-up paid</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1.9 crore</w:t>
                  </w:r>
                </w:p>
              </w:tc>
            </w:tr>
          </w:tbl>
          <w:p>
            <w:pPr>
              <w:keepNext/>
              <w:spacing w:after="140" w:before="0"/>
            </w:pPr>
          </w:p>
          <w:p>
            <w:pPr>
              <w:keepNext/>
              <w:spacing w:after="80" w:before="80" w:line="264"/>
            </w:pPr>
            <w:r>
              <w:rPr>
                <w:rFonts w:ascii="Arial" w:cs="Arial" w:eastAsia="Arial" w:hAnsi="Arial"/>
                <w:b/>
                <w:bCs/>
                <w:color w:val="B37A33"/>
                <w:sz w:val="19"/>
                <w:szCs w:val="19"/>
              </w:rPr>
              <w:t xml:space="preserve">Word bank 1</w:t>
            </w:r>
            <w:r>
              <w:rPr>
                <w:rFonts w:ascii="Arial" w:cs="Arial" w:eastAsia="Arial" w:hAnsi="Arial"/>
                <w:i/>
                <w:iCs/>
                <w:color w:val="6B675E"/>
                <w:sz w:val="18"/>
                <w:szCs w:val="18"/>
              </w:rPr>
              <w:t xml:space="preserve">   Write the letter of the word or phrase that completes each statement. Each is used once at most, and some are not used.</w:t>
            </w:r>
          </w:p>
          <w:tbl>
            <w:tblPr>
              <w:tblW w:type="dxa" w:w="9798"/>
              <w:tblBorders>
                <w:top w:val="single" w:color="FFFFFF" w:sz="4"/>
                <w:left w:val="single" w:color="FFFFFF" w:sz="4"/>
                <w:bottom w:val="single" w:color="FFFFFF" w:sz="4"/>
                <w:right w:val="single" w:color="FFFFFF" w:sz="4"/>
                <w:insideH w:val="single" w:color="FFFFFF" w:sz="4"/>
                <w:insideV w:val="single" w:color="FFFFFF" w:sz="4"/>
              </w:tblBorders>
            </w:tblPr>
            <w:tblGrid>
              <w:gridCol w:w="3266"/>
              <w:gridCol w:w="3266"/>
              <w:gridCol w:w="3266"/>
            </w:tblGrid>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A   </w:t>
                  </w:r>
                  <w:r>
                    <w:rPr>
                      <w:rFonts w:ascii="Arial" w:cs="Arial" w:eastAsia="Arial" w:hAnsi="Arial"/>
                      <w:color w:val="1C1B16"/>
                      <w:sz w:val="20"/>
                      <w:szCs w:val="20"/>
                    </w:rPr>
                    <w:t xml:space="preserve">proxies</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B   </w:t>
                  </w:r>
                  <w:r>
                    <w:rPr>
                      <w:rFonts w:ascii="Arial" w:cs="Arial" w:eastAsia="Arial" w:hAnsi="Arial"/>
                      <w:color w:val="1C1B16"/>
                      <w:sz w:val="20"/>
                      <w:szCs w:val="20"/>
                    </w:rPr>
                    <w:t xml:space="preserve">window</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C   </w:t>
                  </w:r>
                  <w:r>
                    <w:rPr>
                      <w:rFonts w:ascii="Arial" w:cs="Arial" w:eastAsia="Arial" w:hAnsi="Arial"/>
                      <w:color w:val="1C1B16"/>
                      <w:sz w:val="20"/>
                      <w:szCs w:val="20"/>
                    </w:rPr>
                    <w:t xml:space="preserve">leading inputs</w:t>
                  </w:r>
                </w:p>
              </w:tc>
            </w:tr>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D   </w:t>
                  </w:r>
                  <w:r>
                    <w:rPr>
                      <w:rFonts w:ascii="Arial" w:cs="Arial" w:eastAsia="Arial" w:hAnsi="Arial"/>
                      <w:color w:val="1C1B16"/>
                      <w:sz w:val="20"/>
                      <w:szCs w:val="20"/>
                    </w:rPr>
                    <w:t xml:space="preserve">baseline</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E   </w:t>
                  </w:r>
                  <w:r>
                    <w:rPr>
                      <w:rFonts w:ascii="Arial" w:cs="Arial" w:eastAsia="Arial" w:hAnsi="Arial"/>
                      <w:color w:val="1C1B16"/>
                      <w:sz w:val="20"/>
                      <w:szCs w:val="20"/>
                    </w:rPr>
                    <w:t xml:space="preserve">guardrails</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F   </w:t>
                  </w:r>
                  <w:r>
                    <w:rPr>
                      <w:rFonts w:ascii="Arial" w:cs="Arial" w:eastAsia="Arial" w:hAnsi="Arial"/>
                      <w:color w:val="1C1B16"/>
                      <w:sz w:val="20"/>
                      <w:szCs w:val="20"/>
                    </w:rPr>
                    <w:t xml:space="preserve">target</w:t>
                  </w:r>
                </w:p>
              </w:tc>
            </w:tr>
          </w:tbl>
          <w:p>
            <w:pPr>
              <w:keepNext/>
              <w:spacing w:after="140" w:before="0"/>
            </w:pPr>
          </w:p>
          <w:p>
            <w:pPr>
              <w:keepNext/>
              <w:spacing w:after="60" w:before="60" w:line="276"/>
            </w:pPr>
            <w:r>
              <w:rPr>
                <w:rFonts w:ascii="Arial" w:cs="Arial" w:eastAsia="Arial" w:hAnsi="Arial"/>
                <w:b/>
                <w:bCs/>
                <w:color w:val="B37A33"/>
                <w:sz w:val="22"/>
                <w:szCs w:val="22"/>
              </w:rPr>
              <w:t xml:space="preserve">Q1</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Complete the north-star line</w:t>
            </w:r>
            <w:r>
              <w:rPr>
                <w:rFonts w:ascii="Arial" w:cs="Arial" w:eastAsia="Arial" w:hAnsi="Arial"/>
                <w:i/>
                <w:iCs/>
                <w:color w:val="6B675E"/>
                <w:sz w:val="18"/>
                <w:szCs w:val="18"/>
              </w:rPr>
              <w:t xml:space="preserve">  ·  a letter from Word bank 1</w:t>
            </w:r>
          </w:p>
          <w:p>
            <w:pPr>
              <w:keepNext/>
              <w:spacing w:after="80" w:line="276"/>
            </w:pPr>
            <w:r>
              <w:rPr>
                <w:rFonts w:ascii="Arial" w:cs="Arial" w:eastAsia="Arial" w:hAnsi="Arial"/>
                <w:color w:val="1C1B16"/>
                <w:sz w:val="21"/>
                <w:szCs w:val="21"/>
              </w:rPr>
              <w:t xml:space="preserve">The metric a plan exists to move is the north-star, and the metrics that catch harmful ways of hitting it are called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Complete the definition</w:t>
            </w:r>
            <w:r>
              <w:rPr>
                <w:rFonts w:ascii="Arial" w:cs="Arial" w:eastAsia="Arial" w:hAnsi="Arial"/>
                <w:i/>
                <w:iCs/>
                <w:color w:val="6B675E"/>
                <w:sz w:val="18"/>
                <w:szCs w:val="18"/>
              </w:rPr>
              <w:t xml:space="preserve">  ·  a letter from Word bank 1</w:t>
            </w:r>
          </w:p>
          <w:p>
            <w:pPr>
              <w:keepNext/>
              <w:spacing w:after="80" w:line="276"/>
            </w:pPr>
            <w:r>
              <w:rPr>
                <w:rFonts w:ascii="Arial" w:cs="Arial" w:eastAsia="Arial" w:hAnsi="Arial"/>
                <w:color w:val="1C1B16"/>
                <w:sz w:val="21"/>
                <w:szCs w:val="21"/>
              </w:rPr>
              <w:t xml:space="preserve">A complete metric definition names its numerator, its denominator, its ____ and its exclusions.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Judge the statement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city team's dashboard puts rider requests per peak online hour, zone by zone, beside its north star, completed peak trips per enrolled driver online at peak each week. Statement: a leading indicator moves after the north-star metric has already moved.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requests per online hour fell from 2.13 to 1.75 over the six weeks after the north star had moved, which is how it confirms the north star.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a leading indicator is read once the quarter's result is in, which is why the dashboard keeps it on the page beside the north star it explains.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it moves first, while the team can act; requests per online hour by zone say where to send drivers before the week's trips are in.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a leading indicator moves in the same week as the north star, since both are counted from that week's completed peak trips in every zone.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1B</w:t>
            </w:r>
            <w:r>
              <w:rPr>
                <w:rFonts w:ascii="Arial" w:cs="Arial" w:eastAsia="Arial" w:hAnsi="Arial"/>
                <w:i/>
                <w:iCs/>
                <w:color w:val="6B675E"/>
                <w:sz w:val="18"/>
                <w:szCs w:val="18"/>
              </w:rPr>
              <w:t xml:space="preserve">   Six drivers, one week before the launch (the week beginning 10 August 2026) and one week after it (the week beginning 21 September 2026). Shamshabad and Rajendranagar are two of the city's three outer zones.</w:t>
            </w:r>
          </w:p>
          <w:tbl>
            <w:tblPr>
              <w:tblW w:type="dxa" w:w="9795"/>
              <w:tblBorders>
                <w:top w:val="single" w:color="D5D0C4" w:sz="4"/>
                <w:left w:val="single" w:color="D5D0C4" w:sz="4"/>
                <w:bottom w:val="single" w:color="D5D0C4" w:sz="4"/>
                <w:right w:val="single" w:color="D5D0C4" w:sz="4"/>
                <w:insideH w:val="single" w:color="D5D0C4" w:sz="4"/>
                <w:insideV w:val="single" w:color="D5D0C4" w:sz="4"/>
              </w:tblBorders>
            </w:tblPr>
            <w:tblGrid>
              <w:gridCol w:w="887"/>
              <w:gridCol w:w="1469"/>
              <w:gridCol w:w="887"/>
              <w:gridCol w:w="1856"/>
              <w:gridCol w:w="1372"/>
              <w:gridCol w:w="1662"/>
              <w:gridCol w:w="1662"/>
            </w:tblGrid>
            <w:tr>
              <w:trPr>
                <w:cantSplit/>
                <w:tblHeader/>
              </w:trPr>
              <w:tc>
                <w:tcPr>
                  <w:tcW w:type="dxa" w:w="88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Driver</w:t>
                  </w:r>
                </w:p>
              </w:tc>
              <w:tc>
                <w:tcPr>
                  <w:tcW w:type="dxa" w:w="146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Zone</w:t>
                  </w:r>
                </w:p>
              </w:tc>
              <w:tc>
                <w:tcPr>
                  <w:tcW w:type="dxa" w:w="88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Week</w:t>
                  </w:r>
                </w:p>
              </w:tc>
              <w:tc>
                <w:tcPr>
                  <w:tcW w:type="dxa" w:w="1856"/>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Peak online hours</w:t>
                  </w:r>
                </w:p>
              </w:tc>
              <w:tc>
                <w:tcPr>
                  <w:tcW w:type="dxa" w:w="137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Offers shown</w:t>
                  </w:r>
                </w:p>
              </w:tc>
              <w:tc>
                <w:tcPr>
                  <w:tcW w:type="dxa" w:w="166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Offers accepted</w:t>
                  </w:r>
                </w:p>
              </w:tc>
              <w:tc>
                <w:tcPr>
                  <w:tcW w:type="dxa" w:w="166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Completed trips</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Jubilee Hills</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Jubilee Hills</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Banjara Hills</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Banjara Hills</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Gachibowli</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Gachibowli</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26</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Madhapur</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Madhapur</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Shamshabad</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Shamshabad</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Rajendranagar</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Rajendranagar</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w:t>
                  </w:r>
                </w:p>
              </w:tc>
            </w:tr>
          </w:tbl>
          <w:p>
            <w:pPr>
              <w:keepNext/>
              <w:spacing w:after="140" w:before="0"/>
            </w:pPr>
          </w:p>
          <w:p>
            <w:pPr>
              <w:keepNext/>
              <w:spacing w:after="60" w:before="60" w:line="276"/>
            </w:pPr>
            <w:r>
              <w:rPr>
                <w:rFonts w:ascii="Arial" w:cs="Arial" w:eastAsia="Arial" w:hAnsi="Arial"/>
                <w:b/>
                <w:bCs/>
                <w:color w:val="B37A33"/>
                <w:sz w:val="22"/>
                <w:szCs w:val="22"/>
              </w:rPr>
              <w:t xml:space="preserve">Q4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six drivers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city team's note to the city head reads: "Peak online hours up 24 percent: supply target met. We recommend extending the guarantee to two more cities." Using the six drivers in Exhibit 1B, what do the rows show, and what should the city head be told?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Trips per hour fell from 1.90 to 1.19 as hours rose from 60 to 74; E and F added 10 hours and lost 30 trips, so hold the extension and pay for completed trips.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Hours went from 60 to 74, up 23 percent, close to the city's 24, and A to D kept about two trips an hour, so the guarantee added supply and the extension can go ahead.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Trips fell from 114 to 88 because riders asked for fewer trips after the monsoon, as E's and F's offers show, so the guarantee is not the cause of the fall.</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Averaged driver by driver, trips per hour went from 1.90 to 1.31, a smaller fall than the totals show, so supply held up and the extension can go ahead.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1C</w:t>
            </w:r>
            <w:r>
              <w:rPr>
                <w:rFonts w:ascii="Arial" w:cs="Arial" w:eastAsia="Arial" w:hAnsi="Arial"/>
                <w:i/>
                <w:iCs/>
                <w:color w:val="6B675E"/>
                <w:sz w:val="18"/>
                <w:szCs w:val="18"/>
              </w:rPr>
              <w:t xml:space="preserve">   Wells Fargo's cross-sell metric, as the SEC's order of February 2020 (Release 34-88257) describes it, checked 13 October 2026.</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819"/>
              <w:gridCol w:w="8980"/>
            </w:tblGrid>
            <w:tr>
              <w:trPr>
                <w:cantSplit/>
                <w:tblHeader/>
              </w:trPr>
              <w:tc>
                <w:tcPr>
                  <w:tcW w:type="dxa" w:w="81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Line</w:t>
                  </w:r>
                </w:p>
              </w:tc>
              <w:tc>
                <w:tcPr>
                  <w:tcW w:type="dxa" w:w="89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the order found</w:t>
                  </w:r>
                </w:p>
              </w:tc>
            </w:tr>
            <w:tr>
              <w:trPr>
                <w:cantSplit/>
              </w:trPr>
              <w:tc>
                <w:tcPr>
                  <w:tcW w:type="dxa" w:w="81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What it counted</w:t>
                  </w:r>
                </w:p>
              </w:tc>
              <w:tc>
                <w:tcPr>
                  <w:tcW w:type="dxa" w:w="8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Accounts and products per retail bank household</w:t>
                  </w:r>
                </w:p>
              </w:tc>
            </w:tr>
            <w:tr>
              <w:trPr>
                <w:cantSplit/>
              </w:trPr>
              <w:tc>
                <w:tcPr>
                  <w:tcW w:type="dxa" w:w="81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Use</w:t>
                  </w:r>
                </w:p>
              </w:tc>
              <w:tc>
                <w:tcPr>
                  <w:tcW w:type="dxa" w:w="8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 usage condition: an unused debit card, the largest product category, could stay in the count for up to four years</w:t>
                  </w:r>
                </w:p>
              </w:tc>
            </w:tr>
            <w:tr>
              <w:trPr>
                <w:cantSplit/>
              </w:trPr>
              <w:tc>
                <w:tcPr>
                  <w:tcW w:type="dxa" w:w="81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What staff did</w:t>
                  </w:r>
                </w:p>
              </w:tc>
              <w:tc>
                <w:tcPr>
                  <w:tcW w:type="dxa" w:w="8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Opened accounts customers had not asked for; moved customers' money into new accounts so they counted as funded; changed contact details so satisfaction surveys would not reach customers</w:t>
                  </w:r>
                </w:p>
              </w:tc>
            </w:tr>
            <w:tr>
              <w:trPr>
                <w:cantSplit/>
              </w:trPr>
              <w:tc>
                <w:tcPr>
                  <w:tcW w:type="dxa" w:w="81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2013 change</w:t>
                  </w:r>
                </w:p>
              </w:tc>
              <w:tc>
                <w:tcPr>
                  <w:tcW w:type="dxa" w:w="8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Remittance accounts were added to the count without investors being told, giving 0.04 of that year's 0.11 rise in the ratio</w:t>
                  </w:r>
                </w:p>
              </w:tc>
            </w:tr>
          </w:tbl>
          <w:p>
            <w:pPr>
              <w:keepNext/>
              <w:spacing w:after="140" w:before="0"/>
            </w:pPr>
          </w:p>
          <w:p>
            <w:pPr>
              <w:keepNext/>
              <w:spacing w:after="60" w:before="60" w:line="276"/>
            </w:pPr>
            <w:r>
              <w:rPr>
                <w:rFonts w:ascii="Arial" w:cs="Arial" w:eastAsia="Arial" w:hAnsi="Arial"/>
                <w:b/>
                <w:bCs/>
                <w:color w:val="B37A33"/>
                <w:sz w:val="22"/>
                <w:szCs w:val="22"/>
              </w:rPr>
              <w:t xml:space="preserve">Q5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Judge the statement on a case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Statement: any target changes the behaviour of the people who are paid to hit it. Judge it on Exhibit 1C.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False: a target changes behaviour only where its rules leave a gap, and the order describes rules that some staff broke, never the target itself.</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False: staff were paid on sales, so the cross-sell count moved only when the bank itself changed the definition, as it did in 2013.</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True: the count rose because customers bought more products, and staff behaviour followed the customers' new demand for accounts.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True: staff paid on the count opened accounts nobody asked for, staged funding and dodged the surveys, each to move the number the bank paid for.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Size the silent change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Exhibit 1C's last row is the 2013 change. What share of Wells Fargo's 2013 rise in the ratio came from the change of definition alone, and which line of a complete metric definition would have shown it to investors?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About 36 percent, 0.04 of 0.11; a guardrail on customer satisfaction, which would have fallen as soon as the new accounts joined the count.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About 36 percent, 0.04 of 0.11; a dated log of every change to what is counted, with the year's ratio printed on the old definition too.</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About 4 percent, the 0.04 itself; the window, since a ratio counted over a shorter period would have shown the new accounts sooner.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None of it: remittance accounts are products a household holds, so the rise was real, and no line of the definition was breached.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1D</w:t>
            </w:r>
            <w:r>
              <w:rPr>
                <w:rFonts w:ascii="Arial" w:cs="Arial" w:eastAsia="Arial" w:hAnsi="Arial"/>
                <w:i/>
                <w:iCs/>
                <w:color w:val="6B675E"/>
                <w:sz w:val="18"/>
                <w:szCs w:val="18"/>
              </w:rPr>
              <w:t xml:space="preserve">   Kalpa Retail's Retail-Plus tier, 120 members, as Monday's lab found it: 10 to 30 September 2026 against 20 August to 9 September 2026.</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4192"/>
              <w:gridCol w:w="5607"/>
            </w:tblGrid>
            <w:tr>
              <w:trPr>
                <w:cantSplit/>
                <w:tblHeader/>
              </w:trPr>
              <w:tc>
                <w:tcPr>
                  <w:tcW w:type="dxa" w:w="419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Measure</w:t>
                  </w:r>
                </w:p>
              </w:tc>
              <w:tc>
                <w:tcPr>
                  <w:tcW w:type="dxa" w:w="560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Window over comparison</w:t>
                  </w:r>
                </w:p>
              </w:tc>
            </w:tr>
            <w:tr>
              <w:trPr>
                <w:cantSplit/>
              </w:trPr>
              <w:tc>
                <w:tcPr>
                  <w:tcW w:type="dxa" w:w="419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Reorders placed per member</w:t>
                  </w:r>
                </w:p>
              </w:tc>
              <w:tc>
                <w:tcPr>
                  <w:tcW w:type="dxa" w:w="560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1.22 times</w:t>
                  </w:r>
                </w:p>
              </w:tc>
            </w:tr>
            <w:tr>
              <w:trPr>
                <w:cantSplit/>
              </w:trPr>
              <w:tc>
                <w:tcPr>
                  <w:tcW w:type="dxa" w:w="419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Booked value of those placements per member</w:t>
                  </w:r>
                </w:p>
              </w:tc>
              <w:tc>
                <w:tcPr>
                  <w:tcW w:type="dxa" w:w="560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0.96 times</w:t>
                  </w:r>
                </w:p>
              </w:tc>
            </w:tr>
            <w:tr>
              <w:trPr>
                <w:cantSplit/>
              </w:trPr>
              <w:tc>
                <w:tcPr>
                  <w:tcW w:type="dxa" w:w="419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Placements in the window that became a separate delivered order</w:t>
                  </w:r>
                </w:p>
              </w:tc>
              <w:tc>
                <w:tcPr>
                  <w:tcW w:type="dxa" w:w="560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None: each was an auto-reorder, cancelled, merged into a later order or still pending</w:t>
                  </w:r>
                </w:p>
              </w:tc>
            </w:tr>
          </w:tbl>
          <w:p>
            <w:pPr>
              <w:keepNext/>
              <w:spacing w:after="140" w:before="0"/>
            </w:pPr>
          </w:p>
          <w:p>
            <w:pPr>
              <w:keepNext/>
              <w:spacing w:after="60" w:before="60" w:line="276"/>
            </w:pPr>
            <w:r>
              <w:rPr>
                <w:rFonts w:ascii="Arial" w:cs="Arial" w:eastAsia="Arial" w:hAnsi="Arial"/>
                <w:b/>
                <w:bCs/>
                <w:color w:val="B37A33"/>
                <w:sz w:val="22"/>
                <w:szCs w:val="22"/>
              </w:rPr>
              <w:t xml:space="preserve">Q7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Mark the definition sheet</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Meera Raghavan, Kalpa Retail's CEO, wants one number for the growth plan and the numbers that stop it being gamed. The head of Retail-Plus proposed reorders per member, and the lab found Exhibit 1D. Which lines of the plan's definition sheet are right?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North star: reorders placed per Retail-Plus member per month, which the window shows rising 1.22 times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Leading input: last quarter's audited revenue, which tells the team early where the plan stands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Exclusions: placements cancelled, merged into a later order or still pending, so a reorder nobody received never counts</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Guardrail: revenue per active customer, which falls when frequency is bought with low-value orders</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Leading input: add-to-cart events per active app member, which move before the month's delivered orders</w:t>
            </w:r>
          </w:p>
        </w:tc>
      </w:tr>
    </w:tbl>
    <w:p>
      <w:pPr>
        <w:keepNext/>
        <w:pBdr>
          <w:bottom w:val="single" w:color="B37A33" w:sz="6" w:space="4"/>
        </w:pBdr>
        <w:spacing w:after="120" w:before="280"/>
      </w:pPr>
      <w:r>
        <w:rPr>
          <w:rFonts w:ascii="Georgia" w:cs="Georgia" w:eastAsia="Georgia" w:hAnsi="Georgia"/>
          <w:color w:val="B37A33"/>
          <w:sz w:val="30"/>
          <w:szCs w:val="30"/>
        </w:rPr>
        <w:t xml:space="preserve">Part 2. Can the number survive the room, and can you size a city from nothing?</w:t>
      </w:r>
    </w:p>
    <w:p>
      <w:pPr>
        <w:keepNext/>
        <w:spacing w:after="160" w:line="276"/>
      </w:pPr>
      <w:r>
        <w:rPr>
          <w:rFonts w:ascii="Arial" w:cs="Arial" w:eastAsia="Arial" w:hAnsi="Arial"/>
          <w:color w:val="6B675E"/>
          <w:sz w:val="19"/>
          <w:szCs w:val="19"/>
        </w:rPr>
        <w:t xml:space="preserve">7 items, Q8 to Q14, about 23 minutes. What it shows: whether you can put one claim on one slide, defend it without retreating, and size a number from nothing with a check in the right unit.</w:t>
      </w:r>
    </w:p>
    <w:p>
      <w:pPr>
        <w:keepNext/>
        <w:spacing w:after="140" w:line="276"/>
      </w:pPr>
      <w:r>
        <w:rPr>
          <w:rFonts w:ascii="Arial" w:cs="Arial" w:eastAsia="Arial" w:hAnsi="Arial"/>
          <w:color w:val="1C1B16"/>
          <w:sz w:val="21"/>
          <w:szCs w:val="21"/>
        </w:rPr>
        <w:t xml:space="preserve">On Tuesday the city head asked for Monday's redesign on one slide at Thursday's city review: five minutes, with the driver-operations lead, the marketing lead and the finance partner in the room, each of whom loses something under it. The redesign pays per completed peak trip, with a floor on the share of offers a driver accepts. The number the slide must explain is in Exhibit 2A. In the afternoon the city head asked a second question with no dataset: roughly how many drivers must be online at the weekday evening peak to keep the median rider wait under five minutes. Illustrative case: the company is real, the situation and the data are synthetic, built for this class. In the lab each learner presented Kalpa's north star on one slide to a Kalpa head, then sized Anand's new-store question against DMart.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2A</w:t>
            </w:r>
            <w:r>
              <w:rPr>
                <w:rFonts w:ascii="Arial" w:cs="Arial" w:eastAsia="Arial" w:hAnsi="Arial"/>
                <w:i/>
                <w:iCs/>
                <w:color w:val="6B675E"/>
                <w:sz w:val="18"/>
                <w:szCs w:val="18"/>
              </w:rPr>
              <w:t xml:space="preserve">   The same peak bookings read three ways, Uber Hyderabad, the six weeks before the launch and the six weeks after.</w:t>
            </w:r>
          </w:p>
          <w:tbl>
            <w:tblPr>
              <w:tblW w:type="dxa" w:w="8220"/>
              <w:tblBorders>
                <w:top w:val="single" w:color="D5D0C4" w:sz="4"/>
                <w:left w:val="single" w:color="D5D0C4" w:sz="4"/>
                <w:bottom w:val="single" w:color="D5D0C4" w:sz="4"/>
                <w:right w:val="single" w:color="D5D0C4" w:sz="4"/>
                <w:insideH w:val="single" w:color="D5D0C4" w:sz="4"/>
                <w:insideV w:val="single" w:color="D5D0C4" w:sz="4"/>
              </w:tblBorders>
            </w:tblPr>
            <w:tblGrid>
              <w:gridCol w:w="3980"/>
              <w:gridCol w:w="2180"/>
              <w:gridCol w:w="2060"/>
            </w:tblGrid>
            <w:tr>
              <w:trPr>
                <w:cantSplit/>
                <w:tblHeader/>
              </w:trPr>
              <w:tc>
                <w:tcPr>
                  <w:tcW w:type="dxa" w:w="39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Read</w:t>
                  </w:r>
                </w:p>
              </w:tc>
              <w:tc>
                <w:tcPr>
                  <w:tcW w:type="dxa" w:w="21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weeks before</w:t>
                  </w:r>
                </w:p>
              </w:tc>
              <w:tc>
                <w:tcPr>
                  <w:tcW w:type="dxa" w:w="20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weeks after</w:t>
                  </w:r>
                </w:p>
              </w:tc>
            </w:tr>
            <w:tr>
              <w:trPr>
                <w:cantSplit/>
              </w:trPr>
              <w:tc>
                <w:tcPr>
                  <w:tcW w:type="dxa" w:w="3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Bookings per peak online hour</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314</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260</w:t>
                  </w:r>
                </w:p>
              </w:tc>
            </w:tr>
            <w:tr>
              <w:trPr>
                <w:cantSplit/>
              </w:trPr>
              <w:tc>
                <w:tcPr>
                  <w:tcW w:type="dxa" w:w="3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Bookings per active driver-week</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5,817</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5,861</w:t>
                  </w:r>
                </w:p>
              </w:tc>
            </w:tr>
            <w:tr>
              <w:trPr>
                <w:cantSplit/>
              </w:trPr>
              <w:tc>
                <w:tcPr>
                  <w:tcW w:type="dxa" w:w="3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Bookings per completed trip</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165</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165</w:t>
                  </w:r>
                </w:p>
              </w:tc>
            </w:tr>
          </w:tbl>
          <w:p>
            <w:pPr>
              <w:keepNext/>
              <w:spacing w:after="140" w:before="0"/>
            </w:pPr>
          </w:p>
          <w:p>
            <w:pPr>
              <w:keepNext/>
              <w:spacing w:after="60" w:before="60" w:line="276"/>
            </w:pPr>
            <w:r>
              <w:rPr>
                <w:rFonts w:ascii="Arial" w:cs="Arial" w:eastAsia="Arial" w:hAnsi="Arial"/>
                <w:b/>
                <w:bCs/>
                <w:color w:val="B37A33"/>
                <w:sz w:val="22"/>
                <w:szCs w:val="22"/>
              </w:rPr>
              <w:t xml:space="preserve">Q8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Build the slide</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Four of these six lines make the city head's slide, and two would spoil it. Leave those two out and write the other four in the order they appear on the slide, from the top.</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action: pay per completed peak trip with an acceptance floor, tested on half the drivers for six weeks, which the city head signs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caveat: the monsoon ended inside the six weeks after the launch, and there are no weeks from last year to compare with</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title, as a claim: the guarantee is paying for online hours that carry no trips</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evidence: bookings per peak online hour fell from Rs 314 to Rs 260 at the same Rs 165 fare</w:t>
            </w:r>
          </w:p>
          <w:p>
            <w:pPr>
              <w:keepNext/>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The title, as a topic: "Peak-hour guarantee: six-week review"</w:t>
            </w:r>
          </w:p>
          <w:p>
            <w:pPr>
              <w:keepNext/>
              <w:keepLines/>
              <w:spacing w:after="60" w:before="0" w:line="264"/>
              <w:ind w:left="360" w:hanging="360"/>
            </w:pPr>
            <w:r>
              <w:rPr>
                <w:rFonts w:ascii="Arial" w:cs="Arial" w:eastAsia="Arial" w:hAnsi="Arial"/>
                <w:b/>
                <w:bCs/>
                <w:color w:val="1C1B16"/>
                <w:sz w:val="20"/>
                <w:szCs w:val="20"/>
              </w:rPr>
              <w:t xml:space="preserve">F.  </w:t>
            </w:r>
            <w:r>
              <w:rPr>
                <w:rFonts w:ascii="Arial" w:cs="Arial" w:eastAsia="Arial" w:hAnsi="Arial"/>
                <w:color w:val="1C1B16"/>
                <w:sz w:val="20"/>
                <w:szCs w:val="20"/>
              </w:rPr>
              <w:t xml:space="preserve">The headline number: peak online hours up 24 percent since the launch</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Keep two elements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A second draft argues that riders got little for the Rs 1.9 crore of top-up. Which two elements carry that claim? Mark both; every other element moves to an appendix page headed by the question a named role will ask.</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Median rider wait at peak, 4.8 to 4.6 minutes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Offers shown to drivers, 269,773 to 347,583</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Top-up for each extra trip: Rs 2,836, for a trip worth Rs 165</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Bookings per active driver-week, Rs 5,817 to Rs 5,861</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The top-up split: 61 percent to driver-weeks under half acceptance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the defence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At the review the finance partner says: "The fall in bookings per hour is the monsoon's end, not your scheme." Statement: the strongest reply concedes nothing, since any concession hands the objector the meeting.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a concession tells the room the claim is weak, so the analyst restates the Rs 314 to Rs 260 chart and moves straight on to the action.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the per-hour chart already answers the season, since the fare held at Rs 165, so a concession could only add a doubt the chart has removed.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grant that part may be the season, then show weekly requests back in their old range while trips per hour held at 1.56 against 1.90.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concede the point in full and take the slide off the agenda until a year of weeks exists to set these six weeks against.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Judge the memo</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 colleague cites Amazon's 2017 letter to shareholders, which says Amazon's meetings start with a six-page memo read in silence, use no slides, and that a great memo probably takes a week or more to write. Statement: the city head's Thursday review should get a memo in place of the one slide.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a memo forces full sentences where bullets hide the reasoning, so it beats a slide in any meeting, whatever the slot it is given.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a memo can carry all three appendix pages in its body, so no role's question is left without its answer in the room.</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the letter says Amazon reads its memos after the meeting has ended, so a memo would leave the room no time to argue at the review.</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the ask is one slide in five minutes, and a great memo takes a week; the letter's lesson is that each element earns its place.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Order the estimate</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The city head's afternoon ask is roughly how many drivers must be online at the weekday evening peak to keep the median rider wait under five minutes. Four of these five steps make the estimate, and one would spoil it. Leave that one out and write the other four in the order they run.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Set the chain's 0.60 online driver-hours per completed trip beside the case's 0.53 before the launch, and move the answer to about 5,000 to 5,700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Ask whether it is drivers online at one moment or across the window, which window, which product, and the city's median or every zone's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Divide the day's 1 lakh trips by the 2.4 trips a busy driver fits in an hour, which gives about 41,700 drivers</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Write the formula: drivers online equal trips to serve in an hour, over trips one online driver completes in an hour, times a buffer for the busiest half hour</w:t>
            </w:r>
          </w:p>
          <w:p>
            <w:pPr>
              <w:keepNext/>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Work it aloud: about 8,330 evening trips an hour over 1.68 trips per online driver-hour is about 4,960, and 15 percent more for the busiest half hour is about 5,700</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Check four sources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Before the review, a colleague lines up four published numbers to check estimates against. Which checks are sound?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UPI, September 2026: 24.07 billion transactions over the month's 30 days, 802 million a day, set against an estimate of payments a day</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Flipkart, 9 October 2026: 63 million concurrent users in a minute, as the page's web address reads, set against a capacity estimate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DMart, FY26: Rs 66,968 crore of revenue over the average of 415 stores at the year's start and 500 at its end, about Rs 146 crore a store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city of two million people, invented for a drill, taken to hold eight million households at four people to a household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2B</w:t>
            </w:r>
            <w:r>
              <w:rPr>
                <w:rFonts w:ascii="Arial" w:cs="Arial" w:eastAsia="Arial" w:hAnsi="Arial"/>
                <w:i/>
                <w:iCs/>
                <w:color w:val="6B675E"/>
                <w:sz w:val="18"/>
                <w:szCs w:val="18"/>
              </w:rPr>
              <w:t xml:space="preserve">   Delhi Metro's two published counts, each in the words its source uses, checked 13 October 2026.</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2468"/>
              <w:gridCol w:w="878"/>
              <w:gridCol w:w="2901"/>
              <w:gridCol w:w="3551"/>
            </w:tblGrid>
            <w:tr>
              <w:trPr>
                <w:cantSplit/>
                <w:tblHeader/>
              </w:trPr>
              <w:tc>
                <w:tcPr>
                  <w:tcW w:type="dxa" w:w="246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Count</w:t>
                  </w:r>
                </w:p>
              </w:tc>
              <w:tc>
                <w:tcPr>
                  <w:tcW w:type="dxa" w:w="87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Value</w:t>
                  </w:r>
                </w:p>
              </w:tc>
              <w:tc>
                <w:tcPr>
                  <w:tcW w:type="dxa" w:w="290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When</w:t>
                  </w:r>
                </w:p>
              </w:tc>
              <w:tc>
                <w:tcPr>
                  <w:tcW w:type="dxa" w:w="355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Source</w:t>
                  </w:r>
                </w:p>
              </w:tc>
            </w:tr>
            <w:tr>
              <w:trPr>
                <w:cantSplit/>
              </w:trPr>
              <w:tc>
                <w:tcPr>
                  <w:tcW w:type="dxa" w:w="246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Average daily passenger journeys</w:t>
                  </w:r>
                </w:p>
              </w:tc>
              <w:tc>
                <w:tcPr>
                  <w:tcW w:type="dxa" w:w="87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64.06 lakh</w:t>
                  </w:r>
                </w:p>
              </w:tc>
              <w:tc>
                <w:tcPr>
                  <w:tcW w:type="dxa" w:w="290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 all days</w:t>
                  </w:r>
                </w:p>
              </w:tc>
              <w:tc>
                <w:tcPr>
                  <w:tcW w:type="dxa" w:w="355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Tribune, 9 August 2026, citing DMRC</w:t>
                  </w:r>
                </w:p>
              </w:tc>
            </w:tr>
            <w:tr>
              <w:trPr>
                <w:cantSplit/>
              </w:trPr>
              <w:tc>
                <w:tcPr>
                  <w:tcW w:type="dxa" w:w="246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Passenger boardings</w:t>
                  </w:r>
                </w:p>
              </w:tc>
              <w:tc>
                <w:tcPr>
                  <w:tcW w:type="dxa" w:w="87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82,44,903</w:t>
                  </w:r>
                </w:p>
              </w:tc>
              <w:tc>
                <w:tcPr>
                  <w:tcW w:type="dxa" w:w="290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17 September 2026, during a bus strike</w:t>
                  </w:r>
                </w:p>
              </w:tc>
              <w:tc>
                <w:tcPr>
                  <w:tcW w:type="dxa" w:w="355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Republic World, 18 September 2026, quoting DMRC</w:t>
                  </w:r>
                </w:p>
              </w:tc>
            </w:tr>
          </w:tbl>
          <w:p>
            <w:pPr>
              <w:keepNext/>
              <w:spacing w:after="140" w:before="0"/>
            </w:pPr>
          </w:p>
          <w:p>
            <w:pPr>
              <w:keepNext/>
              <w:spacing w:after="60" w:before="60" w:line="276"/>
            </w:pPr>
            <w:r>
              <w:rPr>
                <w:rFonts w:ascii="Arial" w:cs="Arial" w:eastAsia="Arial" w:hAnsi="Arial"/>
                <w:b/>
                <w:bCs/>
                <w:color w:val="B37A33"/>
                <w:sz w:val="22"/>
                <w:szCs w:val="22"/>
              </w:rPr>
              <w:t xml:space="preserve">Q14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the metro counts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 pair's chain puts Delhi Metro at about 60 lakh rider trips on a weekday, each trip counted once from the gate where the rider enters to the gate where they leave (invented). They set it against Exhibit 2B, call their estimate 6 to 27 percent low, and raise it. Which reading of the check is right?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Trips are set against line uses: DMRC counts a journey for each line a rider uses, so 64.06 lakh exceeds the trips, and 17 September was a record day.</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estimate is 6 percent low on an ordinary day and 27 percent low at the city's true peak, so the pair should raise the whole chain by about a fifth.</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boarding is one rider entering at one gate, so the 82,44,903 boardings are the count to set trips against, since journeys count each change of line.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check is sound, since DMRC's average day and its record day bracket the estimate between 64.06 lakh and 82.45 lakh trips.</w:t>
            </w:r>
          </w:p>
        </w:tc>
      </w:tr>
    </w:tbl>
    <w:p>
      <w:pPr>
        <w:keepNext/>
        <w:pBdr>
          <w:bottom w:val="single" w:color="B37A33" w:sz="6" w:space="4"/>
        </w:pBdr>
        <w:spacing w:after="120" w:before="280"/>
      </w:pPr>
      <w:r>
        <w:rPr>
          <w:rFonts w:ascii="Georgia" w:cs="Georgia" w:eastAsia="Georgia" w:hAnsi="Georgia"/>
          <w:color w:val="B37A33"/>
          <w:sz w:val="30"/>
          <w:szCs w:val="30"/>
        </w:rPr>
        <w:t xml:space="preserve">Part 3. Which pairs beat chance, and what is a slot worth?</w:t>
      </w:r>
    </w:p>
    <w:p>
      <w:pPr>
        <w:keepNext/>
        <w:spacing w:after="160" w:line="276"/>
      </w:pPr>
      <w:r>
        <w:rPr>
          <w:rFonts w:ascii="Arial" w:cs="Arial" w:eastAsia="Arial" w:hAnsi="Arial"/>
          <w:color w:val="6B675E"/>
          <w:sz w:val="19"/>
          <w:szCs w:val="19"/>
        </w:rPr>
        <w:t xml:space="preserve">7 items, Q15 to Q21, about 21.5 minutes. What it shows: whether you can tell a pair that beats chance from one that rides a popular item, and put a slot's value in margin.</w:t>
      </w:r>
    </w:p>
    <w:p>
      <w:pPr>
        <w:keepNext/>
        <w:spacing w:after="140" w:line="276"/>
      </w:pPr>
      <w:r>
        <w:rPr>
          <w:rFonts w:ascii="Arial" w:cs="Arial" w:eastAsia="Arial" w:hAnsi="Arial"/>
          <w:color w:val="1C1B16"/>
          <w:sz w:val="21"/>
          <w:szCs w:val="21"/>
        </w:rPr>
        <w:t xml:space="preserve">Swiggy Instamart's cart page in Pune shows a strip of three suggested items under the cart. Until 6 September 2026 the strip was a curated list by category; from Monday 7 September it ranked items by how often they sit in the same cart as the items already in it, counted over the previous four weeks. Toned milk is in 71 percent of Pune carts, so it now appears beside nearly everything, and the strip's click-through, clicks over impressions, fell from 6.1 percent in the three weeks before the switch to 3.8 percent in the three weeks after. The category manager and the growth lead want the pairs the strip should show and a rupee value on a slot. Illustrative case: the company is real, the situation and the data are synthetic, built for this class. In the lab Kalpa Retail's merchandising team wanted every product paired with the Rs 199 phone charger, "because it is in 80 percent of baskets".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3A</w:t>
            </w:r>
            <w:r>
              <w:rPr>
                <w:rFonts w:ascii="Arial" w:cs="Arial" w:eastAsia="Arial" w:hAnsi="Arial"/>
                <w:i/>
                <w:iCs/>
                <w:color w:val="6B675E"/>
                <w:sz w:val="18"/>
                <w:szCs w:val="18"/>
              </w:rPr>
              <w:t xml:space="preserve">   Swiggy Instamart, Pune: the ticket's headline numbers.</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4700"/>
              <w:gridCol w:w="5099"/>
            </w:tblGrid>
            <w:tr>
              <w:trPr>
                <w:cantSplit/>
                <w:tblHeader/>
              </w:trPr>
              <w:tc>
                <w:tcPr>
                  <w:tcW w:type="dxa" w:w="4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Measure</w:t>
                  </w:r>
                </w:p>
              </w:tc>
              <w:tc>
                <w:tcPr>
                  <w:tcW w:type="dxa" w:w="509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Value</w:t>
                  </w:r>
                </w:p>
              </w:tc>
            </w:tr>
            <w:tr>
              <w:trPr>
                <w:cantSplit/>
              </w:trPr>
              <w:tc>
                <w:tcPr>
                  <w:tcW w:type="dxa" w:w="4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Carts in the September sample</w:t>
                  </w:r>
                </w:p>
              </w:tc>
              <w:tc>
                <w:tcPr>
                  <w:tcW w:type="dxa" w:w="509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40,000 carts from 12,000 customers in eight zones</w:t>
                  </w:r>
                </w:p>
              </w:tc>
            </w:tr>
            <w:tr>
              <w:trPr>
                <w:cantSplit/>
              </w:trPr>
              <w:tc>
                <w:tcPr>
                  <w:tcW w:type="dxa" w:w="4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Carts holding toned milk</w:t>
                  </w:r>
                </w:p>
              </w:tc>
              <w:tc>
                <w:tcPr>
                  <w:tcW w:type="dxa" w:w="509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71 percent</w:t>
                  </w:r>
                </w:p>
              </w:tc>
            </w:tr>
            <w:tr>
              <w:trPr>
                <w:cantSplit/>
              </w:trPr>
              <w:tc>
                <w:tcPr>
                  <w:tcW w:type="dxa" w:w="4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Strip click-through, 17 August to 6 September</w:t>
                  </w:r>
                </w:p>
              </w:tc>
              <w:tc>
                <w:tcPr>
                  <w:tcW w:type="dxa" w:w="509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6.1 percent</w:t>
                  </w:r>
                </w:p>
              </w:tc>
            </w:tr>
            <w:tr>
              <w:trPr>
                <w:cantSplit/>
              </w:trPr>
              <w:tc>
                <w:tcPr>
                  <w:tcW w:type="dxa" w:w="4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Strip click-through, 7 to 27 September</w:t>
                  </w:r>
                </w:p>
              </w:tc>
              <w:tc>
                <w:tcPr>
                  <w:tcW w:type="dxa" w:w="509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3.8 percent</w:t>
                  </w:r>
                </w:p>
              </w:tc>
            </w:tr>
          </w:tbl>
          <w:p>
            <w:pPr>
              <w:keepNext/>
              <w:spacing w:after="140" w:before="0"/>
            </w:pPr>
          </w:p>
          <w:p>
            <w:pPr>
              <w:keepNext/>
              <w:spacing w:after="80" w:before="80"/>
            </w:pPr>
            <w:r>
              <w:rPr>
                <w:rFonts w:ascii="Arial" w:cs="Arial" w:eastAsia="Arial" w:hAnsi="Arial"/>
                <w:b/>
                <w:bCs/>
                <w:color w:val="B37A33"/>
                <w:sz w:val="19"/>
                <w:szCs w:val="19"/>
              </w:rPr>
              <w:t xml:space="preserve">Exhibit 3B</w:t>
            </w:r>
            <w:r>
              <w:rPr>
                <w:rFonts w:ascii="Arial" w:cs="Arial" w:eastAsia="Arial" w:hAnsi="Arial"/>
                <w:i/>
                <w:iCs/>
                <w:color w:val="6B675E"/>
                <w:sz w:val="18"/>
                <w:szCs w:val="18"/>
              </w:rPr>
              <w:t xml:space="preserve">   Click-through by slot on the strip, the three weeks before the switch on 7 September 2026 and the three weeks after. Before the switch, milk was suggested only in slot 3, on 2 percent of the strip's impressions.</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667"/>
              <w:gridCol w:w="2821"/>
              <w:gridCol w:w="1804"/>
              <w:gridCol w:w="2283"/>
              <w:gridCol w:w="2223"/>
            </w:tblGrid>
            <w:tr>
              <w:trPr>
                <w:cantSplit/>
                <w:tblHeader/>
              </w:trPr>
              <w:tc>
                <w:tcPr>
                  <w:tcW w:type="dxa" w:w="66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Slot</w:t>
                  </w:r>
                </w:p>
              </w:tc>
              <w:tc>
                <w:tcPr>
                  <w:tcW w:type="dxa" w:w="282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Milk's share of the slot's impressions, after</w:t>
                  </w:r>
                </w:p>
              </w:tc>
              <w:tc>
                <w:tcPr>
                  <w:tcW w:type="dxa" w:w="180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Click-through on milk, after</w:t>
                  </w:r>
                </w:p>
              </w:tc>
              <w:tc>
                <w:tcPr>
                  <w:tcW w:type="dxa" w:w="228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Click-through on other items, before</w:t>
                  </w:r>
                </w:p>
              </w:tc>
              <w:tc>
                <w:tcPr>
                  <w:tcW w:type="dxa" w:w="222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Click-through on other items, after</w:t>
                  </w:r>
                </w:p>
              </w:tc>
            </w:tr>
            <w:tr>
              <w:trPr>
                <w:cantSplit/>
              </w:trPr>
              <w:tc>
                <w:tcPr>
                  <w:tcW w:type="dxa" w:w="66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Slot 1</w:t>
                  </w:r>
                </w:p>
              </w:tc>
              <w:tc>
                <w:tcPr>
                  <w:tcW w:type="dxa" w:w="28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70 percent</w:t>
                  </w:r>
                </w:p>
              </w:tc>
              <w:tc>
                <w:tcPr>
                  <w:tcW w:type="dxa" w:w="180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1.4 percent</w:t>
                  </w:r>
                </w:p>
              </w:tc>
              <w:tc>
                <w:tcPr>
                  <w:tcW w:type="dxa" w:w="228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7.5 percent</w:t>
                  </w:r>
                </w:p>
              </w:tc>
              <w:tc>
                <w:tcPr>
                  <w:tcW w:type="dxa" w:w="22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8.2 percent</w:t>
                  </w:r>
                </w:p>
              </w:tc>
            </w:tr>
            <w:tr>
              <w:trPr>
                <w:cantSplit/>
              </w:trPr>
              <w:tc>
                <w:tcPr>
                  <w:tcW w:type="dxa" w:w="66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Slot 2</w:t>
                  </w:r>
                </w:p>
              </w:tc>
              <w:tc>
                <w:tcPr>
                  <w:tcW w:type="dxa" w:w="28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50 percent</w:t>
                  </w:r>
                </w:p>
              </w:tc>
              <w:tc>
                <w:tcPr>
                  <w:tcW w:type="dxa" w:w="180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1.1 percent</w:t>
                  </w:r>
                </w:p>
              </w:tc>
              <w:tc>
                <w:tcPr>
                  <w:tcW w:type="dxa" w:w="228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6.1 percent</w:t>
                  </w:r>
                </w:p>
              </w:tc>
              <w:tc>
                <w:tcPr>
                  <w:tcW w:type="dxa" w:w="22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6.8 percent</w:t>
                  </w:r>
                </w:p>
              </w:tc>
            </w:tr>
            <w:tr>
              <w:trPr>
                <w:cantSplit/>
              </w:trPr>
              <w:tc>
                <w:tcPr>
                  <w:tcW w:type="dxa" w:w="66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Slot 3</w:t>
                  </w:r>
                </w:p>
              </w:tc>
              <w:tc>
                <w:tcPr>
                  <w:tcW w:type="dxa" w:w="28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30 percent</w:t>
                  </w:r>
                </w:p>
              </w:tc>
              <w:tc>
                <w:tcPr>
                  <w:tcW w:type="dxa" w:w="180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0.9 percent</w:t>
                  </w:r>
                </w:p>
              </w:tc>
              <w:tc>
                <w:tcPr>
                  <w:tcW w:type="dxa" w:w="228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4.9 percent</w:t>
                  </w:r>
                </w:p>
              </w:tc>
              <w:tc>
                <w:tcPr>
                  <w:tcW w:type="dxa" w:w="22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5.4 percent</w:t>
                  </w:r>
                </w:p>
              </w:tc>
            </w:tr>
            <w:tr>
              <w:trPr>
                <w:cantSplit/>
              </w:trPr>
              <w:tc>
                <w:tcPr>
                  <w:tcW w:type="dxa" w:w="66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strip</w:t>
                  </w:r>
                </w:p>
              </w:tc>
              <w:tc>
                <w:tcPr>
                  <w:tcW w:type="dxa" w:w="28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50 percent, from 2 before</w:t>
                  </w:r>
                </w:p>
              </w:tc>
              <w:tc>
                <w:tcPr>
                  <w:tcW w:type="dxa" w:w="180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 percent, 1.2 before</w:t>
                  </w:r>
                </w:p>
              </w:tc>
              <w:tc>
                <w:tcPr>
                  <w:tcW w:type="dxa" w:w="228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6.2 percent</w:t>
                  </w:r>
                </w:p>
              </w:tc>
              <w:tc>
                <w:tcPr>
                  <w:tcW w:type="dxa" w:w="22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6.4 percent</w:t>
                  </w:r>
                </w:p>
              </w:tc>
            </w:tr>
          </w:tbl>
          <w:p>
            <w:pPr>
              <w:keepNext/>
              <w:spacing w:after="140" w:before="0"/>
            </w:pPr>
          </w:p>
          <w:p>
            <w:pPr>
              <w:keepNext/>
              <w:spacing w:after="60" w:before="60" w:line="276"/>
            </w:pPr>
            <w:r>
              <w:rPr>
                <w:rFonts w:ascii="Arial" w:cs="Arial" w:eastAsia="Arial" w:hAnsi="Arial"/>
                <w:b/>
                <w:bCs/>
                <w:color w:val="B37A33"/>
                <w:sz w:val="22"/>
                <w:szCs w:val="22"/>
              </w:rPr>
              <w:t xml:space="preserve">Q15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the strip by slot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growth lead's draft for the category manager reads: "Shoppers clicked the strip less after the monsoon, so the strip needs a redesign." Using Exhibit 3B, which reading holds?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Shoppers' habits changed after the monsoon: the strip's click-through fell from 6.1 to 3.8 percent, and every slot shows the same fall.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No row clicks less than before; the fall is milk's share of impressions, and slot 1, with milk on 70 percent of them, loses most.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Slot 3 is the weak slot: its click-through on other items is the lowest of the three, so the strip should drop to two slots.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Milk's own click-through collapsed after the switch, so toned milk should leave the strip and the curated list should come back.</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3C</w:t>
            </w:r>
            <w:r>
              <w:rPr>
                <w:rFonts w:ascii="Arial" w:cs="Arial" w:eastAsia="Arial" w:hAnsi="Arial"/>
                <w:i/>
                <w:iCs/>
                <w:color w:val="6B675E"/>
                <w:sz w:val="18"/>
                <w:szCs w:val="18"/>
              </w:rPr>
              <w:t xml:space="preserve">   Two pairs in September 2026's 40,000 Pune carts from 12,000 customers. The top tenth of customers, 1,200 of them, place 38 percent of all carts and 73 percent of the carts that hold chips and cold drink together.</w:t>
            </w:r>
          </w:p>
          <w:tbl>
            <w:tblPr>
              <w:tblW w:type="dxa" w:w="9797"/>
              <w:tblBorders>
                <w:top w:val="single" w:color="D5D0C4" w:sz="4"/>
                <w:left w:val="single" w:color="D5D0C4" w:sz="4"/>
                <w:bottom w:val="single" w:color="D5D0C4" w:sz="4"/>
                <w:right w:val="single" w:color="D5D0C4" w:sz="4"/>
                <w:insideH w:val="single" w:color="D5D0C4" w:sz="4"/>
                <w:insideV w:val="single" w:color="D5D0C4" w:sz="4"/>
              </w:tblBorders>
            </w:tblPr>
            <w:tblGrid>
              <w:gridCol w:w="1125"/>
              <w:gridCol w:w="1379"/>
              <w:gridCol w:w="1430"/>
              <w:gridCol w:w="871"/>
              <w:gridCol w:w="2547"/>
              <w:gridCol w:w="2445"/>
            </w:tblGrid>
            <w:tr>
              <w:trPr>
                <w:cantSplit/>
                <w:tblHeader/>
              </w:trPr>
              <w:tc>
                <w:tcPr>
                  <w:tcW w:type="dxa" w:w="112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Pair</w:t>
                  </w:r>
                </w:p>
              </w:tc>
              <w:tc>
                <w:tcPr>
                  <w:tcW w:type="dxa" w:w="137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Carts with the first item</w:t>
                  </w:r>
                </w:p>
              </w:tc>
              <w:tc>
                <w:tcPr>
                  <w:tcW w:type="dxa" w:w="143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Carts with the second item</w:t>
                  </w:r>
                </w:p>
              </w:tc>
              <w:tc>
                <w:tcPr>
                  <w:tcW w:type="dxa" w:w="87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Carts with both</w:t>
                  </w:r>
                </w:p>
              </w:tc>
              <w:tc>
                <w:tcPr>
                  <w:tcW w:type="dxa" w:w="254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Lift with chance counted within each cart's size</w:t>
                  </w:r>
                </w:p>
              </w:tc>
              <w:tc>
                <w:tcPr>
                  <w:tcW w:type="dxa" w:w="244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The same, with each customer also counted once</w:t>
                  </w:r>
                </w:p>
              </w:tc>
            </w:tr>
            <w:tr>
              <w:trPr>
                <w:cantSplit/>
              </w:trPr>
              <w:tc>
                <w:tcPr>
                  <w:tcW w:type="dxa" w:w="1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Chips and cold drink</w:t>
                  </w:r>
                </w:p>
              </w:tc>
              <w:tc>
                <w:tcPr>
                  <w:tcW w:type="dxa" w:w="137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4,800</w:t>
                  </w:r>
                </w:p>
              </w:tc>
              <w:tc>
                <w:tcPr>
                  <w:tcW w:type="dxa" w:w="14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4,920</w:t>
                  </w:r>
                </w:p>
              </w:tc>
              <w:tc>
                <w:tcPr>
                  <w:tcW w:type="dxa" w:w="87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2,000</w:t>
                  </w:r>
                </w:p>
              </w:tc>
              <w:tc>
                <w:tcPr>
                  <w:tcW w:type="dxa" w:w="25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2.48</w:t>
                  </w:r>
                </w:p>
              </w:tc>
              <w:tc>
                <w:tcPr>
                  <w:tcW w:type="dxa" w:w="244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1.95</w:t>
                  </w:r>
                </w:p>
              </w:tc>
            </w:tr>
            <w:tr>
              <w:trPr>
                <w:cantSplit/>
              </w:trPr>
              <w:tc>
                <w:tcPr>
                  <w:tcW w:type="dxa" w:w="1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Onions and tomatoes</w:t>
                  </w:r>
                </w:p>
              </w:tc>
              <w:tc>
                <w:tcPr>
                  <w:tcW w:type="dxa" w:w="137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8,800</w:t>
                  </w:r>
                </w:p>
              </w:tc>
              <w:tc>
                <w:tcPr>
                  <w:tcW w:type="dxa" w:w="14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8,000</w:t>
                  </w:r>
                </w:p>
              </w:tc>
              <w:tc>
                <w:tcPr>
                  <w:tcW w:type="dxa" w:w="87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3,000</w:t>
                  </w:r>
                </w:p>
              </w:tc>
              <w:tc>
                <w:tcPr>
                  <w:tcW w:type="dxa" w:w="25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1.38</w:t>
                  </w:r>
                </w:p>
              </w:tc>
              <w:tc>
                <w:tcPr>
                  <w:tcW w:type="dxa" w:w="244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1.38</w:t>
                  </w:r>
                </w:p>
              </w:tc>
            </w:tr>
          </w:tbl>
          <w:p>
            <w:pPr>
              <w:keepNext/>
              <w:spacing w:after="140" w:before="0"/>
            </w:pPr>
          </w:p>
          <w:p>
            <w:pPr>
              <w:keepNext/>
              <w:spacing w:after="60" w:before="60" w:line="276"/>
            </w:pPr>
            <w:r>
              <w:rPr>
                <w:rFonts w:ascii="Arial" w:cs="Arial" w:eastAsia="Arial" w:hAnsi="Arial"/>
                <w:b/>
                <w:bCs/>
                <w:color w:val="B37A33"/>
                <w:sz w:val="22"/>
                <w:szCs w:val="22"/>
              </w:rPr>
              <w:t xml:space="preserve">Q16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Allow for heavy buyers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strip gives a slot only to a pair with a lift of at least 1.5, above a support floor of 1 percent of carts. Exhibit 3C holds two pairs' counts and their lifts recomputed for cart size and for heavy buyers. Which pairs keep a slot?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Both: per cart they read 3.39 and 1.70, both above 1.5 and above the floor, and the recomputed lifts only restate the same carts.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Neither: 73 percent of the chips-and-cold-drink carts come from a tenth of the customers, so its lift belongs to a few heavy buyers.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Chips and cold drink only: it holds 1.95 after both corrections, while onions and tomatoes falls from 1.70 to 1.38.</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Onions and tomatoes only: its lift moved least when recomputed, from 1.70 to 1.38, so it is the steadier pair to give the slot.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1.  The case</w:t>
            </w:r>
          </w:p>
          <w:p>
            <w:pPr>
              <w:keepNext/>
              <w:spacing w:after="100" w:line="276"/>
            </w:pPr>
            <w:r>
              <w:rPr>
                <w:rFonts w:ascii="Arial" w:cs="Arial" w:eastAsia="Arial" w:hAnsi="Arial"/>
                <w:color w:val="1C1B16"/>
                <w:sz w:val="21"/>
                <w:szCs w:val="21"/>
              </w:rPr>
              <w:t xml:space="preserve">A round sample of 1,000 Kalpa consumer baskets, with Business orders left out (illustrative counts): the phone charger is in 850 of them, a phone case is in 200, and both are in 165.</w:t>
            </w:r>
          </w:p>
          <w:p>
            <w:pPr>
              <w:keepNext/>
              <w:spacing w:after="80" w:before="80"/>
            </w:pPr>
            <w:r>
              <w:rPr>
                <w:rFonts w:ascii="Arial" w:cs="Arial" w:eastAsia="Arial" w:hAnsi="Arial"/>
                <w:b/>
                <w:bCs/>
                <w:color w:val="B37A33"/>
                <w:sz w:val="19"/>
                <w:szCs w:val="19"/>
              </w:rPr>
              <w:t xml:space="preserve">Exhibit 3D</w:t>
            </w:r>
            <w:r>
              <w:rPr>
                <w:rFonts w:ascii="Arial" w:cs="Arial" w:eastAsia="Arial" w:hAnsi="Arial"/>
                <w:i/>
                <w:iCs/>
                <w:color w:val="6B675E"/>
                <w:sz w:val="18"/>
                <w:szCs w:val="18"/>
              </w:rPr>
              <w:t xml:space="preserve">   Set 1's round counts, as the situation gives them.</w:t>
            </w:r>
          </w:p>
          <w:tbl>
            <w:tblPr>
              <w:tblW w:type="dxa" w:w="5440"/>
              <w:tblBorders>
                <w:top w:val="single" w:color="D5D0C4" w:sz="4"/>
                <w:left w:val="single" w:color="D5D0C4" w:sz="4"/>
                <w:bottom w:val="single" w:color="D5D0C4" w:sz="4"/>
                <w:right w:val="single" w:color="D5D0C4" w:sz="4"/>
                <w:insideH w:val="single" w:color="D5D0C4" w:sz="4"/>
                <w:insideV w:val="single" w:color="D5D0C4" w:sz="4"/>
              </w:tblBorders>
            </w:tblPr>
            <w:tblGrid>
              <w:gridCol w:w="4340"/>
              <w:gridCol w:w="1100"/>
            </w:tblGrid>
            <w:tr>
              <w:trPr>
                <w:cantSplit/>
                <w:tblHeader/>
              </w:trPr>
              <w:tc>
                <w:tcPr>
                  <w:tcW w:type="dxa" w:w="4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Baskets</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Count</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 consumer baskets in the sample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With the phone charger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850</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With a phone case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With both</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165</w:t>
                  </w:r>
                </w:p>
              </w:tc>
            </w:tr>
          </w:tbl>
          <w:p>
            <w:pPr>
              <w:keepNext/>
              <w:spacing w:after="140" w:before="0"/>
            </w:pPr>
          </w:p>
          <w:p>
            <w:pPr>
              <w:keepNext/>
              <w:spacing w:after="60" w:before="60" w:line="276"/>
            </w:pPr>
            <w:r>
              <w:rPr>
                <w:rFonts w:ascii="Arial" w:cs="Arial" w:eastAsia="Arial" w:hAnsi="Arial"/>
                <w:b/>
                <w:bCs/>
                <w:color w:val="B37A33"/>
                <w:sz w:val="22"/>
                <w:szCs w:val="22"/>
              </w:rPr>
              <w:t xml:space="preserve">Q17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Compute the confidence</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The confidence of 'case, then charger' is ____ (three decimals).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Compute the lift</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The lift of the pair is ____ (two decimals).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Make the call to merchandising</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do you tell merchandising about bundling the case with the charger?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Promote it, since more than 80 percent of the case buyers also put a charger into the same basket as the case.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Collect another quarter of baskets first, since 1,000 baskets cannot support any lift at all.</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Drop it: the lift is below 1, so case buyers take a charger slightly less often than shoppers in general.</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Promote it at a deeper discount, since the pairing is already the strongest one in the data.</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3E</w:t>
            </w:r>
            <w:r>
              <w:rPr>
                <w:rFonts w:ascii="Arial" w:cs="Arial" w:eastAsia="Arial" w:hAnsi="Arial"/>
                <w:i/>
                <w:iCs/>
                <w:color w:val="6B675E"/>
                <w:sz w:val="18"/>
                <w:szCs w:val="18"/>
              </w:rPr>
              <w:t xml:space="preserve">   Two pairs with a high lift. Ice cream is in 4 percent of Pune carts.</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3014"/>
              <w:gridCol w:w="3832"/>
              <w:gridCol w:w="1287"/>
              <w:gridCol w:w="833"/>
              <w:gridCol w:w="833"/>
            </w:tblGrid>
            <w:tr>
              <w:trPr>
                <w:cantSplit/>
                <w:tblHeader/>
              </w:trPr>
              <w:tc>
                <w:tcPr>
                  <w:tcW w:type="dxa" w:w="301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Pair</w:t>
                  </w:r>
                </w:p>
              </w:tc>
              <w:tc>
                <w:tcPr>
                  <w:tcW w:type="dxa" w:w="383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Where</w:t>
                  </w:r>
                </w:p>
              </w:tc>
              <w:tc>
                <w:tcPr>
                  <w:tcW w:type="dxa" w:w="128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Holding both</w:t>
                  </w:r>
                </w:p>
              </w:tc>
              <w:tc>
                <w:tcPr>
                  <w:tcW w:type="dxa" w:w="83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Out of</w:t>
                  </w:r>
                </w:p>
              </w:tc>
              <w:tc>
                <w:tcPr>
                  <w:tcW w:type="dxa" w:w="83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Lift</w:t>
                  </w:r>
                </w:p>
              </w:tc>
            </w:tr>
            <w:tr>
              <w:trPr>
                <w:cantSplit/>
              </w:trPr>
              <w:tc>
                <w:tcPr>
                  <w:tcW w:type="dxa" w:w="301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Car phone mount and car charger</w:t>
                  </w:r>
                </w:p>
              </w:tc>
              <w:tc>
                <w:tcPr>
                  <w:tcW w:type="dxa" w:w="383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Kalpa Retail, the lab's consumer baskets</w:t>
                  </w:r>
                </w:p>
              </w:tc>
              <w:tc>
                <w:tcPr>
                  <w:tcW w:type="dxa" w:w="12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 baskets</w:t>
                  </w:r>
                </w:p>
              </w:tc>
              <w:tc>
                <w:tcPr>
                  <w:tcW w:type="dxa" w:w="83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812</w:t>
                  </w:r>
                </w:p>
              </w:tc>
              <w:tc>
                <w:tcPr>
                  <w:tcW w:type="dxa" w:w="83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w:t>
                  </w:r>
                </w:p>
              </w:tc>
            </w:tr>
            <w:tr>
              <w:trPr>
                <w:cantSplit/>
              </w:trPr>
              <w:tc>
                <w:tcPr>
                  <w:tcW w:type="dxa" w:w="301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Ice cream and chocolate sauce</w:t>
                  </w:r>
                </w:p>
              </w:tc>
              <w:tc>
                <w:tcPr>
                  <w:tcW w:type="dxa" w:w="383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Swiggy Instamart, Pune, September</w:t>
                  </w:r>
                </w:p>
              </w:tc>
              <w:tc>
                <w:tcPr>
                  <w:tcW w:type="dxa" w:w="12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100 carts</w:t>
                  </w:r>
                </w:p>
              </w:tc>
              <w:tc>
                <w:tcPr>
                  <w:tcW w:type="dxa" w:w="83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40,000</w:t>
                  </w:r>
                </w:p>
              </w:tc>
              <w:tc>
                <w:tcPr>
                  <w:tcW w:type="dxa" w:w="83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4.6</w:t>
                  </w:r>
                </w:p>
              </w:tc>
            </w:tr>
          </w:tbl>
          <w:p>
            <w:pPr>
              <w:keepNext/>
              <w:spacing w:after="140" w:before="0"/>
            </w:pPr>
          </w:p>
          <w:p>
            <w:pPr>
              <w:keepNext/>
              <w:spacing w:after="60" w:before="60" w:line="276"/>
            </w:pPr>
            <w:r>
              <w:rPr>
                <w:rFonts w:ascii="Arial" w:cs="Arial" w:eastAsia="Arial" w:hAnsi="Arial"/>
                <w:b/>
                <w:bCs/>
                <w:color w:val="B37A33"/>
                <w:sz w:val="22"/>
                <w:szCs w:val="22"/>
              </w:rPr>
              <w:t xml:space="preserve">Q20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two thin pairs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Statement: a pair with a lift of about 4 and a support of about 0.25 percent belongs on a watch list before it belongs in a campaign. Judge it on both pairs in Exhibit 3E.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Kalpa's pair rests on 2 baskets, where one basket moves its lift by half, and Instamart's real 100 carts sit beside ice cream alone.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both pairs have the same support of 0.25 percent, so both are equally doubtful, and both should be dropped from the strip and from Kalpa's plan.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a lift of 4 is four times what chance gives, and a lift that far above 1 earns a campaign slot whatever the pair's support turns out to be.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Instamart's 100 carts are enough to act on, so its pair goes straight into the strip while Kalpa's pair waits for more baskets to arrive.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Price the bundle slot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Swiggy's shareholder letter for April to June 2025 describes Maxxsaver, a discount unlocked once a cart passes a set size, as handing part of the larger basket's margin back to the user. A growth lead proposes a bundle slot on the same logic, with these invented numbers: 30,000 cart-page views a day; 5 percent of views click the slot; half the clicks add the item; the item sells for Rs 30 and earns Rs 10 of margin before a Rs 3 bundle discount; and half of the adds would have happened anyway, through search or habit. What is the slot worth a day?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Rs 22,500: the 750 adds a day at the item's Rs 30 price, the sales the slot rings up at the till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Rs 5,250: the 750 adds a day at the Rs 7 left after the discount, every add counted as new</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Rs 1,500: the 375 new adds' Rs 10 of margin, less the Rs 3 discount paid on all 750 adds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Rs 2,625: the 375 new adds at the Rs 7 left after the discount, paid on those adds alone</w:t>
            </w:r>
          </w:p>
        </w:tc>
      </w:tr>
    </w:tbl>
    <w:p>
      <w:pPr>
        <w:keepNext/>
        <w:pBdr>
          <w:bottom w:val="single" w:color="B37A33" w:sz="6" w:space="4"/>
        </w:pBdr>
        <w:spacing w:after="120" w:before="280"/>
      </w:pPr>
      <w:r>
        <w:rPr>
          <w:rFonts w:ascii="Georgia" w:cs="Georgia" w:eastAsia="Georgia" w:hAnsi="Georgia"/>
          <w:color w:val="B37A33"/>
          <w:sz w:val="30"/>
          <w:szCs w:val="30"/>
        </w:rPr>
        <w:t xml:space="preserve">Part 4. Where is the tier losing people?</w:t>
      </w:r>
    </w:p>
    <w:p>
      <w:pPr>
        <w:keepNext/>
        <w:spacing w:after="160" w:line="276"/>
      </w:pPr>
      <w:r>
        <w:rPr>
          <w:rFonts w:ascii="Arial" w:cs="Arial" w:eastAsia="Arial" w:hAnsi="Arial"/>
          <w:color w:val="6B675E"/>
          <w:sz w:val="19"/>
          <w:szCs w:val="19"/>
        </w:rPr>
        <w:t xml:space="preserve">7 items, Q22 to Q28, about 22.5 minutes. What it shows: whether you can separate a cohort problem from an everyone problem and find the step that changed, in the right unit.</w:t>
      </w:r>
    </w:p>
    <w:p>
      <w:pPr>
        <w:keepNext/>
        <w:spacing w:after="140" w:line="276"/>
      </w:pPr>
      <w:r>
        <w:rPr>
          <w:rFonts w:ascii="Arial" w:cs="Arial" w:eastAsia="Arial" w:hAnsi="Arial"/>
          <w:color w:val="1C1B16"/>
          <w:sz w:val="21"/>
          <w:szCs w:val="21"/>
        </w:rPr>
        <w:t xml:space="preserve">Zomato Gold's membership dashboard for Chennai reports month-two retention flat at 38 percent in June, July, August and September 2026: of the members two or more months past their signup month, the share who ordered in the month. Exhibit 4A gives each signup month's own month-one rate. The August cohort signed up in a sale week on a discounted first month. On Monday 14 September 2026 a new checkout flow shipped on Android. The membership lead asks whether it is a cohort problem or an everyone problem, which step of the order flow owns the loss, and what should be fixed first. Illustrative case: the company is real, the situation and the data are synthetic, built for this class. In the lab the head of Retail-Plus put the same questions about Kalpa Retail's tier.</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4A</w:t>
            </w:r>
            <w:r>
              <w:rPr>
                <w:rFonts w:ascii="Arial" w:cs="Arial" w:eastAsia="Arial" w:hAnsi="Arial"/>
                <w:i/>
                <w:iCs/>
                <w:color w:val="6B675E"/>
                <w:sz w:val="18"/>
                <w:szCs w:val="18"/>
              </w:rPr>
              <w:t xml:space="preserve">   Zomato Gold, Chennai: members by signup month in 2026, and the share who ordered in month one, the calendar month after signup. 53,089 members joined from January to September.</w:t>
            </w:r>
          </w:p>
          <w:tbl>
            <w:tblPr>
              <w:tblW w:type="dxa" w:w="5460"/>
              <w:tblBorders>
                <w:top w:val="single" w:color="D5D0C4" w:sz="4"/>
                <w:left w:val="single" w:color="D5D0C4" w:sz="4"/>
                <w:bottom w:val="single" w:color="D5D0C4" w:sz="4"/>
                <w:right w:val="single" w:color="D5D0C4" w:sz="4"/>
                <w:insideH w:val="single" w:color="D5D0C4" w:sz="4"/>
                <w:insideV w:val="single" w:color="D5D0C4" w:sz="4"/>
              </w:tblBorders>
            </w:tblPr>
            <w:tblGrid>
              <w:gridCol w:w="1700"/>
              <w:gridCol w:w="1100"/>
              <w:gridCol w:w="2660"/>
            </w:tblGrid>
            <w:tr>
              <w:trPr>
                <w:cantSplit/>
                <w:tblHeader/>
              </w:trPr>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Signup month</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Members</w:t>
                  </w:r>
                </w:p>
              </w:tc>
              <w:tc>
                <w:tcPr>
                  <w:tcW w:type="dxa" w:w="26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Ordered in month one</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January</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4,854</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58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February</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5,055</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56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March</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5,449</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55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April</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4,859</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53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May</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4,905</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52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June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4,821</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50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July</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5,057</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49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August</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13,000</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31 percent</w:t>
                  </w:r>
                </w:p>
              </w:tc>
            </w:tr>
          </w:tbl>
          <w:p>
            <w:pPr>
              <w:keepNext/>
              <w:spacing w:after="140" w:before="0"/>
            </w:pPr>
          </w:p>
          <w:p>
            <w:pPr>
              <w:keepNext/>
              <w:spacing w:after="60" w:before="120"/>
            </w:pPr>
            <w:r>
              <w:rPr>
                <w:rFonts w:ascii="Arial" w:cs="Arial" w:eastAsia="Arial" w:hAnsi="Arial"/>
                <w:b/>
                <w:bCs/>
                <w:color w:val="1C1B16"/>
                <w:sz w:val="22"/>
                <w:szCs w:val="22"/>
              </w:rPr>
              <w:t xml:space="preserve">Set 2.  The case</w:t>
            </w:r>
          </w:p>
          <w:p>
            <w:pPr>
              <w:keepNext/>
              <w:spacing w:after="100" w:line="276"/>
            </w:pPr>
            <w:r>
              <w:rPr>
                <w:rFonts w:ascii="Arial" w:cs="Arial" w:eastAsia="Arial" w:hAnsi="Arial"/>
                <w:color w:val="1C1B16"/>
                <w:sz w:val="21"/>
                <w:szCs w:val="21"/>
              </w:rPr>
              <w:t xml:space="preserve">In May, cohort A has 1,000 members at 50 percent retention and cohort B has 3,000 at 38 percent. In June, A retains 46 percent and B retains 35 percent, and a new cohort C of 2,000 members retains 47.5 percent.</w:t>
            </w:r>
          </w:p>
          <w:p>
            <w:pPr>
              <w:keepNext/>
              <w:spacing w:after="80" w:before="80"/>
            </w:pPr>
            <w:r>
              <w:rPr>
                <w:rFonts w:ascii="Arial" w:cs="Arial" w:eastAsia="Arial" w:hAnsi="Arial"/>
                <w:b/>
                <w:bCs/>
                <w:color w:val="B37A33"/>
                <w:sz w:val="19"/>
                <w:szCs w:val="19"/>
              </w:rPr>
              <w:t xml:space="preserve">Exhibit 4B</w:t>
            </w:r>
            <w:r>
              <w:rPr>
                <w:rFonts w:ascii="Arial" w:cs="Arial" w:eastAsia="Arial" w:hAnsi="Arial"/>
                <w:i/>
                <w:iCs/>
                <w:color w:val="6B675E"/>
                <w:sz w:val="18"/>
                <w:szCs w:val="18"/>
              </w:rPr>
              <w:t xml:space="preserve">   Set 2's three cohorts, as the situation gives them.</w:t>
            </w:r>
          </w:p>
          <w:tbl>
            <w:tblPr>
              <w:tblW w:type="dxa" w:w="668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100"/>
              <w:gridCol w:w="2180"/>
              <w:gridCol w:w="230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Cohort</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Members</w:t>
                  </w:r>
                </w:p>
              </w:tc>
              <w:tc>
                <w:tcPr>
                  <w:tcW w:type="dxa" w:w="21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Retention in May</w:t>
                  </w:r>
                </w:p>
              </w:tc>
              <w:tc>
                <w:tcPr>
                  <w:tcW w:type="dxa" w:w="2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Retention in June</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50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46 percent</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3,000</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38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35 percent</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2,000</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not yet joined</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47.5 percent</w:t>
                  </w:r>
                </w:p>
              </w:tc>
            </w:tr>
          </w:tbl>
          <w:p>
            <w:pPr>
              <w:keepNext/>
              <w:spacing w:after="140" w:before="0"/>
            </w:pPr>
          </w:p>
          <w:p>
            <w:pPr>
              <w:keepNext/>
              <w:spacing w:after="60" w:before="60" w:line="276"/>
            </w:pPr>
            <w:r>
              <w:rPr>
                <w:rFonts w:ascii="Arial" w:cs="Arial" w:eastAsia="Arial" w:hAnsi="Arial"/>
                <w:b/>
                <w:bCs/>
                <w:color w:val="B37A33"/>
                <w:sz w:val="22"/>
                <w:szCs w:val="22"/>
              </w:rPr>
              <w:t xml:space="preserve">Q22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Compute May's blend</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Blended retention in May is ____ percent.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Compute June's blend</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Blended retention in June is ____ percent.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the honest headline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is the honest headline?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Both existing cohorts declined, and a large new cohort in its strong first month hid it.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Retention improved, because the newest cohort retains better than the two before it.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Retention is stable at 41 percent in both months, so the membership plan needs no change this quarter.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data is inconsistent, because a blended rate cannot stay flat when cohorts move.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4C</w:t>
            </w:r>
            <w:r>
              <w:rPr>
                <w:rFonts w:ascii="Arial" w:cs="Arial" w:eastAsia="Arial" w:hAnsi="Arial"/>
                <w:i/>
                <w:iCs/>
                <w:color w:val="6B675E"/>
                <w:sz w:val="18"/>
                <w:szCs w:val="18"/>
              </w:rPr>
              <w:t xml:space="preserve">   Zomato Gold members in Chennai, September 2026: the order flow counted in sessions and in members. The home carousel opens a restaurant's menu without a search.</w:t>
            </w:r>
          </w:p>
          <w:tbl>
            <w:tblPr>
              <w:tblW w:type="dxa" w:w="7980"/>
              <w:tblBorders>
                <w:top w:val="single" w:color="D5D0C4" w:sz="4"/>
                <w:left w:val="single" w:color="D5D0C4" w:sz="4"/>
                <w:bottom w:val="single" w:color="D5D0C4" w:sz="4"/>
                <w:right w:val="single" w:color="D5D0C4" w:sz="4"/>
                <w:insideH w:val="single" w:color="D5D0C4" w:sz="4"/>
                <w:insideV w:val="single" w:color="D5D0C4" w:sz="4"/>
              </w:tblBorders>
            </w:tblPr>
            <w:tblGrid>
              <w:gridCol w:w="1940"/>
              <w:gridCol w:w="3140"/>
              <w:gridCol w:w="2900"/>
            </w:tblGrid>
            <w:tr>
              <w:trPr>
                <w:cantSplit/>
                <w:tblHeader/>
              </w:trPr>
              <w:tc>
                <w:tcPr>
                  <w:tcW w:type="dxa" w:w="19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Step</w:t>
                  </w:r>
                </w:p>
              </w:tc>
              <w:tc>
                <w:tcPr>
                  <w:tcW w:type="dxa" w:w="31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Sessions that reached it</w:t>
                  </w:r>
                </w:p>
              </w:tc>
              <w:tc>
                <w:tcPr>
                  <w:tcW w:type="dxa" w:w="2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Members who reached it</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Open</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194,211</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49,822</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Search</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131,974</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45,865</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Menu view</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155,729</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46,477</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Add to cart</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52,948</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28,351</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Checkout start</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42,358</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25,740</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Order placed</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27,212</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21,574</w:t>
                  </w:r>
                </w:p>
              </w:tc>
            </w:tr>
          </w:tbl>
          <w:p>
            <w:pPr>
              <w:keepNext/>
              <w:spacing w:after="140" w:before="0"/>
            </w:pPr>
          </w:p>
          <w:p>
            <w:pPr>
              <w:keepNext/>
              <w:spacing w:after="60" w:before="60" w:line="276"/>
            </w:pPr>
            <w:r>
              <w:rPr>
                <w:rFonts w:ascii="Arial" w:cs="Arial" w:eastAsia="Arial" w:hAnsi="Arial"/>
                <w:b/>
                <w:bCs/>
                <w:color w:val="B37A33"/>
                <w:sz w:val="22"/>
                <w:szCs w:val="22"/>
              </w:rPr>
              <w:t xml:space="preserve">Q25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the flow two ways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membership lead's chart for September reads "search to menu view: 118 percent" and "menu view to add-to-cart: 34 percent, the biggest loss". Exhibit 4C counts the same flow two ways. Which reading holds?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Menu view to add-to-cart is the loss: at 34 percent it is the lowest step of the flow, so the menu pages are the first thing to fix.</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Every step should be divided by the 194,211 sessions that opened the app, which puts search at 68, menu view at 80 and add-to-cart at 27 percent.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step above 100 percent means the event log counts menu views twice, so every count after search is suspect until the log is rebuilt.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Units are mixed and one step is an artefact: carousel menus skip search, so that step tops 100 percent; per member, menu to cart is 61 percent.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4D</w:t>
            </w:r>
            <w:r>
              <w:rPr>
                <w:rFonts w:ascii="Arial" w:cs="Arial" w:eastAsia="Arial" w:hAnsi="Arial"/>
                <w:i/>
                <w:iCs/>
                <w:color w:val="6B675E"/>
                <w:sz w:val="18"/>
                <w:szCs w:val="18"/>
              </w:rPr>
              <w:t xml:space="preserve">   Add-to-cart to order, per session, 1 August to 13 September 2026 against 14 to 30 September. Starting checkout held at 80 percent of carts on every platform; completing a started checkout went from 72.5 to 55 percent for Android members, 71 to 70 for iOS members and 65 to 64 for non-members on Android. Every Android session moved to the new checkout on 14 September.</w:t>
            </w:r>
          </w:p>
          <w:tbl>
            <w:tblPr>
              <w:tblW w:type="dxa" w:w="7640"/>
              <w:tblBorders>
                <w:top w:val="single" w:color="D5D0C4" w:sz="4"/>
                <w:left w:val="single" w:color="D5D0C4" w:sz="4"/>
                <w:bottom w:val="single" w:color="D5D0C4" w:sz="4"/>
                <w:right w:val="single" w:color="D5D0C4" w:sz="4"/>
                <w:insideH w:val="single" w:color="D5D0C4" w:sz="4"/>
                <w:insideV w:val="single" w:color="D5D0C4" w:sz="4"/>
              </w:tblBorders>
            </w:tblPr>
            <w:tblGrid>
              <w:gridCol w:w="1580"/>
              <w:gridCol w:w="1220"/>
              <w:gridCol w:w="2540"/>
              <w:gridCol w:w="2300"/>
            </w:tblGrid>
            <w:tr>
              <w:trPr>
                <w:cantSplit/>
                <w:tblHeader/>
              </w:trPr>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Who</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Platform</w:t>
                  </w:r>
                </w:p>
              </w:tc>
              <w:tc>
                <w:tcPr>
                  <w:tcW w:type="dxa" w:w="25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Before 14 September</w:t>
                  </w:r>
                </w:p>
              </w:tc>
              <w:tc>
                <w:tcPr>
                  <w:tcW w:type="dxa" w:w="2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From 14 September</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Members</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Android</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58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44 percent</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Members</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iOS</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57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56 percent</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Members</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Web</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55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55 percent</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Non-members</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Android</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52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51 percent</w:t>
                  </w:r>
                </w:p>
              </w:tc>
            </w:tr>
          </w:tbl>
          <w:p>
            <w:pPr>
              <w:keepNext/>
              <w:spacing w:after="140" w:before="0"/>
            </w:pPr>
          </w:p>
          <w:p>
            <w:pPr>
              <w:keepNext/>
              <w:spacing w:after="60" w:before="60" w:line="276"/>
            </w:pPr>
            <w:r>
              <w:rPr>
                <w:rFonts w:ascii="Arial" w:cs="Arial" w:eastAsia="Arial" w:hAnsi="Arial"/>
                <w:b/>
                <w:bCs/>
                <w:color w:val="B37A33"/>
                <w:sz w:val="22"/>
                <w:szCs w:val="22"/>
              </w:rPr>
              <w:t xml:space="preserve">Q26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Find the fix and its cost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app team says the new Android checkout cannot be at fault, since non-members use the same checkout and held at 51 percent. Android members reached add-to-cart in 22,841 sessions from 14 to 30 September, 17 days. What is fixed first, and what does the loss cost a week, at Rs 300 to Rs 500 of order value an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member path of the Android checkout: Android members lose about 3,198 orders a week against their old rate, about Rs 9.6 to 16.0 lakh of order value.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member path of the Android checkout: Android members lose about 1,317 orders a week against their old rate, about Rs 4.0 to 6.6 lakh of order value.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whole Android checkout, for every user: add-to-cart to order fell for members and non-members alike on Android once the release shipped.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August sale cohort: members bought on a discount order less, and their 31 percent month one explains the fall in members' orders.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4E</w:t>
            </w:r>
            <w:r>
              <w:rPr>
                <w:rFonts w:ascii="Arial" w:cs="Arial" w:eastAsia="Arial" w:hAnsi="Arial"/>
                <w:i/>
                <w:iCs/>
                <w:color w:val="6B675E"/>
                <w:sz w:val="18"/>
                <w:szCs w:val="18"/>
              </w:rPr>
              <w:t xml:space="preserve">   An invented cohort of ten users: how many were active in each quarter after joining, before and after its five weakest users were weaned away.</w:t>
            </w:r>
          </w:p>
          <w:tbl>
            <w:tblPr>
              <w:tblW w:type="dxa" w:w="9796"/>
              <w:tblBorders>
                <w:top w:val="single" w:color="D5D0C4" w:sz="4"/>
                <w:left w:val="single" w:color="D5D0C4" w:sz="4"/>
                <w:bottom w:val="single" w:color="D5D0C4" w:sz="4"/>
                <w:right w:val="single" w:color="D5D0C4" w:sz="4"/>
                <w:insideH w:val="single" w:color="D5D0C4" w:sz="4"/>
                <w:insideV w:val="single" w:color="D5D0C4" w:sz="4"/>
              </w:tblBorders>
            </w:tblPr>
            <w:tblGrid>
              <w:gridCol w:w="6164"/>
              <w:gridCol w:w="908"/>
              <w:gridCol w:w="908"/>
              <w:gridCol w:w="908"/>
              <w:gridCol w:w="908"/>
            </w:tblGrid>
            <w:tr>
              <w:trPr>
                <w:cantSplit/>
                <w:tblHeader/>
              </w:trPr>
              <w:tc>
                <w:tcPr>
                  <w:tcW w:type="dxa" w:w="616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Quarter after joining</w:t>
                  </w:r>
                </w:p>
              </w:tc>
              <w:tc>
                <w:tcPr>
                  <w:tcW w:type="dxa" w:w="90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1</w:t>
                  </w:r>
                </w:p>
              </w:tc>
              <w:tc>
                <w:tcPr>
                  <w:tcW w:type="dxa" w:w="90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w:t>
                  </w:r>
                </w:p>
              </w:tc>
              <w:tc>
                <w:tcPr>
                  <w:tcW w:type="dxa" w:w="90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3</w:t>
                  </w:r>
                </w:p>
              </w:tc>
              <w:tc>
                <w:tcPr>
                  <w:tcW w:type="dxa" w:w="90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4</w:t>
                  </w:r>
                </w:p>
              </w:tc>
            </w:tr>
            <w:tr>
              <w:trPr>
                <w:cantSplit/>
              </w:trPr>
              <w:tc>
                <w:tcPr>
                  <w:tcW w:type="dxa" w:w="616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 ten users, active</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r>
            <w:tr>
              <w:trPr>
                <w:cantSplit/>
              </w:trPr>
              <w:tc>
                <w:tcPr>
                  <w:tcW w:type="dxa" w:w="616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five kept after the weakest five are weaned away, active</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r>
          </w:tbl>
          <w:p>
            <w:pPr>
              <w:keepNext/>
              <w:spacing w:after="140" w:before="0"/>
            </w:pPr>
          </w:p>
          <w:p>
            <w:pPr>
              <w:keepNext/>
              <w:spacing w:after="60" w:before="60" w:line="276"/>
            </w:pPr>
            <w:r>
              <w:rPr>
                <w:rFonts w:ascii="Arial" w:cs="Arial" w:eastAsia="Arial" w:hAnsi="Arial"/>
                <w:b/>
                <w:bCs/>
                <w:color w:val="B37A33"/>
                <w:sz w:val="22"/>
                <w:szCs w:val="22"/>
              </w:rPr>
              <w:t xml:space="preserve">Q27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Ask for the denominator</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Swiggy's shareholder letter for July to September 2025 says it "weaned away certain users from the platform with low potential Lifetime values", and its table of Instamart cohort spend states no denominator. Exhibit 4E is invented. A deck shows this cohort's third quarter after the weakest five are weaned away and calls it strong retention. What does the third quarter read on each base, and what do you ask before trusting a published cohort chart?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40 percent per user who joined, 80 per user who stayed; ask what the cells divide by and whether they count users, orders or spend.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80 percent on both bases, since the five weaned users had stopped ordering anyway; ask only which quarter the cohort was acquired in.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40 percent per user who joined and 60 per user who stayed; ask whether every cohort in the table is indexed to the same first quarter.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80 percent per user who joined and 40 per user who stayed; ask whether the weaned users were counted twice in the table's cells.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4F</w:t>
            </w:r>
            <w:r>
              <w:rPr>
                <w:rFonts w:ascii="Arial" w:cs="Arial" w:eastAsia="Arial" w:hAnsi="Arial"/>
                <w:i/>
                <w:iCs/>
                <w:color w:val="6B675E"/>
                <w:sz w:val="18"/>
                <w:szCs w:val="18"/>
              </w:rPr>
              <w:t xml:space="preserve">   Kalpa Retail's Retail-Plus tier in the app, as Thursday's lab found it. Blended retention, the members who joined before the month and opened the app in it, read 41 percent in July, August and September 2026.</w:t>
            </w:r>
          </w:p>
          <w:tbl>
            <w:tblPr>
              <w:tblW w:type="dxa" w:w="9797"/>
              <w:tblBorders>
                <w:top w:val="single" w:color="D5D0C4" w:sz="4"/>
                <w:left w:val="single" w:color="D5D0C4" w:sz="4"/>
                <w:bottom w:val="single" w:color="D5D0C4" w:sz="4"/>
                <w:right w:val="single" w:color="D5D0C4" w:sz="4"/>
                <w:insideH w:val="single" w:color="D5D0C4" w:sz="4"/>
                <w:insideV w:val="single" w:color="D5D0C4" w:sz="4"/>
              </w:tblBorders>
            </w:tblPr>
            <w:tblGrid>
              <w:gridCol w:w="4881"/>
              <w:gridCol w:w="990"/>
              <w:gridCol w:w="1206"/>
              <w:gridCol w:w="2720"/>
            </w:tblGrid>
            <w:tr>
              <w:trPr>
                <w:cantSplit/>
                <w:tblHeader/>
              </w:trPr>
              <w:tc>
                <w:tcPr>
                  <w:tcW w:type="dxa" w:w="488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Stretch of 2026</w:t>
                  </w:r>
                </w:p>
              </w:tc>
              <w:tc>
                <w:tcPr>
                  <w:tcW w:type="dxa" w:w="99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Carts</w:t>
                  </w:r>
                </w:p>
              </w:tc>
              <w:tc>
                <w:tcPr>
                  <w:tcW w:type="dxa" w:w="1206"/>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Checkouts</w:t>
                  </w:r>
                </w:p>
              </w:tc>
              <w:tc>
                <w:tcPr>
                  <w:tcW w:type="dxa" w:w="27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Add-to-cart to checkout</w:t>
                  </w:r>
                </w:p>
              </w:tc>
            </w:tr>
            <w:tr>
              <w:trPr>
                <w:cantSplit/>
              </w:trPr>
              <w:tc>
                <w:tcPr>
                  <w:tcW w:type="dxa" w:w="488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Before 20 August</w:t>
                  </w:r>
                </w:p>
              </w:tc>
              <w:tc>
                <w:tcPr>
                  <w:tcW w:type="dxa" w:w="9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34</w:t>
                  </w:r>
                </w:p>
              </w:tc>
              <w:tc>
                <w:tcPr>
                  <w:tcW w:type="dxa" w:w="12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28</w:t>
                  </w:r>
                </w:p>
              </w:tc>
              <w:tc>
                <w:tcPr>
                  <w:tcW w:type="dxa" w:w="27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82 percent</w:t>
                  </w:r>
                </w:p>
              </w:tc>
            </w:tr>
            <w:tr>
              <w:trPr>
                <w:cantSplit/>
              </w:trPr>
              <w:tc>
                <w:tcPr>
                  <w:tcW w:type="dxa" w:w="488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20 August to 9 September</w:t>
                  </w:r>
                </w:p>
              </w:tc>
              <w:tc>
                <w:tcPr>
                  <w:tcW w:type="dxa" w:w="9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c>
                <w:tcPr>
                  <w:tcW w:type="dxa" w:w="12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27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83 percent</w:t>
                  </w:r>
                </w:p>
              </w:tc>
            </w:tr>
            <w:tr>
              <w:trPr>
                <w:cantSplit/>
              </w:trPr>
              <w:tc>
                <w:tcPr>
                  <w:tcW w:type="dxa" w:w="488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10 to 30 September, the auto-reorder window</w:t>
                  </w:r>
                </w:p>
              </w:tc>
              <w:tc>
                <w:tcPr>
                  <w:tcW w:type="dxa" w:w="9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12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w:t>
                  </w:r>
                </w:p>
              </w:tc>
              <w:tc>
                <w:tcPr>
                  <w:tcW w:type="dxa" w:w="27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64 percent</w:t>
                  </w:r>
                </w:p>
              </w:tc>
            </w:tr>
          </w:tbl>
          <w:p>
            <w:pPr>
              <w:keepNext/>
              <w:spacing w:after="140" w:before="0"/>
            </w:pPr>
          </w:p>
          <w:p>
            <w:pPr>
              <w:keepNext/>
              <w:spacing w:after="60" w:before="60" w:line="276"/>
            </w:pPr>
            <w:r>
              <w:rPr>
                <w:rFonts w:ascii="Arial" w:cs="Arial" w:eastAsia="Arial" w:hAnsi="Arial"/>
                <w:b/>
                <w:bCs/>
                <w:color w:val="B37A33"/>
                <w:sz w:val="22"/>
                <w:szCs w:val="22"/>
              </w:rPr>
              <w:t xml:space="preserve">Q28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Answer the app team</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app team says the auto-reorder feature has been fixed and asks the head of Retail-Plus to close the ticket, since blended retention has not moved. Which reply holds on Exhibit 4F?</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Close it: blended retention held at 41 percent across the window, so the app lost no members and the step needs no further look.</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Blame the monsoon cohort: August's members joined weakest, so the window's lost checkouts came from them and the app is not involved.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Keep it open: checkout per cart fell inside the window, 7 of 11 against 10 of 12, about 2 short; check the step and read three more weeks.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Rebuild checkout now: a 19-point fall is the largest move in the tier's funnel, and a full three-week window of carts is enough to act on.</w:t>
            </w:r>
          </w:p>
        </w:tc>
      </w:tr>
    </w:tbl>
    <w:p>
      <w:pPr>
        <w:keepNext/>
        <w:pBdr>
          <w:bottom w:val="single" w:color="B37A33" w:sz="6" w:space="4"/>
        </w:pBdr>
        <w:spacing w:after="120" w:before="280"/>
      </w:pPr>
      <w:r>
        <w:rPr>
          <w:rFonts w:ascii="Georgia" w:cs="Georgia" w:eastAsia="Georgia" w:hAnsi="Georgia"/>
          <w:color w:val="B37A33"/>
          <w:sz w:val="30"/>
          <w:szCs w:val="30"/>
        </w:rPr>
        <w:t xml:space="preserve">Part 5. Which forecast earns the plan's trust?</w:t>
      </w:r>
    </w:p>
    <w:p>
      <w:pPr>
        <w:keepNext/>
        <w:spacing w:after="160" w:line="276"/>
      </w:pPr>
      <w:r>
        <w:rPr>
          <w:rFonts w:ascii="Arial" w:cs="Arial" w:eastAsia="Arial" w:hAnsi="Arial"/>
          <w:color w:val="6B675E"/>
          <w:sz w:val="19"/>
          <w:szCs w:val="19"/>
        </w:rPr>
        <w:t xml:space="preserve">5 items, Q29 to Q33, about 19 minutes. What it shows: whether you can choose a forecast on weeks it never saw, place the festival in the right month and price a miss in each direction.</w:t>
      </w:r>
    </w:p>
    <w:p>
      <w:pPr>
        <w:keepNext/>
        <w:spacing w:after="140" w:line="276"/>
      </w:pPr>
      <w:r>
        <w:rPr>
          <w:rFonts w:ascii="Arial" w:cs="Arial" w:eastAsia="Arial" w:hAnsi="Arial"/>
          <w:color w:val="1C1B16"/>
          <w:sz w:val="21"/>
          <w:szCs w:val="21"/>
        </w:rPr>
        <w:t xml:space="preserve">Flipkart's Lucknow fulfilment centre has 104 weeks of outbound shipments, the weeks beginning 30 September 2024 to 21 September 2026. The planner must book packer shifts for the eight festive weeks beginning 12 October to 30 November 2026, and a packer packs about 120 shipments a shift. Finance's rule is the same weeks last year plus 4 percent; a vendor's curve promises 22 percent more. Every forecast was also scored on the thirteen weeks beginning 29 June to 21 September 2026, which it never saw. Diwali's dates are in Exhibit 5A. Illustrative case: the company is real, the situation and the data are synthetic, built for this class. In the lab Anand Iyer, Kalpa Retail's finance controller, had the same choice for the board: two forecasts eighteen points apart.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5A</w:t>
            </w:r>
            <w:r>
              <w:rPr>
                <w:rFonts w:ascii="Arial" w:cs="Arial" w:eastAsia="Arial" w:hAnsi="Arial"/>
                <w:i/>
                <w:iCs/>
                <w:color w:val="6B675E"/>
                <w:sz w:val="18"/>
                <w:szCs w:val="18"/>
              </w:rPr>
              <w:t xml:space="preserve">   Diwali in the Government of India's holiday lists for 2024, 2025 and 2026 (DoPT, as reproduced by staffnews.in, checked 13 October 2026).</w:t>
            </w:r>
          </w:p>
          <w:tbl>
            <w:tblPr>
              <w:tblW w:type="dxa" w:w="858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3140"/>
              <w:gridCol w:w="434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Year</w:t>
                  </w:r>
                </w:p>
              </w:tc>
              <w:tc>
                <w:tcPr>
                  <w:tcW w:type="dxa" w:w="31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Diwali</w:t>
                  </w:r>
                </w:p>
              </w:tc>
              <w:tc>
                <w:tcPr>
                  <w:tcW w:type="dxa" w:w="4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The week it falls in</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2024</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Thursday 31 October 2024</w:t>
                  </w:r>
                </w:p>
              </w:tc>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week beginning 28 October 2024</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2025</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Monday 20 October 2025</w:t>
                  </w:r>
                </w:p>
              </w:tc>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week beginning 20 October 2025</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2026</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Sunday 8 November 2026</w:t>
                  </w:r>
                </w:p>
              </w:tc>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week beginning 2 November 2026</w:t>
                  </w:r>
                </w:p>
              </w:tc>
            </w:tr>
          </w:tbl>
          <w:p>
            <w:pPr>
              <w:keepNext/>
              <w:spacing w:after="140" w:before="0"/>
            </w:pPr>
          </w:p>
          <w:p>
            <w:pPr>
              <w:keepNext/>
              <w:spacing w:after="60" w:before="60" w:line="276"/>
            </w:pPr>
            <w:r>
              <w:rPr>
                <w:rFonts w:ascii="Arial" w:cs="Arial" w:eastAsia="Arial" w:hAnsi="Arial"/>
                <w:b/>
                <w:bCs/>
                <w:color w:val="B37A33"/>
                <w:sz w:val="22"/>
                <w:szCs w:val="22"/>
              </w:rPr>
              <w:t xml:space="preserve">Q29</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Give two baselines</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Diwali fell in October in both 2024 and 2025. A retailer booked Rs 3.2 crore in October 2024, its Diwali month, and Rs 2.1 crore in September 2025 (illustrative numbers). At the end of September 2025, give the naive forecast and the seasonal naive forecast for October 2025.</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5B</w:t>
            </w:r>
            <w:r>
              <w:rPr>
                <w:rFonts w:ascii="Arial" w:cs="Arial" w:eastAsia="Arial" w:hAnsi="Arial"/>
                <w:i/>
                <w:iCs/>
                <w:color w:val="6B675E"/>
                <w:sz w:val="18"/>
                <w:szCs w:val="18"/>
              </w:rPr>
              <w:t xml:space="preserve">   Kalpa Retail's revenue in October and November, Rs lakh, from Friday's lab.</w:t>
            </w:r>
          </w:p>
          <w:tbl>
            <w:tblPr>
              <w:tblW w:type="dxa" w:w="3420"/>
              <w:tblBorders>
                <w:top w:val="single" w:color="D5D0C4" w:sz="4"/>
                <w:left w:val="single" w:color="D5D0C4" w:sz="4"/>
                <w:bottom w:val="single" w:color="D5D0C4" w:sz="4"/>
                <w:right w:val="single" w:color="D5D0C4" w:sz="4"/>
                <w:insideH w:val="single" w:color="D5D0C4" w:sz="4"/>
                <w:insideV w:val="single" w:color="D5D0C4" w:sz="4"/>
              </w:tblBorders>
            </w:tblPr>
            <w:tblGrid>
              <w:gridCol w:w="1220"/>
              <w:gridCol w:w="1100"/>
              <w:gridCol w:w="1100"/>
            </w:tblGrid>
            <w:tr>
              <w:trPr>
                <w:cantSplit/>
                <w:tblHeader/>
              </w:trPr>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Month</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2024</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2025</w:t>
                  </w:r>
                </w:p>
              </w:tc>
            </w:tr>
            <w:tr>
              <w:trPr>
                <w:cantSplit/>
              </w:trPr>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October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415.1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427.6</w:t>
                  </w:r>
                </w:p>
              </w:tc>
            </w:tr>
            <w:tr>
              <w:trPr>
                <w:cantSplit/>
              </w:trPr>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November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286.8</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297.0</w:t>
                  </w:r>
                </w:p>
              </w:tc>
            </w:tr>
          </w:tbl>
          <w:p>
            <w:pPr>
              <w:keepNext/>
              <w:spacing w:after="140" w:before="0"/>
            </w:pPr>
          </w:p>
          <w:p>
            <w:pPr>
              <w:keepNext/>
              <w:spacing w:after="60" w:before="60" w:line="276"/>
            </w:pPr>
            <w:r>
              <w:rPr>
                <w:rFonts w:ascii="Arial" w:cs="Arial" w:eastAsia="Arial" w:hAnsi="Arial"/>
                <w:b/>
                <w:bCs/>
                <w:color w:val="B37A33"/>
                <w:sz w:val="22"/>
                <w:szCs w:val="22"/>
              </w:rPr>
              <w:t xml:space="preserve">Q30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Move the spike</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Anand's board line needs October and November 2026. Using Exhibits 5A and 5B, give the seasonal naive for both months, then the festival-aligned copy, last year's Diwali month plus 4 percent, for whichever 2026 month holds Diwali, and say which month should carry the festival's spike.</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5C</w:t>
            </w:r>
            <w:r>
              <w:rPr>
                <w:rFonts w:ascii="Arial" w:cs="Arial" w:eastAsia="Arial" w:hAnsi="Arial"/>
                <w:i/>
                <w:iCs/>
                <w:color w:val="6B675E"/>
                <w:sz w:val="18"/>
                <w:szCs w:val="18"/>
              </w:rPr>
              <w:t xml:space="preserve">   The M5 forecasting competition, 2020: Walmart's daily unit sales of 3,049 products, every entry scored on 28 days it never saw; 1,972 of the 5,507 teams, 35.8 percent, beat the seasonal naive. From the official scores workbook and the accuracy paper, checked 13 October 2026.</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6105"/>
              <w:gridCol w:w="3694"/>
            </w:tblGrid>
            <w:tr>
              <w:trPr>
                <w:cantSplit/>
                <w:tblHeader/>
              </w:trPr>
              <w:tc>
                <w:tcPr>
                  <w:tcW w:type="dxa" w:w="610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Entry</w:t>
                  </w:r>
                </w:p>
              </w:tc>
              <w:tc>
                <w:tcPr>
                  <w:tcW w:type="dxa" w:w="369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Average error, lower is better</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winning team</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0.520</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Seasonal naive, the same day of the week before</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0.847</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Multilayer perceptron, a machine-learning benchmark</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0.977</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Random forest, a machine-learning benchmark</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1.010</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Naive, the last day seen</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1.752</w:t>
                  </w:r>
                </w:p>
              </w:tc>
            </w:tr>
          </w:tbl>
          <w:p>
            <w:pPr>
              <w:keepNext/>
              <w:spacing w:after="140" w:before="0"/>
            </w:pPr>
          </w:p>
          <w:p>
            <w:pPr>
              <w:keepNext/>
              <w:spacing w:after="60" w:before="60" w:line="276"/>
            </w:pPr>
            <w:r>
              <w:rPr>
                <w:rFonts w:ascii="Arial" w:cs="Arial" w:eastAsia="Arial" w:hAnsi="Arial"/>
                <w:b/>
                <w:bCs/>
                <w:color w:val="B37A33"/>
                <w:sz w:val="22"/>
                <w:szCs w:val="22"/>
              </w:rPr>
              <w:t xml:space="preserve">Q31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Answer the sponsor</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vendor's sponsor says: "Our curve fits two years of Lucknow's weeks within 2 percent, and machine learning won M5, so the curve should go to the plan." Using Exhibit 5C, which reply holds?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fit is no forecast: on M5's unseen days the seasonal naive beat both machine-learning benchmarks and most teams; score the curve on the hidden weeks.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Agree: the winning entries in M5 were machine learning, so a curve that fits two years of Lucknow's weeks this closely has earned its place in the plan.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Fit and forecast agree on a series this regular: a curve within 2 percent of two years of weeks will stay within 2 percent of the next ten weeks.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Score the curve on its fitted weeks with MAPE as well as MAE, and send it to the plan if both measures stay under 2 percent of the actual.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5D</w:t>
            </w:r>
            <w:r>
              <w:rPr>
                <w:rFonts w:ascii="Arial" w:cs="Arial" w:eastAsia="Arial" w:hAnsi="Arial"/>
                <w:i/>
                <w:iCs/>
                <w:color w:val="6B675E"/>
                <w:sz w:val="18"/>
                <w:szCs w:val="18"/>
              </w:rPr>
              <w:t xml:space="preserve">   Lucknow's thirteen hidden weeks, beginning 29 June to 21 September 2026. An idle packer-shift costs Rs 650 for 120 shipments, Rs 5.42 for each shipment planned and not shipped, and a late shipment costs Rs 25; both are assumptions.</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4125"/>
              <w:gridCol w:w="2185"/>
              <w:gridCol w:w="2126"/>
              <w:gridCol w:w="1362"/>
            </w:tblGrid>
            <w:tr>
              <w:trPr>
                <w:cantSplit/>
                <w:tblHeader/>
              </w:trPr>
              <w:tc>
                <w:tcPr>
                  <w:tcW w:type="dxa" w:w="412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Forecast</w:t>
                  </w:r>
                </w:p>
              </w:tc>
              <w:tc>
                <w:tcPr>
                  <w:tcW w:type="dxa" w:w="218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Shipments forecast too high, summed</w:t>
                  </w:r>
                </w:p>
              </w:tc>
              <w:tc>
                <w:tcPr>
                  <w:tcW w:type="dxa" w:w="2126"/>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Shipments forecast too low, summed</w:t>
                  </w:r>
                </w:p>
              </w:tc>
              <w:tc>
                <w:tcPr>
                  <w:tcW w:type="dxa" w:w="136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Weeks too high, of 13</w:t>
                  </w:r>
                </w:p>
              </w:tc>
            </w:tr>
            <w:tr>
              <w:trPr>
                <w:cantSplit/>
              </w:trPr>
              <w:tc>
                <w:tcPr>
                  <w:tcW w:type="dxa" w:w="4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Festival-aligned, last year's weeks matched by Diwali plus 4 percent</w:t>
                  </w:r>
                </w:p>
              </w:tc>
              <w:tc>
                <w:tcPr>
                  <w:tcW w:type="dxa" w:w="21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40,748</w:t>
                  </w:r>
                </w:p>
              </w:tc>
              <w:tc>
                <w:tcPr>
                  <w:tcW w:type="dxa" w:w="212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45,248</w:t>
                  </w:r>
                </w:p>
              </w:tc>
              <w:tc>
                <w:tcPr>
                  <w:tcW w:type="dxa" w:w="13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w:t>
                  </w:r>
                </w:p>
              </w:tc>
            </w:tr>
            <w:tr>
              <w:trPr>
                <w:cantSplit/>
              </w:trPr>
              <w:tc>
                <w:tcPr>
                  <w:tcW w:type="dxa" w:w="4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Same week last year</w:t>
                  </w:r>
                </w:p>
              </w:tc>
              <w:tc>
                <w:tcPr>
                  <w:tcW w:type="dxa" w:w="21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7,300</w:t>
                  </w:r>
                </w:p>
              </w:tc>
              <w:tc>
                <w:tcPr>
                  <w:tcW w:type="dxa" w:w="212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120,500</w:t>
                  </w:r>
                </w:p>
              </w:tc>
              <w:tc>
                <w:tcPr>
                  <w:tcW w:type="dxa" w:w="13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w:t>
                  </w:r>
                </w:p>
              </w:tc>
            </w:tr>
            <w:tr>
              <w:trPr>
                <w:cantSplit/>
              </w:trPr>
              <w:tc>
                <w:tcPr>
                  <w:tcW w:type="dxa" w:w="4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vendor's curve</w:t>
                  </w:r>
                </w:p>
              </w:tc>
              <w:tc>
                <w:tcPr>
                  <w:tcW w:type="dxa" w:w="21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211,300</w:t>
                  </w:r>
                </w:p>
              </w:tc>
              <w:tc>
                <w:tcPr>
                  <w:tcW w:type="dxa" w:w="212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1,900</w:t>
                  </w:r>
                </w:p>
              </w:tc>
              <w:tc>
                <w:tcPr>
                  <w:tcW w:type="dxa" w:w="13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r>
          </w:tbl>
          <w:p>
            <w:pPr>
              <w:keepNext/>
              <w:spacing w:after="140" w:before="0"/>
            </w:pPr>
          </w:p>
          <w:p>
            <w:pPr>
              <w:keepNext/>
              <w:spacing w:after="60" w:before="60" w:line="276"/>
            </w:pPr>
            <w:r>
              <w:rPr>
                <w:rFonts w:ascii="Arial" w:cs="Arial" w:eastAsia="Arial" w:hAnsi="Arial"/>
                <w:b/>
                <w:bCs/>
                <w:color w:val="B37A33"/>
                <w:sz w:val="22"/>
                <w:szCs w:val="22"/>
              </w:rPr>
              <w:t xml:space="preserve">Q32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Price the misses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is each forecast's mean absolute error a week, which costs least on these weeks with its misses priced, and what follows for the plan?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6,615, 9,831 and 16,400 a week; festival-aligned costs least, about Rs 13.5 lakh, so the plan books its forecast with no cushion above it.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6,615, 9,831 and 16,400 a week; the vendor costs least, about Rs 11.9 lakh, so the plan books its curve at plus 22 percent for the festive weeks.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About minus 346, minus 8,708 and 16,108 a week, the signed misses averaged; festival-aligned is nearly unbiased, so the plan sits at its forecast.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6,615, 9,831 and 16,400; the vendor costs least, Rs 11.9 lakh, only because it errs high, the cheap side; compare each at its own 0.82 point.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5E</w:t>
            </w:r>
            <w:r>
              <w:rPr>
                <w:rFonts w:ascii="Arial" w:cs="Arial" w:eastAsia="Arial" w:hAnsi="Arial"/>
                <w:i/>
                <w:iCs/>
                <w:color w:val="6B675E"/>
                <w:sz w:val="18"/>
                <w:szCs w:val="18"/>
              </w:rPr>
              <w:t xml:space="preserve">   Kalpa Retail's forecasts for October 2026 to March 2027, as Friday's lab found them. Each forecast's average miss is on April to September 2026, six months it never saw, none of them a Diwali month. The same six months a year earlier booked Rs 18.93 crore.</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3641"/>
              <w:gridCol w:w="1412"/>
              <w:gridCol w:w="1539"/>
              <w:gridCol w:w="1985"/>
              <w:gridCol w:w="1221"/>
            </w:tblGrid>
            <w:tr>
              <w:trPr>
                <w:cantSplit/>
                <w:tblHeader/>
              </w:trPr>
              <w:tc>
                <w:tcPr>
                  <w:tcW w:type="dxa" w:w="364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Forecast</w:t>
                  </w:r>
                </w:p>
              </w:tc>
              <w:tc>
                <w:tcPr>
                  <w:tcW w:type="dxa" w:w="141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months, Rs crore</w:t>
                  </w:r>
                </w:p>
              </w:tc>
              <w:tc>
                <w:tcPr>
                  <w:tcW w:type="dxa" w:w="153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Against a year earlier</w:t>
                  </w:r>
                </w:p>
              </w:tc>
              <w:tc>
                <w:tcPr>
                  <w:tcW w:type="dxa" w:w="198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Average miss a month, Rs lakh</w:t>
                  </w:r>
                </w:p>
              </w:tc>
              <w:tc>
                <w:tcPr>
                  <w:tcW w:type="dxa" w:w="122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Puts the spike in</w:t>
                  </w:r>
                </w:p>
              </w:tc>
            </w:tr>
            <w:tr>
              <w:trPr>
                <w:cantSplit/>
              </w:trPr>
              <w:tc>
                <w:tcPr>
                  <w:tcW w:type="dxa" w:w="364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same month last year</w:t>
                  </w:r>
                </w:p>
              </w:tc>
              <w:tc>
                <w:tcPr>
                  <w:tcW w:type="dxa" w:w="14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18.93</w:t>
                  </w:r>
                </w:p>
              </w:tc>
              <w:tc>
                <w:tcPr>
                  <w:tcW w:type="dxa" w:w="153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level</w:t>
                  </w:r>
                </w:p>
              </w:tc>
              <w:tc>
                <w:tcPr>
                  <w:tcW w:type="dxa" w:w="19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11.7</w:t>
                  </w:r>
                </w:p>
              </w:tc>
              <w:tc>
                <w:tcPr>
                  <w:tcW w:type="dxa" w:w="12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October</w:t>
                  </w:r>
                </w:p>
              </w:tc>
            </w:tr>
            <w:tr>
              <w:trPr>
                <w:cantSplit/>
              </w:trPr>
              <w:tc>
                <w:tcPr>
                  <w:tcW w:type="dxa" w:w="364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Finance's rule, the same month last year plus 4 percent</w:t>
                  </w:r>
                </w:p>
              </w:tc>
              <w:tc>
                <w:tcPr>
                  <w:tcW w:type="dxa" w:w="14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19.69</w:t>
                  </w:r>
                </w:p>
              </w:tc>
              <w:tc>
                <w:tcPr>
                  <w:tcW w:type="dxa" w:w="153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 percent above</w:t>
                  </w:r>
                </w:p>
              </w:tc>
              <w:tc>
                <w:tcPr>
                  <w:tcW w:type="dxa" w:w="19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w:t>
                  </w:r>
                </w:p>
              </w:tc>
              <w:tc>
                <w:tcPr>
                  <w:tcW w:type="dxa" w:w="12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October</w:t>
                  </w:r>
                </w:p>
              </w:tc>
            </w:tr>
            <w:tr>
              <w:trPr>
                <w:cantSplit/>
              </w:trPr>
              <w:tc>
                <w:tcPr>
                  <w:tcW w:type="dxa" w:w="364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Festival-aligned, matched by Diwali, plus 4 percent</w:t>
                  </w:r>
                </w:p>
              </w:tc>
              <w:tc>
                <w:tcPr>
                  <w:tcW w:type="dxa" w:w="14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19.69</w:t>
                  </w:r>
                </w:p>
              </w:tc>
              <w:tc>
                <w:tcPr>
                  <w:tcW w:type="dxa" w:w="153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 percent above</w:t>
                  </w:r>
                </w:p>
              </w:tc>
              <w:tc>
                <w:tcPr>
                  <w:tcW w:type="dxa" w:w="19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w:t>
                  </w:r>
                </w:p>
              </w:tc>
              <w:tc>
                <w:tcPr>
                  <w:tcW w:type="dxa" w:w="12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November</w:t>
                  </w:r>
                </w:p>
              </w:tc>
            </w:tr>
            <w:tr>
              <w:trPr>
                <w:cantSplit/>
              </w:trPr>
              <w:tc>
                <w:tcPr>
                  <w:tcW w:type="dxa" w:w="364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vendor's curve</w:t>
                  </w:r>
                </w:p>
              </w:tc>
              <w:tc>
                <w:tcPr>
                  <w:tcW w:type="dxa" w:w="14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23.09</w:t>
                  </w:r>
                </w:p>
              </w:tc>
              <w:tc>
                <w:tcPr>
                  <w:tcW w:type="dxa" w:w="153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22 percent above</w:t>
                  </w:r>
                </w:p>
              </w:tc>
              <w:tc>
                <w:tcPr>
                  <w:tcW w:type="dxa" w:w="19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38.8</w:t>
                  </w:r>
                </w:p>
              </w:tc>
              <w:tc>
                <w:tcPr>
                  <w:tcW w:type="dxa" w:w="12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October</w:t>
                  </w:r>
                </w:p>
              </w:tc>
            </w:tr>
            <w:tr>
              <w:trPr>
                <w:cantSplit/>
              </w:trPr>
              <w:tc>
                <w:tcPr>
                  <w:tcW w:type="dxa" w:w="364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plan line</w:t>
                  </w:r>
                </w:p>
              </w:tc>
              <w:tc>
                <w:tcPr>
                  <w:tcW w:type="dxa" w:w="14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21.77</w:t>
                  </w:r>
                </w:p>
              </w:tc>
              <w:tc>
                <w:tcPr>
                  <w:tcW w:type="dxa" w:w="153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15 percent above</w:t>
                  </w:r>
                </w:p>
              </w:tc>
              <w:tc>
                <w:tcPr>
                  <w:tcW w:type="dxa" w:w="19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not a forecast</w:t>
                  </w:r>
                </w:p>
              </w:tc>
              <w:tc>
                <w:tcPr>
                  <w:tcW w:type="dxa" w:w="12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not a forecast</w:t>
                  </w:r>
                </w:p>
              </w:tc>
            </w:tr>
          </w:tbl>
          <w:p>
            <w:pPr>
              <w:keepNext/>
              <w:spacing w:after="140" w:before="0"/>
            </w:pPr>
          </w:p>
          <w:p>
            <w:pPr>
              <w:keepNext/>
              <w:spacing w:after="60" w:before="60" w:line="276"/>
            </w:pPr>
            <w:r>
              <w:rPr>
                <w:rFonts w:ascii="Arial" w:cs="Arial" w:eastAsia="Arial" w:hAnsi="Arial"/>
                <w:b/>
                <w:bCs/>
                <w:color w:val="B37A33"/>
                <w:sz w:val="22"/>
                <w:szCs w:val="22"/>
              </w:rPr>
              <w:t xml:space="preserve">Q33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the board sentence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Anand asks which number goes in front of the board for October 2026 to March 2027, and how wrong it could be. Diwali falls on 8 November 2026. Using Exhibit 5E, which sentence answers him?</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"Rs 23.09 crore, the vendor's curve: it fits its 18 fitted months within 1.8 percent, the closest fit of any forecast on the table."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"Rs 19.69 crore, festival-aligned, spike in November, Rs 2.08 crore under plan; on six unseen months it missed by about Rs 3.5 lakh a month."</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"Rs 21.39 crore, halfway between finance's 4 percent and the vendor's 22, so neither side's error carries the board's number on its own."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"Rs 19.69 crore, finance's rule, spike in October: finance's rule and festival-aligned agree on the six months, so either may go to the board."</w:t>
            </w:r>
          </w:p>
        </w:tc>
      </w:tr>
    </w:tbl>
    <w:p>
      <w:pPr>
        <w:keepNext/>
        <w:pBdr>
          <w:bottom w:val="single" w:color="B37A33" w:sz="6" w:space="4"/>
        </w:pBdr>
        <w:spacing w:after="120" w:before="280"/>
      </w:pPr>
      <w:r>
        <w:rPr>
          <w:rFonts w:ascii="Georgia" w:cs="Georgia" w:eastAsia="Georgia" w:hAnsi="Georgia"/>
          <w:color w:val="B37A33"/>
          <w:sz w:val="30"/>
          <w:szCs w:val="30"/>
        </w:rPr>
        <w:t xml:space="preserve">Part 6. What changes when the method moves company?</w:t>
      </w:r>
    </w:p>
    <w:p>
      <w:pPr>
        <w:keepNext/>
        <w:spacing w:after="160" w:line="276"/>
      </w:pPr>
      <w:r>
        <w:rPr>
          <w:rFonts w:ascii="Arial" w:cs="Arial" w:eastAsia="Arial" w:hAnsi="Arial"/>
          <w:color w:val="6B675E"/>
          <w:sz w:val="19"/>
          <w:szCs w:val="19"/>
        </w:rPr>
        <w:t xml:space="preserve">6 items, Q34 to Q39, about 12 minutes. What it shows: whether you can carry the week's methods to another company and name what changed, the metric, the constraint and the cost of an error.</w:t>
      </w:r>
    </w:p>
    <w:p>
      <w:pPr>
        <w:keepNext/>
        <w:spacing w:after="140" w:line="276"/>
      </w:pPr>
      <w:r>
        <w:rPr>
          <w:rFonts w:ascii="Arial" w:cs="Arial" w:eastAsia="Arial" w:hAnsi="Arial"/>
          <w:color w:val="1C1B16"/>
          <w:sz w:val="21"/>
          <w:szCs w:val="21"/>
        </w:rPr>
        <w:t xml:space="preserve">This afternoon's spoken drill hands each pair of groups a one-paragraph brief, at another company the room uses or at one of Kalpa's other units, and every answer names the metric, the constraint and the cost of an error that changed, what stays, and what would change back on the Retail tables. This part puts the same move to you on paper. Kalpa Financial Services is Rohan Desai's payments and lending business; Kalpa Logistics moves parcels, and its head of operations is named by role; Kalpa Health, whose COO is Dr Priya Menon, runs laboratories and patient service centres that test US patients and bill US payers in dollars; and Kalpa Connect, whose COO is Ananya Bose, runs telecom and subscriptions. The briefs are illustrative.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6A</w:t>
            </w:r>
            <w:r>
              <w:rPr>
                <w:rFonts w:ascii="Arial" w:cs="Arial" w:eastAsia="Arial" w:hAnsi="Arial"/>
                <w:i/>
                <w:iCs/>
                <w:color w:val="6B675E"/>
                <w:sz w:val="18"/>
                <w:szCs w:val="18"/>
              </w:rPr>
              <w:t xml:space="preserve">   The week's five tickets, each found at one company, and the Kalpa units this part carries them to.</w:t>
            </w:r>
          </w:p>
          <w:p>
            <w:pPr>
              <w:keepNext/>
              <w:spacing w:after="80" w:before="80"/>
              <w:jc w:val="center"/>
            </w:pPr>
            <w:r>
              <w:drawing>
                <wp:inline distT="0" distB="0" distL="0" distR="0">
                  <wp:extent cx="59055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638425"/>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Q34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Say what stays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Rohan Desai, head of risk at Kalpa Financial Services, asks which customers to nudge first toward a second product, where a wrong nudge in lending costs twenty times a wrongful rejection. What stays the same from the retail method?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defining the metric with its numerator, denominator and window</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attaching a guardrail the measured team cannot move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rupee cost of a wrong nudge in each direction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testing against a baseline before trusting a lift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60" w:line="264"/>
            </w:pPr>
            <w:r>
              <w:rPr>
                <w:rFonts w:ascii="Arial" w:cs="Arial" w:eastAsia="Arial" w:hAnsi="Arial"/>
                <w:b/>
                <w:bCs/>
                <w:color w:val="B37A33"/>
                <w:sz w:val="19"/>
                <w:szCs w:val="19"/>
              </w:rPr>
              <w:t xml:space="preserve">Match table 1</w:t>
            </w:r>
            <w:r>
              <w:rPr>
                <w:rFonts w:ascii="Arial" w:cs="Arial" w:eastAsia="Arial" w:hAnsi="Arial"/>
                <w:i/>
                <w:iCs/>
                <w:color w:val="6B675E"/>
                <w:sz w:val="18"/>
                <w:szCs w:val="18"/>
              </w:rPr>
              <w:t xml:space="preserve">   Each numbered row is the first question of a Kalpa brief. Write the letter of the week's method that answers it. Each letter is used once at most, and two are not used.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00"/>
              <w:gridCol w:w="3900"/>
              <w:gridCol w:w="200"/>
              <w:gridCol w:w="520"/>
              <w:gridCol w:w="4280"/>
            </w:tblGrid>
            <w:tr>
              <w:trPr>
                <w:cantSplit/>
                <w:tblHeader/>
              </w:trPr>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Item</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Match</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Q35</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Kalpa Logistics' head of operations: the on-time delivery rate has risen since dispatchers were allowed to move a parcel's promised date once a delay was known.</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A</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a copy aligned to the festival, planned toward the costlier side</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Q36</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Dr Priya Menon: which step between a test booked and a visit completed loses the most dollars, metro area by metro area?</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B</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cohorts by start month, each read at the same age</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Q37</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Ananya Bose: blended monthly churn has held steady for four months while subscribers who joined since the spring seem to cancel sooner.</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C</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the average of each row's own rate across the table</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Q38</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Rohan Desai: which second product should a customer be offered first, beyond what any customer takes up anyway?</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D</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a definition whose window the measured cannot move, with a guardrail</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E</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each funnel step over the step before, in one unit</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F</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lift above a support floor, valued in margin</w:t>
                  </w:r>
                </w:p>
              </w:tc>
            </w:tr>
          </w:tbl>
          <w:p>
            <w:pPr>
              <w:keepNext w:val="false"/>
              <w:spacing w:after="0" w:before="40"/>
            </w:pPr>
            <w:r>
              <w:rPr>
                <w:rFonts w:ascii="Arial" w:cs="Arial" w:eastAsia="Arial" w:hAnsi="Arial"/>
                <w:color w:val="6B675E"/>
                <w:sz w:val="15"/>
                <w:szCs w:val="15"/>
              </w:rPr>
              <w:t xml:space="preserve">Write each letter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Set the plan share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Amazon India, a fulfilment centre's festive packer plan (illustrative case: the company is real, and every number below except Amazon's own figure is hypothetical). Amazon says its Great Indian Festival 2025 drew over 276 crore customer visits, 70 percent of them from tier 2 and 3 cities. Suppose its centre in a tier 2 city pays Rs 650 for an idle packer-shift of 120 shipments, as Lucknow does, while a late shipment costs it Rs 10, against Lucknow's Rs 25. What share of weeks should its plan cover, and what carries over from Lucknow unchanged?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About 0.65, the late cost over both costs; the festival-aligned copy, the held-out latest weeks and pricing both directions carry over.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About 0.82, Lucknow's share, since an idle shift costs the same Rs 650 at both centres, and the cheaper late shipment moves only the forecast itself.</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About 0.35, the spare cost over the two costs together; the plan then sits below the forecast in most weeks, on the side the cheaper late shipment favours.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About 0.65, the late cost over the two costs; and the copy of last year's calendar weeks carries over, since Amazon's sale dates follow the calendar month.</w:t>
            </w:r>
          </w:p>
        </w:tc>
      </w:tr>
    </w:tbl>
    <w:p>
      <w:pPr>
        <w:pageBreakBefore/>
        <w:pBdr>
          <w:bottom w:val="single" w:color="B37A33" w:sz="6" w:space="4"/>
        </w:pBdr>
        <w:spacing w:after="120" w:before="0"/>
      </w:pPr>
      <w:r>
        <w:rPr>
          <w:rFonts w:ascii="Georgia" w:cs="Georgia" w:eastAsia="Georgia" w:hAnsi="Georgia"/>
          <w:color w:val="B37A33"/>
          <w:sz w:val="30"/>
          <w:szCs w:val="30"/>
        </w:rPr>
        <w:t xml:space="preserve">Stretch: untimed, and not marked</w:t>
      </w:r>
    </w:p>
    <w:p>
      <w:pPr>
        <w:keepNext/>
        <w:spacing w:after="160" w:line="276"/>
      </w:pPr>
      <w:r>
        <w:rPr>
          <w:rFonts w:ascii="Arial" w:cs="Arial" w:eastAsia="Arial" w:hAnsi="Arial"/>
          <w:color w:val="6B675E"/>
          <w:sz w:val="19"/>
          <w:szCs w:val="19"/>
        </w:rPr>
        <w:t xml:space="preserve">For anyone who finishes early. Nothing here is counted. Stretch 1 to 4 are the kind an interviewer asks after your first answer, so write the answer you would say. Stretch 5 is a quick check on the week's material, answered on the line.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In Hyderabad the 180 drivers in the idle tail completed 33,440 peak trips in the six weeks after the launch. If the redesign drives all of them off the app, who carries those trips, and how many more peak online hours does that take at the other drivers' 1.90 trips an hour?</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2</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Ice cream and chocolate sauce read a lift of 4.6 on 100 of 40,000 carts. Design the test that decides whether the pair takes a strip slot.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3</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An AI writing assistant launched two months ago, and its weekly active users hit a record in launch week and are still near it. Is the product sticking?</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4</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Lucknow's plan raises festival-aligned by a 2.6 percent cushion, read from the same thirteen hidden weeks the forecasts were scored on. Is that circular, and what would you do instead?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5</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True or false: MAPE divides each miss by that month's actual value, so a Rs 10 lakh miss counts for more in a Rs 90 lakh month than in a Rs 120 lakh month.</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pageBreakBefore/>
        <w:spacing w:after="60" w:before="0"/>
      </w:pPr>
      <w:r>
        <w:rPr>
          <w:rFonts w:ascii="Georgia" w:cs="Georgia" w:eastAsia="Georgia" w:hAnsi="Georgia"/>
          <w:color w:val="B37A33"/>
          <w:sz w:val="40"/>
          <w:szCs w:val="40"/>
        </w:rPr>
        <w:t xml:space="preserve">Answer sheet</w:t>
      </w:r>
    </w:p>
    <w:p>
      <w:pPr>
        <w:keepNext w:val="false"/>
        <w:spacing w:after="120" w:line="276"/>
      </w:pPr>
      <w:r>
        <w:rPr>
          <w:rFonts w:ascii="Arial" w:cs="Arial" w:eastAsia="Arial" w:hAnsi="Arial"/>
          <w:color w:val="6B675E"/>
          <w:sz w:val="19"/>
          <w:szCs w:val="19"/>
        </w:rPr>
        <w:t xml:space="preserve">Week 4 Recap Paper | Cohort 2 | Week 4. Fill in pen. Mark one box per row, or every correct box for a starred item; if you change your mind, cross the old box fully and mark the new one. Write words and numbers clearly, one per space.</w:t>
      </w:r>
    </w:p>
    <w:p>
      <w:pPr>
        <w:pBdr>
          <w:bottom w:val="single" w:color="B37A33" w:sz="8" w:space="1"/>
        </w:pBdr>
        <w:spacing w:after="1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3900"/>
        <w:gridCol w:w="1300"/>
        <w:gridCol w:w="2700"/>
        <w:gridCol w:w="1900"/>
      </w:tblGrid>
      <w:tr>
        <w:trPr>
          <w:cantSplit/>
          <w:tblHeader/>
        </w:trPr>
        <w:tc>
          <w:tcPr>
            <w:tcW w:type="dxa" w:w="3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Name</w:t>
            </w:r>
          </w:p>
        </w:tc>
        <w:tc>
          <w:tcPr>
            <w:tcW w:type="dxa" w:w="1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Seat</w:t>
            </w:r>
          </w:p>
        </w:tc>
        <w:tc>
          <w:tcPr>
            <w:tcW w:type="dxa" w:w="2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Marked by</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Items right</w:t>
            </w:r>
          </w:p>
        </w:tc>
      </w:tr>
      <w:tr>
        <w:trPr>
          <w:cantSplit/>
        </w:trPr>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2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____ of 39</w:t>
            </w:r>
          </w:p>
        </w:tc>
      </w:tr>
    </w:tbl>
    <w:p>
      <w:pPr>
        <w:keepNext/>
        <w:spacing w:after="80" w:before="200"/>
      </w:pPr>
      <w:r>
        <w:rPr>
          <w:rFonts w:ascii="Arial" w:cs="Arial" w:eastAsia="Arial" w:hAnsi="Arial"/>
          <w:b/>
          <w:bCs/>
          <w:color w:val="1C1B16"/>
          <w:sz w:val="22"/>
          <w:szCs w:val="22"/>
        </w:rPr>
        <w:t xml:space="preserve">Step one: rate each part before you read any item</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420"/>
        <w:gridCol w:w="620"/>
        <w:gridCol w:w="620"/>
        <w:gridCol w:w="620"/>
        <w:gridCol w:w="620"/>
        <w:gridCol w:w="1900"/>
      </w:tblGrid>
      <w:tr>
        <w:trPr>
          <w:cantSplit/>
          <w:tblHeader/>
        </w:trPr>
        <w:tc>
          <w:tcPr>
            <w:tcW w:type="dxa" w:w="5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Part</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1</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2</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3</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4</w:t>
            </w:r>
          </w:p>
        </w:tc>
        <w:tc>
          <w:tcPr>
            <w:tcW w:type="dxa" w:w="19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Items right (marker)</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1. Which number should the plan chase, and which should a scheme pay for?</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2. Can the number survive the room, and can you size a city from nothing?</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3. Which pairs beat chance, and what is a slot worth?</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4. Where is the tier losing people?</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5. Which forecast earns the plan's trust?</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5</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6. What changes when the method moves company?</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6</w:t>
            </w:r>
          </w:p>
        </w:tc>
      </w:tr>
    </w:tbl>
    <w:p>
      <w:pPr>
        <w:keepNext w:val="false"/>
        <w:spacing w:after="60" w:before="60"/>
      </w:pPr>
      <w:r>
        <w:rPr>
          <w:rFonts w:ascii="Arial" w:cs="Arial" w:eastAsia="Arial" w:hAnsi="Arial"/>
          <w:color w:val="6B675E"/>
          <w:sz w:val="15"/>
          <w:szCs w:val="15"/>
        </w:rPr>
        <w:t xml:space="preserve">1 = I have not used this; 2 = I can follow it when someone shows me; 3 = I can do it alone on a small problem; 4 = I can find and fix mistakes in someone else's version</w:t>
      </w:r>
    </w:p>
    <w:p>
      <w:pPr>
        <w:keepNext/>
        <w:spacing w:after="80" w:before="120"/>
      </w:pPr>
      <w:r>
        <w:rPr>
          <w:rFonts w:ascii="Arial" w:cs="Arial" w:eastAsia="Arial" w:hAnsi="Arial"/>
          <w:b/>
          <w:bCs/>
          <w:color w:val="1C1B16"/>
          <w:sz w:val="22"/>
          <w:szCs w:val="22"/>
        </w:rPr>
        <w:t xml:space="preserve">Lettered items: one box, or every correct box for a starred item. True or false: one box</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Letters, words, numbers and orders: one answer per space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18"/>
                    <w:tblBorders>
                      <w:top w:val="single" w:color="D5D0C4" w:sz="4"/>
                      <w:left w:val="single" w:color="D5D0C4" w:sz="4"/>
                      <w:bottom w:val="single" w:color="D5D0C4" w:sz="4"/>
                      <w:right w:val="single" w:color="D5D0C4" w:sz="4"/>
                      <w:insideH w:val="single" w:color="D5D0C4" w:sz="4"/>
                      <w:insideV w:val="single" w:color="D5D0C4" w:sz="4"/>
                    </w:tblBorders>
                  </w:tblPr>
                  <w:tblGrid>
                    <w:gridCol w:w="453"/>
                    <w:gridCol w:w="453"/>
                    <w:gridCol w:w="453"/>
                    <w:gridCol w:w="453"/>
                    <w:gridCol w:w="453"/>
                    <w:gridCol w:w="453"/>
                  </w:tblGrid>
                  <w:tr>
                    <w:trPr>
                      <w:trHeight w:val="340" w:hRule="atLeast"/>
                    </w:trPr>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5</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6</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20"/>
                    <w:tblBorders>
                      <w:top w:val="single" w:color="D5D0C4" w:sz="4"/>
                      <w:left w:val="single" w:color="D5D0C4" w:sz="4"/>
                      <w:bottom w:val="single" w:color="D5D0C4" w:sz="4"/>
                      <w:right w:val="single" w:color="D5D0C4" w:sz="4"/>
                      <w:insideH w:val="single" w:color="D5D0C4" w:sz="4"/>
                      <w:insideV w:val="single" w:color="D5D0C4" w:sz="4"/>
                    </w:tblBorders>
                  </w:tblPr>
                  <w:tblGrid>
                    <w:gridCol w:w="544"/>
                    <w:gridCol w:w="544"/>
                    <w:gridCol w:w="544"/>
                    <w:gridCol w:w="544"/>
                    <w:gridCol w:w="544"/>
                  </w:tblGrid>
                  <w:tr>
                    <w:trPr>
                      <w:trHeight w:val="340" w:hRule="atLeast"/>
                    </w:trPr>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5</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r>
    </w:tbl>
    <w:sectPr>
      <w:headerReference w:type="default" r:id="rId6"/>
      <w:footerReference w:type="default" r:id="rId7"/>
      <w:pgSz w:w="11906" w:h="16838" w:orient="portrait"/>
      <w:pgMar w:top="900" w:right="1053" w:bottom="900" w:left="1053"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4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926eef7a37dc9533cc4be8398a8c193f86aed70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4 Recap Paper</dc:title>
  <dc:creator>C2 content factory</dc:creator>
  <cp:lastModifiedBy>Un-named</cp:lastModifiedBy>
  <cp:revision>1</cp:revision>
  <dcterms:created xsi:type="dcterms:W3CDTF">2026-10-13T00:49:53.298Z</dcterms:created>
  <dcterms:modified xsi:type="dcterms:W3CDTF">2026-10-13T00:49:53.299Z</dcterms:modified>
</cp:coreProperties>
</file>

<file path=docProps/custom.xml><?xml version="1.0" encoding="utf-8"?>
<Properties xmlns="http://schemas.openxmlformats.org/officeDocument/2006/custom-properties" xmlns:vt="http://schemas.openxmlformats.org/officeDocument/2006/docPropsVTypes"/>
</file>