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24,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7</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4.7 of 24, since a written answer cannot be guessed from a list, and fewer than one guesser in twenty would reach 9. A score of 8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(test)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(1 in 30, 0.033, from one buyer paying for 30 calls, is accepted);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(negatives)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(leakage)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honest only while nothing about the model was chosen by looking at it. Moving the threshold until the test score improves makes the test a second validation slice, so the reported number now carries the analyst's selection and flatters the model. The committee is told the test was spent, and the honest check is one score on calls the model has not touched, such as the next month's. Monday sealed the slice in the envelope; Friday opened it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Fitting the weights is one way to use the rows; choosing a threshold on them is another, and either one spends the slice.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threshold set on training rows sits on rows the model has memorised, so validation is the place to set it, and the test score is still spent.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8,238 clients is plenty for one honest score, and pooling the spent slice with validation hides the peek inside a bigger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test is spent the moment it changes a decision, so I tell the committee it was spent and get one clean score on data nobody has looked at.</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split by date wins on timing, not on the count of yes rows; validation already holds 928 yes rows under the random split.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probability for one client, so 0.71 says that clients with this profile say yes about 71 times in 100, as long as the scores are calibrated against what actually happens. The threshold that turns it into a call is a business choice made afterwards: at Kalpa's costs it sits near 0.03, far below 0.5. Monday bent the line into the S on the bank's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is a default, not part of the score; the threshold is set from the costs, and 0.71 is a chance, never a verdict.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0.71 is a probability, not a ratio against the average; against a base rate of 11 percent it is about six times the average chance.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trustworthy only if calibrated, and the decision to call comes from the threshold, which the costs set.</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2009 answer is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C (test)</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scored once, at the end, so its number is an honest estimate of how the chosen model does on clients it never influenced. Training fits the model and validation chooses among models and thresholds, so both are read many times. The week sealed the test slice on Monday in an envelope on the wall and opened it once on Friday.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Training fits, validation chooses, and the test is spent once, at the end; once I peek and change anything, it is validation.</w:t>
            </w:r>
          </w:p>
          <w:p>
            <w:pPr>
              <w:keepNext w:val="false"/>
              <w:spacing w:after="0"/>
            </w:pPr>
            <w:r>
              <w:rPr>
                <w:rFonts w:ascii="Arial" w:cs="Arial" w:eastAsia="Arial" w:hAnsi="Arial"/>
                <w:color w:val="6B675E"/>
                <w:sz w:val="18"/>
                <w:szCs w:val="18"/>
              </w:rPr>
              <w:t xml:space="preserve">Anchor: Train, validation, test: what is each for, and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Call when p x 1,200 &gt; (1 - p) x 40, so p &gt; 40 / 1,240 = 1 / 31, about 0.032 (1 in 30, 0.033, from one buyer paying for 30 calls, is accepted);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bill adds each wasted call at Rs 40 and each missed buyer at Rs 1,200. At 0.5 that is 94 times 40 plus 754 times 1,200, Rs 3,760 plus Rs 904,800, Rs 908,560. At 0.10 it is 2,138 times 40 plus 312 times 1,200, Rs 85,520 plus Rs 374,400, Rs 459,920. Lowering the line wastes 2,044 more calls and catches 442 more buyers, and the bill falls by Rs 448,640. Tuesday's slider drew this bill against the threshold.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swaps the two prices, charging Rs 1,200 for each wasted call and Rs 40 for each miss.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counts only the wasted calls and forgets the missed buyers, the larger cost by far.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This counts only the missed buyers and forgets the 94 and 2,138 wasted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price both boxes of errors at each threshold and add them, because the threshold that looks wasteful on calls can be the cheaper one once misses are priced.</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call the 1,000 highest scores. On validation they hold 404 buyers, a precision at 1,000 of 0.404, against the base rate of 0.113, about 3.6 times. This is the flip condition of the cost rule: at Rs 40 against Rs 1,200 the line says call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order is not the score's order, so the first 1,000 above the line convert at about the base rate and waste the ranking.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1,000 converts at about the base rate, 0.113, while the top 1,000 convert at 0.404, so the ranking is far from noise.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which is what the money buys.</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(negatives)</w:t>
            </w:r>
            <w:r>
              <w:rPr>
                <w:rFonts w:ascii="Arial" w:cs="Arial" w:eastAsia="Arial" w:hAnsi="Arial"/>
                <w:color w:val="6B675E"/>
                <w:sz w:val="18"/>
                <w:szCs w:val="18"/>
              </w:rPr>
              <w:t xml:space="preserve">   Fill in the blank,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Recall is true positives over every actual positive, and the actual positives the model missed are the false negatives: on Tuesday's matrix, 174 over 174 plus 754. Precision is the ratio that takes false positives below the 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Recall asks, of the buyers out there, how many I found, so its denominator is every real buyer, caught or missed.</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and the previous campaign's result exist before any call. The previous result is strongly predictive, 65 percent yes among past successes, and still legitimate, because it was recorded before this campaign began, so it passes the timing test however strong it is. Duration exists only after this campaign's call, and a quarterly indicator for the current quarter, filled in once the quarter closes, does not exist on the morning the list is built: a published indicator can leak when its period has not ended, which is the calendar leak Wednesday named beside duration.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current quarter has not closed on the morning of the list, so its count is from the future; last quarter's published count would pass.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respectable column from a period that has not ended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Here the arrow plausibly runs backwards: a client who has decided to buy stays on to open the deposit, so a yes makes a call long. Coaching agents to keep people talking would lengthen calls without creating buyers. Testing it would need an experiment, such as a random half of agents coached. Wednesday's last chapter was what the importance chart cannot tell you.</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Importance charts are drawn for linear and tree models alike; the limit is causal, not the model family.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 weight says the model leans on the column to predict; a column can predict because the outcome causes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that is not chance can still run from the outcome to the column, so size proves the link,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is about prediction, so before I claim a cause I ask which way the arrow runs and what experiment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euribor3m rises and falls with the employment variation rate (correlation 0.97 across the file) and the number employed (0.95), so once they sit in one model, the weight on any one of them is what it adds after the others, and its sign can reverse; consumer confidence, at 0.28, is the one indicator that moves on its own. The prediction can be just as good while no single coefficient reads as an effect. So the memo answers the marketing head with the group: alone, higher rates go with fewer yeses, and the correlated indicators carry that one economic signal together, so no single coefficient is quoted as the effect of rates. Reading the group, keeping one representative or regularising are the fixes. Wednesday's case showed euribor3m flip with the economic trio.</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flip appears with every solver, because it comes from the data; refitting moves nothing.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+0.39 is the rate's weight once the other four indicators are held fixed, which says nothing about this year's campaign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Imbalance moves the intercept and the calibration and never flips one column's sign as others join; the -0.92 alone carries the other four indicators' signal inside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a sign flips as a column joins, I check the correlations first and read correlated columns as a group.</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(leakage)</w:t>
            </w:r>
            <w:r>
              <w:rPr>
                <w:rFonts w:ascii="Arial" w:cs="Arial" w:eastAsia="Arial" w:hAnsi="Arial"/>
                <w:color w:val="6B675E"/>
                <w:sz w:val="18"/>
                <w:szCs w:val="18"/>
              </w:rPr>
              <w:t xml:space="preserve">   Fill in the blank,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the model could not have at the moment of prediction leaks the answer into training, which is data leakage; duration is the week's example, known only once the call ends. Drift is the world changing after training, and collinearity is columns moving together, Wednesday's sign flip.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Leakage is a column from the future, so I ask of every column when it would exist on the morning the list is built.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a gap smaller than the spread is a tie.</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on one validation slice, while the five folds of one model moved by about 0.03, so another split could reorder them. The test that would settle it scores both models on the same five folds; until boosting leads on every fold by a margin worth its cost, the simpler model is the recommendation: it is explained to a committee in one line per weight, monitored easily, and moved to lending with less to re-check. The flip is a gap that holds across the folds and is worth more in rupees, at the same budget of calls, than the cost of explaining and running the complex model.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logistic model overfits too when it has many columns and no penalty; its case here is the tie and its plainness.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best number found on one validation slice carries that slice's luck, which Exhibit 4B sizes at about 0.03.</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Inside the noise the simpler model ships, and I name the gap, in AUC and in rupees, held across folds, at which the complex one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the probabilities fell out of step even though the ranking still held at an AUC of 0.657, and the cost line, which reads the scores as probabilities, was drawn on numbers that understate every client's chance.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accuracy is measured on rows the model already saw, so it stays high while the world moves, and a line drawn on scores that run low is wrong whatever training says.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ranking can hold while the probabilities drift, as the late rows' AUC of 0.657 did, and the cost line reads probabilities, so the ranking cannot vouch for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the decision's metric on fresh outcomes, predicted against actual, with the floor written into the memo before launch.</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well on past rows; it does not say the campaign will sell more deposits. Booking.com's 23 comparisons put the correlation between the two near zero, -0.1 with an interval from -0.45 to 0.27, and the paper calls offline performance a health check. So the memo asks for a randomised trial that sets the model's list against the current rule on the business number, deposits sold per call, with the size fixed before it starts.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decimals on the offline score sharpen the health check, and the gap to the business number stays where it was.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larger offline gain is the very thing Booking.com found did not predict business 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test score is the honest offline number, and it is still offline.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the trial on the business number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Approve when the expected cost of approving, p times Rs 60,000, is below the expected cost of rejecting, (1 minus p) times Rs 3,000, where p is the chance of default: p below 3,000 over 63,000, about 0.048. P at 0.04 is approved and Q at 0.08 is rejected.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method moves and the costs do not: the nudge's cheap error is a wasted call, while the loan's expensive error is a default, so the line moves to the other end.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in 20 is the cost ratio, and the line is 3,000 over 63,000, about 1 in 21; P at 4 percent sits below it and is approved.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below about a 5 percent chance of default.</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Q5, Q7, Q8, Q9, Q11, Q12, Q13, Q16, Q17</w:t>
      </w:r>
    </w:p>
    <w:p>
      <w:pPr>
        <w:pStyle w:val="ListParagraph"/>
        <w:numPr>
          <w:ilvl w:val="0"/>
          <w:numId w:val="3"/>
        </w:numPr>
        <w:spacing w:after="40"/>
      </w:pPr>
      <w:r>
        <w:rPr>
          <w:rFonts w:ascii="Arial" w:cs="Arial" w:eastAsia="Arial" w:hAnsi="Arial"/>
          <w:color w:val="1C1B16"/>
          <w:sz w:val="21"/>
          <w:szCs w:val="21"/>
        </w:rPr>
        <w:t xml:space="preserve">[F] (7): Q3, Q6, Q14, Q15, Q18, Q19, Q21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Q2, Q10, Q20, Q22, Q23, Q24</w:t>
      </w:r>
    </w:p>
    <w:p>
      <w:pPr>
        <w:pStyle w:val="ListParagraph"/>
        <w:numPr>
          <w:ilvl w:val="0"/>
          <w:numId w:val="3"/>
        </w:numPr>
        <w:spacing w:after="40"/>
      </w:pPr>
      <w:r>
        <w:rPr>
          <w:rFonts w:ascii="Arial" w:cs="Arial" w:eastAsia="Arial" w:hAnsi="Arial"/>
          <w:color w:val="1C1B16"/>
          <w:sz w:val="21"/>
          <w:szCs w:val="21"/>
        </w:rPr>
        <w:t xml:space="preserve">Easy (3): Q5, Q11, Q16</w:t>
      </w:r>
    </w:p>
    <w:p>
      <w:pPr>
        <w:pStyle w:val="ListParagraph"/>
        <w:numPr>
          <w:ilvl w:val="0"/>
          <w:numId w:val="3"/>
        </w:numPr>
        <w:spacing w:after="40"/>
      </w:pPr>
      <w:r>
        <w:rPr>
          <w:rFonts w:ascii="Arial" w:cs="Arial" w:eastAsia="Arial" w:hAnsi="Arial"/>
          <w:color w:val="1C1B16"/>
          <w:sz w:val="21"/>
          <w:szCs w:val="21"/>
        </w:rPr>
        <w:t xml:space="preserve">Medium (14): Q1, Q3, Q4, Q6, Q7, Q8, Q9, Q12, Q14, Q15, Q17, Q18, Q22, Q23</w:t>
      </w:r>
    </w:p>
    <w:p>
      <w:pPr>
        <w:pStyle w:val="ListParagraph"/>
        <w:numPr>
          <w:ilvl w:val="0"/>
          <w:numId w:val="3"/>
        </w:numPr>
        <w:spacing w:after="40"/>
      </w:pPr>
      <w:r>
        <w:rPr>
          <w:rFonts w:ascii="Arial" w:cs="Arial" w:eastAsia="Arial" w:hAnsi="Arial"/>
          <w:color w:val="1C1B16"/>
          <w:sz w:val="21"/>
          <w:szCs w:val="21"/>
        </w:rPr>
        <w:t xml:space="preserve">Hard (7): Q2, Q10, Q13, Q19, Q20, Q21, Q24</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(5): Q1, Q2, Q3, Q4, Q5</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(6): Q6, Q7, Q8, Q9, Q10, Q11</w:t>
      </w:r>
    </w:p>
    <w:p>
      <w:pPr>
        <w:pStyle w:val="ListParagraph"/>
        <w:numPr>
          <w:ilvl w:val="0"/>
          <w:numId w:val="3"/>
        </w:numPr>
        <w:spacing w:after="40"/>
      </w:pPr>
      <w:r>
        <w:rPr>
          <w:rFonts w:ascii="Arial" w:cs="Arial" w:eastAsia="Arial" w:hAnsi="Arial"/>
          <w:color w:val="1C1B16"/>
          <w:sz w:val="21"/>
          <w:szCs w:val="21"/>
        </w:rPr>
        <w:t xml:space="preserve">Part 3, What was the model allowed to know? (5): Q12, Q13, Q14, Q15, Q16</w:t>
      </w:r>
    </w:p>
    <w:p>
      <w:pPr>
        <w:pStyle w:val="ListParagraph"/>
        <w:numPr>
          <w:ilvl w:val="0"/>
          <w:numId w:val="3"/>
        </w:numPr>
        <w:spacing w:after="40"/>
      </w:pPr>
      <w:r>
        <w:rPr>
          <w:rFonts w:ascii="Arial" w:cs="Arial" w:eastAsia="Arial" w:hAnsi="Arial"/>
          <w:color w:val="1C1B16"/>
          <w:sz w:val="21"/>
          <w:szCs w:val="21"/>
        </w:rPr>
        <w:t xml:space="preserve">Part 4, Is the model learning, or memorising? (4): Q17, Q18, Q19, Q20</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(4): Q21, Q22, Q23, Q24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(One correct option, Medium, [S]): On Thursday an analyst opens the sealed test slice, sees 0.79, moves the threshold until the test score improves and reports the new test score to the committee. What is wrong, and what should the committee be told?</w:t>
      </w:r>
    </w:p>
    <w:p>
      <w:pPr>
        <w:pStyle w:val="ListParagraph"/>
        <w:numPr>
          <w:ilvl w:val="0"/>
          <w:numId w:val="3"/>
        </w:numPr>
        <w:spacing w:after="40"/>
      </w:pPr>
      <w:r>
        <w:rPr>
          <w:rFonts w:ascii="Arial" w:cs="Arial" w:eastAsia="Arial" w:hAnsi="Arial"/>
          <w:color w:val="1C1B16"/>
          <w:sz w:val="21"/>
          <w:szCs w:val="21"/>
        </w:rPr>
        <w:t xml:space="preserve">Q2 (True or false, Hard, [D]): 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pStyle w:val="ListParagraph"/>
        <w:numPr>
          <w:ilvl w:val="0"/>
          <w:numId w:val="3"/>
        </w:numPr>
        <w:spacing w:after="40"/>
      </w:pPr>
      <w:r>
        <w:rPr>
          <w:rFonts w:ascii="Arial" w:cs="Arial" w:eastAsia="Arial" w:hAnsi="Arial"/>
          <w:color w:val="1C1B16"/>
          <w:sz w:val="21"/>
          <w:szCs w:val="21"/>
        </w:rPr>
        <w:t xml:space="preserve">Q3 (One correct option, Medium, [F]): The logistic model gives one client a score of 0.71. What does the 0.71 say?</w:t>
      </w:r>
    </w:p>
    <w:p>
      <w:pPr>
        <w:pStyle w:val="ListParagraph"/>
        <w:numPr>
          <w:ilvl w:val="0"/>
          <w:numId w:val="3"/>
        </w:numPr>
        <w:spacing w:after="40"/>
      </w:pPr>
      <w:r>
        <w:rPr>
          <w:rFonts w:ascii="Arial" w:cs="Arial" w:eastAsia="Arial" w:hAnsi="Arial"/>
          <w:color w:val="1C1B16"/>
          <w:sz w:val="21"/>
          <w:szCs w:val="21"/>
        </w:rPr>
        <w:t xml:space="preserve">Q4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Q6 (True or false, Medium,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Q7 (Applied maths, Medium,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Q8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Q9 (One correct option, Medium, [S]): At Rs 40 a wasted call and Rs 1,200 a missed buyer, what is the error bill at the thresholds of 0.5 and 0.10 in Exhibit 2B, and which costs less?</w:t>
      </w:r>
    </w:p>
    <w:p>
      <w:pPr>
        <w:pStyle w:val="ListParagraph"/>
        <w:numPr>
          <w:ilvl w:val="0"/>
          <w:numId w:val="3"/>
        </w:numPr>
        <w:spacing w:after="40"/>
      </w:pPr>
      <w:r>
        <w:rPr>
          <w:rFonts w:ascii="Arial" w:cs="Arial" w:eastAsia="Arial" w:hAnsi="Arial"/>
          <w:color w:val="1C1B16"/>
          <w:sz w:val="21"/>
          <w:szCs w:val="21"/>
        </w:rPr>
        <w:t xml:space="preserve">Q10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Q12 (One correct option, Medium,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Q13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Q14 (True or false, Medium, [F]): In the model with duration, duration tops the importance chart, and clients who said yes talked 553 seconds on average against 221 for those who said no. Statement: longer calls cause deposits, so agents should be coached to keep clients on the line. True or false, and why?</w:t>
      </w:r>
    </w:p>
    <w:p>
      <w:pPr>
        <w:pStyle w:val="ListParagraph"/>
        <w:numPr>
          <w:ilvl w:val="0"/>
          <w:numId w:val="3"/>
        </w:numPr>
        <w:spacing w:after="40"/>
      </w:pPr>
      <w:r>
        <w:rPr>
          <w:rFonts w:ascii="Arial" w:cs="Arial" w:eastAsia="Arial" w:hAnsi="Arial"/>
          <w:color w:val="1C1B16"/>
          <w:sz w:val="21"/>
          <w:szCs w:val="21"/>
        </w:rPr>
        <w:t xml:space="preserve">Q15 (One correct option, Medium, [F]): On its own, euribor3m takes a coefficient of -0.92 on the standardised scale; beside the four other economic indicators it takes +0.39. The marketing head asks whether higher rates help the campaign. What is the likeliest cause of the flip, and what does the memo say?</w:t>
      </w:r>
    </w:p>
    <w:p>
      <w:pPr>
        <w:pStyle w:val="ListParagraph"/>
        <w:numPr>
          <w:ilvl w:val="0"/>
          <w:numId w:val="3"/>
        </w:numPr>
        <w:spacing w:after="40"/>
      </w:pPr>
      <w:r>
        <w:rPr>
          <w:rFonts w:ascii="Arial" w:cs="Arial" w:eastAsia="Arial" w:hAnsi="Arial"/>
          <w:color w:val="1C1B16"/>
          <w:sz w:val="21"/>
          <w:szCs w:val="21"/>
        </w:rPr>
        <w:t xml:space="preserve">Q17 (One correct option, Medium,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Q18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Q19 (One correct option, Hard,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Q20 (True or false, Hard, [D]): Statement: the logistic model should go into the memo, although gradient boosting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On the latest 30 percent of calls the model's mean score was 0.152 while 24.6 percent said yes (Exhibit 5A). Which monitoring rule catches this first, and what does it mean for the cost line drawn on these scores?</w:t>
      </w:r>
    </w:p>
    <w:p>
      <w:pPr>
        <w:pStyle w:val="ListParagraph"/>
        <w:numPr>
          <w:ilvl w:val="0"/>
          <w:numId w:val="3"/>
        </w:numPr>
        <w:spacing w:after="40"/>
      </w:pPr>
      <w:r>
        <w:rPr>
          <w:rFonts w:ascii="Arial" w:cs="Arial" w:eastAsia="Arial" w:hAnsi="Arial"/>
          <w:color w:val="1C1B16"/>
          <w:sz w:val="21"/>
          <w:szCs w:val="21"/>
        </w:rPr>
        <w:t xml:space="preserve">Q22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Q23 (One correct option, Medium, [D]): Anand Iyer asks what evidence would make him sign. Across 23 comparisons, Booking.com found offline gains and business gains almost uncorrelated (Exhibit 5B). What does the memo propose?</w:t>
      </w:r>
    </w:p>
    <w:p>
      <w:pPr>
        <w:pStyle w:val="ListParagraph"/>
        <w:numPr>
          <w:ilvl w:val="0"/>
          <w:numId w:val="3"/>
        </w:numPr>
        <w:spacing w:after="40"/>
      </w:pPr>
      <w:r>
        <w:rPr>
          <w:rFonts w:ascii="Arial" w:cs="Arial" w:eastAsia="Arial" w:hAnsi="Arial"/>
          <w:color w:val="1C1B16"/>
          <w:sz w:val="21"/>
          <w:szCs w:val="21"/>
        </w:rPr>
        <w:t xml:space="preserve">Q24 (One correct option, Hard, [D]): 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4 (Fill in the blank, Easy, Thu), folded into Q17: The blind sitting found the bank's 100 and 61 percent read beside Exhibit 4A's 0.996 and 0.619, two metrics, and found the blank cued by the part's title and by the options above it, so the item that reads training at 0.996 against validation at 0.837 as memorising tests bank 4's word on the room's own tree.</w:t>
      </w:r>
    </w:p>
    <w:p>
      <w:pPr>
        <w:pStyle w:val="ListParagraph"/>
        <w:numPr>
          <w:ilvl w:val="0"/>
          <w:numId w:val="3"/>
        </w:numPr>
        <w:spacing w:after="40"/>
      </w:pPr>
      <w:r>
        <w:rPr>
          <w:rFonts w:ascii="Arial" w:cs="Arial" w:eastAsia="Arial" w:hAnsi="Arial"/>
          <w:color w:val="1C1B16"/>
          <w:sz w:val="21"/>
          <w:szCs w:val="21"/>
        </w:rPr>
        <w:t xml:space="preserve">Bank 5 (Fill in the blank, Medium, Thu), folded into Q19: The blind sitting found the blank answered by the folds item's own options, which say what one split could have read, so the folds item, whose key is the luck of one split sized at 0.77 to 0.80, tests bank 5's word.</w:t>
      </w:r>
    </w:p>
    <w:p>
      <w:pPr>
        <w:pStyle w:val="ListParagraph"/>
        <w:numPr>
          <w:ilvl w:val="0"/>
          <w:numId w:val="3"/>
        </w:numPr>
        <w:spacing w:after="40"/>
      </w:pPr>
      <w:r>
        <w:rPr>
          <w:rFonts w:ascii="Arial" w:cs="Arial" w:eastAsia="Arial" w:hAnsi="Arial"/>
          <w:color w:val="1C1B16"/>
          <w:sz w:val="21"/>
          <w:szCs w:val="21"/>
        </w:rPr>
        <w:t xml:space="preserve">Bank 6 (True or false, Easy, Tue), folded into Q6: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Q14: The statement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Q18: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Q20: The key is bank 9's statement on the week's three families, a gap of 0.011 AUC inside the 0.03 one split moves by,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Q4: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Q3: The item asks what a logistic score of 0.71 says about one client, with bank 11's three misreadings as the distractors and the calibration condition added to the key.</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Q8: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Q24: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Q12: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Q15: The item is bank 15's sign flip as the week measured it, euribor3m from -0.92 alone to +0.39 beside the other indicators, with the same four causes as options.</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Q17: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Q21: The key is bank 17's monitoring rule made concrete on the bank's late rows, the called clients' yes rate against the mean score with a stated gap, and its distractors are bank 17's three.</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Q6: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Q13: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Q18: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Q22: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Q7: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Q7: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Q9: The item prices the week's real matrix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Q9: The item compares the bill at two thresholds and asks which costs less, which is bank 25's question on the week's own thresholds, and its distractors are the three ways the bill is usually miscounted.</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Q6: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Q7: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Q8: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Q19: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hold on every fold, since one validation slice moves by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(1 in 30, 0.033, from one buyer paying for 30 calls, is accepted); the line moves down from 0.5 and recall leads.</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2026-10-28T10:58:38.078Z</dcterms:created>
  <dcterms:modified xsi:type="dcterms:W3CDTF">2026-10-28T10:58:38.078Z</dcterms:modified>
</cp:coreProperties>
</file>

<file path=docProps/custom.xml><?xml version="1.0" encoding="utf-8"?>
<Properties xmlns="http://schemas.openxmlformats.org/officeDocument/2006/custom-properties" xmlns:vt="http://schemas.openxmlformats.org/officeDocument/2006/docPropsVTypes"/>
</file>