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09"/>
        <w:gridCol w:w="1786"/>
        <w:gridCol w:w="1869"/>
        <w:gridCol w:w="1661"/>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0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6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so the six fell less than the totals say, and the pay can stay per online hour with a higher floor.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record kept beside the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36 percent, 0.04 of 0.11;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seven lines make the city head's slide, and three would spoil it. Leave those three out and write the other four in the order Tuesday's one-slide template puts them, from the top.</w:t>
            </w:r>
          </w:p>
          <w:p>
            <w:pPr>
              <w:keepNext/>
              <w:spacing w:after="80" w:line="276"/>
            </w:pPr>
            <w:r>
              <w:rPr>
                <w:rFonts w:ascii="Arial" w:cs="Arial" w:eastAsia="Arial" w:hAnsi="Arial"/>
                <w:color w:val="1C1B16"/>
                <w:sz w:val="21"/>
                <w:szCs w:val="21"/>
              </w:rPr>
              <w:t xml:space="preserve">(g) The title, as a claim: bookings per active driver-week rose 0.8 percent, so the scheme pays its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part may be the season, then show the fare held at Rs 165 a trip in both windows, so the season cannot explain the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the chain against Exhibit 1A's 2.13 rider requests per peak online hour before the launch, and move the answer down to about 3,900</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the fall is milk's share of impressions, and slot 1, at 70 percent milk,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but reach only carts holding ice cream.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held steady from May to June,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existing cohorts declined, and cohort C retains less than cohort A did in May, so the new members are the weaker ones.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since carousel menus need none,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Android orders fall about 1,317 a week against the old rate, Rs 4.0 to 6.6 lakh, so roll it back for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per user who joined, 80 per user who stayed; ask only whether the cohort was acquired in a sale quarter, which explains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blended retention has not risen since the fix shipped, which shows the feature is still costing the tier its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20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shown; score the curve against it on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Score the curve on the hidden weeks, and send it to the plan if its miss there stays inside its own 2 percent fit to the two years.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October 2025 to March 2026, a year before the forecast months,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Using Exhibits 5A and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26eef7a37dc9533cc4be8398a8c193f86aed7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2026-10-13T02:11:51.684Z</dcterms:created>
  <dcterms:modified xsi:type="dcterms:W3CDTF">2026-10-13T02:11:51.690Z</dcterms:modified>
</cp:coreProperties>
</file>

<file path=docProps/custom.xml><?xml version="1.0" encoding="utf-8"?>
<Properties xmlns="http://schemas.openxmlformats.org/officeDocument/2006/custom-properties" xmlns:vt="http://schemas.openxmlformats.org/officeDocument/2006/docPropsVTypes"/>
</file>